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C32CE0">
      <w:pPr>
        <w:shd w:val="clear" w:color="auto" w:fill="FFFFFF"/>
        <w:spacing w:before="0" w:after="0" w:line="240" w:lineRule="auto"/>
        <w:jc w:val="center"/>
        <w:rPr>
          <w:rFonts w:ascii="仿宋" w:hAnsi="仿宋" w:eastAsia="仿宋"/>
          <w:b/>
          <w:sz w:val="24"/>
          <w:szCs w:val="24"/>
        </w:rPr>
      </w:pPr>
      <w:r>
        <w:rPr>
          <w:rFonts w:hint="eastAsia" w:ascii="仿宋" w:hAnsi="仿宋" w:eastAsia="仿宋"/>
          <w:b/>
          <w:sz w:val="24"/>
          <w:szCs w:val="24"/>
        </w:rPr>
        <w:t>星路金融有限公司</w:t>
      </w:r>
    </w:p>
    <w:p w14:paraId="2B9D3996">
      <w:pPr>
        <w:shd w:val="clear" w:color="auto" w:fill="FFFFFF"/>
        <w:spacing w:before="0" w:after="0" w:line="240" w:lineRule="auto"/>
        <w:jc w:val="center"/>
        <w:rPr>
          <w:rFonts w:ascii="仿宋" w:hAnsi="仿宋" w:eastAsia="仿宋"/>
          <w:b/>
          <w:sz w:val="24"/>
          <w:szCs w:val="24"/>
          <w:u w:val="single"/>
        </w:rPr>
      </w:pPr>
      <w:r>
        <w:rPr>
          <w:rFonts w:hint="eastAsia" w:ascii="仿宋" w:hAnsi="仿宋" w:eastAsia="仿宋"/>
          <w:b/>
          <w:sz w:val="24"/>
          <w:szCs w:val="24"/>
          <w:u w:val="single"/>
        </w:rPr>
        <w:t xml:space="preserve">投資產品評估報告 </w:t>
      </w:r>
      <w:r>
        <w:rPr>
          <w:rFonts w:ascii="仿宋" w:hAnsi="仿宋" w:eastAsia="仿宋"/>
          <w:b/>
          <w:sz w:val="24"/>
          <w:szCs w:val="24"/>
          <w:u w:val="single"/>
        </w:rPr>
        <w:t xml:space="preserve">– </w:t>
      </w:r>
      <w:r>
        <w:rPr>
          <w:rFonts w:hint="eastAsia" w:ascii="仿宋" w:hAnsi="仿宋" w:eastAsia="仿宋"/>
          <w:b/>
          <w:sz w:val="24"/>
          <w:szCs w:val="24"/>
          <w:u w:val="single"/>
        </w:rPr>
        <w:t>基金</w:t>
      </w:r>
    </w:p>
    <w:p w14:paraId="49B6E969">
      <w:pPr>
        <w:shd w:val="clear" w:color="auto" w:fill="FFFFFF"/>
        <w:spacing w:before="0" w:after="0" w:line="240" w:lineRule="auto"/>
        <w:jc w:val="center"/>
        <w:rPr>
          <w:rFonts w:ascii="仿宋" w:hAnsi="仿宋" w:eastAsia="仿宋"/>
          <w:b/>
          <w:i/>
          <w:sz w:val="24"/>
          <w:szCs w:val="24"/>
        </w:rPr>
      </w:pPr>
      <w:r>
        <w:rPr>
          <w:rFonts w:hint="eastAsia" w:ascii="仿宋" w:hAnsi="仿宋" w:eastAsia="仿宋"/>
          <w:b/>
          <w:i/>
          <w:sz w:val="24"/>
          <w:szCs w:val="24"/>
        </w:rPr>
        <w:t>(每只基金都必需備有一份產品評估報告)</w:t>
      </w:r>
    </w:p>
    <w:p w14:paraId="09254AA6">
      <w:pPr>
        <w:shd w:val="clear" w:color="auto" w:fill="FFFFFF"/>
        <w:spacing w:before="0" w:after="0" w:line="240" w:lineRule="auto"/>
        <w:jc w:val="center"/>
        <w:rPr>
          <w:rFonts w:ascii="仿宋" w:hAnsi="仿宋" w:eastAsia="仿宋" w:cs="Times New Roman"/>
          <w:b/>
          <w:color w:val="000000"/>
          <w:sz w:val="24"/>
          <w:szCs w:val="24"/>
          <w:u w:val="single"/>
        </w:rPr>
      </w:pPr>
    </w:p>
    <w:tbl>
      <w:tblPr>
        <w:tblStyle w:val="79"/>
        <w:tblW w:w="5000" w:type="pct"/>
        <w:tblInd w:w="0" w:type="dxa"/>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Layout w:type="fixed"/>
        <w:tblCellMar>
          <w:top w:w="0" w:type="dxa"/>
          <w:left w:w="108" w:type="dxa"/>
          <w:bottom w:w="0" w:type="dxa"/>
          <w:right w:w="108" w:type="dxa"/>
        </w:tblCellMar>
      </w:tblPr>
      <w:tblGrid>
        <w:gridCol w:w="3327"/>
        <w:gridCol w:w="7434"/>
      </w:tblGrid>
      <w:tr w14:paraId="38FDBD0D">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trHeight w:val="90" w:hRule="atLeast"/>
        </w:trPr>
        <w:tc>
          <w:tcPr>
            <w:tcW w:w="4572" w:type="dxa"/>
            <w:tcBorders>
              <w:top w:val="single" w:color="auto" w:sz="4" w:space="0"/>
              <w:left w:val="single" w:color="auto" w:sz="4" w:space="0"/>
              <w:bottom w:val="single" w:color="auto" w:sz="4" w:space="0"/>
              <w:right w:val="nil"/>
              <w:insideV w:val="nil"/>
            </w:tcBorders>
            <w:shd w:val="clear" w:color="auto" w:fill="D0CECE" w:themeFill="background2" w:themeFillShade="E6"/>
            <w:vAlign w:val="top"/>
          </w:tcPr>
          <w:p w14:paraId="76AD6C30">
            <w:pPr>
              <w:spacing w:after="0" w:line="330" w:lineRule="atLeast"/>
              <w:rPr>
                <w:rFonts w:ascii="仿宋" w:hAnsi="仿宋" w:eastAsia="仿宋" w:cs="PMingLiU"/>
                <w:b w:val="0"/>
                <w:bCs w:val="0"/>
                <w:iCs/>
                <w:color w:val="000000"/>
                <w:sz w:val="24"/>
                <w:szCs w:val="24"/>
                <w:u w:val="single"/>
              </w:rPr>
            </w:pPr>
            <w:r>
              <w:rPr>
                <w:rFonts w:hint="eastAsia" w:ascii="仿宋" w:hAnsi="仿宋" w:eastAsia="仿宋" w:cs="Arial"/>
                <w:b/>
                <w:bCs/>
                <w:sz w:val="24"/>
                <w:szCs w:val="24"/>
              </w:rPr>
              <w:t>基金產品名稱</w:t>
            </w:r>
          </w:p>
        </w:tc>
        <w:tc>
          <w:tcPr>
            <w:tcW w:w="4572" w:type="dxa"/>
            <w:tcBorders>
              <w:top w:val="single" w:color="auto" w:sz="4" w:space="0"/>
              <w:left w:val="single" w:color="auto" w:sz="4" w:space="0"/>
              <w:bottom w:val="single" w:color="auto" w:sz="4" w:space="0"/>
              <w:right w:val="single" w:color="auto" w:sz="4" w:space="0"/>
              <w:insideV w:val="nil"/>
            </w:tcBorders>
            <w:shd w:val="clear" w:color="auto" w:fill="FFFFFF" w:themeFill="background1"/>
            <w:vAlign w:val="top"/>
          </w:tcPr>
          <w:p>
            <w:r>
              <w:t>资料未载明</w:t>
            </w:r>
          </w:p>
        </w:tc>
      </w:tr>
      <w:tr w14:paraId="361E759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794A6E5E">
            <w:pPr>
              <w:spacing w:after="0" w:line="330" w:lineRule="atLeast"/>
              <w:rPr>
                <w:rFonts w:ascii="仿宋" w:hAnsi="仿宋" w:eastAsia="仿宋" w:cs="PMingLiU"/>
                <w:b w:val="0"/>
                <w:bCs w:val="0"/>
                <w:iCs/>
                <w:color w:val="000000"/>
                <w:sz w:val="24"/>
                <w:szCs w:val="24"/>
              </w:rPr>
            </w:pPr>
            <w:r>
              <w:rPr>
                <w:rFonts w:ascii="仿宋" w:hAnsi="仿宋" w:eastAsia="仿宋" w:cs="Calibri"/>
                <w:b/>
                <w:bCs/>
                <w:iCs/>
                <w:color w:val="000000"/>
                <w:sz w:val="24"/>
                <w:szCs w:val="24"/>
              </w:rPr>
              <w:t>ISIN</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t>资料未载明</w:t>
            </w:r>
          </w:p>
        </w:tc>
      </w:tr>
      <w:tr w14:paraId="2DC014B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4991B3B0">
            <w:pPr>
              <w:spacing w:after="0" w:line="330" w:lineRule="atLeast"/>
              <w:rPr>
                <w:rFonts w:ascii="仿宋" w:hAnsi="仿宋" w:eastAsia="仿宋" w:cs="PMingLiU"/>
                <w:b w:val="0"/>
                <w:bCs/>
                <w:iCs/>
                <w:color w:val="000000"/>
                <w:sz w:val="24"/>
                <w:szCs w:val="24"/>
              </w:rPr>
            </w:pPr>
            <w:r>
              <w:rPr>
                <w:rFonts w:hint="eastAsia" w:ascii="仿宋" w:hAnsi="仿宋" w:eastAsia="仿宋" w:cs="PMingLiU"/>
                <w:b/>
                <w:bCs w:val="0"/>
                <w:iCs/>
                <w:color w:val="000000"/>
                <w:sz w:val="24"/>
                <w:szCs w:val="24"/>
              </w:rPr>
              <w:t>上次評級日期和風險 (如有)</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t>资料未载明</w:t>
            </w:r>
          </w:p>
        </w:tc>
      </w:tr>
      <w:tr w14:paraId="2B7387B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3CE72338">
            <w:pPr>
              <w:spacing w:after="0" w:line="330" w:lineRule="atLeast"/>
              <w:rPr>
                <w:rFonts w:ascii="仿宋" w:hAnsi="仿宋" w:eastAsia="仿宋" w:cs="Calibri"/>
                <w:b w:val="0"/>
                <w:bCs w:val="0"/>
                <w:iCs/>
                <w:color w:val="000000"/>
                <w:sz w:val="24"/>
                <w:szCs w:val="24"/>
              </w:rPr>
            </w:pPr>
            <w:r>
              <w:rPr>
                <w:rFonts w:hint="eastAsia" w:ascii="仿宋" w:hAnsi="仿宋" w:eastAsia="仿宋" w:cs="Calibri"/>
                <w:b/>
                <w:bCs/>
                <w:iCs/>
                <w:color w:val="000000"/>
                <w:sz w:val="24"/>
                <w:szCs w:val="24"/>
              </w:rPr>
              <w:t xml:space="preserve">只可銷售予專業投資者 </w:t>
            </w:r>
            <w:r>
              <w:rPr>
                <w:rFonts w:ascii="仿宋" w:hAnsi="仿宋" w:eastAsia="仿宋" w:cs="Calibri"/>
                <w:b/>
                <w:bCs/>
                <w:iCs/>
                <w:color w:val="000000"/>
                <w:sz w:val="24"/>
                <w:szCs w:val="24"/>
              </w:rPr>
              <w:t>(PI)</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rPr>
                <w:rFonts w:ascii="仿宋" w:hAnsi="仿宋" w:eastAsia="仿宋"/>
                <w:sz w:val="24"/>
              </w:rPr>
              <w:t>资料未载明</w:t>
            </w:r>
          </w:p>
        </w:tc>
      </w:tr>
      <w:tr w14:paraId="795F9BA7">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A29E833">
            <w:pPr>
              <w:spacing w:after="0" w:line="330" w:lineRule="atLeast"/>
              <w:rPr>
                <w:rFonts w:ascii="仿宋" w:hAnsi="仿宋" w:eastAsia="仿宋" w:cs="Calibri"/>
                <w:b w:val="0"/>
                <w:bCs w:val="0"/>
                <w:color w:val="000000" w:themeColor="text1"/>
                <w:sz w:val="24"/>
                <w:szCs w:val="24"/>
                <w14:textFill>
                  <w14:solidFill>
                    <w14:schemeClr w14:val="tx1"/>
                  </w14:solidFill>
                </w14:textFill>
              </w:rPr>
            </w:pPr>
            <w:r>
              <w:rPr>
                <w:rFonts w:hint="eastAsia" w:ascii="仿宋" w:hAnsi="仿宋" w:eastAsia="仿宋" w:cs="Calibri"/>
                <w:b/>
                <w:bCs/>
                <w:iCs/>
                <w:color w:val="000000"/>
                <w:sz w:val="24"/>
                <w:szCs w:val="24"/>
              </w:rPr>
              <w:t>是否衍生產品</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rPr>
                <w:rFonts w:ascii="仿宋" w:hAnsi="仿宋" w:eastAsia="仿宋"/>
                <w:sz w:val="24"/>
              </w:rPr>
              <w:t>資料未載明</w:t>
            </w:r>
          </w:p>
        </w:tc>
      </w:tr>
      <w:tr w14:paraId="2DE4C439">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63E355B8">
            <w:pPr>
              <w:spacing w:after="0" w:line="330" w:lineRule="atLeast"/>
              <w:rPr>
                <w:rFonts w:ascii="仿宋" w:hAnsi="仿宋" w:eastAsia="仿宋" w:cs="Calibri"/>
                <w:b w:val="0"/>
                <w:bCs w:val="0"/>
                <w:iCs/>
                <w:color w:val="000000"/>
                <w:sz w:val="24"/>
                <w:szCs w:val="24"/>
              </w:rPr>
            </w:pPr>
            <w:r>
              <w:rPr>
                <w:rFonts w:hint="eastAsia" w:ascii="仿宋" w:hAnsi="仿宋" w:eastAsia="仿宋" w:cs="Calibri"/>
                <w:b/>
                <w:bCs/>
                <w:iCs/>
                <w:color w:val="000000"/>
                <w:sz w:val="24"/>
                <w:szCs w:val="24"/>
              </w:rPr>
              <w:t xml:space="preserve">投資目標 </w:t>
            </w:r>
          </w:p>
          <w:p w14:paraId="235C5E05">
            <w:pPr>
              <w:spacing w:after="0" w:line="330" w:lineRule="atLeast"/>
              <w:rPr>
                <w:rFonts w:ascii="仿宋" w:hAnsi="仿宋" w:eastAsia="仿宋" w:cs="Calibri"/>
                <w:b w:val="0"/>
                <w:bCs w:val="0"/>
                <w:color w:val="000000" w:themeColor="text1"/>
                <w:sz w:val="24"/>
                <w:szCs w:val="24"/>
                <w14:textFill>
                  <w14:solidFill>
                    <w14:schemeClr w14:val="tx1"/>
                  </w14:solidFill>
                </w14:textFill>
              </w:rPr>
            </w:pP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rPr>
                <w:rFonts w:ascii="仿宋" w:hAnsi="仿宋" w:eastAsia="仿宋"/>
                <w:sz w:val="24"/>
              </w:rPr>
              <w:t>资料未载明</w:t>
            </w:r>
          </w:p>
        </w:tc>
      </w:tr>
      <w:tr w14:paraId="3E8B7002">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3C488A03">
            <w:pPr>
              <w:spacing w:after="0" w:line="330" w:lineRule="atLeast"/>
              <w:rPr>
                <w:rFonts w:ascii="仿宋" w:hAnsi="仿宋" w:eastAsia="仿宋" w:cs="Calibri"/>
                <w:b w:val="0"/>
                <w:bCs w:val="0"/>
                <w:iCs/>
                <w:color w:val="000000"/>
                <w:sz w:val="24"/>
                <w:szCs w:val="24"/>
              </w:rPr>
            </w:pPr>
            <w:r>
              <w:rPr>
                <w:rFonts w:hint="eastAsia" w:ascii="仿宋" w:hAnsi="仿宋" w:eastAsia="仿宋" w:cs="Calibri"/>
                <w:b/>
                <w:bCs/>
                <w:color w:val="000000" w:themeColor="text1"/>
                <w:sz w:val="24"/>
                <w:szCs w:val="24"/>
                <w14:textFill>
                  <w14:solidFill>
                    <w14:schemeClr w14:val="tx1"/>
                  </w14:solidFill>
                </w14:textFill>
              </w:rPr>
              <w:t>基金風險評估結果</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rPr>
                <w:rFonts w:ascii="仿宋" w:hAnsi="仿宋" w:eastAsia="仿宋"/>
                <w:sz w:val="24"/>
              </w:rPr>
              <w:t>资料未载明</w:t>
            </w:r>
          </w:p>
        </w:tc>
      </w:tr>
      <w:tr w14:paraId="5A414AC3">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654CF00">
            <w:pPr>
              <w:spacing w:after="0" w:line="330" w:lineRule="atLeast"/>
              <w:rPr>
                <w:rFonts w:ascii="仿宋" w:hAnsi="仿宋" w:eastAsia="仿宋" w:cs="Calibri"/>
                <w:b w:val="0"/>
                <w:bCs w:val="0"/>
                <w:color w:val="000000" w:themeColor="text1"/>
                <w:sz w:val="24"/>
                <w:szCs w:val="24"/>
                <w14:textFill>
                  <w14:solidFill>
                    <w14:schemeClr w14:val="tx1"/>
                  </w14:solidFill>
                </w14:textFill>
              </w:rPr>
            </w:pPr>
            <w:r>
              <w:rPr>
                <w:rFonts w:hint="eastAsia" w:ascii="仿宋" w:hAnsi="仿宋" w:eastAsia="仿宋" w:cs="PMingLiU"/>
                <w:b/>
                <w:bCs w:val="0"/>
                <w:iCs/>
                <w:color w:val="000000"/>
                <w:sz w:val="24"/>
                <w:szCs w:val="24"/>
              </w:rPr>
              <w:t>報告評估日期</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t>资料未载明</w:t>
            </w:r>
          </w:p>
        </w:tc>
      </w:tr>
    </w:tbl>
    <w:p w14:paraId="15DE0FF5">
      <w:pPr>
        <w:shd w:val="clear" w:color="auto" w:fill="FFFFFF"/>
        <w:spacing w:before="0" w:after="0" w:line="240" w:lineRule="auto"/>
        <w:jc w:val="center"/>
        <w:rPr>
          <w:rFonts w:ascii="仿宋" w:hAnsi="仿宋" w:eastAsia="仿宋" w:cs="Times New Roman"/>
          <w:b/>
          <w:color w:val="000000"/>
          <w:sz w:val="24"/>
          <w:szCs w:val="24"/>
          <w:u w:val="single"/>
        </w:rPr>
      </w:pPr>
    </w:p>
    <w:p w14:paraId="0316D9D0">
      <w:pPr>
        <w:pStyle w:val="60"/>
        <w:numPr>
          <w:ilvl w:val="0"/>
          <w:numId w:val="1"/>
        </w:numPr>
        <w:shd w:val="clear" w:color="auto" w:fill="FFFFFF"/>
        <w:spacing w:before="0" w:after="0" w:line="240" w:lineRule="auto"/>
        <w:ind w:left="270" w:leftChars="0" w:right="-142" w:rightChars="-71"/>
        <w:rPr>
          <w:rFonts w:ascii="仿宋" w:hAnsi="仿宋" w:eastAsia="仿宋" w:cs="PMingLiU"/>
          <w:b/>
          <w:bCs/>
          <w:iCs/>
          <w:color w:val="000000"/>
          <w:sz w:val="24"/>
          <w:szCs w:val="24"/>
          <w:u w:val="single"/>
        </w:rPr>
      </w:pPr>
      <w:r>
        <w:rPr>
          <w:rFonts w:hint="eastAsia" w:ascii="仿宋" w:hAnsi="仿宋" w:eastAsia="仿宋" w:cs="Times New Roman"/>
          <w:b/>
          <w:color w:val="000000"/>
          <w:sz w:val="24"/>
          <w:szCs w:val="24"/>
          <w:u w:val="single"/>
        </w:rPr>
        <w:t>基金背景資料</w:t>
      </w:r>
    </w:p>
    <w:tbl>
      <w:tblPr>
        <w:tblStyle w:val="7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37"/>
        <w:gridCol w:w="7724"/>
      </w:tblGrid>
      <w:tr w14:paraId="716D6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2" w:type="dxa"/>
            <w:tcBorders>
              <w:top w:val="single" w:color="auto" w:sz="4" w:space="0"/>
              <w:left w:val="single" w:color="auto" w:sz="4" w:space="0"/>
              <w:bottom w:val="nil"/>
              <w:right w:val="nil"/>
              <w:insideH w:val="nil"/>
              <w:insideV w:val="nil"/>
            </w:tcBorders>
            <w:shd w:val="clear" w:color="auto" w:fill="D0CECE" w:themeFill="background2" w:themeFillShade="E6"/>
            <w:vAlign w:val="top"/>
          </w:tcPr>
          <w:p w14:paraId="1EAEAFB2">
            <w:pPr>
              <w:spacing w:after="0" w:line="330" w:lineRule="atLeast"/>
              <w:jc w:val="center"/>
              <w:rPr>
                <w:rFonts w:ascii="仿宋" w:hAnsi="仿宋" w:eastAsia="仿宋" w:cs="PMingLiU"/>
                <w:b w:val="0"/>
                <w:bCs w:val="0"/>
                <w:i/>
                <w:iCs w:val="0"/>
                <w:color w:val="000000"/>
                <w:sz w:val="24"/>
                <w:szCs w:val="24"/>
                <w:u w:val="single"/>
              </w:rPr>
            </w:pPr>
            <w:r>
              <w:rPr>
                <w:rFonts w:hint="eastAsia" w:ascii="仿宋" w:hAnsi="仿宋" w:eastAsia="仿宋" w:cs="PMingLiU"/>
                <w:b/>
                <w:bCs/>
                <w:i w:val="0"/>
                <w:iCs/>
                <w:color w:val="000000"/>
                <w:sz w:val="24"/>
                <w:szCs w:val="24"/>
                <w:u w:val="single"/>
              </w:rPr>
              <w:t>項目</w:t>
            </w:r>
          </w:p>
        </w:tc>
        <w:tc>
          <w:tcPr>
            <w:tcW w:w="4572" w:type="dxa"/>
            <w:tcBorders>
              <w:top w:val="single" w:color="auto" w:sz="4" w:space="0"/>
              <w:left w:val="single" w:color="auto" w:sz="4" w:space="0"/>
              <w:bottom w:val="single" w:color="auto" w:sz="4" w:space="0"/>
              <w:right w:val="single" w:color="auto" w:sz="4" w:space="0"/>
              <w:insideV w:val="nil"/>
            </w:tcBorders>
            <w:shd w:val="clear" w:color="auto" w:fill="D0CECE" w:themeFill="background2" w:themeFillShade="E6"/>
            <w:vAlign w:val="top"/>
          </w:tcPr>
          <w:p>
            <w:r>
              <w:rPr>
                <w:rFonts w:hint="eastAsia" w:ascii="仿宋" w:hAnsi="仿宋" w:eastAsia="仿宋" w:cs="PMingLiU"/>
                <w:b/>
                <w:bCs/>
                <w:color w:val="000000"/>
                <w:sz w:val="24"/>
                <w:szCs w:val="24"/>
                <w:u w:val="single"/>
              </w:rPr>
              <w:t>资料未载明</w:t>
            </w:r>
          </w:p>
        </w:tc>
      </w:tr>
      <w:tr w14:paraId="0777D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2" w:type="dxa"/>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0CA4DC56">
            <w:pPr>
              <w:spacing w:after="0" w:line="330" w:lineRule="atLeast"/>
              <w:jc w:val="right"/>
              <w:rPr>
                <w:rFonts w:ascii="仿宋" w:hAnsi="仿宋" w:eastAsia="仿宋"/>
                <w:b/>
                <w:i/>
                <w:iCs w:val="0"/>
                <w:color w:val="000000"/>
                <w:sz w:val="24"/>
                <w:szCs w:val="24"/>
              </w:rPr>
            </w:pPr>
            <w:r>
              <w:rPr>
                <w:rFonts w:hint="eastAsia" w:ascii="仿宋" w:hAnsi="仿宋" w:eastAsia="仿宋"/>
                <w:b/>
                <w:i w:val="0"/>
                <w:iCs/>
                <w:color w:val="000000"/>
                <w:sz w:val="24"/>
                <w:szCs w:val="24"/>
              </w:rPr>
              <w:t>基金管理公司名稱</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资料未载明</w:t>
            </w:r>
          </w:p>
        </w:tc>
      </w:tr>
      <w:tr w14:paraId="23FAC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2" w:type="dxa"/>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1CD1E470">
            <w:pPr>
              <w:spacing w:after="0" w:line="330" w:lineRule="atLeast"/>
              <w:jc w:val="right"/>
              <w:rPr>
                <w:rFonts w:ascii="仿宋" w:hAnsi="仿宋" w:eastAsia="仿宋"/>
                <w:b/>
                <w:i/>
                <w:iCs w:val="0"/>
                <w:color w:val="000000"/>
                <w:sz w:val="24"/>
                <w:szCs w:val="24"/>
              </w:rPr>
            </w:pPr>
            <w:r>
              <w:rPr>
                <w:rFonts w:hint="eastAsia" w:ascii="仿宋" w:hAnsi="仿宋" w:eastAsia="仿宋" w:cs="PMingLiU"/>
                <w:b/>
                <w:i w:val="0"/>
                <w:iCs/>
                <w:color w:val="000000"/>
                <w:sz w:val="24"/>
                <w:szCs w:val="24"/>
              </w:rPr>
              <w:t>基金管理公司背景資料  (包括經驗及聲譽)</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资料未载明</w:t>
            </w:r>
          </w:p>
        </w:tc>
      </w:tr>
      <w:tr w14:paraId="7CDE6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2" w:type="dxa"/>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673DED44">
            <w:pPr>
              <w:spacing w:after="0" w:line="330" w:lineRule="atLeast"/>
              <w:jc w:val="right"/>
              <w:rPr>
                <w:rFonts w:ascii="仿宋" w:hAnsi="仿宋" w:eastAsia="仿宋"/>
                <w:b/>
                <w:i/>
                <w:iCs w:val="0"/>
                <w:color w:val="000000"/>
                <w:sz w:val="24"/>
                <w:szCs w:val="24"/>
              </w:rPr>
            </w:pPr>
            <w:r>
              <w:rPr>
                <w:rFonts w:hint="eastAsia" w:ascii="仿宋" w:hAnsi="仿宋" w:eastAsia="仿宋" w:cs="PMingLiU"/>
                <w:b/>
                <w:i w:val="0"/>
                <w:iCs/>
                <w:color w:val="000000"/>
                <w:sz w:val="24"/>
                <w:szCs w:val="24"/>
              </w:rPr>
              <w:t>發行人名稱</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资料未载明</w:t>
            </w:r>
          </w:p>
        </w:tc>
      </w:tr>
      <w:tr w14:paraId="769B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572" w:type="dxa"/>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7BD9163E">
            <w:pPr>
              <w:spacing w:after="0" w:line="330" w:lineRule="atLeast"/>
              <w:jc w:val="right"/>
              <w:rPr>
                <w:rFonts w:ascii="仿宋" w:hAnsi="仿宋" w:eastAsia="仿宋" w:cs="PMingLiU"/>
                <w:b/>
                <w:i/>
                <w:iCs w:val="0"/>
                <w:color w:val="000000"/>
                <w:sz w:val="24"/>
                <w:szCs w:val="24"/>
              </w:rPr>
            </w:pPr>
            <w:r>
              <w:rPr>
                <w:rFonts w:hint="eastAsia" w:ascii="仿宋" w:hAnsi="仿宋" w:eastAsia="仿宋" w:cs="PMingLiU"/>
                <w:b/>
                <w:i w:val="0"/>
                <w:iCs/>
                <w:color w:val="000000"/>
                <w:sz w:val="24"/>
                <w:szCs w:val="24"/>
              </w:rPr>
              <w:t>發行人背景資料        (包括經驗及聲譽)</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資料未載明</w:t>
            </w:r>
          </w:p>
        </w:tc>
      </w:tr>
      <w:tr w14:paraId="03AD5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2" w:type="dxa"/>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55D02D01">
            <w:pPr>
              <w:spacing w:after="0" w:line="330" w:lineRule="atLeast"/>
              <w:jc w:val="right"/>
              <w:rPr>
                <w:rFonts w:ascii="仿宋" w:hAnsi="仿宋" w:eastAsia="仿宋"/>
                <w:b/>
                <w:i/>
                <w:iCs w:val="0"/>
                <w:color w:val="000000"/>
                <w:sz w:val="24"/>
                <w:szCs w:val="24"/>
              </w:rPr>
            </w:pPr>
            <w:r>
              <w:rPr>
                <w:rFonts w:hint="eastAsia" w:ascii="仿宋" w:hAnsi="仿宋" w:eastAsia="仿宋" w:cs="PMingLiU"/>
                <w:b/>
                <w:i w:val="0"/>
                <w:iCs/>
                <w:color w:val="000000"/>
                <w:sz w:val="24"/>
                <w:szCs w:val="24"/>
              </w:rPr>
              <w:t>保管人 / 受託人</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资料未载明</w:t>
            </w:r>
          </w:p>
        </w:tc>
      </w:tr>
      <w:tr w14:paraId="2BD24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insideH w:val="nil"/>
            </w:tcBorders>
            <w:shd w:val="clear" w:color="auto" w:fill="D0CECE" w:themeFill="background2" w:themeFillShade="E6"/>
            <w:vAlign w:val="top"/>
          </w:tcPr>
          <w:p w14:paraId="2C1E0D46">
            <w:pPr>
              <w:spacing w:after="0" w:line="330" w:lineRule="atLeast"/>
              <w:jc w:val="right"/>
              <w:rPr>
                <w:rFonts w:ascii="仿宋" w:hAnsi="仿宋" w:eastAsia="仿宋" w:cs="PMingLiU"/>
                <w:b/>
                <w:i/>
                <w:iCs w:val="0"/>
                <w:color w:val="000000"/>
                <w:sz w:val="24"/>
                <w:szCs w:val="24"/>
              </w:rPr>
            </w:pPr>
            <w:r>
              <w:rPr>
                <w:rFonts w:hint="eastAsia" w:ascii="仿宋" w:hAnsi="仿宋" w:eastAsia="仿宋" w:cs="PMingLiU"/>
                <w:b/>
                <w:i w:val="0"/>
                <w:iCs/>
                <w:color w:val="000000"/>
                <w:sz w:val="24"/>
                <w:szCs w:val="24"/>
              </w:rPr>
              <w:t>保管人 / 受託人背景資料(包括經驗及聲譽)</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14:paraId="33F07C03">
            <w:pPr>
              <w:spacing w:after="0" w:line="330" w:lineRule="atLeast"/>
              <w:rPr>
                <w:rFonts w:ascii="仿宋" w:hAnsi="仿宋" w:eastAsia="仿宋" w:cs="PMingLiU"/>
                <w:i/>
                <w:color w:val="000000"/>
                <w:sz w:val="24"/>
                <w:szCs w:val="24"/>
              </w:rPr>
            </w:pPr>
          </w:p>
        </w:tc>
      </w:tr>
    </w:tbl>
    <w:p w14:paraId="3E1DC5FB">
      <w:pPr>
        <w:pStyle w:val="60"/>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p>
    <w:p w14:paraId="174100D5">
      <w:pPr>
        <w:pStyle w:val="60"/>
        <w:numPr>
          <w:ilvl w:val="0"/>
          <w:numId w:val="1"/>
        </w:numPr>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基金產品描述</w:t>
      </w:r>
    </w:p>
    <w:tbl>
      <w:tblPr>
        <w:tblStyle w:val="79"/>
        <w:tblW w:w="5000" w:type="pct"/>
        <w:tblInd w:w="0" w:type="dxa"/>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Layout w:type="fixed"/>
        <w:tblCellMar>
          <w:top w:w="0" w:type="dxa"/>
          <w:left w:w="108" w:type="dxa"/>
          <w:bottom w:w="0" w:type="dxa"/>
          <w:right w:w="108" w:type="dxa"/>
        </w:tblCellMar>
      </w:tblPr>
      <w:tblGrid>
        <w:gridCol w:w="2755"/>
        <w:gridCol w:w="8006"/>
      </w:tblGrid>
      <w:tr w14:paraId="410B0041">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nil"/>
              <w:insideV w:val="nil"/>
            </w:tcBorders>
            <w:shd w:val="clear" w:color="auto" w:fill="D0CECE" w:themeFill="background2" w:themeFillShade="E6"/>
            <w:vAlign w:val="top"/>
          </w:tcPr>
          <w:p w14:paraId="33C9AC45">
            <w:pPr>
              <w:spacing w:after="0" w:line="330" w:lineRule="atLeast"/>
              <w:jc w:val="center"/>
              <w:rPr>
                <w:rFonts w:ascii="仿宋" w:hAnsi="仿宋" w:eastAsia="仿宋" w:cs="PMingLiU"/>
                <w:b w:val="0"/>
                <w:bCs w:val="0"/>
                <w:iCs/>
                <w:color w:val="000000"/>
                <w:sz w:val="24"/>
                <w:szCs w:val="24"/>
                <w:u w:val="single"/>
              </w:rPr>
            </w:pPr>
            <w:r>
              <w:rPr>
                <w:rFonts w:hint="eastAsia" w:ascii="仿宋" w:hAnsi="仿宋" w:eastAsia="仿宋" w:cs="PMingLiU"/>
                <w:b/>
                <w:bCs/>
                <w:iCs/>
                <w:color w:val="000000"/>
                <w:sz w:val="24"/>
                <w:szCs w:val="24"/>
                <w:u w:val="single"/>
              </w:rPr>
              <w:t>項目</w:t>
            </w:r>
          </w:p>
        </w:tc>
        <w:tc>
          <w:tcPr>
            <w:tcW w:w="4572" w:type="dxa"/>
            <w:tcBorders>
              <w:top w:val="single" w:color="auto" w:sz="4" w:space="0"/>
              <w:left w:val="single" w:color="auto" w:sz="4" w:space="0"/>
              <w:bottom w:val="single" w:color="auto" w:sz="4" w:space="0"/>
              <w:right w:val="single" w:color="auto" w:sz="4" w:space="0"/>
              <w:insideV w:val="nil"/>
            </w:tcBorders>
            <w:shd w:val="clear" w:color="auto" w:fill="D0CECE" w:themeFill="background2" w:themeFillShade="E6"/>
            <w:vAlign w:val="top"/>
          </w:tcPr>
          <w:p>
            <w:r>
              <w:rPr>
                <w:rFonts w:hint="eastAsia" w:ascii="仿宋" w:hAnsi="仿宋" w:eastAsia="仿宋" w:cs="PMingLiU"/>
                <w:b/>
                <w:bCs/>
                <w:iCs/>
                <w:color w:val="000000"/>
                <w:sz w:val="24"/>
                <w:szCs w:val="24"/>
                <w:u w:val="single"/>
              </w:rPr>
              <w:t>资料未载明</w:t>
            </w:r>
          </w:p>
        </w:tc>
      </w:tr>
      <w:tr w14:paraId="26DED75B">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5E15822C">
            <w:pPr>
              <w:spacing w:after="0" w:line="330" w:lineRule="atLeast"/>
              <w:rPr>
                <w:rFonts w:ascii="仿宋" w:hAnsi="仿宋" w:eastAsia="仿宋"/>
                <w:b w:val="0"/>
                <w:bCs w:val="0"/>
                <w:color w:val="000000"/>
                <w:sz w:val="24"/>
                <w:szCs w:val="24"/>
              </w:rPr>
            </w:pPr>
            <w:r>
              <w:rPr>
                <w:rFonts w:hint="eastAsia" w:ascii="仿宋" w:hAnsi="仿宋" w:eastAsia="仿宋" w:cs="Arial"/>
                <w:b/>
                <w:bCs/>
                <w:sz w:val="24"/>
                <w:szCs w:val="24"/>
              </w:rPr>
              <w:t>基金簡要說明</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资料未载明该基金的具体投资目标和投资策略。</w:t>
            </w:r>
          </w:p>
        </w:tc>
      </w:tr>
      <w:tr w14:paraId="461438C7">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4DF8937A">
            <w:pPr>
              <w:spacing w:after="0" w:line="330" w:lineRule="atLeast"/>
              <w:rPr>
                <w:rFonts w:ascii="仿宋" w:hAnsi="仿宋" w:eastAsia="仿宋"/>
                <w:b w:val="0"/>
                <w:bCs w:val="0"/>
                <w:color w:val="000000"/>
                <w:sz w:val="24"/>
                <w:szCs w:val="24"/>
              </w:rPr>
            </w:pPr>
            <w:r>
              <w:rPr>
                <w:rFonts w:hint="eastAsia" w:ascii="仿宋" w:hAnsi="仿宋" w:eastAsia="仿宋" w:cs="Arial"/>
                <w:b/>
                <w:bCs/>
                <w:sz w:val="24"/>
                <w:szCs w:val="24"/>
              </w:rPr>
              <w:t>基金投資目標</w:t>
            </w:r>
            <w:r>
              <w:rPr>
                <w:rFonts w:ascii="仿宋" w:hAnsi="仿宋" w:eastAsia="仿宋" w:cs="Arial"/>
                <w:b/>
                <w:bCs/>
                <w:sz w:val="24"/>
                <w:szCs w:val="24"/>
              </w:rPr>
              <w:t>及策略</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资料未载明。</w:t>
            </w:r>
          </w:p>
        </w:tc>
      </w:tr>
      <w:tr w14:paraId="75E41302">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10D2F154">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相關投資項目的性質</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資料未載明。由於參考資料中無有效內容，無法提供基金資產在不同類別及地理區域的比例分布資訊。</w:t>
            </w:r>
          </w:p>
        </w:tc>
      </w:tr>
      <w:tr w14:paraId="5C9B06D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49BA3D5F">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基金資產類別及地區比例</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交易貨幣：港元、美元、人民幣；當前總規模：資料未載明</w:t>
            </w:r>
          </w:p>
        </w:tc>
      </w:tr>
      <w:tr w14:paraId="5E08BE6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426212B0">
            <w:pPr>
              <w:spacing w:after="0" w:line="330" w:lineRule="atLeast"/>
              <w:rPr>
                <w:rFonts w:ascii="仿宋" w:hAnsi="仿宋" w:eastAsia="仿宋" w:cs="PMingLiU"/>
                <w:b w:val="0"/>
                <w:bCs/>
                <w:iCs/>
                <w:color w:val="000000"/>
                <w:sz w:val="24"/>
                <w:szCs w:val="24"/>
              </w:rPr>
            </w:pPr>
            <w:r>
              <w:rPr>
                <w:rFonts w:ascii="仿宋" w:hAnsi="仿宋" w:eastAsia="仿宋" w:cs="PMingLiU"/>
                <w:b/>
                <w:bCs w:val="0"/>
                <w:iCs/>
                <w:color w:val="000000"/>
                <w:sz w:val="24"/>
                <w:szCs w:val="24"/>
              </w:rPr>
              <w:t>產品貨幣及規模</w:t>
            </w:r>
          </w:p>
          <w:p w14:paraId="4773C6B3">
            <w:pPr>
              <w:spacing w:after="0" w:line="330" w:lineRule="atLeast"/>
              <w:rPr>
                <w:rFonts w:ascii="仿宋" w:hAnsi="仿宋" w:eastAsia="仿宋"/>
                <w:b w:val="0"/>
                <w:bCs w:val="0"/>
                <w:color w:val="000000"/>
                <w:sz w:val="24"/>
                <w:szCs w:val="24"/>
              </w:rPr>
            </w:pPr>
            <w:r>
              <w:rPr>
                <w:rFonts w:ascii="仿宋" w:hAnsi="仿宋" w:eastAsia="仿宋" w:cs="PMingLiU"/>
                <w:b/>
                <w:bCs w:val="0"/>
                <w:iCs/>
                <w:color w:val="000000"/>
                <w:sz w:val="24"/>
                <w:szCs w:val="24"/>
              </w:rPr>
              <w:t>(非首次公開招股)</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資料未載明</w:t>
            </w:r>
          </w:p>
        </w:tc>
      </w:tr>
      <w:tr w14:paraId="3FBF1CB4">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107D048F">
            <w:pPr>
              <w:spacing w:after="0" w:line="330" w:lineRule="atLeast"/>
              <w:rPr>
                <w:rFonts w:ascii="仿宋" w:hAnsi="仿宋" w:eastAsia="仿宋"/>
                <w:b w:val="0"/>
                <w:bCs w:val="0"/>
                <w:color w:val="000000"/>
                <w:sz w:val="24"/>
                <w:szCs w:val="24"/>
              </w:rPr>
            </w:pPr>
            <w:r>
              <w:rPr>
                <w:rFonts w:ascii="仿宋" w:hAnsi="仿宋" w:eastAsia="仿宋" w:cs="Arial"/>
                <w:b/>
                <w:bCs/>
                <w:sz w:val="24"/>
                <w:szCs w:val="24"/>
              </w:rPr>
              <w:t>ISIN 號碼</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資料未載明。本基金之派息政策（包括派息頻率、來源及再投資選項等）未於參考資料中披露。</w:t>
            </w:r>
          </w:p>
        </w:tc>
      </w:tr>
      <w:tr w14:paraId="522C3B62">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21BCFDBC">
            <w:pPr>
              <w:spacing w:after="0" w:line="330" w:lineRule="atLeast"/>
              <w:rPr>
                <w:rFonts w:ascii="仿宋" w:hAnsi="仿宋" w:eastAsia="仿宋"/>
                <w:b w:val="0"/>
                <w:bCs w:val="0"/>
                <w:color w:val="000000"/>
                <w:sz w:val="24"/>
                <w:szCs w:val="24"/>
              </w:rPr>
            </w:pPr>
            <w:r>
              <w:rPr>
                <w:rFonts w:hint="eastAsia" w:ascii="仿宋" w:hAnsi="仿宋" w:eastAsia="仿宋" w:cs="Arial"/>
                <w:b/>
                <w:bCs/>
                <w:sz w:val="24"/>
                <w:szCs w:val="24"/>
              </w:rPr>
              <w:t>派息政策</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12月31日</w:t>
            </w:r>
          </w:p>
        </w:tc>
      </w:tr>
      <w:tr w14:paraId="31E05880">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trHeight w:val="483" w:hRule="atLeast"/>
        </w:trPr>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5EF0BB3">
            <w:pPr>
              <w:spacing w:after="0" w:line="330" w:lineRule="atLeast"/>
              <w:rPr>
                <w:rFonts w:ascii="仿宋" w:hAnsi="仿宋" w:eastAsia="仿宋" w:cs="PMingLiU"/>
                <w:b w:val="0"/>
                <w:bCs w:val="0"/>
                <w:color w:val="000000"/>
                <w:sz w:val="24"/>
                <w:szCs w:val="24"/>
              </w:rPr>
            </w:pPr>
            <w:r>
              <w:rPr>
                <w:rFonts w:hint="eastAsia" w:ascii="仿宋" w:hAnsi="仿宋" w:eastAsia="仿宋" w:cs="Arial"/>
                <w:b/>
                <w:bCs/>
                <w:sz w:val="24"/>
                <w:szCs w:val="24"/>
              </w:rPr>
              <w:t>財政年度終結日</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资料未载明</w:t>
            </w:r>
          </w:p>
        </w:tc>
      </w:tr>
      <w:tr w14:paraId="16821C93">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6AFE1EC">
            <w:pPr>
              <w:spacing w:after="0" w:line="330" w:lineRule="atLeast"/>
              <w:rPr>
                <w:rFonts w:ascii="仿宋" w:hAnsi="仿宋" w:eastAsia="仿宋"/>
                <w:b w:val="0"/>
                <w:bCs w:val="0"/>
                <w:color w:val="000000"/>
                <w:sz w:val="24"/>
                <w:szCs w:val="24"/>
              </w:rPr>
            </w:pPr>
            <w:r>
              <w:rPr>
                <w:rFonts w:hint="eastAsia" w:ascii="仿宋" w:hAnsi="仿宋" w:eastAsia="仿宋" w:cs="Arial"/>
                <w:b/>
                <w:bCs/>
                <w:sz w:val="24"/>
                <w:szCs w:val="24"/>
              </w:rPr>
              <w:t>成立日期</w:t>
            </w:r>
          </w:p>
        </w:tc>
        <w:tc>
          <w:tcPr>
            <w:tcW w:w="4572" w:type="dxa"/>
            <w:tcBorders>
              <w:top w:val="single" w:color="auto" w:sz="4" w:space="0"/>
              <w:left w:val="single" w:color="auto" w:sz="4" w:space="0"/>
              <w:bottom w:val="single" w:color="auto" w:sz="4" w:space="0"/>
              <w:right w:val="single" w:color="auto" w:sz="4" w:space="0"/>
            </w:tcBorders>
            <w:shd w:val="clear" w:color="auto" w:fill="auto"/>
            <w:vAlign w:val="top"/>
          </w:tcPr>
          <w:p>
            <w:r>
              <w:t>资料未载明</w:t>
            </w:r>
          </w:p>
        </w:tc>
      </w:tr>
      <w:tr w14:paraId="4E800D88">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188F02FB">
            <w:pPr>
              <w:spacing w:after="0" w:line="330" w:lineRule="atLeast"/>
              <w:rPr>
                <w:rFonts w:ascii="仿宋" w:hAnsi="仿宋" w:eastAsia="仿宋" w:cs="Arial"/>
                <w:b w:val="0"/>
                <w:bCs w:val="0"/>
                <w:sz w:val="24"/>
                <w:szCs w:val="24"/>
              </w:rPr>
            </w:pPr>
            <w:r>
              <w:rPr>
                <w:rFonts w:ascii="仿宋" w:hAnsi="仿宋" w:eastAsia="仿宋" w:cs="Arial"/>
                <w:b/>
                <w:bCs/>
                <w:sz w:val="24"/>
                <w:szCs w:val="24"/>
              </w:rPr>
              <w:t>受限制的投資者</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rPr>
                <w:rFonts w:hint="eastAsia" w:ascii="仿宋" w:hAnsi="仿宋" w:eastAsia="仿宋" w:cs="Arial"/>
                <w:b/>
                <w:sz w:val="24"/>
                <w:szCs w:val="24"/>
                <w:lang w:val="en-US" w:eastAsia="zh-CN"/>
              </w:rPr>
              <w:t>資料未載明</w:t>
            </w:r>
          </w:p>
        </w:tc>
      </w:tr>
      <w:tr w14:paraId="26EEF139">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21940209">
            <w:pPr>
              <w:spacing w:after="0" w:line="330" w:lineRule="atLeast"/>
              <w:rPr>
                <w:rFonts w:ascii="仿宋" w:hAnsi="仿宋" w:eastAsia="仿宋" w:cs="Arial"/>
                <w:b w:val="0"/>
                <w:bCs w:val="0"/>
                <w:sz w:val="24"/>
                <w:szCs w:val="24"/>
              </w:rPr>
            </w:pPr>
            <w:r>
              <w:rPr>
                <w:rFonts w:ascii="仿宋" w:hAnsi="仿宋" w:eastAsia="仿宋" w:cs="Arial"/>
                <w:b/>
                <w:bCs/>
                <w:sz w:val="24"/>
                <w:szCs w:val="24"/>
              </w:rPr>
              <w:t>受限制的</w:t>
            </w:r>
            <w:r>
              <w:rPr>
                <w:rFonts w:hint="eastAsia" w:ascii="仿宋" w:hAnsi="仿宋" w:eastAsia="仿宋" w:cs="Arial"/>
                <w:b/>
                <w:bCs/>
                <w:sz w:val="24"/>
                <w:szCs w:val="24"/>
              </w:rPr>
              <w:t>地區/國家</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rPr>
                <w:rFonts w:hint="eastAsia" w:ascii="仿宋" w:hAnsi="仿宋" w:eastAsia="仿宋" w:cs="Arial"/>
                <w:b/>
                <w:sz w:val="24"/>
                <w:szCs w:val="24"/>
                <w:lang w:val="en-US" w:eastAsia="zh-CN"/>
              </w:rPr>
              <w:t>是</w:t>
            </w:r>
          </w:p>
        </w:tc>
      </w:tr>
      <w:tr w14:paraId="26056E1E">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37A8DE24">
            <w:pPr>
              <w:spacing w:after="0" w:line="330" w:lineRule="atLeast"/>
              <w:rPr>
                <w:rFonts w:ascii="仿宋" w:hAnsi="仿宋" w:eastAsia="仿宋" w:cs="Arial"/>
                <w:b w:val="0"/>
                <w:bCs w:val="0"/>
                <w:sz w:val="24"/>
                <w:szCs w:val="24"/>
              </w:rPr>
            </w:pPr>
            <w:r>
              <w:rPr>
                <w:rFonts w:ascii="仿宋" w:hAnsi="仿宋" w:eastAsia="仿宋" w:cs="Arial"/>
                <w:b/>
                <w:bCs/>
                <w:sz w:val="24"/>
                <w:szCs w:val="24"/>
              </w:rPr>
              <w:t>證監會認可</w:t>
            </w:r>
            <w:r>
              <w:rPr>
                <w:rFonts w:hint="eastAsia" w:ascii="仿宋" w:hAnsi="仿宋" w:eastAsia="仿宋" w:cs="Arial"/>
                <w:b/>
                <w:bCs/>
                <w:sz w:val="24"/>
                <w:szCs w:val="24"/>
              </w:rPr>
              <w:t>基金</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rPr>
                <w:rFonts w:hint="eastAsia" w:ascii="仿宋" w:hAnsi="仿宋" w:eastAsia="仿宋"/>
                <w:sz w:val="24"/>
                <w:lang w:eastAsia="zh-CN"/>
              </w:rPr>
              <w:t>投資者可於每個交易日申購或贖回基金份額，但贖回受每日上限限制：子基金整體贖回限於該交易日已發行單位總數的10%；A類、B類及P類單位的單一投資者每日贖</w:t>
            </w:r>
          </w:p>
        </w:tc>
      </w:tr>
      <w:tr w14:paraId="6FD8B2D8">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395E2ED2">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交易頻率</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t>资料未载明</w:t>
            </w:r>
          </w:p>
        </w:tc>
      </w:tr>
      <w:tr w14:paraId="31119999">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6751F6FC">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總資產值</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t>资料未载明</w:t>
            </w:r>
          </w:p>
        </w:tc>
      </w:tr>
      <w:tr w14:paraId="1BEF75B1">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trHeight w:val="467" w:hRule="atLeast"/>
        </w:trPr>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B3E4100">
            <w:pPr>
              <w:spacing w:after="0" w:line="330" w:lineRule="atLeast"/>
              <w:rPr>
                <w:rFonts w:ascii="仿宋" w:hAnsi="仿宋" w:eastAsia="仿宋" w:cs="Calibri"/>
                <w:b w:val="0"/>
                <w:bCs w:val="0"/>
                <w:sz w:val="24"/>
                <w:szCs w:val="24"/>
                <w:lang w:eastAsia="zh-CN"/>
              </w:rPr>
            </w:pPr>
            <w:r>
              <w:rPr>
                <w:rFonts w:ascii="仿宋" w:hAnsi="仿宋" w:eastAsia="仿宋" w:cs="Calibri"/>
                <w:b/>
                <w:bCs/>
                <w:sz w:val="24"/>
                <w:szCs w:val="24"/>
                <w:lang w:eastAsia="zh-CN"/>
              </w:rPr>
              <w:t>基金近5年累计最大回撤</w:t>
            </w:r>
          </w:p>
        </w:tc>
        <w:tc>
          <w:tcPr>
            <w:tcW w:w="4572" w:type="dxa"/>
            <w:tcBorders>
              <w:top w:val="single" w:color="auto" w:sz="4" w:space="0"/>
              <w:left w:val="single" w:color="auto" w:sz="4" w:space="0"/>
              <w:right w:val="single" w:color="auto" w:sz="4" w:space="0"/>
            </w:tcBorders>
            <w:shd w:val="clear" w:color="auto" w:fill="FFFFFF" w:themeFill="background1"/>
            <w:vAlign w:val="top"/>
          </w:tcPr>
          <w:p>
            <w:r>
              <w:t>视单位类别而定：A类、B类为1,000港元或等值人民币；I类、M类为10,000港元或等值人民币；P类为1港元或等值人民币</w:t>
            </w:r>
          </w:p>
        </w:tc>
      </w:tr>
      <w:tr w14:paraId="3B71971F">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4C82BF92">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最低投資額</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r>
              <w:t>資料未載明</w:t>
            </w:r>
          </w:p>
        </w:tc>
      </w:tr>
      <w:tr w14:paraId="475FBD3F">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FBF6678">
            <w:pPr>
              <w:spacing w:after="0" w:line="330" w:lineRule="atLeast"/>
              <w:rPr>
                <w:rFonts w:ascii="仿宋" w:hAnsi="仿宋" w:eastAsia="仿宋" w:cs="Arial"/>
                <w:b w:val="0"/>
                <w:bCs w:val="0"/>
                <w:sz w:val="24"/>
                <w:szCs w:val="24"/>
                <w:lang w:eastAsia="zh-CN"/>
              </w:rPr>
            </w:pPr>
            <w:r>
              <w:rPr>
                <w:rFonts w:hint="eastAsia" w:ascii="仿宋" w:hAnsi="仿宋" w:eastAsia="仿宋" w:cs="Arial"/>
                <w:b/>
                <w:bCs/>
                <w:sz w:val="24"/>
                <w:szCs w:val="24"/>
              </w:rPr>
              <w:t>基金</w:t>
            </w:r>
            <w:r>
              <w:rPr>
                <w:rFonts w:hint="eastAsia" w:ascii="仿宋" w:hAnsi="仿宋" w:eastAsia="仿宋" w:cs="Arial"/>
                <w:b/>
                <w:bCs/>
                <w:sz w:val="24"/>
                <w:szCs w:val="24"/>
                <w:lang w:val="en-US" w:eastAsia="zh-CN"/>
              </w:rPr>
              <w:t>鎖定</w:t>
            </w:r>
            <w:r>
              <w:rPr>
                <w:rFonts w:hint="eastAsia" w:ascii="仿宋" w:hAnsi="仿宋" w:eastAsia="仿宋" w:cs="Arial"/>
                <w:b/>
                <w:bCs/>
                <w:sz w:val="24"/>
                <w:szCs w:val="24"/>
              </w:rPr>
              <w:t>期</w:t>
            </w:r>
          </w:p>
        </w:tc>
        <w:tc>
          <w:tcPr>
            <w:tcW w:w="4572" w:type="dxa"/>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3CCAB3C7">
            <w:pPr>
              <w:spacing w:after="0" w:line="330" w:lineRule="atLeast"/>
              <w:rPr>
                <w:rFonts w:ascii="仿宋" w:hAnsi="仿宋" w:eastAsia="仿宋" w:cs="Arial"/>
                <w:sz w:val="24"/>
                <w:szCs w:val="24"/>
                <w:lang w:eastAsia="zh-CN"/>
              </w:rPr>
            </w:pPr>
          </w:p>
        </w:tc>
      </w:tr>
    </w:tbl>
    <w:p w14:paraId="3EEBFF91">
      <w:pPr>
        <w:pStyle w:val="60"/>
        <w:shd w:val="clear" w:color="auto" w:fill="FFFFFF"/>
        <w:spacing w:before="0" w:after="0" w:line="240" w:lineRule="auto"/>
        <w:ind w:left="0" w:leftChars="0" w:right="-142" w:rightChars="-71"/>
        <w:rPr>
          <w:rFonts w:ascii="仿宋" w:hAnsi="仿宋" w:eastAsia="仿宋" w:cs="Times New Roman"/>
          <w:b/>
          <w:color w:val="000000"/>
          <w:sz w:val="24"/>
          <w:szCs w:val="24"/>
          <w:shd w:val="pct10" w:color="auto" w:fill="FFFFFF"/>
        </w:rPr>
      </w:pPr>
    </w:p>
    <w:p w14:paraId="7EB823CE">
      <w:pPr>
        <w:pStyle w:val="60"/>
        <w:numPr>
          <w:ilvl w:val="0"/>
          <w:numId w:val="1"/>
        </w:numPr>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收費結構</w:t>
      </w:r>
    </w:p>
    <w:tbl>
      <w:tblPr>
        <w:tblStyle w:val="2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37"/>
        <w:gridCol w:w="1236"/>
        <w:gridCol w:w="1325"/>
        <w:gridCol w:w="1350"/>
        <w:gridCol w:w="1440"/>
        <w:gridCol w:w="1440"/>
        <w:gridCol w:w="1350"/>
        <w:gridCol w:w="1350"/>
      </w:tblGrid>
      <w:tr w14:paraId="48092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3" w:type="dxa"/>
            <w:shd w:val="clear" w:color="auto" w:fill="A5A5A5" w:themeFill="background1" w:themeFillShade="A6"/>
            <w:vAlign w:val="top"/>
          </w:tcPr>
          <w:p w14:paraId="794296A2">
            <w:pPr>
              <w:spacing w:after="0" w:line="330" w:lineRule="atLeast"/>
              <w:jc w:val="center"/>
              <w:rPr>
                <w:rFonts w:ascii="仿宋" w:hAnsi="仿宋" w:eastAsia="仿宋" w:cs="Arial"/>
                <w:b/>
                <w:sz w:val="24"/>
                <w:szCs w:val="24"/>
              </w:rPr>
            </w:pPr>
            <w:r>
              <w:rPr>
                <w:rFonts w:ascii="仿宋" w:hAnsi="仿宋" w:eastAsia="仿宋" w:cs="Arial"/>
                <w:b/>
                <w:sz w:val="24"/>
                <w:szCs w:val="24"/>
              </w:rPr>
              <w:t>認購費</w:t>
            </w:r>
          </w:p>
        </w:tc>
        <w:tc>
          <w:tcPr>
            <w:tcW w:w="1143" w:type="dxa"/>
            <w:shd w:val="clear" w:color="auto" w:fill="A5A5A5" w:themeFill="background1" w:themeFillShade="A6"/>
            <w:vAlign w:val="top"/>
          </w:tcPr>
          <w:p w14:paraId="0A99CE59">
            <w:pPr>
              <w:spacing w:after="0" w:line="330" w:lineRule="atLeast"/>
              <w:jc w:val="center"/>
              <w:rPr>
                <w:rFonts w:ascii="仿宋" w:hAnsi="仿宋" w:eastAsia="仿宋" w:cs="Arial"/>
                <w:b/>
                <w:sz w:val="24"/>
                <w:szCs w:val="24"/>
              </w:rPr>
            </w:pPr>
            <w:r>
              <w:rPr>
                <w:rFonts w:ascii="仿宋" w:hAnsi="仿宋" w:eastAsia="仿宋" w:cs="Arial"/>
                <w:b/>
                <w:sz w:val="24"/>
                <w:szCs w:val="24"/>
              </w:rPr>
              <w:t>贖回費</w:t>
            </w:r>
          </w:p>
        </w:tc>
        <w:tc>
          <w:tcPr>
            <w:tcW w:w="1143" w:type="dxa"/>
            <w:shd w:val="clear" w:color="auto" w:fill="A5A5A5" w:themeFill="background1" w:themeFillShade="A6"/>
            <w:vAlign w:val="top"/>
          </w:tcPr>
          <w:p w14:paraId="498DEBCC">
            <w:pPr>
              <w:spacing w:after="0" w:line="330" w:lineRule="atLeast"/>
              <w:jc w:val="center"/>
              <w:rPr>
                <w:rFonts w:ascii="仿宋" w:hAnsi="仿宋" w:eastAsia="仿宋" w:cs="Arial"/>
                <w:b/>
                <w:sz w:val="24"/>
                <w:szCs w:val="24"/>
              </w:rPr>
            </w:pPr>
            <w:r>
              <w:rPr>
                <w:rFonts w:hint="eastAsia" w:ascii="仿宋" w:hAnsi="仿宋" w:eastAsia="仿宋" w:cs="Arial"/>
                <w:b/>
                <w:sz w:val="24"/>
                <w:szCs w:val="24"/>
              </w:rPr>
              <w:t>託管人費</w:t>
            </w:r>
          </w:p>
        </w:tc>
        <w:tc>
          <w:tcPr>
            <w:tcW w:w="1143" w:type="dxa"/>
            <w:shd w:val="clear" w:color="auto" w:fill="A5A5A5" w:themeFill="background1" w:themeFillShade="A6"/>
            <w:vAlign w:val="top"/>
          </w:tcPr>
          <w:p w14:paraId="649BC52D">
            <w:pPr>
              <w:spacing w:after="0" w:line="330" w:lineRule="atLeast"/>
              <w:jc w:val="center"/>
              <w:rPr>
                <w:rFonts w:ascii="仿宋" w:hAnsi="仿宋" w:eastAsia="仿宋" w:cs="Arial"/>
                <w:b/>
                <w:sz w:val="24"/>
                <w:szCs w:val="24"/>
              </w:rPr>
            </w:pPr>
            <w:r>
              <w:rPr>
                <w:rFonts w:ascii="仿宋" w:hAnsi="仿宋" w:eastAsia="仿宋" w:cs="Arial"/>
                <w:b/>
                <w:sz w:val="24"/>
                <w:szCs w:val="24"/>
              </w:rPr>
              <w:t>管理費</w:t>
            </w:r>
          </w:p>
        </w:tc>
        <w:tc>
          <w:tcPr>
            <w:tcW w:w="1143" w:type="dxa"/>
            <w:shd w:val="clear" w:color="auto" w:fill="A5A5A5" w:themeFill="background1" w:themeFillShade="A6"/>
            <w:vAlign w:val="top"/>
          </w:tcPr>
          <w:p w14:paraId="46E847E8">
            <w:pPr>
              <w:spacing w:after="0" w:line="330" w:lineRule="atLeast"/>
              <w:jc w:val="center"/>
              <w:rPr>
                <w:rFonts w:ascii="仿宋" w:hAnsi="仿宋" w:eastAsia="仿宋" w:cs="Arial"/>
                <w:b/>
                <w:sz w:val="24"/>
                <w:szCs w:val="24"/>
              </w:rPr>
            </w:pPr>
            <w:r>
              <w:rPr>
                <w:rFonts w:hint="eastAsia" w:ascii="仿宋" w:hAnsi="仿宋" w:eastAsia="仿宋" w:cs="Arial"/>
                <w:b/>
                <w:sz w:val="24"/>
                <w:szCs w:val="24"/>
              </w:rPr>
              <w:t>業績表現</w:t>
            </w:r>
            <w:r>
              <w:rPr>
                <w:rFonts w:ascii="仿宋" w:hAnsi="仿宋" w:eastAsia="仿宋" w:cs="Arial"/>
                <w:b/>
                <w:sz w:val="24"/>
                <w:szCs w:val="24"/>
              </w:rPr>
              <w:t>費</w:t>
            </w:r>
          </w:p>
        </w:tc>
        <w:tc>
          <w:tcPr>
            <w:tcW w:w="1143" w:type="dxa"/>
            <w:shd w:val="clear" w:color="auto" w:fill="A5A5A5" w:themeFill="background1" w:themeFillShade="A6"/>
            <w:vAlign w:val="top"/>
          </w:tcPr>
          <w:p w14:paraId="581B7316">
            <w:pPr>
              <w:spacing w:after="0" w:line="330" w:lineRule="atLeast"/>
              <w:jc w:val="center"/>
              <w:rPr>
                <w:rFonts w:ascii="仿宋" w:hAnsi="仿宋" w:eastAsia="仿宋" w:cs="Arial"/>
                <w:b/>
                <w:sz w:val="24"/>
                <w:szCs w:val="24"/>
              </w:rPr>
            </w:pPr>
            <w:r>
              <w:rPr>
                <w:rFonts w:hint="eastAsia" w:ascii="仿宋" w:hAnsi="仿宋" w:eastAsia="仿宋" w:cs="Arial"/>
                <w:b/>
                <w:sz w:val="24"/>
                <w:szCs w:val="24"/>
              </w:rPr>
              <w:t>轉換費</w:t>
            </w:r>
          </w:p>
        </w:tc>
        <w:tc>
          <w:tcPr>
            <w:tcW w:w="1143" w:type="dxa"/>
            <w:shd w:val="clear" w:color="auto" w:fill="A5A5A5" w:themeFill="background1" w:themeFillShade="A6"/>
            <w:vAlign w:val="top"/>
          </w:tcPr>
          <w:p w14:paraId="301AEABC">
            <w:pPr>
              <w:spacing w:after="0" w:line="330" w:lineRule="atLeast"/>
              <w:jc w:val="center"/>
              <w:rPr>
                <w:rFonts w:ascii="仿宋" w:hAnsi="仿宋" w:eastAsia="仿宋" w:cs="Arial"/>
                <w:b/>
                <w:sz w:val="24"/>
                <w:szCs w:val="24"/>
              </w:rPr>
            </w:pPr>
            <w:r>
              <w:rPr>
                <w:rFonts w:hint="eastAsia" w:ascii="仿宋" w:hAnsi="仿宋" w:eastAsia="仿宋" w:cs="Arial"/>
                <w:b/>
                <w:sz w:val="24"/>
                <w:szCs w:val="24"/>
              </w:rPr>
              <w:t>分銷費</w:t>
            </w:r>
          </w:p>
        </w:tc>
        <w:tc>
          <w:tcPr>
            <w:tcW w:w="1143" w:type="dxa"/>
            <w:shd w:val="clear" w:color="auto" w:fill="A5A5A5" w:themeFill="background1" w:themeFillShade="A6"/>
            <w:vAlign w:val="top"/>
          </w:tcPr>
          <w:p w14:paraId="13ABFCAD">
            <w:pPr>
              <w:spacing w:after="0" w:line="330" w:lineRule="atLeast"/>
              <w:jc w:val="center"/>
              <w:rPr>
                <w:rFonts w:ascii="仿宋" w:hAnsi="仿宋" w:eastAsia="仿宋" w:cs="Arial"/>
                <w:b/>
                <w:sz w:val="24"/>
                <w:szCs w:val="24"/>
              </w:rPr>
            </w:pPr>
            <w:r>
              <w:rPr>
                <w:rFonts w:ascii="仿宋" w:hAnsi="仿宋" w:eastAsia="仿宋" w:cs="Arial"/>
                <w:b/>
                <w:sz w:val="24"/>
                <w:szCs w:val="24"/>
              </w:rPr>
              <w:t>行政費</w:t>
            </w:r>
          </w:p>
        </w:tc>
      </w:tr>
      <w:tr w14:paraId="25169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3" w:type="dxa"/>
            <w:vAlign w:val="top"/>
          </w:tcPr>
          <w:p>
            <w:r>
              <w:t>A類及B類單位：最高3%；I類、P類及M類單位：不收取。</w:t>
            </w:r>
          </w:p>
        </w:tc>
        <w:tc>
          <w:tcPr>
            <w:tcW w:w="1143" w:type="dxa"/>
            <w:vAlign w:val="top"/>
          </w:tcPr>
          <w:p>
            <w:r>
              <w:t>最高為相關單位贖回價2%。I類單位超過贖回水平（人民幣/港元5,000,000或美元600,000）部分適用；A類、B類、P類及M類單位目前不收取。經</w:t>
            </w:r>
          </w:p>
        </w:tc>
        <w:tc>
          <w:tcPr>
            <w:tcW w:w="1143" w:type="dxa"/>
            <w:vAlign w:val="top"/>
          </w:tcPr>
          <w:p>
            <w:r>
              <w:t>最高每年佔資產淨值的0.075%，每月最低費用為4,000美元。</w:t>
            </w:r>
          </w:p>
        </w:tc>
        <w:tc>
          <w:tcPr>
            <w:tcW w:w="1143" w:type="dxa"/>
            <w:vAlign w:val="top"/>
          </w:tcPr>
          <w:p>
            <w:r>
              <w:t>A類單位：0.05%；P類單位：0.6%；M類單位：無。</w:t>
            </w:r>
          </w:p>
        </w:tc>
        <w:tc>
          <w:tcPr>
            <w:tcW w:w="1143" w:type="dxa"/>
            <w:vAlign w:val="top"/>
          </w:tcPr>
          <w:p>
            <w:r>
              <w:t>不適用</w:t>
            </w:r>
          </w:p>
        </w:tc>
        <w:tc>
          <w:tcPr>
            <w:tcW w:w="1143" w:type="dxa"/>
            <w:vAlign w:val="top"/>
          </w:tcPr>
          <w:p>
            <w:r>
              <w:t>經理人有權收取最高為被轉換現有類別每單位贖回價2%的轉換費。P類單位：0.6%，M類單位：無。</w:t>
            </w:r>
          </w:p>
        </w:tc>
        <w:tc>
          <w:tcPr>
            <w:tcW w:w="1143" w:type="dxa"/>
            <w:vAlign w:val="top"/>
          </w:tcPr>
          <w:p>
            <w:r>
              <w:t>經理人可就認可分銷商轉介業務支付部分認購費，具體比例未載明；未提及其他分銷費。</w:t>
            </w:r>
          </w:p>
        </w:tc>
        <w:tc>
          <w:tcPr>
            <w:tcW w:w="1143" w:type="dxa"/>
            <w:vAlign w:val="top"/>
          </w:tcPr>
          <w:p>
            <w:r>
              <w:t>資料未載明行政費具體比例或金額，僅列明受託人費、託管費等項目。</w:t>
            </w:r>
          </w:p>
        </w:tc>
      </w:tr>
    </w:tbl>
    <w:p w14:paraId="6ED06060">
      <w:pPr>
        <w:pStyle w:val="60"/>
        <w:spacing w:before="0" w:after="0"/>
        <w:ind w:left="360" w:leftChars="0"/>
        <w:rPr>
          <w:rFonts w:ascii="仿宋" w:hAnsi="仿宋" w:eastAsia="仿宋" w:cs="Times New Roman"/>
          <w:b/>
          <w:color w:val="000000"/>
          <w:sz w:val="24"/>
          <w:szCs w:val="24"/>
        </w:rPr>
      </w:pPr>
    </w:p>
    <w:p w14:paraId="4B0E42ED">
      <w:pPr>
        <w:pStyle w:val="60"/>
        <w:numPr>
          <w:ilvl w:val="0"/>
          <w:numId w:val="1"/>
        </w:numPr>
        <w:shd w:val="clear" w:color="auto" w:fill="FFFFFF"/>
        <w:spacing w:before="0" w:after="0" w:line="240" w:lineRule="auto"/>
        <w:ind w:left="270" w:leftChars="0" w:right="-142" w:rightChars="-71"/>
        <w:rPr>
          <w:rFonts w:ascii="仿宋" w:hAnsi="仿宋" w:eastAsia="仿宋" w:cs="Times New Roman"/>
          <w:b/>
          <w:color w:val="000000"/>
          <w:sz w:val="24"/>
          <w:szCs w:val="24"/>
        </w:rPr>
      </w:pPr>
      <w:r>
        <w:rPr>
          <w:rFonts w:hint="eastAsia" w:ascii="仿宋" w:hAnsi="仿宋" w:eastAsia="仿宋" w:cs="Times New Roman"/>
          <w:b/>
          <w:color w:val="000000"/>
          <w:sz w:val="24"/>
          <w:szCs w:val="24"/>
          <w:u w:val="single"/>
        </w:rPr>
        <w:t>複雜產品</w:t>
      </w:r>
    </w:p>
    <w:tbl>
      <w:tblPr>
        <w:tblStyle w:val="79"/>
        <w:tblW w:w="5000" w:type="pct"/>
        <w:tblInd w:w="0" w:type="dxa"/>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Layout w:type="fixed"/>
        <w:tblCellMar>
          <w:top w:w="0" w:type="dxa"/>
          <w:left w:w="108" w:type="dxa"/>
          <w:bottom w:w="0" w:type="dxa"/>
          <w:right w:w="108" w:type="dxa"/>
        </w:tblCellMar>
      </w:tblPr>
      <w:tblGrid>
        <w:gridCol w:w="2746"/>
        <w:gridCol w:w="7966"/>
      </w:tblGrid>
      <w:tr w14:paraId="1305F47B">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tcBorders>
              <w:top w:val="single" w:color="auto" w:sz="4" w:space="0"/>
              <w:left w:val="single" w:color="auto" w:sz="4" w:space="0"/>
              <w:bottom w:val="single" w:color="auto" w:sz="4" w:space="0"/>
              <w:right w:val="nil"/>
              <w:insideV w:val="nil"/>
            </w:tcBorders>
            <w:shd w:val="clear" w:color="auto" w:fill="D0CECE" w:themeFill="background2" w:themeFillShade="E6"/>
            <w:vAlign w:val="top"/>
          </w:tcPr>
          <w:p w14:paraId="7D2A6845">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是否複雜產品</w:t>
            </w:r>
          </w:p>
        </w:tc>
        <w:tc>
          <w:tcPr>
            <w:tcW w:w="4572" w:type="dxa"/>
            <w:tcBorders>
              <w:top w:val="single" w:color="auto" w:sz="4" w:space="0"/>
              <w:left w:val="single" w:color="auto" w:sz="4" w:space="0"/>
              <w:bottom w:val="single" w:color="auto" w:sz="4" w:space="0"/>
              <w:right w:val="single" w:color="auto" w:sz="4" w:space="0"/>
              <w:insideV w:val="nil"/>
            </w:tcBorders>
            <w:shd w:val="clear" w:color="auto" w:fill="FFFFFF" w:themeFill="background1"/>
            <w:vAlign w:val="top"/>
          </w:tcPr>
          <w:p w14:paraId="5EEF07AA">
            <w:pPr>
              <w:spacing w:after="0" w:line="330" w:lineRule="atLeast"/>
              <w:rPr>
                <w:rFonts w:ascii="仿宋" w:hAnsi="仿宋" w:eastAsia="仿宋" w:cs="Arial"/>
                <w:b/>
                <w:bCs w:val="0"/>
                <w:sz w:val="24"/>
                <w:szCs w:val="24"/>
              </w:rPr>
            </w:pPr>
            <w:r>
              <w:rPr>
                <w:rFonts w:ascii="仿宋" w:hAnsi="仿宋" w:eastAsia="仿宋"/>
                <w:sz w:val="24"/>
              </w:rPr>
              <w:t xml:space="preserve">□ </w:t>
            </w:r>
            <w:r>
              <w:rPr>
                <w:rFonts w:hint="eastAsia" w:ascii="仿宋" w:hAnsi="仿宋" w:eastAsia="仿宋" w:cs="Arial"/>
                <w:b/>
                <w:bCs/>
                <w:sz w:val="24"/>
                <w:szCs w:val="24"/>
              </w:rPr>
              <w:t xml:space="preserve">非複雜產品 </w:t>
            </w:r>
            <w:r>
              <w:rPr>
                <w:rFonts w:ascii="仿宋" w:hAnsi="仿宋" w:eastAsia="仿宋"/>
                <w:sz w:val="24"/>
              </w:rPr>
              <w:t xml:space="preserve">□ </w:t>
            </w:r>
            <w:r>
              <w:rPr>
                <w:rFonts w:hint="eastAsia" w:ascii="仿宋" w:hAnsi="仿宋" w:eastAsia="仿宋" w:cs="Arial"/>
                <w:b/>
                <w:bCs/>
                <w:sz w:val="24"/>
                <w:szCs w:val="24"/>
              </w:rPr>
              <w:t xml:space="preserve">複雜產品 </w:t>
            </w:r>
            <w:r>
              <w:rPr>
                <w:rFonts w:ascii="仿宋" w:hAnsi="仿宋" w:eastAsia="仿宋"/>
                <w:sz w:val="24"/>
              </w:rPr>
              <w:t xml:space="preserve">□ </w:t>
            </w:r>
            <w:r>
              <w:rPr>
                <w:rFonts w:hint="eastAsia" w:ascii="仿宋" w:hAnsi="仿宋" w:eastAsia="仿宋" w:cs="Arial"/>
                <w:b/>
                <w:bCs/>
                <w:sz w:val="24"/>
                <w:szCs w:val="24"/>
              </w:rPr>
              <w:t>複雜產品</w:t>
            </w:r>
            <w:r>
              <w:rPr>
                <w:rFonts w:ascii="仿宋" w:hAnsi="仿宋" w:eastAsia="仿宋" w:cs="Arial"/>
                <w:b/>
                <w:bCs/>
                <w:sz w:val="24"/>
                <w:szCs w:val="24"/>
              </w:rPr>
              <w:t xml:space="preserve"> (</w:t>
            </w:r>
            <w:r>
              <w:rPr>
                <w:rFonts w:hint="eastAsia" w:ascii="仿宋" w:hAnsi="仿宋" w:eastAsia="仿宋" w:cs="Arial"/>
                <w:b/>
                <w:bCs/>
                <w:sz w:val="24"/>
                <w:szCs w:val="24"/>
              </w:rPr>
              <w:t>在交易所買賣的衍生產品)</w:t>
            </w:r>
          </w:p>
        </w:tc>
      </w:tr>
      <w:tr w14:paraId="66D4D5F6">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4572" w:type="dxa"/>
            <w:gridSpan w:val="2"/>
            <w:tcBorders>
              <w:top w:val="single" w:color="auto" w:sz="4" w:space="0"/>
              <w:left w:val="single" w:color="auto" w:sz="4" w:space="0"/>
              <w:bottom w:val="single" w:color="auto" w:sz="4" w:space="0"/>
              <w:right w:val="single" w:color="auto" w:sz="4" w:space="0"/>
            </w:tcBorders>
            <w:shd w:val="clear" w:color="auto" w:fill="auto"/>
            <w:vAlign w:val="top"/>
          </w:tcPr>
          <w:p w14:paraId="6680BF7D">
            <w:pPr>
              <w:pStyle w:val="60"/>
              <w:snapToGrid w:val="0"/>
              <w:spacing w:before="0" w:after="0" w:line="240" w:lineRule="auto"/>
              <w:ind w:left="360" w:leftChars="0"/>
              <w:rPr>
                <w:rFonts w:ascii="仿宋" w:hAnsi="仿宋" w:eastAsia="仿宋" w:cs="Arial"/>
                <w:b w:val="0"/>
                <w:bCs w:val="0"/>
                <w:sz w:val="24"/>
                <w:szCs w:val="24"/>
              </w:rPr>
            </w:pPr>
          </w:p>
          <w:p w14:paraId="743F1013">
            <w:pPr>
              <w:pStyle w:val="60"/>
              <w:numPr>
                <w:ilvl w:val="0"/>
                <w:numId w:val="2"/>
              </w:numPr>
              <w:snapToGrid w:val="0"/>
              <w:spacing w:before="0" w:after="0" w:line="240" w:lineRule="auto"/>
              <w:ind w:leftChars="0"/>
              <w:rPr>
                <w:rFonts w:ascii="仿宋" w:hAnsi="仿宋" w:eastAsia="仿宋" w:cs="Arial"/>
                <w:b w:val="0"/>
                <w:bCs w:val="0"/>
                <w:sz w:val="24"/>
                <w:szCs w:val="24"/>
              </w:rPr>
            </w:pPr>
            <w:r>
              <w:rPr>
                <w:rFonts w:hint="eastAsia" w:ascii="仿宋" w:hAnsi="仿宋" w:eastAsia="仿宋" w:cs="Arial"/>
                <w:b/>
                <w:bCs/>
                <w:sz w:val="24"/>
                <w:szCs w:val="24"/>
              </w:rPr>
              <w:t>根據證監會發出的指引「網上分銷及投資諮詢平台指引」內的第6.1段，</w:t>
            </w:r>
            <w:r>
              <w:rPr>
                <w:rFonts w:ascii="仿宋" w:hAnsi="仿宋" w:eastAsia="仿宋" w:cs="Arial"/>
                <w:b/>
                <w:bCs/>
                <w:sz w:val="24"/>
                <w:szCs w:val="24"/>
              </w:rPr>
              <w:t>複雜產品的定義</w:t>
            </w:r>
            <w:r>
              <w:rPr>
                <w:rFonts w:hint="eastAsia" w:ascii="仿宋" w:hAnsi="仿宋" w:eastAsia="仿宋" w:cs="Arial"/>
                <w:b/>
                <w:bCs/>
                <w:sz w:val="24"/>
                <w:szCs w:val="24"/>
              </w:rPr>
              <w:t xml:space="preserve">是: </w:t>
            </w:r>
          </w:p>
          <w:p w14:paraId="325897CC">
            <w:pPr>
              <w:pStyle w:val="60"/>
              <w:numPr>
                <w:ilvl w:val="0"/>
                <w:numId w:val="3"/>
              </w:numPr>
              <w:snapToGrid w:val="0"/>
              <w:spacing w:before="0" w:after="0" w:line="240" w:lineRule="auto"/>
              <w:ind w:left="738" w:leftChars="0" w:hanging="284"/>
              <w:rPr>
                <w:rFonts w:ascii="仿宋" w:hAnsi="仿宋" w:eastAsia="仿宋" w:cs="Arial"/>
                <w:b/>
                <w:bCs w:val="0"/>
                <w:sz w:val="24"/>
                <w:szCs w:val="24"/>
              </w:rPr>
            </w:pPr>
            <w:r>
              <w:rPr>
                <w:rFonts w:ascii="仿宋" w:hAnsi="仿宋" w:eastAsia="仿宋" w:cs="Arial"/>
                <w:b w:val="0"/>
                <w:bCs/>
                <w:sz w:val="24"/>
                <w:szCs w:val="24"/>
              </w:rPr>
              <w:t>複雜產品是指由於結構複雜，致令其條款、特點及風險在合理情況下不大可能會被零售投資者理解的投資產品。</w:t>
            </w:r>
          </w:p>
          <w:p w14:paraId="0BC4405C">
            <w:pPr>
              <w:pStyle w:val="60"/>
              <w:numPr>
                <w:ilvl w:val="0"/>
                <w:numId w:val="3"/>
              </w:numPr>
              <w:snapToGrid w:val="0"/>
              <w:spacing w:before="0" w:after="0" w:line="240" w:lineRule="auto"/>
              <w:ind w:left="738" w:leftChars="0" w:hanging="284"/>
              <w:rPr>
                <w:rFonts w:ascii="仿宋" w:hAnsi="仿宋" w:eastAsia="仿宋" w:cs="Arial"/>
                <w:b/>
                <w:bCs w:val="0"/>
                <w:sz w:val="24"/>
                <w:szCs w:val="24"/>
              </w:rPr>
            </w:pPr>
            <w:r>
              <w:rPr>
                <w:rFonts w:ascii="仿宋" w:hAnsi="仿宋" w:eastAsia="仿宋" w:cs="Arial"/>
                <w:b w:val="0"/>
                <w:bCs/>
                <w:sz w:val="24"/>
                <w:szCs w:val="24"/>
              </w:rPr>
              <w:t>以下是用以斷定某投資產品是否複雜的因素：</w:t>
            </w:r>
          </w:p>
          <w:p w14:paraId="02E5B555">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該投資產品是否衍生產品；</w:t>
            </w:r>
          </w:p>
          <w:p w14:paraId="416A424A">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是否有第二市場可供該投資產品按公開價格買賣；</w:t>
            </w:r>
          </w:p>
          <w:p w14:paraId="247DE482">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有否就該投資產品向零售投資者提供足夠及具透明度的資料；</w:t>
            </w:r>
          </w:p>
          <w:p w14:paraId="0CB40E9F">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是否存在損失大於投資金額的風險；</w:t>
            </w:r>
          </w:p>
          <w:p w14:paraId="72A1907F">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該投資產品是否有任何特點或條款可從根本上改變投資的性質或風險或支付形式，或是否有任何特點或條款包含多個可變因素或複雜的計算公式以釐定有關回報；及</w:t>
            </w:r>
          </w:p>
          <w:p w14:paraId="3B3154D1">
            <w:pPr>
              <w:snapToGrid w:val="0"/>
              <w:spacing w:before="0" w:after="0" w:line="240" w:lineRule="auto"/>
              <w:ind w:left="1162" w:leftChars="581"/>
              <w:rPr>
                <w:rFonts w:ascii="仿宋" w:hAnsi="仿宋" w:eastAsia="仿宋" w:cs="Arial"/>
                <w:b/>
                <w:bCs w:val="0"/>
                <w:i/>
                <w:sz w:val="24"/>
                <w:szCs w:val="24"/>
              </w:rPr>
            </w:pPr>
            <w:r>
              <w:rPr>
                <w:rFonts w:hint="eastAsia" w:ascii="仿宋" w:hAnsi="仿宋" w:eastAsia="仿宋" w:cs="Arial"/>
                <w:b w:val="0"/>
                <w:bCs/>
                <w:i/>
                <w:sz w:val="24"/>
                <w:szCs w:val="24"/>
              </w:rPr>
              <w:t>(</w:t>
            </w:r>
            <w:r>
              <w:rPr>
                <w:rFonts w:ascii="仿宋" w:hAnsi="仿宋" w:eastAsia="仿宋" w:cs="Arial"/>
                <w:b w:val="0"/>
                <w:bCs/>
                <w:i/>
                <w:sz w:val="24"/>
                <w:szCs w:val="24"/>
              </w:rPr>
              <w:t>註釋： 舉例而言，投資產品如附有讓投資產品發行人將產品轉換成另一項投資的權利，亦屬此列。</w:t>
            </w:r>
            <w:r>
              <w:rPr>
                <w:rFonts w:hint="eastAsia" w:ascii="仿宋" w:hAnsi="仿宋" w:eastAsia="仿宋" w:cs="Arial"/>
                <w:b w:val="0"/>
                <w:bCs/>
                <w:i/>
                <w:sz w:val="24"/>
                <w:szCs w:val="24"/>
              </w:rPr>
              <w:t>)</w:t>
            </w:r>
          </w:p>
          <w:p w14:paraId="6E8FB95A">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該投資產品是否有任何特點或條款，致令投資失去其流動性及／或難以</w:t>
            </w:r>
            <w:r>
              <w:rPr>
                <w:rFonts w:hint="eastAsia" w:ascii="仿宋" w:hAnsi="仿宋" w:eastAsia="仿宋" w:cs="Arial"/>
                <w:b w:val="0"/>
                <w:bCs/>
                <w:sz w:val="24"/>
                <w:szCs w:val="24"/>
              </w:rPr>
              <w:t>估值。</w:t>
            </w:r>
            <w:r>
              <w:rPr>
                <w:rFonts w:ascii="仿宋" w:hAnsi="仿宋" w:eastAsia="仿宋" w:cs="Arial"/>
                <w:b w:val="0"/>
                <w:bCs/>
                <w:sz w:val="24"/>
                <w:szCs w:val="24"/>
              </w:rPr>
              <w:cr/>
            </w:r>
          </w:p>
          <w:p w14:paraId="1AC6B353">
            <w:pPr>
              <w:pStyle w:val="60"/>
              <w:numPr>
                <w:ilvl w:val="0"/>
                <w:numId w:val="2"/>
              </w:numPr>
              <w:snapToGrid w:val="0"/>
              <w:spacing w:before="0" w:after="0" w:line="240" w:lineRule="auto"/>
              <w:ind w:leftChars="0"/>
              <w:rPr>
                <w:rFonts w:ascii="仿宋" w:hAnsi="仿宋" w:eastAsia="仿宋" w:cs="Arial"/>
                <w:b w:val="0"/>
                <w:bCs w:val="0"/>
                <w:sz w:val="24"/>
                <w:szCs w:val="24"/>
              </w:rPr>
            </w:pPr>
            <w:r>
              <w:rPr>
                <w:rFonts w:hint="eastAsia" w:ascii="仿宋" w:hAnsi="仿宋" w:eastAsia="仿宋" w:cs="Arial"/>
                <w:b/>
                <w:bCs/>
                <w:sz w:val="24"/>
                <w:szCs w:val="24"/>
              </w:rPr>
              <w:t>證監會於其網站發佈了以下複雜產品及非複雜產品列表，此列表並非詳盡無遺，證監會可能不時在適當情況下修訂這份列表的內容：</w:t>
            </w:r>
          </w:p>
          <w:p w14:paraId="53DA33EB">
            <w:pPr>
              <w:snapToGrid w:val="0"/>
              <w:spacing w:before="0" w:after="0" w:line="240" w:lineRule="auto"/>
              <w:ind w:firstLine="312" w:firstLineChars="130"/>
              <w:rPr>
                <w:rFonts w:ascii="仿宋" w:hAnsi="仿宋" w:eastAsia="仿宋" w:cs="Arial"/>
                <w:b w:val="0"/>
                <w:bCs w:val="0"/>
                <w:sz w:val="24"/>
                <w:szCs w:val="24"/>
                <w:u w:val="single"/>
              </w:rPr>
            </w:pPr>
          </w:p>
          <w:p w14:paraId="7506A41F">
            <w:pPr>
              <w:snapToGrid w:val="0"/>
              <w:spacing w:before="0" w:after="0" w:line="240" w:lineRule="auto"/>
              <w:ind w:firstLine="313" w:firstLineChars="130"/>
              <w:rPr>
                <w:rFonts w:ascii="仿宋" w:hAnsi="仿宋" w:eastAsia="仿宋" w:cs="Arial"/>
                <w:b w:val="0"/>
                <w:bCs w:val="0"/>
                <w:sz w:val="24"/>
                <w:szCs w:val="24"/>
                <w:u w:val="single"/>
              </w:rPr>
            </w:pPr>
            <w:r>
              <w:rPr>
                <w:rFonts w:hint="eastAsia" w:ascii="仿宋" w:hAnsi="仿宋" w:eastAsia="仿宋" w:cs="Arial"/>
                <w:b/>
                <w:bCs/>
                <w:sz w:val="24"/>
                <w:szCs w:val="24"/>
                <w:u w:val="single"/>
              </w:rPr>
              <w:t>非複雜產品</w:t>
            </w:r>
          </w:p>
          <w:p w14:paraId="1AD32CBB">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hint="eastAsia" w:ascii="仿宋" w:hAnsi="仿宋" w:eastAsia="仿宋" w:cs="Arial"/>
                <w:b w:val="0"/>
                <w:bCs/>
                <w:sz w:val="24"/>
                <w:szCs w:val="24"/>
              </w:rPr>
              <w:t>於聯交所買賣的股份；</w:t>
            </w:r>
          </w:p>
          <w:p w14:paraId="3267B1F7">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hint="eastAsia" w:ascii="仿宋" w:hAnsi="仿宋" w:eastAsia="仿宋" w:cs="Arial"/>
                <w:b w:val="0"/>
                <w:bCs/>
                <w:sz w:val="24"/>
                <w:szCs w:val="24"/>
              </w:rPr>
              <w:t>非複雜債券，包括不具有其他特點的可贖回債券（請參閱下文有關"複雜"債券的定義）；</w:t>
            </w:r>
          </w:p>
          <w:p w14:paraId="4F2314C4">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證監會根據《單位信託守則》認可的非衍生產品基金；</w:t>
            </w:r>
          </w:p>
          <w:p w14:paraId="0FE07A59">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於聯交所買賣的證監會認可非衍生產品交易所買賣基金（ETF）；</w:t>
            </w:r>
          </w:p>
          <w:p w14:paraId="31C26553">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於聯交所買賣的證監會認可房地產投資信託基金；及</w:t>
            </w:r>
          </w:p>
          <w:p w14:paraId="09B5F573">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證監會可能不時指明的任何其他投資產品。</w:t>
            </w:r>
          </w:p>
          <w:p w14:paraId="2495FD84">
            <w:pPr>
              <w:snapToGrid w:val="0"/>
              <w:spacing w:before="0" w:after="0" w:line="240" w:lineRule="auto"/>
              <w:ind w:firstLine="313" w:firstLineChars="130"/>
              <w:rPr>
                <w:rFonts w:ascii="仿宋" w:hAnsi="仿宋" w:eastAsia="仿宋" w:cs="Arial"/>
                <w:b/>
                <w:bCs w:val="0"/>
                <w:sz w:val="24"/>
                <w:szCs w:val="24"/>
              </w:rPr>
            </w:pPr>
          </w:p>
          <w:p w14:paraId="292B8865">
            <w:pPr>
              <w:snapToGrid w:val="0"/>
              <w:spacing w:before="0" w:after="0" w:line="240" w:lineRule="auto"/>
              <w:ind w:firstLine="313" w:firstLineChars="130"/>
              <w:rPr>
                <w:rFonts w:ascii="仿宋" w:hAnsi="仿宋" w:eastAsia="仿宋" w:cs="Arial"/>
                <w:b w:val="0"/>
                <w:bCs w:val="0"/>
                <w:sz w:val="24"/>
                <w:szCs w:val="24"/>
                <w:u w:val="single"/>
              </w:rPr>
            </w:pPr>
            <w:r>
              <w:rPr>
                <w:rFonts w:hint="eastAsia" w:ascii="仿宋" w:hAnsi="仿宋" w:eastAsia="仿宋" w:cs="Arial"/>
                <w:b/>
                <w:bCs/>
                <w:sz w:val="24"/>
                <w:szCs w:val="24"/>
                <w:u w:val="single"/>
              </w:rPr>
              <w:t>複雜產品 (在交易所買賣的衍生產品)</w:t>
            </w:r>
          </w:p>
          <w:p w14:paraId="061C638F">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於期交所買賣的期貨合約；</w:t>
            </w:r>
          </w:p>
          <w:p w14:paraId="0A2428C3">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於聯交所買賣的股票衍生工具（例如衍生權證、牛熊證及上市認股權）；</w:t>
            </w:r>
          </w:p>
          <w:p w14:paraId="283C8314">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證監會認可及於聯交所買賣的合成ETF及期貨ETF；</w:t>
            </w:r>
          </w:p>
          <w:p w14:paraId="347D5F9F">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證監會認可及於聯交所買賣的槓桿及反向產品；及</w:t>
            </w:r>
          </w:p>
          <w:p w14:paraId="48CA29EF">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證監會可能不時指明的任何其他投資產品。</w:t>
            </w:r>
          </w:p>
          <w:p w14:paraId="0EB78121">
            <w:pPr>
              <w:snapToGrid w:val="0"/>
              <w:spacing w:before="0" w:after="0" w:line="240" w:lineRule="auto"/>
              <w:rPr>
                <w:rFonts w:ascii="仿宋" w:hAnsi="仿宋" w:eastAsia="仿宋" w:cs="Arial"/>
                <w:b w:val="0"/>
                <w:bCs w:val="0"/>
                <w:sz w:val="24"/>
                <w:szCs w:val="24"/>
              </w:rPr>
            </w:pPr>
          </w:p>
          <w:p w14:paraId="30E19785">
            <w:pPr>
              <w:snapToGrid w:val="0"/>
              <w:spacing w:before="0" w:after="0" w:line="240" w:lineRule="auto"/>
              <w:ind w:firstLine="313" w:firstLineChars="130"/>
              <w:rPr>
                <w:rFonts w:ascii="仿宋" w:hAnsi="仿宋" w:eastAsia="仿宋" w:cs="Arial"/>
                <w:b w:val="0"/>
                <w:bCs w:val="0"/>
                <w:sz w:val="24"/>
                <w:szCs w:val="24"/>
                <w:u w:val="single"/>
              </w:rPr>
            </w:pPr>
            <w:r>
              <w:rPr>
                <w:rFonts w:hint="eastAsia" w:ascii="仿宋" w:hAnsi="仿宋" w:eastAsia="仿宋" w:cs="Arial"/>
                <w:b/>
                <w:bCs/>
                <w:sz w:val="24"/>
                <w:szCs w:val="24"/>
                <w:u w:val="single"/>
              </w:rPr>
              <w:t>其他複雜產品</w:t>
            </w:r>
          </w:p>
          <w:p w14:paraId="597E9C8F">
            <w:pPr>
              <w:pStyle w:val="60"/>
              <w:numPr>
                <w:ilvl w:val="1"/>
                <w:numId w:val="2"/>
              </w:numPr>
              <w:snapToGrid w:val="0"/>
              <w:spacing w:before="0" w:after="0" w:line="240" w:lineRule="auto"/>
              <w:ind w:leftChars="0"/>
              <w:rPr>
                <w:rFonts w:ascii="仿宋" w:hAnsi="仿宋" w:eastAsia="仿宋" w:cs="Arial"/>
                <w:b/>
                <w:bCs w:val="0"/>
                <w:sz w:val="24"/>
                <w:szCs w:val="24"/>
              </w:rPr>
            </w:pPr>
            <w:r>
              <w:rPr>
                <w:rFonts w:ascii="仿宋" w:hAnsi="仿宋" w:eastAsia="仿宋" w:cs="Arial"/>
                <w:b w:val="0"/>
                <w:bCs/>
                <w:sz w:val="24"/>
                <w:szCs w:val="24"/>
              </w:rPr>
              <w:t>複雜債券。複雜債券是指具有某些特點的債券（包括（但不限於）屬永續性質或後償性質的債券，或那些具有浮息或延遲派付利息條款、可延遲到期日，或那些屬可換股或可交換性質或具有或然撇減或彌補虧損特點的債券，或那些具備非單一信貸支持提供者及結構的債券）及／或由一項或以上特點組成的債券；</w:t>
            </w:r>
          </w:p>
          <w:p w14:paraId="69491295">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證監會根據《單位信託守則》認可並屬於衍生產品基金的基金；</w:t>
            </w:r>
          </w:p>
          <w:p w14:paraId="335AC8E7">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證監會根據《單位信託守則》第8.7條認可的基金（即證監會認可對沖基金）；</w:t>
            </w:r>
          </w:p>
          <w:p w14:paraId="3CDA198A">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證監會認可的非上市結構性投資產品（包括證監會認可股票掛鈎存款、股票掛鈎投資工具／投資等）；</w:t>
            </w:r>
          </w:p>
          <w:p w14:paraId="161291E3">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其他並非在交易所買賣的結構性投資產品；及</w:t>
            </w:r>
          </w:p>
          <w:p w14:paraId="61736144">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證監會可能不時指明的任何其他投資產品。</w:t>
            </w:r>
          </w:p>
          <w:p w14:paraId="22676990">
            <w:pPr>
              <w:snapToGrid w:val="0"/>
              <w:spacing w:before="0" w:after="0" w:line="240" w:lineRule="auto"/>
              <w:rPr>
                <w:rFonts w:ascii="仿宋" w:hAnsi="仿宋" w:eastAsia="仿宋" w:cs="Arial"/>
                <w:b/>
                <w:bCs w:val="0"/>
                <w:sz w:val="24"/>
                <w:szCs w:val="24"/>
              </w:rPr>
            </w:pPr>
            <w:r>
              <w:rPr>
                <w:rFonts w:ascii="仿宋" w:hAnsi="仿宋" w:eastAsia="仿宋" w:cs="Arial"/>
                <w:b w:val="0"/>
                <w:bCs/>
                <w:sz w:val="24"/>
                <w:szCs w:val="24"/>
              </w:rPr>
              <w:t xml:space="preserve"> </w:t>
            </w:r>
          </w:p>
          <w:p w14:paraId="74497673">
            <w:pPr>
              <w:snapToGrid w:val="0"/>
              <w:spacing w:before="0" w:after="0" w:line="240" w:lineRule="auto"/>
              <w:rPr>
                <w:rFonts w:ascii="仿宋" w:hAnsi="仿宋" w:eastAsia="仿宋" w:cs="Arial"/>
                <w:b/>
                <w:bCs w:val="0"/>
                <w:sz w:val="24"/>
                <w:szCs w:val="24"/>
              </w:rPr>
            </w:pPr>
            <w:r>
              <w:rPr>
                <w:rFonts w:ascii="仿宋" w:hAnsi="仿宋" w:eastAsia="仿宋" w:cs="Arial"/>
                <w:b w:val="0"/>
                <w:bCs/>
                <w:sz w:val="24"/>
                <w:szCs w:val="24"/>
              </w:rPr>
              <w:t>有關釐定非認可基金是否屬於複雜產品的流程圖可透過</w:t>
            </w:r>
            <w:r>
              <w:fldChar w:fldCharType="begin"/>
            </w:r>
            <w:r>
              <w:instrText xml:space="preserve"> HYPERLINK "https://www.sfc.hk/web/TC/files/Unauthorized%20funds%20flowchart.pdf" </w:instrText>
            </w:r>
            <w:r>
              <w:fldChar w:fldCharType="separate"/>
            </w:r>
            <w:r>
              <w:rPr>
                <w:rStyle w:val="28"/>
                <w:rFonts w:ascii="仿宋" w:hAnsi="仿宋" w:eastAsia="仿宋" w:cs="Arial"/>
                <w:b w:val="0"/>
                <w:bCs/>
                <w:sz w:val="24"/>
                <w:szCs w:val="24"/>
              </w:rPr>
              <w:t>https://www.sfc.hk/web/TC/files/Unauthorized%20funds%20flowchart.pdf</w:t>
            </w:r>
            <w:r>
              <w:rPr>
                <w:rStyle w:val="28"/>
                <w:rFonts w:ascii="仿宋" w:hAnsi="仿宋" w:eastAsia="仿宋" w:cs="Arial"/>
                <w:b w:val="0"/>
                <w:bCs/>
                <w:sz w:val="24"/>
                <w:szCs w:val="24"/>
              </w:rPr>
              <w:fldChar w:fldCharType="end"/>
            </w:r>
            <w:r>
              <w:rPr>
                <w:rFonts w:ascii="仿宋" w:hAnsi="仿宋" w:eastAsia="仿宋" w:cs="Arial"/>
                <w:b w:val="0"/>
                <w:bCs/>
                <w:sz w:val="24"/>
                <w:szCs w:val="24"/>
              </w:rPr>
              <w:t>取覽，以作參考之用。</w:t>
            </w:r>
          </w:p>
          <w:p w14:paraId="4152225F">
            <w:pPr>
              <w:snapToGrid w:val="0"/>
              <w:spacing w:before="0" w:after="0" w:line="240" w:lineRule="auto"/>
              <w:rPr>
                <w:rFonts w:ascii="仿宋" w:hAnsi="仿宋" w:eastAsia="仿宋" w:cs="Arial"/>
                <w:b/>
                <w:bCs w:val="0"/>
                <w:sz w:val="24"/>
                <w:szCs w:val="24"/>
              </w:rPr>
            </w:pPr>
          </w:p>
          <w:p w14:paraId="06FD7573">
            <w:pPr>
              <w:snapToGrid w:val="0"/>
              <w:spacing w:before="0" w:after="0" w:line="240" w:lineRule="auto"/>
              <w:rPr>
                <w:rFonts w:ascii="仿宋" w:hAnsi="仿宋" w:eastAsia="仿宋" w:cs="Arial"/>
                <w:b/>
                <w:bCs w:val="0"/>
                <w:sz w:val="24"/>
                <w:szCs w:val="24"/>
              </w:rPr>
            </w:pPr>
            <w:r>
              <w:rPr>
                <w:rFonts w:ascii="仿宋" w:hAnsi="仿宋" w:eastAsia="仿宋" w:cs="Arial"/>
                <w:b w:val="0"/>
                <w:bCs/>
                <w:sz w:val="24"/>
                <w:szCs w:val="24"/>
              </w:rPr>
              <w:t>證監會不時於網站</w:t>
            </w:r>
            <w:r>
              <w:fldChar w:fldCharType="begin"/>
            </w:r>
            <w:r>
              <w:instrText xml:space="preserve"> HYPERLINK "https://www.sfc.hk/web/TC/rules-and-standards/suitability-requirement/non-complex-and-complex-products/" </w:instrText>
            </w:r>
            <w:r>
              <w:fldChar w:fldCharType="separate"/>
            </w:r>
            <w:r>
              <w:rPr>
                <w:rStyle w:val="28"/>
                <w:rFonts w:ascii="仿宋" w:hAnsi="仿宋" w:eastAsia="仿宋" w:cs="Arial"/>
                <w:b w:val="0"/>
                <w:bCs/>
                <w:sz w:val="24"/>
                <w:szCs w:val="24"/>
              </w:rPr>
              <w:t>https://www.sfc.hk/web/TC/rules-and-standards/suitability-requirement/non-complex-and-complex-products/</w:t>
            </w:r>
            <w:r>
              <w:rPr>
                <w:rStyle w:val="28"/>
                <w:rFonts w:ascii="仿宋" w:hAnsi="仿宋" w:eastAsia="仿宋" w:cs="Arial"/>
                <w:b w:val="0"/>
                <w:bCs/>
                <w:sz w:val="24"/>
                <w:szCs w:val="24"/>
              </w:rPr>
              <w:fldChar w:fldCharType="end"/>
            </w:r>
            <w:r>
              <w:rPr>
                <w:rFonts w:ascii="仿宋" w:hAnsi="仿宋" w:eastAsia="仿宋" w:cs="Arial"/>
                <w:b w:val="0"/>
                <w:bCs/>
                <w:sz w:val="24"/>
                <w:szCs w:val="24"/>
              </w:rPr>
              <w:t>更新以上的列表。</w:t>
            </w:r>
          </w:p>
          <w:p w14:paraId="448F7593">
            <w:pPr>
              <w:snapToGrid w:val="0"/>
              <w:spacing w:before="0" w:after="0" w:line="240" w:lineRule="auto"/>
              <w:rPr>
                <w:rFonts w:ascii="仿宋" w:hAnsi="仿宋" w:eastAsia="仿宋" w:cs="Arial"/>
                <w:b/>
                <w:bCs w:val="0"/>
                <w:sz w:val="24"/>
                <w:szCs w:val="24"/>
              </w:rPr>
            </w:pPr>
          </w:p>
          <w:p w14:paraId="4E9E561A">
            <w:pPr>
              <w:pStyle w:val="60"/>
              <w:numPr>
                <w:ilvl w:val="0"/>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bCs/>
                <w:sz w:val="24"/>
                <w:szCs w:val="24"/>
              </w:rPr>
              <w:t>指明司法管轄區</w:t>
            </w:r>
          </w:p>
          <w:p w14:paraId="2B5A0B26">
            <w:pPr>
              <w:snapToGrid w:val="0"/>
              <w:spacing w:before="0" w:after="0" w:line="240" w:lineRule="auto"/>
              <w:ind w:left="312" w:leftChars="156" w:firstLine="1"/>
              <w:rPr>
                <w:rFonts w:ascii="仿宋" w:hAnsi="仿宋" w:eastAsia="仿宋" w:cs="Arial"/>
                <w:b/>
                <w:bCs w:val="0"/>
                <w:sz w:val="24"/>
                <w:szCs w:val="24"/>
              </w:rPr>
            </w:pPr>
            <w:r>
              <w:rPr>
                <w:rFonts w:hint="eastAsia" w:ascii="仿宋" w:hAnsi="仿宋" w:eastAsia="仿宋" w:cs="Arial"/>
                <w:b w:val="0"/>
                <w:bCs/>
                <w:sz w:val="24"/>
                <w:szCs w:val="24"/>
              </w:rPr>
              <w:t xml:space="preserve">也應考慮某項投資產品是否與非複雜及複雜產品的例子列表中所載的投資產品屬同一種類，以及該產品是否在指明司法管轄區受到監管或在其區內的交易所買賣。證監會網站的指明司法管轄區名單 : </w:t>
            </w:r>
            <w:r>
              <w:fldChar w:fldCharType="begin"/>
            </w:r>
            <w:r>
              <w:instrText xml:space="preserve"> HYPERLINK "https://www.sfc.hk/web/TC/rules-and-standards/suitability-requirement/non-complex-and-complex-products/list-of-specified-jurisdictions.html" </w:instrText>
            </w:r>
            <w:r>
              <w:fldChar w:fldCharType="separate"/>
            </w:r>
            <w:r>
              <w:rPr>
                <w:rStyle w:val="28"/>
                <w:rFonts w:ascii="仿宋" w:hAnsi="仿宋" w:eastAsia="仿宋" w:cs="Arial"/>
                <w:b w:val="0"/>
                <w:bCs/>
                <w:sz w:val="24"/>
                <w:szCs w:val="24"/>
              </w:rPr>
              <w:t>https://www.sfc.hk/web/TC/rules-and-standards/suitability-requirement/non-complex-and-complex-products/list-of-specified-jurisdictions.html</w:t>
            </w:r>
            <w:r>
              <w:rPr>
                <w:rStyle w:val="28"/>
                <w:rFonts w:ascii="仿宋" w:hAnsi="仿宋" w:eastAsia="仿宋" w:cs="Arial"/>
                <w:b w:val="0"/>
                <w:bCs/>
                <w:sz w:val="24"/>
                <w:szCs w:val="24"/>
              </w:rPr>
              <w:fldChar w:fldCharType="end"/>
            </w:r>
          </w:p>
          <w:p w14:paraId="386A7344">
            <w:pPr>
              <w:snapToGrid w:val="0"/>
              <w:spacing w:before="0" w:after="0" w:line="240" w:lineRule="auto"/>
              <w:ind w:left="312" w:leftChars="156" w:firstLine="1"/>
              <w:rPr>
                <w:rFonts w:ascii="仿宋" w:hAnsi="仿宋" w:eastAsia="仿宋" w:cs="Arial"/>
                <w:b w:val="0"/>
                <w:bCs w:val="0"/>
                <w:sz w:val="24"/>
                <w:szCs w:val="24"/>
              </w:rPr>
            </w:pPr>
            <w:r>
              <w:rPr>
                <w:rFonts w:hint="eastAsia" w:ascii="仿宋" w:hAnsi="仿宋" w:eastAsia="仿宋" w:cs="Arial"/>
                <w:b w:val="0"/>
                <w:bCs/>
                <w:sz w:val="24"/>
                <w:szCs w:val="24"/>
              </w:rPr>
              <w:t>假如該產品是在指明司法管轄區以外的司法管轄區受到監管或在其區內的交易所買賣，便應格外審慎。</w:t>
            </w:r>
          </w:p>
        </w:tc>
      </w:tr>
    </w:tbl>
    <w:p w14:paraId="18316748">
      <w:pPr>
        <w:pStyle w:val="60"/>
        <w:spacing w:before="0" w:after="0"/>
        <w:ind w:left="360" w:leftChars="0"/>
        <w:rPr>
          <w:rFonts w:ascii="仿宋" w:hAnsi="仿宋" w:eastAsia="仿宋" w:cs="Times New Roman"/>
          <w:b/>
          <w:color w:val="000000"/>
          <w:sz w:val="24"/>
          <w:szCs w:val="24"/>
        </w:rPr>
      </w:pPr>
      <w:r>
        <w:t>资料未载明。</w:t>
      </w:r>
    </w:p>
    <w:p w14:paraId="3A53F0F3">
      <w:pPr>
        <w:pStyle w:val="60"/>
        <w:numPr>
          <w:ilvl w:val="0"/>
          <w:numId w:val="1"/>
        </w:numPr>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風險評估內容 (圈選各項評分)</w:t>
      </w:r>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8"/>
        <w:gridCol w:w="6804"/>
        <w:gridCol w:w="2407"/>
      </w:tblGrid>
      <w:tr w14:paraId="766BC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bottom w:val="single" w:color="auto" w:sz="4" w:space="0"/>
            </w:tcBorders>
            <w:vAlign w:val="top"/>
          </w:tcPr>
          <w:p w14:paraId="414F722B">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.1</w:t>
            </w:r>
          </w:p>
        </w:tc>
        <w:tc>
          <w:tcPr>
            <w:tcW w:w="3048" w:type="dxa"/>
            <w:tcBorders>
              <w:bottom w:val="single" w:color="auto" w:sz="4" w:space="0"/>
            </w:tcBorders>
            <w:vAlign w:val="top"/>
          </w:tcPr>
          <w:p w14:paraId="1FDBB7EF">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基金種類</w:t>
            </w:r>
          </w:p>
        </w:tc>
        <w:tc>
          <w:tcPr>
            <w:tcW w:w="3048" w:type="dxa"/>
            <w:tcBorders>
              <w:bottom w:val="single" w:color="auto" w:sz="4" w:space="0"/>
            </w:tcBorders>
            <w:vAlign w:val="top"/>
          </w:tcPr>
          <w:p w14:paraId="4B2C1D45">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65F8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5D31B149">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貨幣市場</w:t>
            </w:r>
            <w:r>
              <w:rPr>
                <w:rFonts w:hint="eastAsia" w:ascii="仿宋" w:hAnsi="仿宋" w:eastAsia="仿宋" w:cs="Times New Roman"/>
                <w:color w:val="000000"/>
                <w:sz w:val="24"/>
                <w:szCs w:val="24"/>
              </w:rPr>
              <w:t>型</w:t>
            </w:r>
          </w:p>
        </w:tc>
        <w:tc>
          <w:tcPr>
            <w:tcW w:w="3048" w:type="dxa"/>
            <w:tcBorders>
              <w:right w:val="single" w:color="auto" w:sz="4" w:space="0"/>
            </w:tcBorders>
            <w:vAlign w:val="top"/>
          </w:tcPr>
          <w:p w14:paraId="566B1B0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1BC2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62F3EA55">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債券型（除可轉換債券型、債券型基金劣後份額）</w:t>
            </w:r>
          </w:p>
        </w:tc>
        <w:tc>
          <w:tcPr>
            <w:tcW w:w="3048" w:type="dxa"/>
            <w:tcBorders>
              <w:right w:val="single" w:color="auto" w:sz="4" w:space="0"/>
            </w:tcBorders>
            <w:vAlign w:val="top"/>
          </w:tcPr>
          <w:p w14:paraId="42719DE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554D7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44EE952F">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混合型（股票資產占比不可高於</w:t>
            </w:r>
            <w:r>
              <w:rPr>
                <w:rFonts w:ascii="仿宋" w:hAnsi="仿宋" w:eastAsia="仿宋" w:cs="Times New Roman"/>
                <w:color w:val="000000"/>
                <w:sz w:val="24"/>
                <w:szCs w:val="24"/>
              </w:rPr>
              <w:t>80%</w:t>
            </w:r>
            <w:r>
              <w:rPr>
                <w:rFonts w:hint="eastAsia" w:ascii="仿宋" w:hAnsi="仿宋" w:eastAsia="仿宋" w:cs="Times New Roman"/>
                <w:color w:val="000000"/>
                <w:sz w:val="24"/>
                <w:szCs w:val="24"/>
              </w:rPr>
              <w:t>）、可轉換債券型、</w:t>
            </w:r>
            <w:r>
              <w:rPr>
                <w:rFonts w:ascii="仿宋" w:hAnsi="仿宋" w:eastAsia="仿宋" w:cs="Times New Roman"/>
                <w:color w:val="000000"/>
                <w:sz w:val="24"/>
                <w:szCs w:val="24"/>
              </w:rPr>
              <w:t>REITs</w:t>
            </w:r>
          </w:p>
        </w:tc>
        <w:tc>
          <w:tcPr>
            <w:tcW w:w="3048" w:type="dxa"/>
            <w:tcBorders>
              <w:right w:val="single" w:color="auto" w:sz="4" w:space="0"/>
            </w:tcBorders>
            <w:vAlign w:val="top"/>
          </w:tcPr>
          <w:p w14:paraId="0FDE1161">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4E694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6A9C1831">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股票型（除股票型基金劣後份額）、混合型（股票資產占比可高於</w:t>
            </w:r>
            <w:r>
              <w:rPr>
                <w:rFonts w:ascii="仿宋" w:hAnsi="仿宋" w:eastAsia="仿宋" w:cs="Times New Roman"/>
                <w:color w:val="000000"/>
                <w:sz w:val="24"/>
                <w:szCs w:val="24"/>
              </w:rPr>
              <w:t>80%</w:t>
            </w:r>
            <w:r>
              <w:rPr>
                <w:rFonts w:hint="eastAsia" w:ascii="仿宋" w:hAnsi="仿宋" w:eastAsia="仿宋" w:cs="Times New Roman"/>
                <w:color w:val="000000"/>
                <w:sz w:val="24"/>
                <w:szCs w:val="24"/>
              </w:rPr>
              <w:t>）</w:t>
            </w:r>
          </w:p>
        </w:tc>
        <w:tc>
          <w:tcPr>
            <w:tcW w:w="3048" w:type="dxa"/>
            <w:tcBorders>
              <w:right w:val="single" w:color="auto" w:sz="4" w:space="0"/>
            </w:tcBorders>
            <w:vAlign w:val="top"/>
          </w:tcPr>
          <w:p w14:paraId="0159003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620AA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bottom w:val="single" w:color="auto" w:sz="4" w:space="0"/>
            </w:tcBorders>
            <w:vAlign w:val="top"/>
          </w:tcPr>
          <w:p>
            <w:r>
              <w:t>資料未載明</w:t>
            </w:r>
          </w:p>
        </w:tc>
        <w:tc>
          <w:tcPr>
            <w:tcW w:w="3048" w:type="dxa"/>
            <w:tcBorders>
              <w:bottom w:val="single" w:color="auto" w:sz="4" w:space="0"/>
            </w:tcBorders>
            <w:vAlign w:val="top"/>
          </w:tcPr>
          <w:p w14:paraId="7658444C">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分級產品劣後份額等</w:t>
            </w:r>
          </w:p>
        </w:tc>
        <w:tc>
          <w:tcPr>
            <w:tcW w:w="3048" w:type="dxa"/>
            <w:tcBorders>
              <w:bottom w:val="single" w:color="auto" w:sz="4" w:space="0"/>
              <w:right w:val="single" w:color="auto" w:sz="4" w:space="0"/>
            </w:tcBorders>
            <w:vAlign w:val="top"/>
          </w:tcPr>
          <w:p w14:paraId="33410FDF">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r w14:paraId="0166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jc w:val="center"/>
        </w:trPr>
        <w:tc>
          <w:tcPr>
            <w:tcW w:w="3048" w:type="dxa"/>
            <w:tcBorders>
              <w:left w:val="single" w:color="auto" w:sz="4" w:space="0"/>
              <w:bottom w:val="single" w:color="auto" w:sz="4" w:space="0"/>
            </w:tcBorders>
            <w:shd w:val="clear" w:color="auto" w:fill="auto"/>
            <w:vAlign w:val="top"/>
          </w:tcPr>
          <w:p w14:paraId="4D8FD6A5">
            <w:pPr>
              <w:pStyle w:val="60"/>
              <w:snapToGrid w:val="0"/>
              <w:spacing w:before="0" w:after="0" w:line="240" w:lineRule="auto"/>
              <w:ind w:left="0" w:leftChars="0"/>
              <w:rPr>
                <w:rFonts w:ascii="仿宋" w:hAnsi="仿宋" w:eastAsia="仿宋" w:cs="Times New Roman"/>
                <w:color w:val="000000"/>
                <w:sz w:val="24"/>
                <w:szCs w:val="24"/>
              </w:rPr>
            </w:pPr>
          </w:p>
        </w:tc>
        <w:tc>
          <w:tcPr>
            <w:tcW w:w="3048" w:type="dxa"/>
            <w:tcBorders>
              <w:bottom w:val="single" w:color="auto" w:sz="4" w:space="0"/>
            </w:tcBorders>
            <w:shd w:val="clear" w:color="auto" w:fill="auto"/>
            <w:vAlign w:val="top"/>
          </w:tcPr>
          <w:p w14:paraId="222A6710">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其他，請說明</w:t>
            </w:r>
            <w:r>
              <w:rPr>
                <w:rFonts w:hint="eastAsia" w:ascii="仿宋" w:hAnsi="仿宋" w:eastAsia="仿宋" w:cs="Times New Roman"/>
                <w:color w:val="000000"/>
                <w:sz w:val="24"/>
                <w:szCs w:val="24"/>
              </w:rPr>
              <w:t>:</w:t>
            </w:r>
            <w:r>
              <w:rPr>
                <w:rFonts w:ascii="仿宋" w:hAnsi="仿宋" w:eastAsia="仿宋" w:cs="Times New Roman"/>
                <w:color w:val="000000"/>
                <w:sz w:val="24"/>
                <w:szCs w:val="24"/>
              </w:rPr>
              <w:t xml:space="preserve"> ________________________________________</w:t>
            </w:r>
          </w:p>
          <w:p w14:paraId="4FC09299">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(需打分，</w:t>
            </w:r>
            <w:r>
              <w:rPr>
                <w:rFonts w:hint="eastAsia" w:ascii="仿宋" w:hAnsi="仿宋" w:eastAsia="仿宋" w:cs="Times New Roman"/>
                <w:color w:val="000000"/>
                <w:sz w:val="24"/>
                <w:szCs w:val="24"/>
              </w:rPr>
              <w:t>1</w:t>
            </w:r>
            <w:r>
              <w:rPr>
                <w:rFonts w:ascii="仿宋" w:hAnsi="仿宋" w:eastAsia="仿宋" w:cs="Times New Roman"/>
                <w:color w:val="000000"/>
                <w:sz w:val="24"/>
                <w:szCs w:val="24"/>
              </w:rPr>
              <w:t>-5分內</w:t>
            </w:r>
            <w:r>
              <w:rPr>
                <w:rFonts w:hint="eastAsia" w:ascii="仿宋" w:hAnsi="仿宋" w:eastAsia="仿宋" w:cs="Times New Roman"/>
                <w:color w:val="000000"/>
                <w:sz w:val="24"/>
                <w:szCs w:val="24"/>
              </w:rPr>
              <w:t>)</w:t>
            </w:r>
          </w:p>
        </w:tc>
        <w:tc>
          <w:tcPr>
            <w:tcW w:w="3048" w:type="dxa"/>
            <w:tcBorders>
              <w:bottom w:val="single" w:color="auto" w:sz="4" w:space="0"/>
              <w:right w:val="single" w:color="auto" w:sz="4" w:space="0"/>
            </w:tcBorders>
            <w:shd w:val="clear" w:color="auto" w:fill="auto"/>
            <w:vAlign w:val="top"/>
          </w:tcPr>
          <w:p w14:paraId="29C4E3DB">
            <w:pPr>
              <w:snapToGrid w:val="0"/>
              <w:spacing w:before="0" w:after="0" w:line="240" w:lineRule="auto"/>
              <w:rPr>
                <w:rFonts w:ascii="仿宋" w:hAnsi="仿宋" w:eastAsia="仿宋" w:cs="Times New Roman"/>
                <w:color w:val="000000"/>
                <w:sz w:val="24"/>
                <w:szCs w:val="24"/>
                <w:lang w:eastAsia="zh-CN"/>
              </w:rPr>
            </w:pPr>
            <w:r>
              <w:rPr>
                <w:rFonts w:ascii="仿宋" w:hAnsi="仿宋" w:eastAsia="仿宋"/>
                <w:sz w:val="24"/>
              </w:rPr>
              <w:t xml:space="preserve">□ </w:t>
            </w:r>
          </w:p>
        </w:tc>
      </w:tr>
    </w:tbl>
    <w:p w14:paraId="4348BA7A">
      <w:pPr>
        <w:pStyle w:val="60"/>
        <w:shd w:val="clear" w:color="auto" w:fill="FFFFFF"/>
        <w:snapToGrid w:val="0"/>
        <w:spacing w:before="0" w:after="0" w:line="240" w:lineRule="auto"/>
        <w:ind w:left="425" w:leftChars="0"/>
        <w:jc w:val="left"/>
      </w:pPr>
    </w:p>
    <w:tbl>
      <w:tblPr>
        <w:tblStyle w:val="24"/>
        <w:tblpPr w:leftFromText="180" w:rightFromText="180" w:vertAnchor="text" w:horzAnchor="page" w:tblpXSpec="center" w:tblpY="30"/>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2"/>
        <w:gridCol w:w="6804"/>
        <w:gridCol w:w="2425"/>
      </w:tblGrid>
      <w:tr w14:paraId="75121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bottom w:val="single" w:color="auto" w:sz="4" w:space="0"/>
            </w:tcBorders>
            <w:vAlign w:val="top"/>
          </w:tcPr>
          <w:p w14:paraId="1EE7CB23">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.2</w:t>
            </w:r>
          </w:p>
        </w:tc>
        <w:tc>
          <w:tcPr>
            <w:tcW w:w="3048" w:type="dxa"/>
            <w:tcBorders>
              <w:top w:val="single" w:color="auto" w:sz="4" w:space="0"/>
              <w:bottom w:val="single" w:color="auto" w:sz="4" w:space="0"/>
            </w:tcBorders>
            <w:vAlign w:val="top"/>
          </w:tcPr>
          <w:p w14:paraId="0FEC5BA5">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投資區域分類</w:t>
            </w:r>
          </w:p>
        </w:tc>
        <w:tc>
          <w:tcPr>
            <w:tcW w:w="3048" w:type="dxa"/>
            <w:tcBorders>
              <w:top w:val="single" w:color="auto" w:sz="4" w:space="0"/>
              <w:bottom w:val="single" w:color="auto" w:sz="4" w:space="0"/>
            </w:tcBorders>
            <w:vAlign w:val="top"/>
          </w:tcPr>
          <w:p w14:paraId="65C1F914">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3ADDD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资料未载明</w:t>
            </w:r>
          </w:p>
        </w:tc>
        <w:tc>
          <w:tcPr>
            <w:tcW w:w="3048" w:type="dxa"/>
            <w:tcBorders>
              <w:top w:val="single" w:color="auto" w:sz="4" w:space="0"/>
            </w:tcBorders>
            <w:vAlign w:val="top"/>
          </w:tcPr>
          <w:p w14:paraId="4858C12E">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環球市場</w:t>
            </w:r>
          </w:p>
        </w:tc>
        <w:tc>
          <w:tcPr>
            <w:tcW w:w="3048" w:type="dxa"/>
            <w:tcBorders>
              <w:top w:val="single" w:color="auto" w:sz="4" w:space="0"/>
              <w:right w:val="single" w:color="auto" w:sz="4" w:space="0"/>
            </w:tcBorders>
            <w:vAlign w:val="top"/>
          </w:tcPr>
          <w:p w14:paraId="212F7FE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42ADE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5E0C72EC">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整體已開發市場</w:t>
            </w:r>
          </w:p>
        </w:tc>
        <w:tc>
          <w:tcPr>
            <w:tcW w:w="3048" w:type="dxa"/>
            <w:tcBorders>
              <w:right w:val="single" w:color="auto" w:sz="4" w:space="0"/>
            </w:tcBorders>
            <w:vAlign w:val="top"/>
          </w:tcPr>
          <w:p w14:paraId="02E8E56C">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4DD74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49B71BEB">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已開發</w:t>
            </w:r>
            <w:r>
              <w:rPr>
                <w:rFonts w:hint="eastAsia" w:ascii="仿宋" w:hAnsi="仿宋" w:eastAsia="仿宋" w:cs="Times New Roman"/>
                <w:color w:val="000000"/>
                <w:sz w:val="24"/>
                <w:szCs w:val="24"/>
              </w:rPr>
              <w:t>市場</w:t>
            </w:r>
            <w:r>
              <w:rPr>
                <w:rFonts w:ascii="仿宋" w:hAnsi="仿宋" w:eastAsia="仿宋" w:cs="Times New Roman"/>
                <w:color w:val="000000"/>
                <w:sz w:val="24"/>
                <w:szCs w:val="24"/>
              </w:rPr>
              <w:t xml:space="preserve"> – </w:t>
            </w:r>
            <w:r>
              <w:rPr>
                <w:rFonts w:hint="eastAsia" w:ascii="仿宋" w:hAnsi="仿宋" w:eastAsia="仿宋" w:cs="Times New Roman"/>
                <w:color w:val="000000"/>
                <w:sz w:val="24"/>
                <w:szCs w:val="24"/>
              </w:rPr>
              <w:t>非單一國家</w:t>
            </w:r>
            <w:r>
              <w:rPr>
                <w:rFonts w:ascii="仿宋" w:hAnsi="仿宋" w:eastAsia="仿宋" w:cs="Times New Roman"/>
                <w:color w:val="000000"/>
                <w:sz w:val="24"/>
                <w:szCs w:val="24"/>
              </w:rPr>
              <w:t>/</w:t>
            </w:r>
            <w:r>
              <w:rPr>
                <w:rFonts w:hint="eastAsia" w:ascii="仿宋" w:hAnsi="仿宋" w:eastAsia="仿宋" w:cs="Times New Roman"/>
                <w:color w:val="000000"/>
                <w:sz w:val="24"/>
                <w:szCs w:val="24"/>
              </w:rPr>
              <w:t>地區</w:t>
            </w:r>
          </w:p>
          <w:p w14:paraId="49FBF842">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整體新興市場</w:t>
            </w:r>
          </w:p>
        </w:tc>
        <w:tc>
          <w:tcPr>
            <w:tcW w:w="3048" w:type="dxa"/>
            <w:tcBorders>
              <w:right w:val="single" w:color="auto" w:sz="4" w:space="0"/>
            </w:tcBorders>
            <w:vAlign w:val="top"/>
          </w:tcPr>
          <w:p w14:paraId="414DE1F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29D0F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5803A4EF">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已開發</w:t>
            </w:r>
            <w:r>
              <w:rPr>
                <w:rFonts w:hint="eastAsia" w:ascii="仿宋" w:hAnsi="仿宋" w:eastAsia="仿宋" w:cs="Times New Roman"/>
                <w:color w:val="000000"/>
                <w:sz w:val="24"/>
                <w:szCs w:val="24"/>
              </w:rPr>
              <w:t>市場</w:t>
            </w:r>
            <w:r>
              <w:rPr>
                <w:rFonts w:ascii="仿宋" w:hAnsi="仿宋" w:eastAsia="仿宋" w:cs="Times New Roman"/>
                <w:color w:val="000000"/>
                <w:sz w:val="24"/>
                <w:szCs w:val="24"/>
              </w:rPr>
              <w:t xml:space="preserve"> - 單一國家/</w:t>
            </w:r>
            <w:r>
              <w:rPr>
                <w:rFonts w:hint="eastAsia" w:ascii="仿宋" w:hAnsi="仿宋" w:eastAsia="仿宋" w:cs="Times New Roman"/>
                <w:color w:val="000000"/>
                <w:sz w:val="24"/>
                <w:szCs w:val="24"/>
              </w:rPr>
              <w:t>地區</w:t>
            </w:r>
          </w:p>
          <w:p w14:paraId="1D5979C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 xml:space="preserve">新興市場 - </w:t>
            </w:r>
            <w:r>
              <w:rPr>
                <w:rFonts w:hint="eastAsia" w:ascii="仿宋" w:hAnsi="仿宋" w:eastAsia="仿宋" w:cs="Times New Roman"/>
                <w:color w:val="000000"/>
                <w:sz w:val="24"/>
                <w:szCs w:val="24"/>
              </w:rPr>
              <w:t>非單一國家</w:t>
            </w:r>
            <w:r>
              <w:rPr>
                <w:rFonts w:ascii="仿宋" w:hAnsi="仿宋" w:eastAsia="仿宋" w:cs="Times New Roman"/>
                <w:color w:val="000000"/>
                <w:sz w:val="24"/>
                <w:szCs w:val="24"/>
              </w:rPr>
              <w:t>/</w:t>
            </w:r>
            <w:r>
              <w:rPr>
                <w:rFonts w:hint="eastAsia" w:ascii="仿宋" w:hAnsi="仿宋" w:eastAsia="仿宋" w:cs="Times New Roman"/>
                <w:color w:val="000000"/>
                <w:sz w:val="24"/>
                <w:szCs w:val="24"/>
              </w:rPr>
              <w:t>地區</w:t>
            </w:r>
          </w:p>
        </w:tc>
        <w:tc>
          <w:tcPr>
            <w:tcW w:w="3048" w:type="dxa"/>
            <w:tcBorders>
              <w:right w:val="single" w:color="auto" w:sz="4" w:space="0"/>
            </w:tcBorders>
            <w:vAlign w:val="top"/>
          </w:tcPr>
          <w:p w14:paraId="43EE37B0">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71EE2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bottom w:val="single" w:color="auto" w:sz="4" w:space="0"/>
            </w:tcBorders>
            <w:vAlign w:val="top"/>
          </w:tcPr>
          <w:p>
            <w:r>
              <w:t>资料未载明</w:t>
            </w:r>
          </w:p>
        </w:tc>
        <w:tc>
          <w:tcPr>
            <w:tcW w:w="3048" w:type="dxa"/>
            <w:tcBorders>
              <w:bottom w:val="single" w:color="auto" w:sz="4" w:space="0"/>
            </w:tcBorders>
            <w:vAlign w:val="top"/>
          </w:tcPr>
          <w:p w14:paraId="15E978F2">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新興市場</w:t>
            </w:r>
            <w:r>
              <w:rPr>
                <w:rFonts w:hint="eastAsia" w:ascii="仿宋" w:hAnsi="仿宋" w:eastAsia="仿宋" w:cs="Times New Roman"/>
                <w:color w:val="000000"/>
                <w:sz w:val="24"/>
                <w:szCs w:val="24"/>
              </w:rPr>
              <w:t xml:space="preserve"> </w:t>
            </w:r>
            <w:r>
              <w:rPr>
                <w:rFonts w:ascii="仿宋" w:hAnsi="仿宋" w:eastAsia="仿宋" w:cs="Times New Roman"/>
                <w:color w:val="000000"/>
                <w:sz w:val="24"/>
                <w:szCs w:val="24"/>
              </w:rPr>
              <w:t>- 單一國家/</w:t>
            </w:r>
            <w:r>
              <w:rPr>
                <w:rFonts w:hint="eastAsia" w:ascii="仿宋" w:hAnsi="仿宋" w:eastAsia="仿宋" w:cs="Times New Roman"/>
                <w:color w:val="000000"/>
                <w:sz w:val="24"/>
                <w:szCs w:val="24"/>
              </w:rPr>
              <w:t>地區</w:t>
            </w:r>
          </w:p>
        </w:tc>
        <w:tc>
          <w:tcPr>
            <w:tcW w:w="3048" w:type="dxa"/>
            <w:tcBorders>
              <w:bottom w:val="single" w:color="auto" w:sz="4" w:space="0"/>
              <w:right w:val="single" w:color="auto" w:sz="4" w:space="0"/>
            </w:tcBorders>
            <w:vAlign w:val="top"/>
          </w:tcPr>
          <w:p w14:paraId="28188A1C">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2EDACA04">
      <w:pPr>
        <w:pStyle w:val="60"/>
        <w:shd w:val="clear" w:color="auto" w:fill="FFFFFF"/>
        <w:snapToGrid w:val="0"/>
        <w:spacing w:before="0" w:after="0" w:line="240" w:lineRule="auto"/>
        <w:ind w:left="425" w:leftChars="0"/>
        <w:rPr>
          <w:rFonts w:ascii="仿宋" w:hAnsi="仿宋" w:eastAsia="仿宋" w:cs="Times New Roman"/>
          <w:color w:val="000000"/>
          <w:sz w:val="24"/>
          <w:szCs w:val="24"/>
        </w:rPr>
      </w:pPr>
      <w:bookmarkStart w:id="2" w:name="_GoBack"/>
      <w:bookmarkEnd w:id="2"/>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0"/>
        <w:gridCol w:w="6804"/>
        <w:gridCol w:w="2431"/>
      </w:tblGrid>
      <w:tr w14:paraId="6F77C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bottom w:val="single" w:color="auto" w:sz="4" w:space="0"/>
            </w:tcBorders>
            <w:vAlign w:val="top"/>
          </w:tcPr>
          <w:p w14:paraId="4AA33FEC">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.3</w:t>
            </w:r>
          </w:p>
        </w:tc>
        <w:tc>
          <w:tcPr>
            <w:tcW w:w="3048" w:type="dxa"/>
            <w:tcBorders>
              <w:bottom w:val="single" w:color="auto" w:sz="4" w:space="0"/>
            </w:tcBorders>
            <w:vAlign w:val="top"/>
          </w:tcPr>
          <w:p w14:paraId="73D80FDB">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投資槓桿</w:t>
            </w:r>
          </w:p>
        </w:tc>
        <w:tc>
          <w:tcPr>
            <w:tcW w:w="3048" w:type="dxa"/>
            <w:tcBorders>
              <w:bottom w:val="single" w:color="auto" w:sz="4" w:space="0"/>
            </w:tcBorders>
            <w:vAlign w:val="top"/>
          </w:tcPr>
          <w:p w14:paraId="42E53D91">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267A6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资料未载明</w:t>
            </w:r>
          </w:p>
        </w:tc>
        <w:tc>
          <w:tcPr>
            <w:tcW w:w="3048" w:type="dxa"/>
            <w:tcBorders>
              <w:top w:val="single" w:color="auto" w:sz="4" w:space="0"/>
            </w:tcBorders>
            <w:vAlign w:val="top"/>
          </w:tcPr>
          <w:p w14:paraId="44C141FC">
            <w:pPr>
              <w:pStyle w:val="60"/>
              <w:snapToGrid w:val="0"/>
              <w:spacing w:before="0" w:after="0" w:line="240" w:lineRule="auto"/>
              <w:ind w:left="0" w:leftChars="0"/>
              <w:rPr>
                <w:rFonts w:ascii="仿宋" w:hAnsi="仿宋" w:eastAsia="仿宋" w:cs="Times New Roman"/>
                <w:color w:val="000000"/>
                <w:sz w:val="24"/>
                <w:szCs w:val="24"/>
                <w:lang w:eastAsia="zh-CN"/>
              </w:rPr>
            </w:pPr>
            <w:r>
              <w:rPr>
                <w:rFonts w:hint="eastAsia" w:ascii="仿宋" w:hAnsi="仿宋" w:eastAsia="仿宋" w:cs="Times New Roman"/>
                <w:color w:val="000000"/>
                <w:sz w:val="24"/>
                <w:szCs w:val="24"/>
                <w:lang w:eastAsia="zh-CN"/>
              </w:rPr>
              <w:t>無，不允許使用槓桿；</w:t>
            </w:r>
            <w:r>
              <w:rPr>
                <w:rFonts w:hint="eastAsia" w:ascii="仿宋" w:hAnsi="仿宋" w:eastAsia="仿宋" w:cs="Times New Roman"/>
                <w:color w:val="000000" w:themeColor="text1"/>
                <w:sz w:val="24"/>
                <w:szCs w:val="24"/>
                <w:lang w:eastAsia="zh-CN"/>
                <w14:textFill>
                  <w14:solidFill>
                    <w14:schemeClr w14:val="tx1"/>
                  </w14:solidFill>
                </w14:textFill>
              </w:rPr>
              <w:t>或分级产品之优先级份额</w:t>
            </w:r>
          </w:p>
        </w:tc>
        <w:tc>
          <w:tcPr>
            <w:tcW w:w="3048" w:type="dxa"/>
            <w:tcBorders>
              <w:top w:val="single" w:color="auto" w:sz="4" w:space="0"/>
              <w:right w:val="single" w:color="auto" w:sz="4" w:space="0"/>
            </w:tcBorders>
            <w:vAlign w:val="top"/>
          </w:tcPr>
          <w:p w14:paraId="450D336B">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0</w:t>
            </w:r>
          </w:p>
        </w:tc>
      </w:tr>
      <w:tr w14:paraId="069F6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3048" w:type="dxa"/>
            <w:tcBorders>
              <w:top w:val="single" w:color="auto" w:sz="4" w:space="0"/>
              <w:left w:val="single" w:color="auto" w:sz="4" w:space="0"/>
            </w:tcBorders>
            <w:vAlign w:val="top"/>
          </w:tcPr>
          <w:p>
            <w:r>
              <w:t>资料未载明</w:t>
            </w:r>
          </w:p>
        </w:tc>
        <w:tc>
          <w:tcPr>
            <w:tcW w:w="3048" w:type="dxa"/>
            <w:tcBorders>
              <w:top w:val="single" w:color="auto" w:sz="4" w:space="0"/>
            </w:tcBorders>
            <w:vAlign w:val="top"/>
          </w:tcPr>
          <w:p w14:paraId="15EC94AE">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25%</w:t>
            </w:r>
          </w:p>
        </w:tc>
        <w:tc>
          <w:tcPr>
            <w:tcW w:w="3048" w:type="dxa"/>
            <w:tcBorders>
              <w:top w:val="single" w:color="auto" w:sz="4" w:space="0"/>
              <w:right w:val="single" w:color="auto" w:sz="4" w:space="0"/>
            </w:tcBorders>
            <w:vAlign w:val="top"/>
          </w:tcPr>
          <w:p w14:paraId="30109135">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10E65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60D8B2AD">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50%</w:t>
            </w:r>
          </w:p>
        </w:tc>
        <w:tc>
          <w:tcPr>
            <w:tcW w:w="3048" w:type="dxa"/>
            <w:tcBorders>
              <w:right w:val="single" w:color="auto" w:sz="4" w:space="0"/>
            </w:tcBorders>
            <w:vAlign w:val="top"/>
          </w:tcPr>
          <w:p w14:paraId="744B897C">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5519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706E8205">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100%</w:t>
            </w:r>
          </w:p>
        </w:tc>
        <w:tc>
          <w:tcPr>
            <w:tcW w:w="3048" w:type="dxa"/>
            <w:tcBorders>
              <w:right w:val="single" w:color="auto" w:sz="4" w:space="0"/>
            </w:tcBorders>
            <w:vAlign w:val="top"/>
          </w:tcPr>
          <w:p w14:paraId="5A7EFF6A">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7C4E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77D7FE2F">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可高於1</w:t>
            </w:r>
            <w:r>
              <w:rPr>
                <w:rFonts w:ascii="仿宋" w:hAnsi="仿宋" w:eastAsia="仿宋" w:cs="Times New Roman"/>
                <w:color w:val="000000"/>
                <w:sz w:val="24"/>
                <w:szCs w:val="24"/>
              </w:rPr>
              <w:t>00%</w:t>
            </w:r>
            <w:r>
              <w:rPr>
                <w:rFonts w:hint="eastAsia" w:ascii="仿宋" w:hAnsi="仿宋" w:eastAsia="仿宋" w:cs="Times New Roman"/>
                <w:color w:val="000000"/>
                <w:sz w:val="24"/>
                <w:szCs w:val="24"/>
              </w:rPr>
              <w:t>，或</w:t>
            </w:r>
            <w:r>
              <w:rPr>
                <w:rFonts w:ascii="仿宋" w:hAnsi="仿宋" w:eastAsia="仿宋" w:cs="Times New Roman"/>
                <w:color w:val="000000"/>
                <w:sz w:val="24"/>
                <w:szCs w:val="24"/>
              </w:rPr>
              <w:t>PPM</w:t>
            </w:r>
            <w:r>
              <w:rPr>
                <w:rFonts w:hint="eastAsia" w:ascii="仿宋" w:hAnsi="仿宋" w:eastAsia="仿宋" w:cs="Times New Roman"/>
                <w:color w:val="000000"/>
                <w:sz w:val="24"/>
                <w:szCs w:val="24"/>
              </w:rPr>
              <w:t>中沒有説明投資槓桿使用限制</w:t>
            </w:r>
          </w:p>
        </w:tc>
        <w:tc>
          <w:tcPr>
            <w:tcW w:w="3048" w:type="dxa"/>
            <w:tcBorders>
              <w:right w:val="single" w:color="auto" w:sz="4" w:space="0"/>
            </w:tcBorders>
            <w:vAlign w:val="top"/>
          </w:tcPr>
          <w:p w14:paraId="343F528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7432D0C2">
      <w:pPr>
        <w:pStyle w:val="60"/>
        <w:shd w:val="clear" w:color="auto" w:fill="FFFFFF"/>
        <w:snapToGrid w:val="0"/>
        <w:spacing w:before="0" w:after="0" w:line="240" w:lineRule="auto"/>
        <w:ind w:left="360" w:leftChars="0"/>
        <w:rPr>
          <w:rFonts w:ascii="仿宋" w:hAnsi="仿宋" w:eastAsia="仿宋" w:cs="Times New Roman"/>
          <w:b/>
          <w:color w:val="000000"/>
          <w:sz w:val="24"/>
          <w:szCs w:val="24"/>
        </w:rPr>
      </w:pPr>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1"/>
        <w:gridCol w:w="6707"/>
        <w:gridCol w:w="2444"/>
      </w:tblGrid>
      <w:tr w14:paraId="272E7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bottom w:val="single" w:color="auto" w:sz="4" w:space="0"/>
            </w:tcBorders>
            <w:vAlign w:val="top"/>
          </w:tcPr>
          <w:p w14:paraId="5C7F9D95">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.4.1</w:t>
            </w:r>
          </w:p>
        </w:tc>
        <w:tc>
          <w:tcPr>
            <w:tcW w:w="3048" w:type="dxa"/>
            <w:tcBorders>
              <w:bottom w:val="single" w:color="auto" w:sz="4" w:space="0"/>
            </w:tcBorders>
            <w:vAlign w:val="top"/>
          </w:tcPr>
          <w:p w14:paraId="26CD47C1">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投資標的限制（主要投資標的或其底層資產為債券）</w:t>
            </w:r>
          </w:p>
        </w:tc>
        <w:tc>
          <w:tcPr>
            <w:tcW w:w="3048" w:type="dxa"/>
            <w:tcBorders>
              <w:bottom w:val="single" w:color="auto" w:sz="4" w:space="0"/>
            </w:tcBorders>
            <w:vAlign w:val="top"/>
          </w:tcPr>
          <w:p w14:paraId="2C467CCC">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13870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 0</w:t>
            </w:r>
          </w:p>
        </w:tc>
        <w:tc>
          <w:tcPr>
            <w:tcW w:w="3048" w:type="dxa"/>
            <w:tcBorders>
              <w:top w:val="single" w:color="auto" w:sz="4" w:space="0"/>
            </w:tcBorders>
            <w:vAlign w:val="top"/>
          </w:tcPr>
          <w:p w14:paraId="46B869D2">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不適用</w:t>
            </w:r>
          </w:p>
        </w:tc>
        <w:tc>
          <w:tcPr>
            <w:tcW w:w="3048" w:type="dxa"/>
            <w:tcBorders>
              <w:top w:val="single" w:color="auto" w:sz="4" w:space="0"/>
              <w:right w:val="single" w:color="auto" w:sz="4" w:space="0"/>
            </w:tcBorders>
            <w:vAlign w:val="top"/>
          </w:tcPr>
          <w:p w14:paraId="2BC083A5">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0</w:t>
            </w:r>
          </w:p>
        </w:tc>
      </w:tr>
      <w:tr w14:paraId="4A2A2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 0</w:t>
            </w:r>
          </w:p>
        </w:tc>
        <w:tc>
          <w:tcPr>
            <w:tcW w:w="3048" w:type="dxa"/>
            <w:tcBorders>
              <w:top w:val="single" w:color="auto" w:sz="4" w:space="0"/>
            </w:tcBorders>
            <w:vAlign w:val="top"/>
          </w:tcPr>
          <w:p w14:paraId="70FCA91B">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僅限投資級別債券</w:t>
            </w:r>
          </w:p>
        </w:tc>
        <w:tc>
          <w:tcPr>
            <w:tcW w:w="3048" w:type="dxa"/>
            <w:tcBorders>
              <w:top w:val="single" w:color="auto" w:sz="4" w:space="0"/>
              <w:right w:val="single" w:color="auto" w:sz="4" w:space="0"/>
            </w:tcBorders>
            <w:vAlign w:val="top"/>
          </w:tcPr>
          <w:p w14:paraId="27F05643">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sz w:val="24"/>
                <w:lang w:eastAsia="zh-CN"/>
              </w:rPr>
              <w:t>□</w:t>
            </w:r>
            <w:r>
              <w:rPr>
                <w:rFonts w:ascii="仿宋" w:hAnsi="仿宋" w:eastAsia="仿宋"/>
                <w:sz w:val="24"/>
              </w:rPr>
              <w:t xml:space="preserve"> </w:t>
            </w:r>
            <w:r>
              <w:rPr>
                <w:rFonts w:ascii="仿宋" w:hAnsi="仿宋" w:eastAsia="仿宋" w:cs="Times New Roman"/>
                <w:color w:val="000000"/>
                <w:sz w:val="24"/>
                <w:szCs w:val="24"/>
              </w:rPr>
              <w:t>1</w:t>
            </w:r>
          </w:p>
        </w:tc>
      </w:tr>
      <w:tr w14:paraId="13A32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 0</w:t>
            </w:r>
          </w:p>
        </w:tc>
        <w:tc>
          <w:tcPr>
            <w:tcW w:w="3048" w:type="dxa"/>
            <w:vAlign w:val="top"/>
          </w:tcPr>
          <w:p w14:paraId="02C3C40E">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非投資級別債券不高於</w:t>
            </w:r>
            <w:r>
              <w:rPr>
                <w:rFonts w:ascii="仿宋" w:hAnsi="仿宋" w:eastAsia="仿宋" w:cs="Times New Roman"/>
                <w:color w:val="000000"/>
                <w:sz w:val="24"/>
                <w:szCs w:val="24"/>
              </w:rPr>
              <w:t>10%</w:t>
            </w:r>
          </w:p>
        </w:tc>
        <w:tc>
          <w:tcPr>
            <w:tcW w:w="3048" w:type="dxa"/>
            <w:tcBorders>
              <w:right w:val="single" w:color="auto" w:sz="4" w:space="0"/>
            </w:tcBorders>
            <w:vAlign w:val="top"/>
          </w:tcPr>
          <w:p w14:paraId="2B4510D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5DBA1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 0</w:t>
            </w:r>
          </w:p>
        </w:tc>
        <w:tc>
          <w:tcPr>
            <w:tcW w:w="3048" w:type="dxa"/>
            <w:vAlign w:val="top"/>
          </w:tcPr>
          <w:p w14:paraId="1CC932B6">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非投資級別債券不高於</w:t>
            </w:r>
            <w:r>
              <w:rPr>
                <w:rFonts w:ascii="仿宋" w:hAnsi="仿宋" w:eastAsia="仿宋" w:cs="Times New Roman"/>
                <w:color w:val="000000"/>
                <w:sz w:val="24"/>
                <w:szCs w:val="24"/>
              </w:rPr>
              <w:t>30%</w:t>
            </w:r>
          </w:p>
        </w:tc>
        <w:tc>
          <w:tcPr>
            <w:tcW w:w="3048" w:type="dxa"/>
            <w:tcBorders>
              <w:right w:val="single" w:color="auto" w:sz="4" w:space="0"/>
            </w:tcBorders>
            <w:vAlign w:val="top"/>
          </w:tcPr>
          <w:p w14:paraId="6DAB3FC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390A6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7CB7398C">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非投資級別債券不高於</w:t>
            </w:r>
            <w:r>
              <w:rPr>
                <w:rFonts w:ascii="仿宋" w:hAnsi="仿宋" w:eastAsia="仿宋" w:cs="Times New Roman"/>
                <w:color w:val="000000"/>
                <w:sz w:val="24"/>
                <w:szCs w:val="24"/>
              </w:rPr>
              <w:t>50%</w:t>
            </w:r>
          </w:p>
        </w:tc>
        <w:tc>
          <w:tcPr>
            <w:tcW w:w="3048" w:type="dxa"/>
            <w:tcBorders>
              <w:right w:val="single" w:color="auto" w:sz="4" w:space="0"/>
            </w:tcBorders>
            <w:vAlign w:val="top"/>
          </w:tcPr>
          <w:p w14:paraId="1C27AC51">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30ED7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 0</w:t>
            </w:r>
          </w:p>
        </w:tc>
        <w:tc>
          <w:tcPr>
            <w:tcW w:w="3048" w:type="dxa"/>
            <w:vAlign w:val="top"/>
          </w:tcPr>
          <w:p w14:paraId="0B0EEBAB">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非投資級別債券可高於</w:t>
            </w:r>
            <w:r>
              <w:rPr>
                <w:rFonts w:ascii="仿宋" w:hAnsi="仿宋" w:eastAsia="仿宋" w:cs="Times New Roman"/>
                <w:color w:val="000000"/>
                <w:sz w:val="24"/>
                <w:szCs w:val="24"/>
              </w:rPr>
              <w:t>50%</w:t>
            </w:r>
            <w:r>
              <w:rPr>
                <w:rFonts w:hint="eastAsia" w:ascii="仿宋" w:hAnsi="仿宋" w:eastAsia="仿宋" w:cs="Times New Roman"/>
                <w:color w:val="000000"/>
                <w:sz w:val="24"/>
                <w:szCs w:val="24"/>
              </w:rPr>
              <w:t>，或</w:t>
            </w:r>
            <w:r>
              <w:rPr>
                <w:rFonts w:ascii="仿宋" w:hAnsi="仿宋" w:eastAsia="仿宋" w:cs="Times New Roman"/>
                <w:color w:val="000000"/>
                <w:sz w:val="24"/>
                <w:szCs w:val="24"/>
              </w:rPr>
              <w:t>PPM</w:t>
            </w:r>
            <w:r>
              <w:rPr>
                <w:rFonts w:hint="eastAsia" w:ascii="仿宋" w:hAnsi="仿宋" w:eastAsia="仿宋" w:cs="Times New Roman"/>
                <w:color w:val="000000"/>
                <w:sz w:val="24"/>
                <w:szCs w:val="24"/>
              </w:rPr>
              <w:t>中無特別説明</w:t>
            </w:r>
          </w:p>
        </w:tc>
        <w:tc>
          <w:tcPr>
            <w:tcW w:w="3048" w:type="dxa"/>
            <w:tcBorders>
              <w:right w:val="single" w:color="auto" w:sz="4" w:space="0"/>
            </w:tcBorders>
            <w:vAlign w:val="top"/>
          </w:tcPr>
          <w:p w14:paraId="5673BB8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2168F4FE">
      <w:pPr>
        <w:shd w:val="clear" w:color="auto" w:fill="FFFFFF"/>
        <w:snapToGrid w:val="0"/>
        <w:spacing w:before="0" w:after="0" w:line="240" w:lineRule="auto"/>
        <w:ind w:left="360"/>
        <w:rPr>
          <w:rFonts w:ascii="仿宋" w:hAnsi="仿宋" w:eastAsia="仿宋" w:cs="Times New Roman"/>
          <w:b/>
          <w:color w:val="000000"/>
          <w:sz w:val="24"/>
          <w:szCs w:val="24"/>
        </w:rPr>
      </w:pPr>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1"/>
        <w:gridCol w:w="6707"/>
        <w:gridCol w:w="2444"/>
      </w:tblGrid>
      <w:tr w14:paraId="0A5E1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bottom w:val="single" w:color="auto" w:sz="4" w:space="0"/>
            </w:tcBorders>
            <w:vAlign w:val="top"/>
          </w:tcPr>
          <w:p w14:paraId="528B88B8">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.4.2</w:t>
            </w:r>
          </w:p>
        </w:tc>
        <w:tc>
          <w:tcPr>
            <w:tcW w:w="3048" w:type="dxa"/>
            <w:tcBorders>
              <w:bottom w:val="single" w:color="auto" w:sz="4" w:space="0"/>
            </w:tcBorders>
            <w:vAlign w:val="top"/>
          </w:tcPr>
          <w:p w14:paraId="4E08C985">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投資標的主要产业（主要投資標的或其底層資產為股票）</w:t>
            </w:r>
          </w:p>
        </w:tc>
        <w:tc>
          <w:tcPr>
            <w:tcW w:w="3048" w:type="dxa"/>
            <w:tcBorders>
              <w:bottom w:val="single" w:color="auto" w:sz="4" w:space="0"/>
            </w:tcBorders>
            <w:vAlign w:val="top"/>
          </w:tcPr>
          <w:p w14:paraId="4227C284">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47552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资料未载明</w:t>
            </w:r>
          </w:p>
        </w:tc>
        <w:tc>
          <w:tcPr>
            <w:tcW w:w="3048" w:type="dxa"/>
            <w:tcBorders>
              <w:top w:val="single" w:color="auto" w:sz="4" w:space="0"/>
            </w:tcBorders>
            <w:vAlign w:val="top"/>
          </w:tcPr>
          <w:p w14:paraId="5CDF0096">
            <w:pPr>
              <w:pStyle w:val="60"/>
              <w:snapToGrid w:val="0"/>
              <w:spacing w:before="0" w:after="0" w:line="240" w:lineRule="auto"/>
              <w:ind w:left="0" w:leftChars="0"/>
              <w:rPr>
                <w:rFonts w:ascii="仿宋" w:hAnsi="仿宋" w:eastAsia="仿宋" w:cs="Times New Roman"/>
                <w:color w:val="000000"/>
                <w:sz w:val="24"/>
                <w:szCs w:val="24"/>
                <w:highlight w:val="yellow"/>
              </w:rPr>
            </w:pPr>
            <w:r>
              <w:rPr>
                <w:rFonts w:hint="eastAsia" w:ascii="仿宋" w:hAnsi="仿宋" w:eastAsia="仿宋" w:cs="Times New Roman"/>
                <w:color w:val="000000"/>
                <w:sz w:val="24"/>
                <w:szCs w:val="24"/>
              </w:rPr>
              <w:t>不適用</w:t>
            </w:r>
          </w:p>
        </w:tc>
        <w:tc>
          <w:tcPr>
            <w:tcW w:w="3048" w:type="dxa"/>
            <w:tcBorders>
              <w:top w:val="single" w:color="auto" w:sz="4" w:space="0"/>
              <w:right w:val="single" w:color="auto" w:sz="4" w:space="0"/>
            </w:tcBorders>
            <w:vAlign w:val="top"/>
          </w:tcPr>
          <w:p w14:paraId="72266DF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0</w:t>
            </w:r>
          </w:p>
        </w:tc>
      </w:tr>
      <w:tr w14:paraId="5029D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资料未载明</w:t>
            </w:r>
          </w:p>
        </w:tc>
        <w:tc>
          <w:tcPr>
            <w:tcW w:w="3048" w:type="dxa"/>
            <w:tcBorders>
              <w:top w:val="single" w:color="auto" w:sz="4" w:space="0"/>
            </w:tcBorders>
            <w:vAlign w:val="top"/>
          </w:tcPr>
          <w:p w14:paraId="68D16E9B">
            <w:pPr>
              <w:pStyle w:val="60"/>
              <w:snapToGrid w:val="0"/>
              <w:spacing w:before="0" w:after="0" w:line="240" w:lineRule="auto"/>
              <w:ind w:left="0" w:leftChars="0"/>
              <w:rPr>
                <w:rFonts w:ascii="仿宋" w:hAnsi="仿宋" w:eastAsia="仿宋" w:cs="Times New Roman"/>
                <w:color w:val="000000"/>
                <w:sz w:val="24"/>
                <w:szCs w:val="24"/>
                <w:highlight w:val="yellow"/>
              </w:rPr>
            </w:pPr>
            <w:r>
              <w:rPr>
                <w:rFonts w:hint="eastAsia" w:ascii="仿宋" w:hAnsi="仿宋" w:eastAsia="仿宋" w:cs="Times New Roman"/>
                <w:color w:val="000000"/>
                <w:sz w:val="24"/>
                <w:szCs w:val="24"/>
              </w:rPr>
              <w:t>公用事業</w:t>
            </w:r>
          </w:p>
        </w:tc>
        <w:tc>
          <w:tcPr>
            <w:tcW w:w="3048" w:type="dxa"/>
            <w:tcBorders>
              <w:top w:val="single" w:color="auto" w:sz="4" w:space="0"/>
              <w:right w:val="single" w:color="auto" w:sz="4" w:space="0"/>
            </w:tcBorders>
            <w:vAlign w:val="top"/>
          </w:tcPr>
          <w:p w14:paraId="458D134A">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60F7E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198C5715">
            <w:pPr>
              <w:pStyle w:val="60"/>
              <w:snapToGrid w:val="0"/>
              <w:spacing w:before="0" w:after="0" w:line="240" w:lineRule="auto"/>
              <w:ind w:left="0" w:leftChars="0"/>
              <w:rPr>
                <w:rFonts w:ascii="仿宋" w:hAnsi="仿宋" w:eastAsia="仿宋" w:cs="Times New Roman"/>
                <w:color w:val="000000"/>
                <w:sz w:val="24"/>
                <w:szCs w:val="24"/>
                <w:highlight w:val="yellow"/>
              </w:rPr>
            </w:pPr>
            <w:r>
              <w:rPr>
                <w:rFonts w:hint="eastAsia" w:ascii="仿宋" w:hAnsi="仿宋" w:eastAsia="仿宋" w:cs="Times New Roman"/>
                <w:color w:val="000000"/>
                <w:sz w:val="24"/>
                <w:szCs w:val="24"/>
              </w:rPr>
              <w:t>醫療保健、金融、能源、必选消费</w:t>
            </w:r>
          </w:p>
        </w:tc>
        <w:tc>
          <w:tcPr>
            <w:tcW w:w="3048" w:type="dxa"/>
            <w:tcBorders>
              <w:right w:val="single" w:color="auto" w:sz="4" w:space="0"/>
            </w:tcBorders>
            <w:vAlign w:val="top"/>
          </w:tcPr>
          <w:p w14:paraId="37F584E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0BB0D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09B4C58D">
            <w:pPr>
              <w:pStyle w:val="60"/>
              <w:snapToGrid w:val="0"/>
              <w:spacing w:before="0" w:after="0" w:line="240" w:lineRule="auto"/>
              <w:ind w:left="0" w:leftChars="0"/>
              <w:rPr>
                <w:rFonts w:ascii="仿宋" w:hAnsi="仿宋" w:eastAsia="仿宋" w:cs="Times New Roman"/>
                <w:color w:val="000000"/>
                <w:sz w:val="24"/>
                <w:szCs w:val="24"/>
                <w:lang w:eastAsia="zh-CN"/>
              </w:rPr>
            </w:pPr>
            <w:r>
              <w:rPr>
                <w:rFonts w:hint="eastAsia" w:ascii="仿宋" w:hAnsi="仿宋" w:eastAsia="仿宋" w:cs="Times New Roman"/>
                <w:color w:val="000000"/>
                <w:sz w:val="24"/>
                <w:szCs w:val="24"/>
                <w:lang w:eastAsia="zh-CN"/>
              </w:rPr>
              <w:t>工業、通訊服務、非必选消费、资讯技术</w:t>
            </w:r>
          </w:p>
        </w:tc>
        <w:tc>
          <w:tcPr>
            <w:tcW w:w="3048" w:type="dxa"/>
            <w:tcBorders>
              <w:right w:val="single" w:color="auto" w:sz="4" w:space="0"/>
            </w:tcBorders>
            <w:vAlign w:val="top"/>
          </w:tcPr>
          <w:p w14:paraId="770B6865">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393C9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3E241723">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原材料、房地產、其他或PPM中無特別説明</w:t>
            </w:r>
          </w:p>
        </w:tc>
        <w:tc>
          <w:tcPr>
            <w:tcW w:w="3048" w:type="dxa"/>
            <w:tcBorders>
              <w:right w:val="single" w:color="auto" w:sz="4" w:space="0"/>
            </w:tcBorders>
            <w:vAlign w:val="top"/>
          </w:tcPr>
          <w:p w14:paraId="099877E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340A6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45C29922">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单一行业（若投資于單一行業，需額外勾選此項）</w:t>
            </w:r>
          </w:p>
        </w:tc>
        <w:tc>
          <w:tcPr>
            <w:tcW w:w="3048" w:type="dxa"/>
            <w:tcBorders>
              <w:right w:val="single" w:color="auto" w:sz="4" w:space="0"/>
            </w:tcBorders>
            <w:vAlign w:val="top"/>
          </w:tcPr>
          <w:p w14:paraId="5579930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bl>
    <w:p w14:paraId="0D133A13">
      <w:pPr>
        <w:shd w:val="clear" w:color="auto" w:fill="FFFFFF"/>
        <w:snapToGrid w:val="0"/>
        <w:spacing w:before="0" w:after="0" w:line="240" w:lineRule="auto"/>
        <w:ind w:left="360"/>
        <w:rPr>
          <w:rFonts w:ascii="仿宋" w:hAnsi="仿宋" w:eastAsia="仿宋" w:cs="Times New Roman"/>
          <w:b/>
          <w:color w:val="000000"/>
          <w:sz w:val="24"/>
          <w:szCs w:val="24"/>
        </w:rPr>
      </w:pPr>
    </w:p>
    <w:p w14:paraId="35A7A798">
      <w:pPr>
        <w:shd w:val="clear" w:color="auto" w:fill="FFFFFF"/>
        <w:snapToGrid w:val="0"/>
        <w:spacing w:before="0" w:after="0" w:line="240" w:lineRule="auto"/>
        <w:rPr>
          <w:rFonts w:ascii="仿宋" w:hAnsi="仿宋" w:eastAsia="仿宋" w:cs="Times New Roman"/>
          <w:b/>
          <w:color w:val="000000"/>
          <w:sz w:val="24"/>
          <w:szCs w:val="24"/>
        </w:rPr>
      </w:pPr>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6804"/>
        <w:gridCol w:w="2347"/>
      </w:tblGrid>
      <w:tr w14:paraId="22CD1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bottom w:val="single" w:color="auto" w:sz="4" w:space="0"/>
            </w:tcBorders>
            <w:vAlign w:val="top"/>
          </w:tcPr>
          <w:p w14:paraId="7BD55100">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.5</w:t>
            </w:r>
          </w:p>
        </w:tc>
        <w:tc>
          <w:tcPr>
            <w:tcW w:w="3048" w:type="dxa"/>
            <w:tcBorders>
              <w:bottom w:val="single" w:color="auto" w:sz="4" w:space="0"/>
            </w:tcBorders>
            <w:vAlign w:val="top"/>
          </w:tcPr>
          <w:p w14:paraId="41916496">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產品單位淨值波動（最近三年）</w:t>
            </w:r>
          </w:p>
        </w:tc>
        <w:tc>
          <w:tcPr>
            <w:tcW w:w="3048" w:type="dxa"/>
            <w:tcBorders>
              <w:bottom w:val="single" w:color="auto" w:sz="4" w:space="0"/>
            </w:tcBorders>
            <w:vAlign w:val="top"/>
          </w:tcPr>
          <w:p w14:paraId="01CCA470">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5BE39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資料未載明</w:t>
            </w:r>
          </w:p>
        </w:tc>
        <w:tc>
          <w:tcPr>
            <w:tcW w:w="3048" w:type="dxa"/>
            <w:tcBorders>
              <w:top w:val="single" w:color="auto" w:sz="4" w:space="0"/>
            </w:tcBorders>
            <w:vAlign w:val="top"/>
          </w:tcPr>
          <w:p w14:paraId="513DB9B8">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5%</w:t>
            </w:r>
          </w:p>
        </w:tc>
        <w:tc>
          <w:tcPr>
            <w:tcW w:w="3048" w:type="dxa"/>
            <w:tcBorders>
              <w:top w:val="single" w:color="auto" w:sz="4" w:space="0"/>
              <w:right w:val="single" w:color="auto" w:sz="4" w:space="0"/>
            </w:tcBorders>
            <w:vAlign w:val="top"/>
          </w:tcPr>
          <w:p w14:paraId="480AA83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4CA2E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22DF5DA9">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10%</w:t>
            </w:r>
          </w:p>
        </w:tc>
        <w:tc>
          <w:tcPr>
            <w:tcW w:w="3048" w:type="dxa"/>
            <w:tcBorders>
              <w:right w:val="single" w:color="auto" w:sz="4" w:space="0"/>
            </w:tcBorders>
            <w:vAlign w:val="top"/>
          </w:tcPr>
          <w:p w14:paraId="6E18E8AB">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0B12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6B8B15F1">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25%</w:t>
            </w:r>
          </w:p>
        </w:tc>
        <w:tc>
          <w:tcPr>
            <w:tcW w:w="3048" w:type="dxa"/>
            <w:tcBorders>
              <w:right w:val="single" w:color="auto" w:sz="4" w:space="0"/>
            </w:tcBorders>
            <w:vAlign w:val="top"/>
          </w:tcPr>
          <w:p w14:paraId="51D59DC9">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57620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74904E0A">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35%</w:t>
            </w:r>
          </w:p>
        </w:tc>
        <w:tc>
          <w:tcPr>
            <w:tcW w:w="3048" w:type="dxa"/>
            <w:tcBorders>
              <w:right w:val="single" w:color="auto" w:sz="4" w:space="0"/>
            </w:tcBorders>
            <w:vAlign w:val="top"/>
          </w:tcPr>
          <w:p w14:paraId="5F0ED72F">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0E669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資料未載明</w:t>
            </w:r>
          </w:p>
        </w:tc>
        <w:tc>
          <w:tcPr>
            <w:tcW w:w="3048" w:type="dxa"/>
            <w:vAlign w:val="top"/>
          </w:tcPr>
          <w:p w14:paraId="398CA652">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高於</w:t>
            </w:r>
            <w:r>
              <w:rPr>
                <w:rFonts w:ascii="仿宋" w:hAnsi="仿宋" w:eastAsia="仿宋" w:cs="Times New Roman"/>
                <w:color w:val="000000"/>
                <w:sz w:val="24"/>
                <w:szCs w:val="24"/>
              </w:rPr>
              <w:t>35%</w:t>
            </w:r>
            <w:r>
              <w:rPr>
                <w:rFonts w:hint="eastAsia" w:ascii="仿宋" w:hAnsi="仿宋" w:eastAsia="仿宋" w:cs="Times New Roman"/>
                <w:color w:val="000000"/>
                <w:sz w:val="24"/>
                <w:szCs w:val="24"/>
              </w:rPr>
              <w:t>，或不易估值（適用於淨值數據少於六個月的情形）</w:t>
            </w:r>
          </w:p>
        </w:tc>
        <w:tc>
          <w:tcPr>
            <w:tcW w:w="3048" w:type="dxa"/>
            <w:tcBorders>
              <w:right w:val="single" w:color="auto" w:sz="4" w:space="0"/>
            </w:tcBorders>
            <w:vAlign w:val="top"/>
          </w:tcPr>
          <w:p w14:paraId="63D57140">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120D8FD5">
      <w:pPr>
        <w:shd w:val="clear" w:color="auto" w:fill="FFFFFF"/>
        <w:snapToGrid w:val="0"/>
        <w:spacing w:before="0" w:after="0" w:line="240" w:lineRule="auto"/>
        <w:ind w:left="360"/>
        <w:rPr>
          <w:rFonts w:ascii="仿宋" w:hAnsi="仿宋" w:eastAsia="仿宋" w:cs="Times New Roman"/>
          <w:b/>
          <w:color w:val="000000"/>
          <w:sz w:val="24"/>
          <w:szCs w:val="24"/>
        </w:rPr>
      </w:pPr>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6804"/>
        <w:gridCol w:w="2347"/>
      </w:tblGrid>
      <w:tr w14:paraId="453B3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bottom w:val="single" w:color="auto" w:sz="4" w:space="0"/>
            </w:tcBorders>
            <w:vAlign w:val="top"/>
          </w:tcPr>
          <w:p w14:paraId="2D53AABB">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.6</w:t>
            </w:r>
          </w:p>
        </w:tc>
        <w:tc>
          <w:tcPr>
            <w:tcW w:w="3048" w:type="dxa"/>
            <w:tcBorders>
              <w:bottom w:val="single" w:color="auto" w:sz="4" w:space="0"/>
            </w:tcBorders>
            <w:vAlign w:val="top"/>
          </w:tcPr>
          <w:p w14:paraId="7DC9A54A">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貨幣風險</w:t>
            </w:r>
            <w:r>
              <w:rPr>
                <w:rFonts w:hint="eastAsia" w:ascii="仿宋" w:hAnsi="仿宋" w:eastAsia="仿宋" w:cs="Times New Roman"/>
                <w:b/>
                <w:color w:val="000000"/>
                <w:sz w:val="24"/>
                <w:szCs w:val="24"/>
              </w:rPr>
              <w:t>敞口</w:t>
            </w:r>
          </w:p>
        </w:tc>
        <w:tc>
          <w:tcPr>
            <w:tcW w:w="3048" w:type="dxa"/>
            <w:tcBorders>
              <w:bottom w:val="single" w:color="auto" w:sz="4" w:space="0"/>
            </w:tcBorders>
            <w:vAlign w:val="top"/>
          </w:tcPr>
          <w:p w14:paraId="3BD71486">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3B42D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资料未载明</w:t>
            </w:r>
          </w:p>
        </w:tc>
        <w:tc>
          <w:tcPr>
            <w:tcW w:w="3048" w:type="dxa"/>
            <w:tcBorders>
              <w:top w:val="single" w:color="auto" w:sz="4" w:space="0"/>
            </w:tcBorders>
            <w:vAlign w:val="top"/>
          </w:tcPr>
          <w:p w14:paraId="4395FF94">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港幣、美元</w:t>
            </w:r>
          </w:p>
        </w:tc>
        <w:tc>
          <w:tcPr>
            <w:tcW w:w="3048" w:type="dxa"/>
            <w:tcBorders>
              <w:top w:val="single" w:color="auto" w:sz="4" w:space="0"/>
              <w:right w:val="single" w:color="auto" w:sz="4" w:space="0"/>
            </w:tcBorders>
            <w:vAlign w:val="top"/>
          </w:tcPr>
          <w:p w14:paraId="6C7ABA1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3E8C2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jc w:val="center"/>
        </w:trPr>
        <w:tc>
          <w:tcPr>
            <w:tcW w:w="3048" w:type="dxa"/>
            <w:tcBorders>
              <w:left w:val="single" w:color="auto" w:sz="4" w:space="0"/>
            </w:tcBorders>
            <w:vAlign w:val="top"/>
          </w:tcPr>
          <w:p>
            <w:r>
              <w:t>资料未载明</w:t>
            </w:r>
          </w:p>
        </w:tc>
        <w:tc>
          <w:tcPr>
            <w:tcW w:w="3048" w:type="dxa"/>
            <w:vAlign w:val="top"/>
          </w:tcPr>
          <w:p w14:paraId="56546278">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日圓、瑞士法郎等</w:t>
            </w:r>
          </w:p>
        </w:tc>
        <w:tc>
          <w:tcPr>
            <w:tcW w:w="3048" w:type="dxa"/>
            <w:tcBorders>
              <w:right w:val="single" w:color="auto" w:sz="4" w:space="0"/>
            </w:tcBorders>
            <w:vAlign w:val="top"/>
          </w:tcPr>
          <w:p w14:paraId="7E52838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179B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353ED6DA">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人民幣、歐元</w:t>
            </w:r>
          </w:p>
        </w:tc>
        <w:tc>
          <w:tcPr>
            <w:tcW w:w="3048" w:type="dxa"/>
            <w:tcBorders>
              <w:right w:val="single" w:color="auto" w:sz="4" w:space="0"/>
            </w:tcBorders>
            <w:vAlign w:val="top"/>
          </w:tcPr>
          <w:p w14:paraId="46C53BFE">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02C70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4ACC1FB7">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澳元、新西蘭元、加元等商品貨幣</w:t>
            </w:r>
          </w:p>
        </w:tc>
        <w:tc>
          <w:tcPr>
            <w:tcW w:w="3048" w:type="dxa"/>
            <w:tcBorders>
              <w:right w:val="single" w:color="auto" w:sz="4" w:space="0"/>
            </w:tcBorders>
            <w:vAlign w:val="top"/>
          </w:tcPr>
          <w:p w14:paraId="13E9935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5E1D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6D8CF55F">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新興市場貨幣，或P</w:t>
            </w:r>
            <w:r>
              <w:rPr>
                <w:rFonts w:ascii="仿宋" w:hAnsi="仿宋" w:eastAsia="仿宋" w:cs="Times New Roman"/>
                <w:color w:val="000000"/>
                <w:sz w:val="24"/>
                <w:szCs w:val="24"/>
              </w:rPr>
              <w:t>PM</w:t>
            </w:r>
            <w:r>
              <w:rPr>
                <w:rFonts w:hint="eastAsia" w:ascii="仿宋" w:hAnsi="仿宋" w:eastAsia="仿宋" w:cs="Times New Roman"/>
                <w:color w:val="000000"/>
                <w:sz w:val="24"/>
                <w:szCs w:val="24"/>
              </w:rPr>
              <w:t>無特別説明</w:t>
            </w:r>
          </w:p>
        </w:tc>
        <w:tc>
          <w:tcPr>
            <w:tcW w:w="3048" w:type="dxa"/>
            <w:tcBorders>
              <w:right w:val="single" w:color="auto" w:sz="4" w:space="0"/>
            </w:tcBorders>
            <w:vAlign w:val="top"/>
          </w:tcPr>
          <w:p w14:paraId="53AE3B1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381BA263">
      <w:pPr>
        <w:pStyle w:val="60"/>
        <w:shd w:val="clear" w:color="auto" w:fill="FFFFFF"/>
        <w:snapToGrid w:val="0"/>
        <w:spacing w:before="0" w:after="0" w:line="240" w:lineRule="auto"/>
        <w:ind w:left="425" w:leftChars="0"/>
        <w:rPr>
          <w:rFonts w:ascii="仿宋" w:hAnsi="仿宋" w:eastAsia="仿宋" w:cs="Times New Roman"/>
          <w:b/>
          <w:color w:val="000000"/>
          <w:sz w:val="24"/>
          <w:szCs w:val="24"/>
        </w:rPr>
      </w:pPr>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6804"/>
        <w:gridCol w:w="2347"/>
      </w:tblGrid>
      <w:tr w14:paraId="7A387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bottom w:val="single" w:color="auto" w:sz="4" w:space="0"/>
            </w:tcBorders>
            <w:vAlign w:val="top"/>
          </w:tcPr>
          <w:p w14:paraId="17317115">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.7</w:t>
            </w:r>
          </w:p>
        </w:tc>
        <w:tc>
          <w:tcPr>
            <w:tcW w:w="3048" w:type="dxa"/>
            <w:tcBorders>
              <w:bottom w:val="single" w:color="auto" w:sz="4" w:space="0"/>
            </w:tcBorders>
            <w:vAlign w:val="top"/>
          </w:tcPr>
          <w:p w14:paraId="5ECBE02F">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鎖定期</w:t>
            </w:r>
          </w:p>
        </w:tc>
        <w:tc>
          <w:tcPr>
            <w:tcW w:w="3048" w:type="dxa"/>
            <w:tcBorders>
              <w:bottom w:val="single" w:color="auto" w:sz="4" w:space="0"/>
            </w:tcBorders>
            <w:vAlign w:val="top"/>
          </w:tcPr>
          <w:p w14:paraId="4E6455B2">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1B988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资料未载明</w:t>
            </w:r>
          </w:p>
        </w:tc>
        <w:tc>
          <w:tcPr>
            <w:tcW w:w="3048" w:type="dxa"/>
            <w:tcBorders>
              <w:top w:val="single" w:color="auto" w:sz="4" w:space="0"/>
            </w:tcBorders>
            <w:vAlign w:val="top"/>
          </w:tcPr>
          <w:p w14:paraId="5B9D91AA">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無</w:t>
            </w:r>
          </w:p>
        </w:tc>
        <w:tc>
          <w:tcPr>
            <w:tcW w:w="3048" w:type="dxa"/>
            <w:tcBorders>
              <w:top w:val="single" w:color="auto" w:sz="4" w:space="0"/>
              <w:right w:val="single" w:color="auto" w:sz="4" w:space="0"/>
            </w:tcBorders>
            <w:vAlign w:val="top"/>
          </w:tcPr>
          <w:p w14:paraId="46EA0A4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0</w:t>
            </w:r>
          </w:p>
        </w:tc>
      </w:tr>
      <w:tr w14:paraId="18F49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资料未载明</w:t>
            </w:r>
          </w:p>
        </w:tc>
        <w:tc>
          <w:tcPr>
            <w:tcW w:w="3048" w:type="dxa"/>
            <w:tcBorders>
              <w:top w:val="single" w:color="auto" w:sz="4" w:space="0"/>
            </w:tcBorders>
            <w:vAlign w:val="top"/>
          </w:tcPr>
          <w:p w14:paraId="5CC630BE">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不超過1年</w:t>
            </w:r>
          </w:p>
        </w:tc>
        <w:tc>
          <w:tcPr>
            <w:tcW w:w="3048" w:type="dxa"/>
            <w:tcBorders>
              <w:top w:val="single" w:color="auto" w:sz="4" w:space="0"/>
              <w:right w:val="single" w:color="auto" w:sz="4" w:space="0"/>
            </w:tcBorders>
            <w:vAlign w:val="top"/>
          </w:tcPr>
          <w:p w14:paraId="3A48E136">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5AD36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01B7940B">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不超過3年</w:t>
            </w:r>
          </w:p>
        </w:tc>
        <w:tc>
          <w:tcPr>
            <w:tcW w:w="3048" w:type="dxa"/>
            <w:tcBorders>
              <w:right w:val="single" w:color="auto" w:sz="4" w:space="0"/>
            </w:tcBorders>
            <w:vAlign w:val="top"/>
          </w:tcPr>
          <w:p w14:paraId="7AB708A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0C8E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301896C3">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不超過</w:t>
            </w:r>
            <w:r>
              <w:rPr>
                <w:rFonts w:ascii="仿宋" w:hAnsi="仿宋" w:eastAsia="仿宋" w:cs="Times New Roman"/>
                <w:color w:val="000000"/>
                <w:sz w:val="24"/>
                <w:szCs w:val="24"/>
              </w:rPr>
              <w:t>5</w:t>
            </w:r>
            <w:r>
              <w:rPr>
                <w:rFonts w:hint="eastAsia" w:ascii="仿宋" w:hAnsi="仿宋" w:eastAsia="仿宋" w:cs="Times New Roman"/>
                <w:color w:val="000000"/>
                <w:sz w:val="24"/>
                <w:szCs w:val="24"/>
              </w:rPr>
              <w:t>年</w:t>
            </w:r>
          </w:p>
        </w:tc>
        <w:tc>
          <w:tcPr>
            <w:tcW w:w="3048" w:type="dxa"/>
            <w:tcBorders>
              <w:right w:val="single" w:color="auto" w:sz="4" w:space="0"/>
            </w:tcBorders>
            <w:vAlign w:val="top"/>
          </w:tcPr>
          <w:p w14:paraId="3A5C9361">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11F31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2929464D">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不超過10年</w:t>
            </w:r>
          </w:p>
        </w:tc>
        <w:tc>
          <w:tcPr>
            <w:tcW w:w="3048" w:type="dxa"/>
            <w:tcBorders>
              <w:right w:val="single" w:color="auto" w:sz="4" w:space="0"/>
            </w:tcBorders>
            <w:vAlign w:val="top"/>
          </w:tcPr>
          <w:p w14:paraId="2F7AB80A">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261B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77620EE8">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超過</w:t>
            </w:r>
            <w:r>
              <w:rPr>
                <w:rFonts w:ascii="仿宋" w:hAnsi="仿宋" w:eastAsia="仿宋" w:cs="Times New Roman"/>
                <w:color w:val="000000"/>
                <w:sz w:val="24"/>
                <w:szCs w:val="24"/>
              </w:rPr>
              <w:t>10</w:t>
            </w:r>
            <w:r>
              <w:rPr>
                <w:rFonts w:hint="eastAsia" w:ascii="仿宋" w:hAnsi="仿宋" w:eastAsia="仿宋" w:cs="Times New Roman"/>
                <w:color w:val="000000"/>
                <w:sz w:val="24"/>
                <w:szCs w:val="24"/>
              </w:rPr>
              <w:t>年</w:t>
            </w:r>
          </w:p>
        </w:tc>
        <w:tc>
          <w:tcPr>
            <w:tcW w:w="3048" w:type="dxa"/>
            <w:tcBorders>
              <w:right w:val="single" w:color="auto" w:sz="4" w:space="0"/>
            </w:tcBorders>
            <w:vAlign w:val="top"/>
          </w:tcPr>
          <w:p w14:paraId="07E2E29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767B304B">
      <w:pPr>
        <w:shd w:val="clear" w:color="auto" w:fill="FFFFFF"/>
        <w:snapToGrid w:val="0"/>
        <w:spacing w:before="0" w:after="0" w:line="240" w:lineRule="auto"/>
        <w:ind w:left="360"/>
        <w:rPr>
          <w:rFonts w:ascii="仿宋" w:hAnsi="仿宋" w:eastAsia="仿宋" w:cs="Times New Roman"/>
          <w:b/>
          <w:color w:val="000000"/>
          <w:sz w:val="24"/>
          <w:szCs w:val="24"/>
        </w:rPr>
      </w:pPr>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6804"/>
        <w:gridCol w:w="2347"/>
      </w:tblGrid>
      <w:tr w14:paraId="385BB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bottom w:val="single" w:color="auto" w:sz="4" w:space="0"/>
            </w:tcBorders>
            <w:vAlign w:val="top"/>
          </w:tcPr>
          <w:p w14:paraId="6EF89FCF">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.8</w:t>
            </w:r>
          </w:p>
        </w:tc>
        <w:tc>
          <w:tcPr>
            <w:tcW w:w="3048" w:type="dxa"/>
            <w:tcBorders>
              <w:bottom w:val="single" w:color="auto" w:sz="4" w:space="0"/>
            </w:tcBorders>
            <w:vAlign w:val="top"/>
          </w:tcPr>
          <w:p w14:paraId="5317BE10">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基金經理</w:t>
            </w:r>
            <w:r>
              <w:rPr>
                <w:rFonts w:hint="eastAsia" w:ascii="仿宋" w:hAnsi="仿宋" w:eastAsia="仿宋" w:cs="Times New Roman"/>
                <w:b/>
                <w:color w:val="000000"/>
                <w:sz w:val="24"/>
                <w:szCs w:val="24"/>
              </w:rPr>
              <w:t>之基金管理</w:t>
            </w:r>
            <w:r>
              <w:rPr>
                <w:rFonts w:ascii="仿宋" w:hAnsi="仿宋" w:eastAsia="仿宋" w:cs="Times New Roman"/>
                <w:b/>
                <w:color w:val="000000"/>
                <w:sz w:val="24"/>
                <w:szCs w:val="24"/>
              </w:rPr>
              <w:t>經驗</w:t>
            </w:r>
          </w:p>
        </w:tc>
        <w:tc>
          <w:tcPr>
            <w:tcW w:w="3048" w:type="dxa"/>
            <w:tcBorders>
              <w:bottom w:val="single" w:color="auto" w:sz="4" w:space="0"/>
            </w:tcBorders>
            <w:vAlign w:val="top"/>
          </w:tcPr>
          <w:p w14:paraId="50E33B03">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3CB2F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top w:val="single" w:color="auto" w:sz="4" w:space="0"/>
              <w:left w:val="single" w:color="auto" w:sz="4" w:space="0"/>
            </w:tcBorders>
            <w:vAlign w:val="top"/>
          </w:tcPr>
          <w:p>
            <w:r>
              <w:t>资料未载明</w:t>
            </w:r>
          </w:p>
        </w:tc>
        <w:tc>
          <w:tcPr>
            <w:tcW w:w="3048" w:type="dxa"/>
            <w:tcBorders>
              <w:top w:val="single" w:color="auto" w:sz="4" w:space="0"/>
            </w:tcBorders>
            <w:vAlign w:val="top"/>
          </w:tcPr>
          <w:p w14:paraId="61589311">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超過10年</w:t>
            </w:r>
          </w:p>
        </w:tc>
        <w:tc>
          <w:tcPr>
            <w:tcW w:w="3048" w:type="dxa"/>
            <w:tcBorders>
              <w:top w:val="single" w:color="auto" w:sz="4" w:space="0"/>
              <w:right w:val="single" w:color="auto" w:sz="4" w:space="0"/>
            </w:tcBorders>
            <w:vAlign w:val="top"/>
          </w:tcPr>
          <w:p w14:paraId="1E0EE6A5">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24F41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0EE1820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5-10年</w:t>
            </w:r>
          </w:p>
        </w:tc>
        <w:tc>
          <w:tcPr>
            <w:tcW w:w="3048" w:type="dxa"/>
            <w:tcBorders>
              <w:right w:val="single" w:color="auto" w:sz="4" w:space="0"/>
            </w:tcBorders>
            <w:vAlign w:val="top"/>
          </w:tcPr>
          <w:p w14:paraId="7C460328">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02E1F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资料未载明</w:t>
            </w:r>
          </w:p>
        </w:tc>
        <w:tc>
          <w:tcPr>
            <w:tcW w:w="3048" w:type="dxa"/>
            <w:vAlign w:val="top"/>
          </w:tcPr>
          <w:p w14:paraId="4F5C3E6F">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0-5年</w:t>
            </w:r>
            <w:r>
              <w:rPr>
                <w:rFonts w:hint="eastAsia" w:ascii="仿宋" w:hAnsi="仿宋" w:eastAsia="仿宋" w:cs="Times New Roman"/>
                <w:color w:val="000000"/>
                <w:sz w:val="24"/>
                <w:szCs w:val="24"/>
              </w:rPr>
              <w:t>，或P</w:t>
            </w:r>
            <w:r>
              <w:rPr>
                <w:rFonts w:ascii="仿宋" w:hAnsi="仿宋" w:eastAsia="仿宋" w:cs="Times New Roman"/>
                <w:color w:val="000000"/>
                <w:sz w:val="24"/>
                <w:szCs w:val="24"/>
              </w:rPr>
              <w:t>PM</w:t>
            </w:r>
            <w:r>
              <w:rPr>
                <w:rFonts w:hint="eastAsia" w:ascii="仿宋" w:hAnsi="仿宋" w:eastAsia="仿宋" w:cs="Times New Roman"/>
                <w:color w:val="000000"/>
                <w:sz w:val="24"/>
                <w:szCs w:val="24"/>
              </w:rPr>
              <w:t>無特別説明</w:t>
            </w:r>
          </w:p>
        </w:tc>
        <w:tc>
          <w:tcPr>
            <w:tcW w:w="3048" w:type="dxa"/>
            <w:tcBorders>
              <w:right w:val="single" w:color="auto" w:sz="4" w:space="0"/>
            </w:tcBorders>
            <w:vAlign w:val="top"/>
          </w:tcPr>
          <w:p w14:paraId="20D412C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32491594">
      <w:pPr>
        <w:pStyle w:val="60"/>
        <w:shd w:val="clear" w:color="auto" w:fill="FFFFFF"/>
        <w:snapToGrid w:val="0"/>
        <w:spacing w:before="0" w:after="0" w:line="240" w:lineRule="auto"/>
        <w:ind w:left="425" w:leftChars="0"/>
        <w:rPr>
          <w:rFonts w:ascii="仿宋" w:hAnsi="仿宋" w:eastAsia="仿宋" w:cs="Times New Roman"/>
          <w:color w:val="000000"/>
          <w:sz w:val="24"/>
          <w:szCs w:val="24"/>
        </w:rPr>
      </w:pPr>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6750"/>
        <w:gridCol w:w="2433"/>
      </w:tblGrid>
      <w:tr w14:paraId="5F3F1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bottom w:val="single" w:color="auto" w:sz="4" w:space="0"/>
            </w:tcBorders>
            <w:vAlign w:val="top"/>
          </w:tcPr>
          <w:p w14:paraId="38CDA370">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.9</w:t>
            </w:r>
          </w:p>
        </w:tc>
        <w:tc>
          <w:tcPr>
            <w:tcW w:w="3048" w:type="dxa"/>
            <w:tcBorders>
              <w:bottom w:val="single" w:color="auto" w:sz="4" w:space="0"/>
            </w:tcBorders>
            <w:vAlign w:val="top"/>
          </w:tcPr>
          <w:p w14:paraId="4403D3E8">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公司風險</w:t>
            </w:r>
          </w:p>
          <w:p w14:paraId="61E54B6A">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有關發行人的任何紀律處分或重大負面消息？</w:t>
            </w:r>
          </w:p>
        </w:tc>
        <w:tc>
          <w:tcPr>
            <w:tcW w:w="3048" w:type="dxa"/>
            <w:tcBorders>
              <w:bottom w:val="single" w:color="auto" w:sz="4" w:space="0"/>
            </w:tcBorders>
            <w:vAlign w:val="top"/>
          </w:tcPr>
          <w:p w14:paraId="348AFD12">
            <w:pPr>
              <w:pStyle w:val="60"/>
              <w:snapToGrid w:val="0"/>
              <w:spacing w:before="0" w:after="0" w:line="240" w:lineRule="auto"/>
              <w:ind w:left="0" w:leftChars="0"/>
              <w:rPr>
                <w:rFonts w:ascii="仿宋" w:hAnsi="仿宋" w:eastAsia="仿宋" w:cs="Times New Roman"/>
                <w:b/>
                <w:color w:val="000000"/>
                <w:sz w:val="24"/>
                <w:szCs w:val="24"/>
              </w:rPr>
            </w:pPr>
          </w:p>
          <w:p w14:paraId="531B7407">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49B8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0</w:t>
            </w:r>
          </w:p>
        </w:tc>
        <w:tc>
          <w:tcPr>
            <w:tcW w:w="3048" w:type="dxa"/>
            <w:tcBorders>
              <w:top w:val="single" w:color="auto" w:sz="4" w:space="0"/>
            </w:tcBorders>
            <w:vAlign w:val="top"/>
          </w:tcPr>
          <w:p w14:paraId="78FFAAD7">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沒有</w:t>
            </w:r>
          </w:p>
        </w:tc>
        <w:tc>
          <w:tcPr>
            <w:tcW w:w="3048" w:type="dxa"/>
            <w:tcBorders>
              <w:right w:val="single" w:color="auto" w:sz="4" w:space="0"/>
            </w:tcBorders>
            <w:vAlign w:val="top"/>
          </w:tcPr>
          <w:p w14:paraId="034A0540">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hint="eastAsia" w:ascii="仿宋" w:hAnsi="仿宋" w:eastAsia="仿宋" w:cs="Times New Roman"/>
                <w:color w:val="000000"/>
                <w:sz w:val="24"/>
                <w:szCs w:val="24"/>
              </w:rPr>
              <w:t>0</w:t>
            </w:r>
          </w:p>
        </w:tc>
      </w:tr>
      <w:tr w14:paraId="0737B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3" w:hRule="atLeast"/>
          <w:jc w:val="center"/>
        </w:trPr>
        <w:tc>
          <w:tcPr>
            <w:tcW w:w="3048" w:type="dxa"/>
            <w:tcBorders>
              <w:left w:val="single" w:color="auto" w:sz="4" w:space="0"/>
            </w:tcBorders>
            <w:vAlign w:val="top"/>
          </w:tcPr>
          <w:p>
            <w:r>
              <w:t>0</w:t>
            </w:r>
          </w:p>
        </w:tc>
        <w:tc>
          <w:tcPr>
            <w:tcW w:w="3048" w:type="dxa"/>
            <w:vAlign w:val="top"/>
          </w:tcPr>
          <w:p w14:paraId="051615A5">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有; 請詳述 : __________________________________________</w:t>
            </w:r>
          </w:p>
          <w:p w14:paraId="3B490E91">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______________________________________________________</w:t>
            </w:r>
          </w:p>
        </w:tc>
        <w:tc>
          <w:tcPr>
            <w:tcW w:w="3048" w:type="dxa"/>
            <w:tcBorders>
              <w:right w:val="single" w:color="auto" w:sz="4" w:space="0"/>
            </w:tcBorders>
            <w:vAlign w:val="top"/>
          </w:tcPr>
          <w:p w14:paraId="7CC0B048">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7EA7BC2B">
      <w:pPr>
        <w:pStyle w:val="60"/>
        <w:shd w:val="clear" w:color="auto" w:fill="FFFFFF"/>
        <w:snapToGrid w:val="0"/>
        <w:spacing w:before="0" w:after="0" w:line="240" w:lineRule="auto"/>
        <w:ind w:left="425" w:leftChars="0"/>
        <w:rPr>
          <w:rFonts w:ascii="仿宋" w:hAnsi="仿宋" w:eastAsia="仿宋" w:cs="Times New Roman"/>
          <w:color w:val="000000"/>
          <w:sz w:val="24"/>
          <w:szCs w:val="24"/>
        </w:rPr>
      </w:pPr>
    </w:p>
    <w:tbl>
      <w:tblPr>
        <w:tblStyle w:val="2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6750"/>
        <w:gridCol w:w="2433"/>
      </w:tblGrid>
      <w:tr w14:paraId="5312C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8" w:hRule="atLeast"/>
          <w:jc w:val="center"/>
        </w:trPr>
        <w:tc>
          <w:tcPr>
            <w:tcW w:w="3048" w:type="dxa"/>
            <w:tcBorders>
              <w:bottom w:val="single" w:color="auto" w:sz="4" w:space="0"/>
            </w:tcBorders>
            <w:vAlign w:val="top"/>
          </w:tcPr>
          <w:p w14:paraId="03EAAFAA">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.10</w:t>
            </w:r>
          </w:p>
        </w:tc>
        <w:tc>
          <w:tcPr>
            <w:tcW w:w="3048" w:type="dxa"/>
            <w:tcBorders>
              <w:bottom w:val="single" w:color="auto" w:sz="4" w:space="0"/>
            </w:tcBorders>
            <w:vAlign w:val="top"/>
          </w:tcPr>
          <w:p w14:paraId="5D61D1EA">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ascii="仿宋" w:hAnsi="仿宋" w:eastAsia="仿宋" w:cs="Times New Roman"/>
                <w:b/>
                <w:color w:val="000000"/>
                <w:sz w:val="24"/>
                <w:szCs w:val="24"/>
              </w:rPr>
              <w:t>是否複雜產</w:t>
            </w:r>
            <w:r>
              <w:rPr>
                <w:rFonts w:hint="eastAsia" w:ascii="仿宋" w:hAnsi="仿宋" w:eastAsia="仿宋" w:cs="Times New Roman"/>
                <w:b/>
                <w:color w:val="000000"/>
                <w:sz w:val="24"/>
                <w:szCs w:val="24"/>
                <w:lang w:eastAsia="zh-CN"/>
              </w:rPr>
              <w:t>品</w:t>
            </w:r>
            <w:r>
              <w:rPr>
                <w:rFonts w:ascii="仿宋" w:hAnsi="仿宋" w:eastAsia="仿宋" w:cs="Times New Roman"/>
                <w:b/>
                <w:color w:val="000000"/>
                <w:sz w:val="24"/>
                <w:szCs w:val="24"/>
              </w:rPr>
              <w:t>？</w:t>
            </w:r>
          </w:p>
        </w:tc>
        <w:tc>
          <w:tcPr>
            <w:tcW w:w="3048" w:type="dxa"/>
            <w:tcBorders>
              <w:bottom w:val="single" w:color="auto" w:sz="4" w:space="0"/>
            </w:tcBorders>
            <w:vAlign w:val="top"/>
          </w:tcPr>
          <w:p w14:paraId="0CBEF0F4">
            <w:pPr>
              <w:pStyle w:val="60"/>
              <w:snapToGrid w:val="0"/>
              <w:spacing w:before="0" w:after="0" w:line="240" w:lineRule="auto"/>
              <w:ind w:left="4" w:leftChars="-10" w:hanging="24" w:hangingChars="10"/>
              <w:rPr>
                <w:rFonts w:ascii="仿宋" w:hAnsi="仿宋" w:eastAsia="仿宋" w:cs="Times New Roman"/>
                <w:b/>
                <w:color w:val="000000"/>
                <w:sz w:val="24"/>
                <w:szCs w:val="24"/>
              </w:rPr>
            </w:pPr>
          </w:p>
          <w:p w14:paraId="142E662F">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19BA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8" w:type="dxa"/>
            <w:tcBorders>
              <w:left w:val="single" w:color="auto" w:sz="4" w:space="0"/>
            </w:tcBorders>
            <w:vAlign w:val="top"/>
          </w:tcPr>
          <w:p>
            <w:r>
              <w:t>0</w:t>
            </w:r>
          </w:p>
        </w:tc>
        <w:tc>
          <w:tcPr>
            <w:tcW w:w="3048" w:type="dxa"/>
            <w:tcBorders>
              <w:top w:val="single" w:color="auto" w:sz="4" w:space="0"/>
            </w:tcBorders>
            <w:vAlign w:val="top"/>
          </w:tcPr>
          <w:p w14:paraId="3D14AA79">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不是</w:t>
            </w:r>
          </w:p>
        </w:tc>
        <w:tc>
          <w:tcPr>
            <w:tcW w:w="3048" w:type="dxa"/>
            <w:tcBorders>
              <w:right w:val="single" w:color="auto" w:sz="4" w:space="0"/>
            </w:tcBorders>
            <w:vAlign w:val="top"/>
          </w:tcPr>
          <w:p w14:paraId="5CDCB28E">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hint="eastAsia" w:ascii="仿宋" w:hAnsi="仿宋" w:eastAsia="仿宋" w:cs="Times New Roman"/>
                <w:color w:val="000000"/>
                <w:sz w:val="24"/>
                <w:szCs w:val="24"/>
              </w:rPr>
              <w:t>0</w:t>
            </w:r>
          </w:p>
        </w:tc>
      </w:tr>
      <w:tr w14:paraId="51D6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3048" w:type="dxa"/>
            <w:tcBorders>
              <w:left w:val="single" w:color="auto" w:sz="4" w:space="0"/>
            </w:tcBorders>
            <w:vAlign w:val="top"/>
          </w:tcPr>
          <w:p>
            <w:r>
              <w:t>0</w:t>
            </w:r>
          </w:p>
        </w:tc>
        <w:tc>
          <w:tcPr>
            <w:tcW w:w="3048" w:type="dxa"/>
            <w:vAlign w:val="top"/>
          </w:tcPr>
          <w:p w14:paraId="2B31522C">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是</w:t>
            </w:r>
          </w:p>
        </w:tc>
        <w:tc>
          <w:tcPr>
            <w:tcW w:w="3048" w:type="dxa"/>
            <w:tcBorders>
              <w:right w:val="single" w:color="auto" w:sz="4" w:space="0"/>
            </w:tcBorders>
            <w:vAlign w:val="top"/>
          </w:tcPr>
          <w:p w14:paraId="1E2A24E6">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246ABA00">
      <w:pPr>
        <w:pStyle w:val="60"/>
        <w:shd w:val="clear" w:color="auto" w:fill="FFFFFF"/>
        <w:snapToGrid w:val="0"/>
        <w:spacing w:before="0" w:after="0" w:line="240" w:lineRule="auto"/>
        <w:ind w:left="425" w:leftChars="0"/>
        <w:rPr>
          <w:rFonts w:ascii="仿宋" w:hAnsi="仿宋" w:eastAsia="仿宋" w:cs="Times New Roman"/>
          <w:b/>
          <w:color w:val="000000"/>
          <w:sz w:val="24"/>
          <w:szCs w:val="24"/>
        </w:rPr>
      </w:pPr>
    </w:p>
    <w:p w14:paraId="2D6E60AD">
      <w:pPr>
        <w:pStyle w:val="60"/>
        <w:numPr>
          <w:ilvl w:val="0"/>
          <w:numId w:val="1"/>
        </w:numPr>
        <w:shd w:val="clear" w:color="auto" w:fill="FFFFFF"/>
        <w:spacing w:before="0" w:after="0" w:line="240" w:lineRule="auto"/>
        <w:ind w:left="270" w:leftChars="0" w:right="-142" w:rightChars="-71" w:hanging="18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 xml:space="preserve">基金主要風險 </w:t>
      </w:r>
    </w:p>
    <w:tbl>
      <w:tblPr>
        <w:tblStyle w:val="80"/>
        <w:tblW w:w="5000" w:type="pct"/>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CellMar>
          <w:top w:w="0" w:type="dxa"/>
          <w:left w:w="108" w:type="dxa"/>
          <w:bottom w:w="0" w:type="dxa"/>
          <w:right w:w="108" w:type="dxa"/>
        </w:tblCellMar>
      </w:tblPr>
      <w:tblGrid>
        <w:gridCol w:w="10247"/>
      </w:tblGrid>
      <w:tr w14:paraId="009251FA">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1647" w:hRule="atLeast"/>
        </w:trPr>
        <w:tc>
          <w:tcPr>
            <w:tcW w:w="9144" w:type="dxa"/>
            <w:tcBorders>
              <w:bottom w:val="single" w:color="666666" w:themeColor="text1" w:themeTint="99" w:sz="12" w:space="0"/>
              <w:insideH w:val="single" w:sz="12" w:space="0"/>
            </w:tcBorders>
            <w:vAlign w:val="top"/>
          </w:tcPr>
          <w:p>
            <w:r>
              <w:rPr>
                <w:rFonts w:hint="eastAsia" w:ascii="仿宋" w:hAnsi="仿宋" w:eastAsia="仿宋" w:cs="Times New Roman"/>
                <w:b/>
                <w:bCs w:val="0"/>
                <w:color w:val="000000"/>
                <w:sz w:val="24"/>
                <w:szCs w:val="24"/>
                <w:lang w:val="en-US" w:eastAsia="zh-CN"/>
              </w:rPr>
              <w:t>投資風險、與債務證券有關的風險（包括短期債務工具風險、信貸／交易對手風險、利率風險、主權債務風險、信貸評級風險及評級下調風險、信貸評級機構風險）、新興市場風險、流動性風險、中國有關的風險、與子基金結構有關的風險</w:t>
            </w:r>
          </w:p>
        </w:tc>
      </w:tr>
    </w:tbl>
    <w:p w14:paraId="085FA097">
      <w:pPr>
        <w:pStyle w:val="60"/>
        <w:numPr>
          <w:ilvl w:val="0"/>
          <w:numId w:val="1"/>
        </w:numPr>
        <w:shd w:val="clear" w:color="auto" w:fill="FFFFFF"/>
        <w:spacing w:before="0" w:after="0" w:line="240" w:lineRule="auto"/>
        <w:ind w:left="270" w:leftChars="0" w:right="-142" w:rightChars="-71" w:hanging="18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投資經理介紹</w:t>
      </w:r>
    </w:p>
    <w:tbl>
      <w:tblPr>
        <w:tblStyle w:val="80"/>
        <w:tblW w:w="5000" w:type="pct"/>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CellMar>
          <w:top w:w="0" w:type="dxa"/>
          <w:left w:w="108" w:type="dxa"/>
          <w:bottom w:w="0" w:type="dxa"/>
          <w:right w:w="108" w:type="dxa"/>
        </w:tblCellMar>
      </w:tblPr>
      <w:tblGrid>
        <w:gridCol w:w="10247"/>
      </w:tblGrid>
      <w:tr w14:paraId="4364C97D">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1647" w:hRule="atLeast"/>
        </w:trPr>
        <w:tc>
          <w:tcPr>
            <w:tcW w:w="9144" w:type="dxa"/>
            <w:tcBorders>
              <w:bottom w:val="single" w:color="666666" w:themeColor="text1" w:themeTint="99" w:sz="12" w:space="0"/>
              <w:insideH w:val="single" w:sz="12" w:space="0"/>
            </w:tcBorders>
            <w:vAlign w:val="top"/>
          </w:tcPr>
          <w:p>
            <w:r>
              <w:rPr>
                <w:rFonts w:hint="eastAsia" w:ascii="仿宋" w:hAnsi="仿宋" w:eastAsia="仿宋" w:cs="Times New Roman"/>
                <w:b/>
                <w:bCs w:val="0"/>
                <w:color w:val="000000"/>
                <w:sz w:val="24"/>
                <w:szCs w:val="24"/>
                <w:lang w:val="en-US" w:eastAsia="zh-CN"/>
              </w:rPr>
              <w:t>大成國際資產管理有限公司，於香港註冊成立，獲證監會發牌從事第1類、第4類及第9類受規管活動（中央編號ATE045），為大成基金管理有限公司全資附屬公司。現任董事包括譚曉岡、肖劍、姚余棟、趙冰及吳萍。譚曉岡先生現任大成基金首席執行官，哈佛大學甘迺迪院公共行政管理碩士，曾任全國社保基金海外投資部副主任等職。</w:t>
            </w:r>
          </w:p>
        </w:tc>
      </w:tr>
      <w:bookmarkEnd w:id="0"/>
    </w:tbl>
    <w:p w14:paraId="0C92A56B">
      <w:pPr>
        <w:pStyle w:val="60"/>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p>
    <w:p w14:paraId="70E0A7A6">
      <w:pPr>
        <w:pStyle w:val="60"/>
        <w:numPr>
          <w:ilvl w:val="0"/>
          <w:numId w:val="1"/>
        </w:numPr>
        <w:shd w:val="clear" w:color="auto" w:fill="FFFFFF"/>
        <w:spacing w:before="0" w:after="0" w:line="240" w:lineRule="auto"/>
        <w:ind w:left="270" w:leftChars="0" w:right="-142" w:rightChars="-71" w:hanging="18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其他補充資料</w:t>
      </w:r>
    </w:p>
    <w:tbl>
      <w:tblPr>
        <w:tblStyle w:val="80"/>
        <w:tblW w:w="5000" w:type="pct"/>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CellMar>
          <w:top w:w="0" w:type="dxa"/>
          <w:left w:w="108" w:type="dxa"/>
          <w:bottom w:w="0" w:type="dxa"/>
          <w:right w:w="108" w:type="dxa"/>
        </w:tblCellMar>
      </w:tblPr>
      <w:tblGrid>
        <w:gridCol w:w="10247"/>
      </w:tblGrid>
      <w:tr w14:paraId="22AD34A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1647" w:hRule="atLeast"/>
        </w:trPr>
        <w:tc>
          <w:tcPr>
            <w:tcW w:w="9144" w:type="dxa"/>
            <w:tcBorders>
              <w:bottom w:val="single" w:color="666666" w:themeColor="text1" w:themeTint="99" w:sz="12" w:space="0"/>
              <w:insideH w:val="single" w:sz="12" w:space="0"/>
            </w:tcBorders>
            <w:vAlign w:val="top"/>
          </w:tcPr>
          <w:p>
            <w:r>
              <w:rPr>
                <w:rFonts w:hint="eastAsia" w:ascii="仿宋" w:hAnsi="仿宋" w:eastAsia="仿宋" w:cs="Times New Roman"/>
                <w:b/>
                <w:bCs w:val="0"/>
                <w:color w:val="000000"/>
                <w:sz w:val="24"/>
                <w:szCs w:val="24"/>
                <w:lang w:val="en-US" w:eastAsia="zh-CN"/>
              </w:rPr>
              <w:t>资料未载明。</w:t>
            </w:r>
          </w:p>
        </w:tc>
      </w:tr>
      <w:bookmarkEnd w:id="1"/>
    </w:tbl>
    <w:p w14:paraId="69C8BCC2">
      <w:pPr>
        <w:pStyle w:val="60"/>
        <w:spacing w:before="0" w:after="0"/>
        <w:ind w:left="360" w:leftChars="0"/>
        <w:rPr>
          <w:rFonts w:ascii="仿宋" w:hAnsi="仿宋" w:eastAsia="仿宋" w:cs="Times New Roman"/>
          <w:b/>
          <w:color w:val="000000"/>
          <w:sz w:val="24"/>
          <w:szCs w:val="24"/>
        </w:rPr>
      </w:pPr>
    </w:p>
    <w:p w14:paraId="54FE4820">
      <w:pPr>
        <w:pStyle w:val="60"/>
        <w:numPr>
          <w:ilvl w:val="0"/>
          <w:numId w:val="1"/>
        </w:numPr>
        <w:shd w:val="clear" w:color="auto" w:fill="FFFFFF"/>
        <w:spacing w:before="0" w:after="0" w:line="240" w:lineRule="auto"/>
        <w:ind w:left="270" w:leftChars="0" w:right="-142" w:rightChars="-71" w:hanging="18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評估結果</w:t>
      </w:r>
    </w:p>
    <w:p w14:paraId="3A21D1CF">
      <w:pPr>
        <w:spacing w:before="0" w:after="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風險等級分類</w:t>
      </w:r>
    </w:p>
    <w:tbl>
      <w:tblPr>
        <w:tblStyle w:val="81"/>
        <w:tblW w:w="5000" w:type="pct"/>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CellMar>
          <w:top w:w="0" w:type="dxa"/>
          <w:left w:w="108" w:type="dxa"/>
          <w:bottom w:w="0" w:type="dxa"/>
          <w:right w:w="108" w:type="dxa"/>
        </w:tblCellMar>
      </w:tblPr>
      <w:tblGrid>
        <w:gridCol w:w="2077"/>
        <w:gridCol w:w="2431"/>
        <w:gridCol w:w="519"/>
        <w:gridCol w:w="5655"/>
      </w:tblGrid>
      <w:tr w14:paraId="4268B94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404" w:hRule="atLeast"/>
        </w:trPr>
        <w:tc>
          <w:tcPr>
            <w:tcW w:w="2286"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vAlign w:val="top"/>
          </w:tcPr>
          <w:p w14:paraId="3E7AD867">
            <w:pPr>
              <w:spacing w:after="0" w:line="360" w:lineRule="atLeast"/>
              <w:rPr>
                <w:rFonts w:ascii="仿宋" w:hAnsi="仿宋" w:eastAsia="仿宋" w:cs="Times New Roman"/>
                <w:b w:val="0"/>
                <w:bCs w:val="0"/>
                <w:color w:val="FFFFFF" w:themeColor="background1"/>
                <w:sz w:val="24"/>
                <w:szCs w:val="24"/>
                <w14:textFill>
                  <w14:solidFill>
                    <w14:schemeClr w14:val="bg1"/>
                  </w14:solidFill>
                </w14:textFill>
              </w:rPr>
            </w:pPr>
            <w:r>
              <w:rPr>
                <w:rFonts w:hint="eastAsia" w:ascii="仿宋" w:hAnsi="仿宋" w:eastAsia="仿宋" w:cs="Times New Roman"/>
                <w:b/>
                <w:bCs/>
                <w:color w:val="auto"/>
                <w:sz w:val="24"/>
                <w:szCs w:val="24"/>
              </w:rPr>
              <w:t>總分</w:t>
            </w:r>
          </w:p>
        </w:tc>
        <w:tc>
          <w:tcPr>
            <w:tcW w:w="2286" w:type="dxa"/>
            <w:gridSpan w:val="2"/>
            <w:tcBorders>
              <w:top w:val="single" w:color="000000" w:themeColor="text1" w:sz="4" w:space="0"/>
              <w:bottom w:val="single" w:color="000000" w:themeColor="text1" w:sz="4" w:space="0"/>
              <w:right w:val="nil"/>
              <w:insideH w:val="single" w:sz="4" w:space="0"/>
              <w:insideV w:val="nil"/>
            </w:tcBorders>
            <w:shd w:val="clear" w:color="auto" w:fill="000000" w:themeFill="text1"/>
            <w:vAlign w:val="top"/>
          </w:tcPr>
          <w:p w14:paraId="09CCB7F8">
            <w:pPr>
              <w:spacing w:after="0" w:line="360" w:lineRule="atLeast"/>
              <w:jc w:val="center"/>
              <w:rPr>
                <w:rFonts w:ascii="仿宋" w:hAnsi="仿宋" w:eastAsia="仿宋" w:cs="Times New Roman"/>
                <w:b w:val="0"/>
                <w:bCs w:val="0"/>
                <w:color w:val="FFFFFF" w:themeColor="background1"/>
                <w:sz w:val="24"/>
                <w:szCs w:val="24"/>
                <w14:textFill>
                  <w14:solidFill>
                    <w14:schemeClr w14:val="bg1"/>
                  </w14:solidFill>
                </w14:textFill>
              </w:rPr>
            </w:pPr>
            <w:r>
              <w:rPr>
                <w:rFonts w:hint="eastAsia" w:ascii="仿宋" w:hAnsi="仿宋" w:eastAsia="仿宋" w:cs="Times New Roman"/>
                <w:b/>
                <w:bCs/>
                <w:color w:val="auto"/>
                <w:sz w:val="24"/>
                <w:szCs w:val="24"/>
              </w:rPr>
              <w:t>風險等級</w:t>
            </w:r>
            <w:r>
              <w:fldChar w:fldCharType="begin"/>
            </w:r>
            <w:r>
              <w:instrText xml:space="preserve"> HYPERLINK "http://hkdata.stock.hexun.com.tw/company/08132.shtml" \t "_blank" </w:instrText>
            </w:r>
            <w:r>
              <w:fldChar w:fldCharType="separate"/>
            </w:r>
            <w:r>
              <w:fldChar w:fldCharType="end"/>
            </w:r>
          </w:p>
        </w:tc>
        <w:tc>
          <w:tcPr>
            <w:tcW w:w="2286"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vAlign w:val="top"/>
          </w:tcPr>
          <w:p w14:paraId="0DBA62B0">
            <w:pPr>
              <w:spacing w:after="0" w:line="360" w:lineRule="atLeast"/>
              <w:jc w:val="center"/>
              <w:rPr>
                <w:rFonts w:ascii="仿宋" w:hAnsi="仿宋" w:eastAsia="仿宋" w:cs="Times New Roman"/>
                <w:b w:val="0"/>
                <w:bCs w:val="0"/>
                <w:color w:val="FFFFFF" w:themeColor="background1"/>
                <w:sz w:val="24"/>
                <w:szCs w:val="24"/>
                <w14:textFill>
                  <w14:solidFill>
                    <w14:schemeClr w14:val="bg1"/>
                  </w14:solidFill>
                </w14:textFill>
              </w:rPr>
            </w:pPr>
            <w:r>
              <w:rPr>
                <w:rFonts w:hint="eastAsia" w:ascii="仿宋" w:hAnsi="仿宋" w:eastAsia="仿宋" w:cs="Times New Roman"/>
                <w:b/>
                <w:bCs/>
                <w:color w:val="FFFFFF" w:themeColor="background1"/>
                <w:sz w:val="24"/>
                <w:szCs w:val="24"/>
                <w14:textFill>
                  <w14:solidFill>
                    <w14:schemeClr w14:val="bg1"/>
                  </w14:solidFill>
                </w14:textFill>
              </w:rPr>
              <w:t>備注</w:t>
            </w:r>
          </w:p>
        </w:tc>
      </w:tr>
      <w:tr w14:paraId="5F14748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634" w:hRule="atLeast"/>
        </w:trPr>
        <w:tc>
          <w:tcPr>
            <w:tcW w:w="2286" w:type="dxa"/>
            <w:shd w:val="clear" w:color="auto" w:fill="CCCCCC" w:themeFill="text1" w:themeFillTint="33"/>
            <w:vAlign w:val="top"/>
          </w:tcPr>
          <w:p w14:paraId="4697B8BF">
            <w:pPr>
              <w:spacing w:after="0" w:line="330" w:lineRule="atLeast"/>
              <w:jc w:val="both"/>
              <w:rPr>
                <w:rFonts w:ascii="仿宋" w:hAnsi="仿宋" w:eastAsia="仿宋"/>
                <w:b/>
                <w:bCs w:val="0"/>
                <w:color w:val="000000"/>
                <w:sz w:val="24"/>
                <w:szCs w:val="24"/>
              </w:rPr>
            </w:pPr>
            <w:r>
              <w:rPr>
                <w:rFonts w:ascii="仿宋" w:hAnsi="仿宋" w:eastAsia="仿宋"/>
                <w:b w:val="0"/>
                <w:bCs/>
                <w:color w:val="000000"/>
                <w:sz w:val="24"/>
                <w:szCs w:val="24"/>
              </w:rPr>
              <w:t>8分或以下</w:t>
            </w:r>
          </w:p>
        </w:tc>
        <w:tc>
          <w:tcPr>
            <w:tcW w:w="2286" w:type="dxa"/>
            <w:shd w:val="clear" w:color="auto" w:fill="CCCCCC" w:themeFill="text1" w:themeFillTint="33"/>
            <w:vAlign w:val="top"/>
          </w:tcPr>
          <w:p w14:paraId="459751D3">
            <w:pPr>
              <w:pStyle w:val="60"/>
              <w:spacing w:after="0" w:line="330" w:lineRule="atLeast"/>
              <w:ind w:left="0" w:leftChars="0"/>
              <w:jc w:val="center"/>
              <w:rPr>
                <w:rFonts w:ascii="仿宋" w:hAnsi="仿宋" w:eastAsia="仿宋" w:cs="PMingLiU"/>
                <w:color w:val="000000"/>
                <w:sz w:val="24"/>
                <w:szCs w:val="24"/>
              </w:rPr>
            </w:pPr>
            <w:r>
              <w:rPr>
                <w:rFonts w:ascii="仿宋" w:hAnsi="仿宋" w:eastAsia="仿宋" w:cs="PMingLiU"/>
                <w:color w:val="000000"/>
                <w:sz w:val="24"/>
                <w:szCs w:val="24"/>
              </w:rPr>
              <w:t>低風險</w:t>
            </w:r>
          </w:p>
        </w:tc>
        <w:tc>
          <w:tcPr>
            <w:tcW w:w="2286" w:type="dxa"/>
            <w:gridSpan w:val="2"/>
            <w:shd w:val="clear" w:color="auto" w:fill="CCCCCC" w:themeFill="text1" w:themeFillTint="33"/>
            <w:vAlign w:val="top"/>
          </w:tcPr>
          <w:p w14:paraId="592AEEB5">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在投資過程中會有輕微機會損失大部分的資產（縱使不能保證）。在一段短時間內，預期會有輕微的價值波動。</w:t>
            </w:r>
          </w:p>
        </w:tc>
      </w:tr>
      <w:tr w14:paraId="2D61182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404" w:hRule="atLeast"/>
        </w:trPr>
        <w:tc>
          <w:tcPr>
            <w:tcW w:w="2286" w:type="dxa"/>
            <w:vAlign w:val="top"/>
          </w:tcPr>
          <w:p w14:paraId="2EC7A35B">
            <w:pPr>
              <w:spacing w:after="0" w:line="330" w:lineRule="atLeast"/>
              <w:jc w:val="both"/>
              <w:rPr>
                <w:rFonts w:ascii="仿宋" w:hAnsi="仿宋" w:eastAsia="仿宋"/>
                <w:b/>
                <w:bCs w:val="0"/>
                <w:color w:val="000000"/>
                <w:sz w:val="24"/>
                <w:szCs w:val="24"/>
              </w:rPr>
            </w:pPr>
            <w:r>
              <w:rPr>
                <w:rFonts w:ascii="仿宋" w:hAnsi="仿宋" w:eastAsia="仿宋" w:cs="PMingLiU"/>
                <w:b w:val="0"/>
                <w:bCs/>
                <w:color w:val="000000"/>
                <w:sz w:val="24"/>
                <w:szCs w:val="24"/>
              </w:rPr>
              <w:t>9分 ~ 16分</w:t>
            </w:r>
          </w:p>
        </w:tc>
        <w:tc>
          <w:tcPr>
            <w:tcW w:w="2286" w:type="dxa"/>
            <w:vAlign w:val="top"/>
          </w:tcPr>
          <w:p w14:paraId="3BD2B000">
            <w:pPr>
              <w:spacing w:after="0" w:line="330" w:lineRule="atLeast"/>
              <w:jc w:val="center"/>
              <w:rPr>
                <w:rFonts w:ascii="仿宋" w:hAnsi="仿宋" w:eastAsia="仿宋" w:cs="PMingLiU"/>
                <w:color w:val="000000"/>
                <w:sz w:val="24"/>
                <w:szCs w:val="24"/>
              </w:rPr>
            </w:pPr>
            <w:r>
              <w:rPr>
                <w:rFonts w:ascii="仿宋" w:hAnsi="仿宋" w:eastAsia="仿宋" w:cs="PMingLiU"/>
                <w:color w:val="000000"/>
                <w:sz w:val="24"/>
                <w:szCs w:val="24"/>
              </w:rPr>
              <w:t>中低風險</w:t>
            </w:r>
          </w:p>
        </w:tc>
        <w:tc>
          <w:tcPr>
            <w:tcW w:w="2286" w:type="dxa"/>
            <w:gridSpan w:val="2"/>
            <w:vAlign w:val="top"/>
          </w:tcPr>
          <w:p w14:paraId="1CB6D6F4">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在投資過程中會有低機會損失大部分的資產（縱使不能保證）。在一段短時間內，預期會有適度低程度的價值波動。</w:t>
            </w:r>
          </w:p>
        </w:tc>
      </w:tr>
      <w:tr w14:paraId="73D87D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824" w:hRule="atLeast"/>
        </w:trPr>
        <w:tc>
          <w:tcPr>
            <w:tcW w:w="2286" w:type="dxa"/>
            <w:shd w:val="clear" w:color="auto" w:fill="CCCCCC" w:themeFill="text1" w:themeFillTint="33"/>
            <w:vAlign w:val="top"/>
          </w:tcPr>
          <w:p w14:paraId="00E8248D">
            <w:pPr>
              <w:spacing w:after="0" w:line="330" w:lineRule="atLeast"/>
              <w:jc w:val="both"/>
              <w:rPr>
                <w:rFonts w:ascii="仿宋" w:hAnsi="仿宋" w:eastAsia="仿宋"/>
                <w:b/>
                <w:bCs w:val="0"/>
                <w:color w:val="000000"/>
                <w:sz w:val="24"/>
                <w:szCs w:val="24"/>
              </w:rPr>
            </w:pPr>
            <w:r>
              <w:rPr>
                <w:rFonts w:ascii="仿宋" w:hAnsi="仿宋" w:eastAsia="仿宋" w:cs="PMingLiU"/>
                <w:b w:val="0"/>
                <w:bCs/>
                <w:color w:val="000000"/>
                <w:sz w:val="24"/>
                <w:szCs w:val="24"/>
              </w:rPr>
              <w:t>17分 ~ 26分</w:t>
            </w:r>
          </w:p>
        </w:tc>
        <w:tc>
          <w:tcPr>
            <w:tcW w:w="2286" w:type="dxa"/>
            <w:shd w:val="clear" w:color="auto" w:fill="CCCCCC" w:themeFill="text1" w:themeFillTint="33"/>
            <w:vAlign w:val="top"/>
          </w:tcPr>
          <w:p w14:paraId="64CEF848">
            <w:pPr>
              <w:pStyle w:val="60"/>
              <w:spacing w:after="0" w:line="330" w:lineRule="atLeast"/>
              <w:ind w:left="0" w:leftChars="0"/>
              <w:jc w:val="center"/>
              <w:rPr>
                <w:rFonts w:ascii="仿宋" w:hAnsi="仿宋" w:eastAsia="仿宋" w:cs="PMingLiU"/>
                <w:color w:val="000000"/>
                <w:sz w:val="24"/>
                <w:szCs w:val="24"/>
              </w:rPr>
            </w:pPr>
            <w:r>
              <w:rPr>
                <w:rFonts w:ascii="仿宋" w:hAnsi="仿宋" w:eastAsia="仿宋" w:cs="PMingLiU"/>
                <w:color w:val="000000"/>
                <w:sz w:val="24"/>
                <w:szCs w:val="24"/>
              </w:rPr>
              <w:t>中風險</w:t>
            </w:r>
          </w:p>
        </w:tc>
        <w:tc>
          <w:tcPr>
            <w:tcW w:w="2286" w:type="dxa"/>
            <w:gridSpan w:val="2"/>
            <w:shd w:val="clear" w:color="auto" w:fill="CCCCCC" w:themeFill="text1" w:themeFillTint="33"/>
            <w:vAlign w:val="top"/>
          </w:tcPr>
          <w:p w14:paraId="7317D1CC">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在投資過程中會有中度機會損失大部分的資產（縱使不能保證）。在一段短時間內，預期會有中度的價值波動。</w:t>
            </w:r>
          </w:p>
        </w:tc>
      </w:tr>
      <w:tr w14:paraId="15F4139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434" w:hRule="atLeast"/>
        </w:trPr>
        <w:tc>
          <w:tcPr>
            <w:tcW w:w="2286" w:type="dxa"/>
            <w:vAlign w:val="top"/>
          </w:tcPr>
          <w:p w14:paraId="534595A2">
            <w:pPr>
              <w:spacing w:after="0" w:line="330" w:lineRule="atLeast"/>
              <w:jc w:val="both"/>
              <w:rPr>
                <w:rFonts w:ascii="仿宋" w:hAnsi="仿宋" w:eastAsia="仿宋"/>
                <w:b w:val="0"/>
                <w:bCs w:val="0"/>
                <w:color w:val="000000"/>
                <w:sz w:val="24"/>
                <w:szCs w:val="24"/>
              </w:rPr>
            </w:pPr>
            <w:r>
              <w:rPr>
                <w:rFonts w:ascii="仿宋" w:hAnsi="仿宋" w:eastAsia="仿宋" w:cs="PMingLiU"/>
                <w:b w:val="0"/>
                <w:bCs/>
                <w:color w:val="000000"/>
                <w:sz w:val="24"/>
                <w:szCs w:val="24"/>
              </w:rPr>
              <w:t>27分 ~ 38分</w:t>
            </w:r>
          </w:p>
        </w:tc>
        <w:tc>
          <w:tcPr>
            <w:tcW w:w="2286" w:type="dxa"/>
            <w:vAlign w:val="top"/>
          </w:tcPr>
          <w:p w14:paraId="2F8A53AD">
            <w:pPr>
              <w:spacing w:after="0" w:line="330" w:lineRule="atLeast"/>
              <w:jc w:val="center"/>
              <w:rPr>
                <w:rFonts w:ascii="仿宋" w:hAnsi="仿宋" w:eastAsia="仿宋" w:cs="PMingLiU"/>
                <w:color w:val="000000"/>
                <w:sz w:val="24"/>
                <w:szCs w:val="24"/>
              </w:rPr>
            </w:pPr>
            <w:r>
              <w:rPr>
                <w:rFonts w:ascii="仿宋" w:hAnsi="仿宋" w:eastAsia="仿宋" w:cs="PMingLiU"/>
                <w:color w:val="000000"/>
                <w:sz w:val="24"/>
                <w:szCs w:val="24"/>
              </w:rPr>
              <w:t>中高風險</w:t>
            </w:r>
          </w:p>
        </w:tc>
        <w:tc>
          <w:tcPr>
            <w:tcW w:w="2286" w:type="dxa"/>
            <w:gridSpan w:val="2"/>
            <w:vAlign w:val="top"/>
          </w:tcPr>
          <w:p w14:paraId="68B8D5EF">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在投資過程中會有偏高度機會損失大部分的資產（縱使不能保證）。在一段短時間內，預期會有偏高度的價值波動。</w:t>
            </w:r>
          </w:p>
        </w:tc>
      </w:tr>
      <w:tr w14:paraId="361C67C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434" w:hRule="atLeast"/>
        </w:trPr>
        <w:tc>
          <w:tcPr>
            <w:tcW w:w="2286" w:type="dxa"/>
            <w:shd w:val="clear" w:color="auto" w:fill="CCCCCC" w:themeFill="text1" w:themeFillTint="33"/>
            <w:vAlign w:val="top"/>
          </w:tcPr>
          <w:p w14:paraId="4FA0FCB8">
            <w:pPr>
              <w:spacing w:after="0" w:line="330" w:lineRule="atLeast"/>
              <w:jc w:val="both"/>
              <w:rPr>
                <w:rFonts w:ascii="仿宋" w:hAnsi="仿宋" w:eastAsia="仿宋"/>
                <w:b/>
                <w:bCs w:val="0"/>
                <w:color w:val="000000"/>
                <w:sz w:val="24"/>
                <w:szCs w:val="24"/>
              </w:rPr>
            </w:pPr>
            <w:r>
              <w:rPr>
                <w:rFonts w:ascii="仿宋" w:hAnsi="仿宋" w:eastAsia="仿宋"/>
                <w:b w:val="0"/>
                <w:bCs/>
                <w:color w:val="000000"/>
                <w:sz w:val="24"/>
                <w:szCs w:val="24"/>
              </w:rPr>
              <w:t>39分或以上</w:t>
            </w:r>
          </w:p>
        </w:tc>
        <w:tc>
          <w:tcPr>
            <w:tcW w:w="2286" w:type="dxa"/>
            <w:shd w:val="clear" w:color="auto" w:fill="CCCCCC" w:themeFill="text1" w:themeFillTint="33"/>
            <w:vAlign w:val="top"/>
          </w:tcPr>
          <w:p w14:paraId="6E0C0FC2">
            <w:pPr>
              <w:spacing w:after="0" w:line="330" w:lineRule="atLeast"/>
              <w:jc w:val="center"/>
              <w:rPr>
                <w:rFonts w:ascii="仿宋" w:hAnsi="仿宋" w:eastAsia="仿宋" w:cs="PMingLiU"/>
                <w:color w:val="000000"/>
                <w:sz w:val="24"/>
                <w:szCs w:val="24"/>
              </w:rPr>
            </w:pPr>
            <w:r>
              <w:rPr>
                <w:rFonts w:ascii="仿宋" w:hAnsi="仿宋" w:eastAsia="仿宋" w:cs="PMingLiU"/>
                <w:color w:val="000000"/>
                <w:sz w:val="24"/>
                <w:szCs w:val="24"/>
              </w:rPr>
              <w:t>高風險</w:t>
            </w:r>
          </w:p>
        </w:tc>
        <w:tc>
          <w:tcPr>
            <w:tcW w:w="2286" w:type="dxa"/>
            <w:gridSpan w:val="2"/>
            <w:shd w:val="clear" w:color="auto" w:fill="CCCCCC" w:themeFill="text1" w:themeFillTint="33"/>
            <w:vAlign w:val="top"/>
          </w:tcPr>
          <w:p w14:paraId="5FC57B69">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在投資過程中會有高機會損失大部分的資產。在一段短時間內，預期會有高程度的價值波動。</w:t>
            </w:r>
          </w:p>
        </w:tc>
      </w:tr>
    </w:tbl>
    <w:p w14:paraId="7AC50D35">
      <w:pPr>
        <w:spacing w:before="0" w:after="0"/>
        <w:rPr>
          <w:rFonts w:ascii="仿宋" w:hAnsi="仿宋" w:eastAsia="仿宋" w:cs="Times New Roman"/>
          <w:b/>
          <w:color w:val="000000"/>
          <w:sz w:val="24"/>
          <w:szCs w:val="24"/>
        </w:rPr>
      </w:pPr>
    </w:p>
    <w:p w14:paraId="7498AFFF">
      <w:pPr>
        <w:spacing w:before="0" w:after="0" w:line="500" w:lineRule="exact"/>
        <w:rPr>
          <w:rFonts w:hint="eastAsia" w:ascii="仿宋" w:hAnsi="仿宋" w:eastAsia="仿宋" w:cs="Times New Roman"/>
          <w:b/>
          <w:color w:val="000000"/>
          <w:sz w:val="24"/>
          <w:szCs w:val="24"/>
        </w:rPr>
      </w:pPr>
      <w:r>
        <w:rPr>
          <w:rFonts w:hint="eastAsia" w:ascii="仿宋" w:hAnsi="仿宋" w:eastAsia="仿宋" w:cs="Times New Roman"/>
          <w:b/>
          <w:color w:val="000000"/>
          <w:sz w:val="24"/>
          <w:szCs w:val="24"/>
        </w:rPr>
        <w:t>風險評分 :</w:t>
      </w:r>
    </w:p>
    <w:tbl>
      <w:tblPr>
        <w:tblStyle w:val="24"/>
        <w:tblW w:w="5000" w:type="pct"/>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shd w:val="clear" w:color="auto" w:fill="FFFFFF" w:themeFill="background1"/>
        <w:tblLayout w:type="fixed"/>
        <w:tblCellMar>
          <w:top w:w="0" w:type="dxa"/>
          <w:left w:w="0" w:type="dxa"/>
          <w:bottom w:w="0" w:type="dxa"/>
          <w:right w:w="0" w:type="dxa"/>
        </w:tblCellMar>
      </w:tblPr>
      <w:tblGrid>
        <w:gridCol w:w="2022"/>
        <w:gridCol w:w="4797"/>
      </w:tblGrid>
      <w:tr w14:paraId="67D640F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shd w:val="clear" w:color="auto" w:fill="FFFFFF" w:themeFill="background1"/>
          <w:tblCellMar>
            <w:top w:w="0" w:type="dxa"/>
            <w:left w:w="0" w:type="dxa"/>
            <w:bottom w:w="0" w:type="dxa"/>
            <w:right w:w="0" w:type="dxa"/>
          </w:tblCellMar>
        </w:tblPrEx>
        <w:trPr>
          <w:trHeight w:val="511" w:hRule="atLeast"/>
        </w:trPr>
        <w:tc>
          <w:tcPr>
            <w:tcW w:w="4572" w:type="dxa"/>
            <w:tcBorders>
              <w:top w:val="nil"/>
              <w:left w:val="nil"/>
              <w:bottom w:val="nil"/>
              <w:right w:val="nil"/>
            </w:tcBorders>
            <w:shd w:val="clear" w:color="auto" w:fill="FFFFFF" w:themeFill="background1"/>
            <w:tcMar>
              <w:top w:w="0" w:type="dxa"/>
              <w:left w:w="0" w:type="dxa"/>
              <w:bottom w:w="0" w:type="dxa"/>
              <w:right w:w="0" w:type="dxa"/>
            </w:tcMar>
            <w:vAlign w:val="top"/>
          </w:tcPr>
          <w:p w14:paraId="68BFD76A">
            <w:pPr>
              <w:spacing w:before="0" w:after="0" w:line="500" w:lineRule="exact"/>
              <w:jc w:val="left"/>
              <w:rPr>
                <w:rFonts w:hint="eastAsia" w:ascii="仿宋" w:hAnsi="仿宋" w:eastAsia="仿宋" w:cs="Times New Roman"/>
                <w:b/>
                <w:color w:val="000000"/>
                <w:sz w:val="24"/>
                <w:szCs w:val="24"/>
                <w:vertAlign w:val="baseline"/>
              </w:rPr>
            </w:pPr>
            <w:r>
              <w:rPr>
                <w:rFonts w:hint="eastAsia" w:ascii="仿宋" w:hAnsi="仿宋" w:eastAsia="仿宋" w:cs="Times New Roman"/>
                <w:b/>
                <w:color w:val="000000"/>
                <w:sz w:val="24"/>
                <w:szCs w:val="24"/>
              </w:rPr>
              <w:t>總分為：</w:t>
            </w:r>
          </w:p>
        </w:tc>
        <w:tc>
          <w:tcPr>
            <w:tcW w:w="4572" w:type="dxa"/>
            <w:tcBorders>
              <w:left w:val="nil"/>
              <w:tl2br w:val="nil"/>
              <w:tr2bl w:val="nil"/>
            </w:tcBorders>
            <w:shd w:val="clear" w:color="auto" w:fill="FFFFFF" w:themeFill="background1"/>
            <w:tcMar>
              <w:top w:w="0" w:type="dxa"/>
              <w:left w:w="0" w:type="dxa"/>
              <w:bottom w:w="0" w:type="dxa"/>
              <w:right w:w="0" w:type="dxa"/>
            </w:tcMar>
            <w:vAlign w:val="top"/>
          </w:tcPr>
          <w:p>
            <w:r>
              <w:rPr>
                <w:rFonts w:hint="eastAsia" w:ascii="仿宋" w:hAnsi="仿宋" w:eastAsia="仿宋" w:cs="Times New Roman"/>
                <w:b/>
                <w:color w:val="000000"/>
                <w:sz w:val="24"/>
                <w:szCs w:val="24"/>
                <w:u w:val="none"/>
                <w:lang w:val="en-US" w:eastAsia="zh-CN"/>
              </w:rPr>
              <w:t>资料未载明</w:t>
            </w:r>
          </w:p>
        </w:tc>
      </w:tr>
      <w:tr w14:paraId="0FF2D22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shd w:val="clear" w:color="auto" w:fill="FFFFFF" w:themeFill="background1"/>
          <w:tblCellMar>
            <w:top w:w="0" w:type="dxa"/>
            <w:left w:w="0" w:type="dxa"/>
            <w:bottom w:w="0" w:type="dxa"/>
            <w:right w:w="0" w:type="dxa"/>
          </w:tblCellMar>
        </w:tblPrEx>
        <w:trPr>
          <w:trHeight w:val="531" w:hRule="atLeast"/>
        </w:trPr>
        <w:tc>
          <w:tcPr>
            <w:tcW w:w="4572" w:type="dxa"/>
            <w:tcBorders>
              <w:top w:val="nil"/>
              <w:bottom w:val="nil"/>
            </w:tcBorders>
            <w:shd w:val="clear" w:color="auto" w:fill="FFFFFF" w:themeFill="background1"/>
            <w:tcMar>
              <w:top w:w="0" w:type="dxa"/>
              <w:left w:w="0" w:type="dxa"/>
              <w:bottom w:w="0" w:type="dxa"/>
              <w:right w:w="0" w:type="dxa"/>
            </w:tcMar>
            <w:vAlign w:val="top"/>
          </w:tcPr>
          <w:p w14:paraId="508D01F8">
            <w:pPr>
              <w:spacing w:before="0" w:after="0" w:line="500" w:lineRule="exact"/>
              <w:jc w:val="left"/>
              <w:rPr>
                <w:rFonts w:hint="eastAsia" w:ascii="仿宋" w:hAnsi="仿宋" w:eastAsia="仿宋" w:cs="Times New Roman"/>
                <w:b/>
                <w:color w:val="000000"/>
                <w:sz w:val="24"/>
                <w:szCs w:val="24"/>
                <w:vertAlign w:val="baseline"/>
              </w:rPr>
            </w:pPr>
            <w:r>
              <w:rPr>
                <w:rFonts w:hint="eastAsia" w:ascii="仿宋" w:hAnsi="仿宋" w:eastAsia="仿宋" w:cs="Times New Roman"/>
                <w:b/>
                <w:color w:val="000000"/>
                <w:sz w:val="24"/>
                <w:szCs w:val="24"/>
              </w:rPr>
              <w:t>風險評級為：</w:t>
            </w:r>
          </w:p>
        </w:tc>
        <w:tc>
          <w:tcPr>
            <w:tcW w:w="4572" w:type="dxa"/>
            <w:tcBorders>
              <w:tl2br w:val="nil"/>
              <w:tr2bl w:val="nil"/>
            </w:tcBorders>
            <w:shd w:val="clear" w:color="auto" w:fill="FFFFFF" w:themeFill="background1"/>
            <w:tcMar>
              <w:top w:w="0" w:type="dxa"/>
              <w:left w:w="0" w:type="dxa"/>
              <w:bottom w:w="0" w:type="dxa"/>
              <w:right w:w="0" w:type="dxa"/>
            </w:tcMar>
            <w:vAlign w:val="top"/>
          </w:tcPr>
          <w:p>
            <w:r>
              <w:rPr>
                <w:rFonts w:hint="eastAsia" w:ascii="仿宋" w:hAnsi="仿宋" w:eastAsia="仿宋" w:cs="Times New Roman"/>
                <w:b/>
                <w:color w:val="000000"/>
                <w:sz w:val="24"/>
                <w:szCs w:val="24"/>
                <w:u w:val="none"/>
                <w:lang w:val="en-US" w:eastAsia="zh-CN"/>
              </w:rPr>
              <w:t>资料未载明</w:t>
            </w:r>
          </w:p>
        </w:tc>
      </w:tr>
    </w:tbl>
    <w:p w14:paraId="73E22DF7">
      <w:pPr>
        <w:keepNext w:val="0"/>
        <w:keepLines w:val="0"/>
        <w:pageBreakBefore w:val="0"/>
        <w:widowControl/>
        <w:shd w:val="clear" w:color="auto" w:fill="FFFFFF"/>
        <w:kinsoku/>
        <w:wordWrap/>
        <w:overflowPunct/>
        <w:topLinePunct w:val="0"/>
        <w:autoSpaceDE/>
        <w:autoSpaceDN/>
        <w:bidi w:val="0"/>
        <w:adjustRightInd/>
        <w:snapToGrid/>
        <w:spacing w:before="0" w:after="0" w:line="20" w:lineRule="exact"/>
        <w:textAlignment w:val="auto"/>
        <w:rPr>
          <w:rFonts w:hint="eastAsia" w:ascii="仿宋" w:hAnsi="仿宋" w:eastAsia="仿宋" w:cs="Times New Roman"/>
          <w:b/>
          <w:color w:val="000000"/>
          <w:sz w:val="24"/>
          <w:szCs w:val="24"/>
          <w:u w:val="single"/>
          <w:lang w:eastAsia="zh-CN"/>
        </w:rPr>
      </w:pPr>
      <w:r>
        <w:rPr>
          <w:rFonts w:hint="eastAsia" w:ascii="仿宋" w:hAnsi="仿宋" w:eastAsia="仿宋" w:cs="Times New Roman"/>
          <w:b/>
          <w:color w:val="000000"/>
          <w:sz w:val="24"/>
          <w:szCs w:val="24"/>
          <w:u w:val="none"/>
        </w:rPr>
        <w:t xml:space="preserve">    </w:t>
      </w:r>
    </w:p>
    <w:sectPr>
      <w:headerReference r:id="rId5" w:type="default"/>
      <w:footerReference r:id="rId6" w:type="default"/>
      <w:pgSz w:w="11906" w:h="16838"/>
      <w:pgMar w:top="1008" w:right="720" w:bottom="720" w:left="720" w:header="283" w:footer="0" w:gutter="0"/>
      <w:pgBorders>
        <w:top w:val="none" w:sz="0" w:space="0"/>
        <w:left w:val="none" w:sz="0" w:space="0"/>
        <w:bottom w:val="none" w:sz="0" w:space="0"/>
        <w:right w:val="none" w:sz="0" w:space="0"/>
      </w:pgBorders>
      <w:cols w:space="425" w:num="1"/>
      <w:docGrid w:type="lines"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rebuchet MS">
    <w:panose1 w:val="020B0603020202020204"/>
    <w:charset w:val="00"/>
    <w:family w:val="swiss"/>
    <w:pitch w:val="default"/>
    <w:sig w:usb0="00000687" w:usb1="00000000" w:usb2="00000000" w:usb3="00000000" w:csb0="2000009F"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Lucida Grande">
    <w:altName w:val="Courier New"/>
    <w:panose1 w:val="00000000000000000000"/>
    <w:charset w:val="00"/>
    <w:family w:val="auto"/>
    <w:pitch w:val="default"/>
    <w:sig w:usb0="00000000" w:usb1="00000000" w:usb2="00000000" w:usb3="00000000" w:csb0="200001BF" w:csb1="4F010000"/>
  </w:font>
  <w:font w:name="Helvetica">
    <w:altName w:val="Arial"/>
    <w:panose1 w:val="020B0604020202020204"/>
    <w:charset w:val="00"/>
    <w:family w:val="swiss"/>
    <w:pitch w:val="default"/>
    <w:sig w:usb0="00000000" w:usb1="00000000" w:usb2="00000000" w:usb3="00000000" w:csb0="2000019F" w:csb1="4F010000"/>
  </w:font>
  <w:font w:name="仿宋">
    <w:panose1 w:val="02010609060101010101"/>
    <w:charset w:val="86"/>
    <w:family w:val="modern"/>
    <w:pitch w:val="default"/>
    <w:sig w:usb0="800002BF" w:usb1="38CF7CFA" w:usb2="00000016" w:usb3="00000000" w:csb0="00040001" w:csb1="00000000"/>
  </w:font>
  <w:font w:name="標楷體">
    <w:altName w:val="宋体"/>
    <w:panose1 w:val="03000509000000000000"/>
    <w:charset w:val="88"/>
    <w:family w:val="script"/>
    <w:pitch w:val="default"/>
    <w:sig w:usb0="00000000" w:usb1="00000000" w:usb2="00000016"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FBD63">
    <w:pPr>
      <w:pStyle w:val="16"/>
      <w:rPr>
        <w:color w:val="595959" w:themeColor="text1" w:themeTint="A6"/>
        <w:sz w:val="18"/>
        <w:szCs w:val="18"/>
        <w14:textFill>
          <w14:solidFill>
            <w14:schemeClr w14:val="tx1">
              <w14:lumMod w14:val="65000"/>
              <w14:lumOff w14:val="35000"/>
            </w14:schemeClr>
          </w14:solidFill>
        </w14:textFill>
      </w:rPr>
    </w:pPr>
    <w:r>
      <w:rPr>
        <w:color w:val="595959" w:themeColor="text1" w:themeTint="A6"/>
        <w:sz w:val="18"/>
        <w:szCs w:val="18"/>
        <w14:textFill>
          <w14:solidFill>
            <w14:schemeClr w14:val="tx1">
              <w14:lumMod w14:val="65000"/>
              <w14:lumOff w14:val="35000"/>
            </w14:schemeClr>
          </w14:solidFill>
        </w14:textFill>
      </w:rPr>
      <w:ptab w:relativeTo="margin" w:alignment="right" w:leader="none"/>
    </w:r>
    <w:r>
      <w:rPr>
        <w:color w:val="595959" w:themeColor="text1" w:themeTint="A6"/>
        <w:sz w:val="18"/>
        <w:szCs w:val="18"/>
        <w:lang w:val="zh-TW"/>
        <w14:textFill>
          <w14:solidFill>
            <w14:schemeClr w14:val="tx1">
              <w14:lumMod w14:val="65000"/>
              <w14:lumOff w14:val="35000"/>
            </w14:schemeClr>
          </w14:solidFill>
        </w14:textFill>
      </w:rPr>
      <w:t xml:space="preserve"> </w:t>
    </w:r>
  </w:p>
  <w:p w14:paraId="31D13D4E">
    <w:pPr>
      <w:pStyle w:val="16"/>
      <w:rPr>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0741F">
    <w:pPr>
      <w:pStyle w:val="17"/>
    </w:pPr>
    <w:r>
      <w:rPr>
        <w:rFonts w:hint="eastAsia"/>
        <w:lang w:eastAsia="zh-CN"/>
      </w:rPr>
      <w:drawing>
        <wp:inline distT="0" distB="0" distL="114300" distR="114300">
          <wp:extent cx="1830705" cy="563245"/>
          <wp:effectExtent l="0" t="0" r="0" b="20955"/>
          <wp:docPr id="6" name="图片 6" descr="defaul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default-logo"/>
                  <pic:cNvPicPr>
                    <a:picLocks noChangeAspect="1"/>
                  </pic:cNvPicPr>
                </pic:nvPicPr>
                <pic:blipFill>
                  <a:blip r:embed="rId1"/>
                  <a:stretch>
                    <a:fillRect/>
                  </a:stretch>
                </pic:blipFill>
                <pic:spPr>
                  <a:xfrm>
                    <a:off x="0" y="0"/>
                    <a:ext cx="1830705" cy="56324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D0F3093"/>
    <w:multiLevelType w:val="multilevel"/>
    <w:tmpl w:val="0D0F3093"/>
    <w:lvl w:ilvl="0" w:tentative="0">
      <w:start w:val="1"/>
      <w:numFmt w:val="decimal"/>
      <w:lvlText w:val="(%1)"/>
      <w:lvlJc w:val="left"/>
      <w:pPr>
        <w:ind w:left="360" w:hanging="360"/>
      </w:pPr>
      <w:rPr>
        <w:rFonts w:hint="default" w:ascii="Calibri" w:hAnsi="Calibri"/>
        <w:b/>
      </w:rPr>
    </w:lvl>
    <w:lvl w:ilvl="1" w:tentative="0">
      <w:start w:val="1"/>
      <w:numFmt w:val="decimal"/>
      <w:lvlText w:val="%2."/>
      <w:lvlJc w:val="left"/>
      <w:pPr>
        <w:ind w:left="840" w:hanging="360"/>
      </w:pPr>
      <w:rPr>
        <w:rFonts w:hint="default" w:ascii="Calibri" w:hAnsi="Calibri"/>
      </w:r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1">
    <w:nsid w:val="0E1149D0"/>
    <w:multiLevelType w:val="multilevel"/>
    <w:tmpl w:val="0E1149D0"/>
    <w:lvl w:ilvl="0" w:tentative="0">
      <w:start w:val="1"/>
      <w:numFmt w:val="lowerRoman"/>
      <w:lvlText w:val="(%1)"/>
      <w:lvlJc w:val="left"/>
      <w:pPr>
        <w:ind w:left="720" w:hanging="720"/>
      </w:pPr>
      <w:rPr>
        <w:rFonts w:hint="default" w:ascii="Calibri" w:hAnsi="Calibri"/>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2">
    <w:nsid w:val="5E412854"/>
    <w:multiLevelType w:val="multilevel"/>
    <w:tmpl w:val="5E412854"/>
    <w:lvl w:ilvl="0" w:tentative="0">
      <w:start w:val="1"/>
      <w:numFmt w:val="decimal"/>
      <w:lvlText w:val="%1."/>
      <w:lvlJc w:val="left"/>
      <w:pPr>
        <w:ind w:left="720" w:hanging="360"/>
      </w:pPr>
      <w:rPr>
        <w:rFonts w:hint="default" w:ascii="Calibri" w:hAnsi="Calibr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27B59AB"/>
    <w:multiLevelType w:val="multilevel"/>
    <w:tmpl w:val="627B59AB"/>
    <w:lvl w:ilvl="0" w:tentative="0">
      <w:start w:val="6"/>
      <w:numFmt w:val="bullet"/>
      <w:lvlText w:val="-"/>
      <w:lvlJc w:val="left"/>
      <w:pPr>
        <w:ind w:left="360" w:hanging="360"/>
      </w:pPr>
      <w:rPr>
        <w:rFonts w:hint="default" w:ascii="Calibri" w:hAnsi="Calibri" w:eastAsia="標楷體" w:cs="Arial"/>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480"/>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VmODUwMDljY2ZkMzY3ODQ0YTVmMTE2MjZiYTg0NmEifQ=="/>
  </w:docVars>
  <w:rsids>
    <w:rsidRoot w:val="006A22DD"/>
    <w:rsid w:val="000001A2"/>
    <w:rsid w:val="00000937"/>
    <w:rsid w:val="00000F4D"/>
    <w:rsid w:val="000039C1"/>
    <w:rsid w:val="0001071C"/>
    <w:rsid w:val="00011B93"/>
    <w:rsid w:val="000126A4"/>
    <w:rsid w:val="000222EA"/>
    <w:rsid w:val="00022E9D"/>
    <w:rsid w:val="00022F2B"/>
    <w:rsid w:val="00023CE0"/>
    <w:rsid w:val="00027180"/>
    <w:rsid w:val="0003012A"/>
    <w:rsid w:val="00033A4A"/>
    <w:rsid w:val="000367B3"/>
    <w:rsid w:val="00036D12"/>
    <w:rsid w:val="00040A8C"/>
    <w:rsid w:val="0004133E"/>
    <w:rsid w:val="00046FE1"/>
    <w:rsid w:val="000506EF"/>
    <w:rsid w:val="000508EF"/>
    <w:rsid w:val="00053AE9"/>
    <w:rsid w:val="000566D1"/>
    <w:rsid w:val="00060225"/>
    <w:rsid w:val="00067090"/>
    <w:rsid w:val="00076495"/>
    <w:rsid w:val="00077C85"/>
    <w:rsid w:val="00077E8C"/>
    <w:rsid w:val="0008510D"/>
    <w:rsid w:val="000874A3"/>
    <w:rsid w:val="00087A20"/>
    <w:rsid w:val="00093078"/>
    <w:rsid w:val="00093383"/>
    <w:rsid w:val="0009527D"/>
    <w:rsid w:val="00097F15"/>
    <w:rsid w:val="000A1F29"/>
    <w:rsid w:val="000A4AD8"/>
    <w:rsid w:val="000A5D11"/>
    <w:rsid w:val="000A618A"/>
    <w:rsid w:val="000A7FF4"/>
    <w:rsid w:val="000B003A"/>
    <w:rsid w:val="000B2F9E"/>
    <w:rsid w:val="000B5EA5"/>
    <w:rsid w:val="000B67DC"/>
    <w:rsid w:val="000C2A9D"/>
    <w:rsid w:val="000C2E8A"/>
    <w:rsid w:val="000C7BDC"/>
    <w:rsid w:val="000D0AC6"/>
    <w:rsid w:val="000D1453"/>
    <w:rsid w:val="000D3AE3"/>
    <w:rsid w:val="000D4770"/>
    <w:rsid w:val="000D58D0"/>
    <w:rsid w:val="000E0D55"/>
    <w:rsid w:val="000E13B0"/>
    <w:rsid w:val="000E23E8"/>
    <w:rsid w:val="000E5CEA"/>
    <w:rsid w:val="000F088B"/>
    <w:rsid w:val="000F0C7B"/>
    <w:rsid w:val="000F48DC"/>
    <w:rsid w:val="000F564C"/>
    <w:rsid w:val="00101088"/>
    <w:rsid w:val="0010123E"/>
    <w:rsid w:val="00101811"/>
    <w:rsid w:val="001036BD"/>
    <w:rsid w:val="00106411"/>
    <w:rsid w:val="00106A3E"/>
    <w:rsid w:val="00110115"/>
    <w:rsid w:val="00113F17"/>
    <w:rsid w:val="0012235E"/>
    <w:rsid w:val="00122EC3"/>
    <w:rsid w:val="00124201"/>
    <w:rsid w:val="001245ED"/>
    <w:rsid w:val="00127A4D"/>
    <w:rsid w:val="001303AC"/>
    <w:rsid w:val="0013091E"/>
    <w:rsid w:val="00130D5E"/>
    <w:rsid w:val="00131B42"/>
    <w:rsid w:val="001329F4"/>
    <w:rsid w:val="001339DF"/>
    <w:rsid w:val="00134727"/>
    <w:rsid w:val="001348C1"/>
    <w:rsid w:val="00135C56"/>
    <w:rsid w:val="001367BC"/>
    <w:rsid w:val="00136826"/>
    <w:rsid w:val="00150921"/>
    <w:rsid w:val="001521FB"/>
    <w:rsid w:val="00153164"/>
    <w:rsid w:val="00154EEB"/>
    <w:rsid w:val="001575A8"/>
    <w:rsid w:val="00160A1B"/>
    <w:rsid w:val="00160F60"/>
    <w:rsid w:val="001677CD"/>
    <w:rsid w:val="00167A2D"/>
    <w:rsid w:val="00170667"/>
    <w:rsid w:val="0017087B"/>
    <w:rsid w:val="00172D88"/>
    <w:rsid w:val="0017458B"/>
    <w:rsid w:val="001829E7"/>
    <w:rsid w:val="00185AEA"/>
    <w:rsid w:val="00185DA5"/>
    <w:rsid w:val="00186870"/>
    <w:rsid w:val="00186DA9"/>
    <w:rsid w:val="0018776A"/>
    <w:rsid w:val="00187AFD"/>
    <w:rsid w:val="00195B19"/>
    <w:rsid w:val="00195F7E"/>
    <w:rsid w:val="001A06B3"/>
    <w:rsid w:val="001A0ABE"/>
    <w:rsid w:val="001A0FEA"/>
    <w:rsid w:val="001A1C5C"/>
    <w:rsid w:val="001A36CC"/>
    <w:rsid w:val="001A38A8"/>
    <w:rsid w:val="001A60AB"/>
    <w:rsid w:val="001A6625"/>
    <w:rsid w:val="001A7200"/>
    <w:rsid w:val="001A78C8"/>
    <w:rsid w:val="001A7D8C"/>
    <w:rsid w:val="001B415E"/>
    <w:rsid w:val="001B4409"/>
    <w:rsid w:val="001B75BE"/>
    <w:rsid w:val="001C4FEA"/>
    <w:rsid w:val="001D2B97"/>
    <w:rsid w:val="001D3FBD"/>
    <w:rsid w:val="001D7102"/>
    <w:rsid w:val="001D78FD"/>
    <w:rsid w:val="001E00F4"/>
    <w:rsid w:val="001E0B21"/>
    <w:rsid w:val="001E39D3"/>
    <w:rsid w:val="001E4240"/>
    <w:rsid w:val="001F0AD1"/>
    <w:rsid w:val="001F13E7"/>
    <w:rsid w:val="001F19A1"/>
    <w:rsid w:val="001F53A2"/>
    <w:rsid w:val="001F6895"/>
    <w:rsid w:val="001F6E42"/>
    <w:rsid w:val="001F6F61"/>
    <w:rsid w:val="001F79EF"/>
    <w:rsid w:val="00200C19"/>
    <w:rsid w:val="00202698"/>
    <w:rsid w:val="0020284B"/>
    <w:rsid w:val="002061DC"/>
    <w:rsid w:val="00210107"/>
    <w:rsid w:val="00210F2A"/>
    <w:rsid w:val="00210F7A"/>
    <w:rsid w:val="00211DF9"/>
    <w:rsid w:val="0021272F"/>
    <w:rsid w:val="00214174"/>
    <w:rsid w:val="002147F4"/>
    <w:rsid w:val="00214D57"/>
    <w:rsid w:val="00217E88"/>
    <w:rsid w:val="00221C05"/>
    <w:rsid w:val="00222493"/>
    <w:rsid w:val="00226BA9"/>
    <w:rsid w:val="002300A0"/>
    <w:rsid w:val="00231470"/>
    <w:rsid w:val="00236514"/>
    <w:rsid w:val="00236865"/>
    <w:rsid w:val="00240FE9"/>
    <w:rsid w:val="00241AA3"/>
    <w:rsid w:val="00245342"/>
    <w:rsid w:val="00245E64"/>
    <w:rsid w:val="0025043E"/>
    <w:rsid w:val="002512A1"/>
    <w:rsid w:val="0025229B"/>
    <w:rsid w:val="00253F74"/>
    <w:rsid w:val="002544C0"/>
    <w:rsid w:val="00257038"/>
    <w:rsid w:val="00263604"/>
    <w:rsid w:val="002651AD"/>
    <w:rsid w:val="002666BC"/>
    <w:rsid w:val="002709C2"/>
    <w:rsid w:val="002726AE"/>
    <w:rsid w:val="00272BF4"/>
    <w:rsid w:val="0027496B"/>
    <w:rsid w:val="002841BA"/>
    <w:rsid w:val="00285DF9"/>
    <w:rsid w:val="002862F2"/>
    <w:rsid w:val="00291169"/>
    <w:rsid w:val="002946F3"/>
    <w:rsid w:val="0029534D"/>
    <w:rsid w:val="00295FD8"/>
    <w:rsid w:val="00296228"/>
    <w:rsid w:val="00297901"/>
    <w:rsid w:val="00297E30"/>
    <w:rsid w:val="002A163C"/>
    <w:rsid w:val="002A2941"/>
    <w:rsid w:val="002A4A96"/>
    <w:rsid w:val="002A527A"/>
    <w:rsid w:val="002A7A87"/>
    <w:rsid w:val="002B2E48"/>
    <w:rsid w:val="002B2F2E"/>
    <w:rsid w:val="002B304B"/>
    <w:rsid w:val="002B3367"/>
    <w:rsid w:val="002B543E"/>
    <w:rsid w:val="002B6FA4"/>
    <w:rsid w:val="002B7C2E"/>
    <w:rsid w:val="002C0002"/>
    <w:rsid w:val="002C1598"/>
    <w:rsid w:val="002C1C52"/>
    <w:rsid w:val="002C25E5"/>
    <w:rsid w:val="002C677A"/>
    <w:rsid w:val="002C6B41"/>
    <w:rsid w:val="002D050A"/>
    <w:rsid w:val="002D142D"/>
    <w:rsid w:val="002D2E97"/>
    <w:rsid w:val="002D3397"/>
    <w:rsid w:val="002D396C"/>
    <w:rsid w:val="002D4C48"/>
    <w:rsid w:val="002E0143"/>
    <w:rsid w:val="002E04FB"/>
    <w:rsid w:val="002E0F0E"/>
    <w:rsid w:val="002E18EC"/>
    <w:rsid w:val="002F34E3"/>
    <w:rsid w:val="002F5022"/>
    <w:rsid w:val="002F5577"/>
    <w:rsid w:val="002F587A"/>
    <w:rsid w:val="00302969"/>
    <w:rsid w:val="00303ADF"/>
    <w:rsid w:val="003061F8"/>
    <w:rsid w:val="0030687E"/>
    <w:rsid w:val="003077D8"/>
    <w:rsid w:val="00307E54"/>
    <w:rsid w:val="00310048"/>
    <w:rsid w:val="00311A24"/>
    <w:rsid w:val="00316769"/>
    <w:rsid w:val="00316934"/>
    <w:rsid w:val="00320058"/>
    <w:rsid w:val="00321CB6"/>
    <w:rsid w:val="00322F66"/>
    <w:rsid w:val="00325448"/>
    <w:rsid w:val="00327A03"/>
    <w:rsid w:val="00330314"/>
    <w:rsid w:val="00330522"/>
    <w:rsid w:val="00330715"/>
    <w:rsid w:val="00330ED1"/>
    <w:rsid w:val="00334084"/>
    <w:rsid w:val="00336169"/>
    <w:rsid w:val="003372D3"/>
    <w:rsid w:val="0034046C"/>
    <w:rsid w:val="00341968"/>
    <w:rsid w:val="00343036"/>
    <w:rsid w:val="0034533C"/>
    <w:rsid w:val="00350749"/>
    <w:rsid w:val="00350F2C"/>
    <w:rsid w:val="00352E96"/>
    <w:rsid w:val="003538C1"/>
    <w:rsid w:val="003543CE"/>
    <w:rsid w:val="00354AC6"/>
    <w:rsid w:val="003560E3"/>
    <w:rsid w:val="00356230"/>
    <w:rsid w:val="003601F8"/>
    <w:rsid w:val="00360D41"/>
    <w:rsid w:val="003618EB"/>
    <w:rsid w:val="00362EC6"/>
    <w:rsid w:val="00367A41"/>
    <w:rsid w:val="0037340D"/>
    <w:rsid w:val="00374128"/>
    <w:rsid w:val="0037498D"/>
    <w:rsid w:val="00375108"/>
    <w:rsid w:val="003754F4"/>
    <w:rsid w:val="00376657"/>
    <w:rsid w:val="00381110"/>
    <w:rsid w:val="00381137"/>
    <w:rsid w:val="00381F93"/>
    <w:rsid w:val="00382AE4"/>
    <w:rsid w:val="00384A49"/>
    <w:rsid w:val="00384B99"/>
    <w:rsid w:val="00385265"/>
    <w:rsid w:val="003913F5"/>
    <w:rsid w:val="00392402"/>
    <w:rsid w:val="0039505F"/>
    <w:rsid w:val="00395148"/>
    <w:rsid w:val="003955E1"/>
    <w:rsid w:val="00397BC9"/>
    <w:rsid w:val="003A0D61"/>
    <w:rsid w:val="003A3034"/>
    <w:rsid w:val="003A5957"/>
    <w:rsid w:val="003B0911"/>
    <w:rsid w:val="003B0EA0"/>
    <w:rsid w:val="003B3525"/>
    <w:rsid w:val="003B55C9"/>
    <w:rsid w:val="003B6BBA"/>
    <w:rsid w:val="003B731B"/>
    <w:rsid w:val="003B75F1"/>
    <w:rsid w:val="003B7939"/>
    <w:rsid w:val="003C09D0"/>
    <w:rsid w:val="003C1999"/>
    <w:rsid w:val="003C448B"/>
    <w:rsid w:val="003C4D56"/>
    <w:rsid w:val="003C52B6"/>
    <w:rsid w:val="003D29D8"/>
    <w:rsid w:val="003D4AF0"/>
    <w:rsid w:val="003D66E8"/>
    <w:rsid w:val="003E1E7F"/>
    <w:rsid w:val="003E26CF"/>
    <w:rsid w:val="003E38EF"/>
    <w:rsid w:val="003E632E"/>
    <w:rsid w:val="003E68D7"/>
    <w:rsid w:val="003E6A43"/>
    <w:rsid w:val="003E747B"/>
    <w:rsid w:val="003E7E28"/>
    <w:rsid w:val="003F3496"/>
    <w:rsid w:val="003F3C05"/>
    <w:rsid w:val="003F3FF3"/>
    <w:rsid w:val="003F56CA"/>
    <w:rsid w:val="0040014B"/>
    <w:rsid w:val="004007C2"/>
    <w:rsid w:val="004008BA"/>
    <w:rsid w:val="00401B2B"/>
    <w:rsid w:val="00401E03"/>
    <w:rsid w:val="0040308C"/>
    <w:rsid w:val="00403808"/>
    <w:rsid w:val="0040635E"/>
    <w:rsid w:val="00412F2C"/>
    <w:rsid w:val="004137AB"/>
    <w:rsid w:val="00414AFF"/>
    <w:rsid w:val="00414DD5"/>
    <w:rsid w:val="004161BE"/>
    <w:rsid w:val="004202EC"/>
    <w:rsid w:val="004204EA"/>
    <w:rsid w:val="0042081D"/>
    <w:rsid w:val="0042309E"/>
    <w:rsid w:val="00424377"/>
    <w:rsid w:val="00427AEC"/>
    <w:rsid w:val="004375D8"/>
    <w:rsid w:val="00437B31"/>
    <w:rsid w:val="00441704"/>
    <w:rsid w:val="0044292C"/>
    <w:rsid w:val="004526C5"/>
    <w:rsid w:val="0045333E"/>
    <w:rsid w:val="00456D8A"/>
    <w:rsid w:val="004607AD"/>
    <w:rsid w:val="00461097"/>
    <w:rsid w:val="00464C0C"/>
    <w:rsid w:val="00466F19"/>
    <w:rsid w:val="00472330"/>
    <w:rsid w:val="004736CF"/>
    <w:rsid w:val="0047568E"/>
    <w:rsid w:val="00475D09"/>
    <w:rsid w:val="00475ECA"/>
    <w:rsid w:val="004760FF"/>
    <w:rsid w:val="00477073"/>
    <w:rsid w:val="0048040E"/>
    <w:rsid w:val="00491910"/>
    <w:rsid w:val="00493DBD"/>
    <w:rsid w:val="004A3AA8"/>
    <w:rsid w:val="004A4378"/>
    <w:rsid w:val="004A5586"/>
    <w:rsid w:val="004A617C"/>
    <w:rsid w:val="004A66CD"/>
    <w:rsid w:val="004A69E1"/>
    <w:rsid w:val="004A727D"/>
    <w:rsid w:val="004B24C8"/>
    <w:rsid w:val="004B2C24"/>
    <w:rsid w:val="004B3A96"/>
    <w:rsid w:val="004B595C"/>
    <w:rsid w:val="004C205A"/>
    <w:rsid w:val="004D2A31"/>
    <w:rsid w:val="004D56D3"/>
    <w:rsid w:val="004D74FE"/>
    <w:rsid w:val="004E20EF"/>
    <w:rsid w:val="004E2117"/>
    <w:rsid w:val="004E2DD9"/>
    <w:rsid w:val="004E3843"/>
    <w:rsid w:val="004E5048"/>
    <w:rsid w:val="004E706E"/>
    <w:rsid w:val="004E7FA5"/>
    <w:rsid w:val="004F30A3"/>
    <w:rsid w:val="004F4429"/>
    <w:rsid w:val="004F5466"/>
    <w:rsid w:val="00504100"/>
    <w:rsid w:val="00504315"/>
    <w:rsid w:val="0050783F"/>
    <w:rsid w:val="005103FE"/>
    <w:rsid w:val="0051524E"/>
    <w:rsid w:val="00516506"/>
    <w:rsid w:val="0052030D"/>
    <w:rsid w:val="005206CF"/>
    <w:rsid w:val="00526674"/>
    <w:rsid w:val="00526F25"/>
    <w:rsid w:val="005275C2"/>
    <w:rsid w:val="00527D64"/>
    <w:rsid w:val="0053038D"/>
    <w:rsid w:val="00530513"/>
    <w:rsid w:val="005308A5"/>
    <w:rsid w:val="00530DCD"/>
    <w:rsid w:val="00531080"/>
    <w:rsid w:val="00532E50"/>
    <w:rsid w:val="005343FC"/>
    <w:rsid w:val="00535438"/>
    <w:rsid w:val="00536B39"/>
    <w:rsid w:val="00540595"/>
    <w:rsid w:val="00542AF6"/>
    <w:rsid w:val="005433B6"/>
    <w:rsid w:val="00544220"/>
    <w:rsid w:val="005444EB"/>
    <w:rsid w:val="00547883"/>
    <w:rsid w:val="00554221"/>
    <w:rsid w:val="00555390"/>
    <w:rsid w:val="00555AB5"/>
    <w:rsid w:val="00564A29"/>
    <w:rsid w:val="00564D1E"/>
    <w:rsid w:val="00564FEC"/>
    <w:rsid w:val="00565684"/>
    <w:rsid w:val="00566693"/>
    <w:rsid w:val="0057313F"/>
    <w:rsid w:val="0057468B"/>
    <w:rsid w:val="0057547A"/>
    <w:rsid w:val="0057604F"/>
    <w:rsid w:val="00582882"/>
    <w:rsid w:val="00584065"/>
    <w:rsid w:val="00585FD6"/>
    <w:rsid w:val="005871C0"/>
    <w:rsid w:val="00587928"/>
    <w:rsid w:val="005903FA"/>
    <w:rsid w:val="00591105"/>
    <w:rsid w:val="00592A26"/>
    <w:rsid w:val="00593DD3"/>
    <w:rsid w:val="005A3E9C"/>
    <w:rsid w:val="005A6952"/>
    <w:rsid w:val="005A6E6B"/>
    <w:rsid w:val="005B137A"/>
    <w:rsid w:val="005B2513"/>
    <w:rsid w:val="005B54D7"/>
    <w:rsid w:val="005B63D6"/>
    <w:rsid w:val="005B74C4"/>
    <w:rsid w:val="005B7DD7"/>
    <w:rsid w:val="005C088E"/>
    <w:rsid w:val="005C1C12"/>
    <w:rsid w:val="005C2249"/>
    <w:rsid w:val="005C353F"/>
    <w:rsid w:val="005C361F"/>
    <w:rsid w:val="005C44EA"/>
    <w:rsid w:val="005C4722"/>
    <w:rsid w:val="005C4F18"/>
    <w:rsid w:val="005C68F3"/>
    <w:rsid w:val="005C6E76"/>
    <w:rsid w:val="005D13BE"/>
    <w:rsid w:val="005D3AC2"/>
    <w:rsid w:val="005D5038"/>
    <w:rsid w:val="005D66B1"/>
    <w:rsid w:val="005E1066"/>
    <w:rsid w:val="005E2619"/>
    <w:rsid w:val="005E46FE"/>
    <w:rsid w:val="005E5C33"/>
    <w:rsid w:val="005F1B26"/>
    <w:rsid w:val="005F320D"/>
    <w:rsid w:val="005F32CC"/>
    <w:rsid w:val="005F6413"/>
    <w:rsid w:val="005F6CDB"/>
    <w:rsid w:val="00601086"/>
    <w:rsid w:val="0060159F"/>
    <w:rsid w:val="00602017"/>
    <w:rsid w:val="0060241E"/>
    <w:rsid w:val="00602D31"/>
    <w:rsid w:val="00604331"/>
    <w:rsid w:val="00606674"/>
    <w:rsid w:val="006079EE"/>
    <w:rsid w:val="006102C4"/>
    <w:rsid w:val="00610AFC"/>
    <w:rsid w:val="0061167B"/>
    <w:rsid w:val="00613298"/>
    <w:rsid w:val="00615BD1"/>
    <w:rsid w:val="006160AC"/>
    <w:rsid w:val="00616E83"/>
    <w:rsid w:val="006173C2"/>
    <w:rsid w:val="00617415"/>
    <w:rsid w:val="00620AE7"/>
    <w:rsid w:val="00620BD6"/>
    <w:rsid w:val="0062300F"/>
    <w:rsid w:val="0062582E"/>
    <w:rsid w:val="0062738E"/>
    <w:rsid w:val="006277C7"/>
    <w:rsid w:val="00627CE3"/>
    <w:rsid w:val="006303BC"/>
    <w:rsid w:val="006336BD"/>
    <w:rsid w:val="00634337"/>
    <w:rsid w:val="00634653"/>
    <w:rsid w:val="00635F01"/>
    <w:rsid w:val="0063619B"/>
    <w:rsid w:val="00636808"/>
    <w:rsid w:val="00643754"/>
    <w:rsid w:val="00644CB9"/>
    <w:rsid w:val="00646686"/>
    <w:rsid w:val="006466DC"/>
    <w:rsid w:val="00650939"/>
    <w:rsid w:val="00652913"/>
    <w:rsid w:val="006608C4"/>
    <w:rsid w:val="006612A9"/>
    <w:rsid w:val="00661AA8"/>
    <w:rsid w:val="00662A33"/>
    <w:rsid w:val="00664261"/>
    <w:rsid w:val="00667C16"/>
    <w:rsid w:val="00670C15"/>
    <w:rsid w:val="0067737E"/>
    <w:rsid w:val="00677A48"/>
    <w:rsid w:val="006800FA"/>
    <w:rsid w:val="00681AB2"/>
    <w:rsid w:val="00681E08"/>
    <w:rsid w:val="00684FE5"/>
    <w:rsid w:val="00686877"/>
    <w:rsid w:val="00686A26"/>
    <w:rsid w:val="00687127"/>
    <w:rsid w:val="00687733"/>
    <w:rsid w:val="00691EFA"/>
    <w:rsid w:val="00693BC7"/>
    <w:rsid w:val="00696B32"/>
    <w:rsid w:val="006A0862"/>
    <w:rsid w:val="006A1814"/>
    <w:rsid w:val="006A22DD"/>
    <w:rsid w:val="006A701B"/>
    <w:rsid w:val="006A7559"/>
    <w:rsid w:val="006A7F86"/>
    <w:rsid w:val="006A7F87"/>
    <w:rsid w:val="006B1DEC"/>
    <w:rsid w:val="006B311E"/>
    <w:rsid w:val="006B427B"/>
    <w:rsid w:val="006B43F3"/>
    <w:rsid w:val="006B485E"/>
    <w:rsid w:val="006B656B"/>
    <w:rsid w:val="006C7F01"/>
    <w:rsid w:val="006D2B36"/>
    <w:rsid w:val="006D6368"/>
    <w:rsid w:val="006D67FB"/>
    <w:rsid w:val="006E1CF5"/>
    <w:rsid w:val="006E285F"/>
    <w:rsid w:val="006E57A8"/>
    <w:rsid w:val="006E6165"/>
    <w:rsid w:val="006F14F8"/>
    <w:rsid w:val="006F285A"/>
    <w:rsid w:val="006F660F"/>
    <w:rsid w:val="006F7210"/>
    <w:rsid w:val="007012FA"/>
    <w:rsid w:val="00701BDA"/>
    <w:rsid w:val="00701ED7"/>
    <w:rsid w:val="00704C90"/>
    <w:rsid w:val="00706958"/>
    <w:rsid w:val="00713D85"/>
    <w:rsid w:val="00714276"/>
    <w:rsid w:val="00715E48"/>
    <w:rsid w:val="007177B2"/>
    <w:rsid w:val="00717A4C"/>
    <w:rsid w:val="00720371"/>
    <w:rsid w:val="00720B6E"/>
    <w:rsid w:val="007228AC"/>
    <w:rsid w:val="00722D0F"/>
    <w:rsid w:val="00722F1D"/>
    <w:rsid w:val="007240A1"/>
    <w:rsid w:val="00724E5B"/>
    <w:rsid w:val="00724E78"/>
    <w:rsid w:val="00725755"/>
    <w:rsid w:val="007261B9"/>
    <w:rsid w:val="007273EE"/>
    <w:rsid w:val="0073470D"/>
    <w:rsid w:val="00735B8D"/>
    <w:rsid w:val="00735CAA"/>
    <w:rsid w:val="00737484"/>
    <w:rsid w:val="00740D88"/>
    <w:rsid w:val="00743CC0"/>
    <w:rsid w:val="007447F3"/>
    <w:rsid w:val="00744EDE"/>
    <w:rsid w:val="00745BD4"/>
    <w:rsid w:val="00750431"/>
    <w:rsid w:val="00751AA3"/>
    <w:rsid w:val="00751FE0"/>
    <w:rsid w:val="00754E32"/>
    <w:rsid w:val="00761EDE"/>
    <w:rsid w:val="00765175"/>
    <w:rsid w:val="0076651B"/>
    <w:rsid w:val="00767173"/>
    <w:rsid w:val="00767840"/>
    <w:rsid w:val="00767D6C"/>
    <w:rsid w:val="0077592A"/>
    <w:rsid w:val="007778D5"/>
    <w:rsid w:val="00780543"/>
    <w:rsid w:val="0078102A"/>
    <w:rsid w:val="007832DB"/>
    <w:rsid w:val="00786B5D"/>
    <w:rsid w:val="00786C33"/>
    <w:rsid w:val="00786FB1"/>
    <w:rsid w:val="007907F6"/>
    <w:rsid w:val="00794633"/>
    <w:rsid w:val="0079566C"/>
    <w:rsid w:val="007A1AD0"/>
    <w:rsid w:val="007A1D9E"/>
    <w:rsid w:val="007A3ABF"/>
    <w:rsid w:val="007A4F85"/>
    <w:rsid w:val="007A506B"/>
    <w:rsid w:val="007A5F24"/>
    <w:rsid w:val="007A6066"/>
    <w:rsid w:val="007A68AC"/>
    <w:rsid w:val="007B0ADD"/>
    <w:rsid w:val="007B0F6E"/>
    <w:rsid w:val="007B483F"/>
    <w:rsid w:val="007B5AA3"/>
    <w:rsid w:val="007B5C8C"/>
    <w:rsid w:val="007B62A2"/>
    <w:rsid w:val="007C0EF6"/>
    <w:rsid w:val="007C1C6B"/>
    <w:rsid w:val="007C3364"/>
    <w:rsid w:val="007C384B"/>
    <w:rsid w:val="007C69D7"/>
    <w:rsid w:val="007D1E69"/>
    <w:rsid w:val="007D2008"/>
    <w:rsid w:val="007D21D3"/>
    <w:rsid w:val="007D31C9"/>
    <w:rsid w:val="007D335D"/>
    <w:rsid w:val="007D6BBD"/>
    <w:rsid w:val="007E03F8"/>
    <w:rsid w:val="007E23ED"/>
    <w:rsid w:val="007E3B2C"/>
    <w:rsid w:val="007E5908"/>
    <w:rsid w:val="007E613F"/>
    <w:rsid w:val="007F0B1E"/>
    <w:rsid w:val="007F3287"/>
    <w:rsid w:val="007F3E3B"/>
    <w:rsid w:val="007F464B"/>
    <w:rsid w:val="007F5B3A"/>
    <w:rsid w:val="007F7A03"/>
    <w:rsid w:val="007F7ED1"/>
    <w:rsid w:val="00802176"/>
    <w:rsid w:val="00804280"/>
    <w:rsid w:val="008052D6"/>
    <w:rsid w:val="0080563B"/>
    <w:rsid w:val="008062E9"/>
    <w:rsid w:val="00807473"/>
    <w:rsid w:val="008116E8"/>
    <w:rsid w:val="008146B3"/>
    <w:rsid w:val="00814BF0"/>
    <w:rsid w:val="00816D80"/>
    <w:rsid w:val="0082224C"/>
    <w:rsid w:val="008233CD"/>
    <w:rsid w:val="00823472"/>
    <w:rsid w:val="00823785"/>
    <w:rsid w:val="00826CDE"/>
    <w:rsid w:val="00826E51"/>
    <w:rsid w:val="008304A6"/>
    <w:rsid w:val="00830EE8"/>
    <w:rsid w:val="00831725"/>
    <w:rsid w:val="00831904"/>
    <w:rsid w:val="00832A8A"/>
    <w:rsid w:val="00832C9D"/>
    <w:rsid w:val="00834E60"/>
    <w:rsid w:val="00845B30"/>
    <w:rsid w:val="008504CF"/>
    <w:rsid w:val="00850897"/>
    <w:rsid w:val="00854D58"/>
    <w:rsid w:val="0085795D"/>
    <w:rsid w:val="00857A3F"/>
    <w:rsid w:val="00860C3D"/>
    <w:rsid w:val="00860E82"/>
    <w:rsid w:val="0086400D"/>
    <w:rsid w:val="008651C5"/>
    <w:rsid w:val="00866F6F"/>
    <w:rsid w:val="0087013F"/>
    <w:rsid w:val="00872F10"/>
    <w:rsid w:val="00873A30"/>
    <w:rsid w:val="00873BC5"/>
    <w:rsid w:val="0087426C"/>
    <w:rsid w:val="00876EFA"/>
    <w:rsid w:val="00881B8A"/>
    <w:rsid w:val="00890AAF"/>
    <w:rsid w:val="0089107C"/>
    <w:rsid w:val="0089241A"/>
    <w:rsid w:val="00892C46"/>
    <w:rsid w:val="00896D06"/>
    <w:rsid w:val="008A096A"/>
    <w:rsid w:val="008A0E7D"/>
    <w:rsid w:val="008A2CA7"/>
    <w:rsid w:val="008A3E83"/>
    <w:rsid w:val="008A6049"/>
    <w:rsid w:val="008A651D"/>
    <w:rsid w:val="008A7C02"/>
    <w:rsid w:val="008B3C4B"/>
    <w:rsid w:val="008B3F94"/>
    <w:rsid w:val="008B5F21"/>
    <w:rsid w:val="008B659D"/>
    <w:rsid w:val="008C435A"/>
    <w:rsid w:val="008C524D"/>
    <w:rsid w:val="008C6176"/>
    <w:rsid w:val="008C74AA"/>
    <w:rsid w:val="008D374D"/>
    <w:rsid w:val="008D516A"/>
    <w:rsid w:val="008D52D6"/>
    <w:rsid w:val="008D55F4"/>
    <w:rsid w:val="008D6A83"/>
    <w:rsid w:val="008D749C"/>
    <w:rsid w:val="008E261A"/>
    <w:rsid w:val="008E3FC3"/>
    <w:rsid w:val="008E7BEA"/>
    <w:rsid w:val="008F2F3F"/>
    <w:rsid w:val="008F6C37"/>
    <w:rsid w:val="008F72A5"/>
    <w:rsid w:val="00900D48"/>
    <w:rsid w:val="009048DC"/>
    <w:rsid w:val="009107C8"/>
    <w:rsid w:val="00913451"/>
    <w:rsid w:val="009151E8"/>
    <w:rsid w:val="00915A3A"/>
    <w:rsid w:val="009170A1"/>
    <w:rsid w:val="00922AF9"/>
    <w:rsid w:val="009241BB"/>
    <w:rsid w:val="009249FF"/>
    <w:rsid w:val="00931A7D"/>
    <w:rsid w:val="00936871"/>
    <w:rsid w:val="0093781A"/>
    <w:rsid w:val="00937A0A"/>
    <w:rsid w:val="00944084"/>
    <w:rsid w:val="00944FCB"/>
    <w:rsid w:val="00945607"/>
    <w:rsid w:val="00945E71"/>
    <w:rsid w:val="0094622A"/>
    <w:rsid w:val="009473BD"/>
    <w:rsid w:val="00947B9A"/>
    <w:rsid w:val="0095044F"/>
    <w:rsid w:val="009505EF"/>
    <w:rsid w:val="0095219D"/>
    <w:rsid w:val="00952355"/>
    <w:rsid w:val="00952709"/>
    <w:rsid w:val="009552E9"/>
    <w:rsid w:val="00962727"/>
    <w:rsid w:val="009667AD"/>
    <w:rsid w:val="00976248"/>
    <w:rsid w:val="00976ABA"/>
    <w:rsid w:val="009772B8"/>
    <w:rsid w:val="00977729"/>
    <w:rsid w:val="00977C09"/>
    <w:rsid w:val="009854D7"/>
    <w:rsid w:val="009875E4"/>
    <w:rsid w:val="00991827"/>
    <w:rsid w:val="00993214"/>
    <w:rsid w:val="00994E42"/>
    <w:rsid w:val="0099594F"/>
    <w:rsid w:val="009959CE"/>
    <w:rsid w:val="00996500"/>
    <w:rsid w:val="009970F0"/>
    <w:rsid w:val="00997471"/>
    <w:rsid w:val="00997B50"/>
    <w:rsid w:val="00997C87"/>
    <w:rsid w:val="009A0540"/>
    <w:rsid w:val="009A0F62"/>
    <w:rsid w:val="009A3C5D"/>
    <w:rsid w:val="009A4B7B"/>
    <w:rsid w:val="009A6ED3"/>
    <w:rsid w:val="009B1BF5"/>
    <w:rsid w:val="009B3438"/>
    <w:rsid w:val="009B3AA2"/>
    <w:rsid w:val="009B5EC8"/>
    <w:rsid w:val="009C2272"/>
    <w:rsid w:val="009C3DA6"/>
    <w:rsid w:val="009C61EC"/>
    <w:rsid w:val="009D1926"/>
    <w:rsid w:val="009D4E67"/>
    <w:rsid w:val="009D72CB"/>
    <w:rsid w:val="009E50C8"/>
    <w:rsid w:val="009E7018"/>
    <w:rsid w:val="009E7AB5"/>
    <w:rsid w:val="009F2118"/>
    <w:rsid w:val="009F256A"/>
    <w:rsid w:val="009F2648"/>
    <w:rsid w:val="009F535E"/>
    <w:rsid w:val="009F54FD"/>
    <w:rsid w:val="009F595E"/>
    <w:rsid w:val="009F6DD4"/>
    <w:rsid w:val="009F7172"/>
    <w:rsid w:val="009F7B3B"/>
    <w:rsid w:val="00A00CAC"/>
    <w:rsid w:val="00A03747"/>
    <w:rsid w:val="00A04EDD"/>
    <w:rsid w:val="00A10772"/>
    <w:rsid w:val="00A15A2D"/>
    <w:rsid w:val="00A222F6"/>
    <w:rsid w:val="00A240B9"/>
    <w:rsid w:val="00A24719"/>
    <w:rsid w:val="00A273D2"/>
    <w:rsid w:val="00A31614"/>
    <w:rsid w:val="00A325C5"/>
    <w:rsid w:val="00A34E79"/>
    <w:rsid w:val="00A37938"/>
    <w:rsid w:val="00A40042"/>
    <w:rsid w:val="00A41539"/>
    <w:rsid w:val="00A42A64"/>
    <w:rsid w:val="00A4380F"/>
    <w:rsid w:val="00A45B6C"/>
    <w:rsid w:val="00A4649F"/>
    <w:rsid w:val="00A51181"/>
    <w:rsid w:val="00A511BB"/>
    <w:rsid w:val="00A51CF8"/>
    <w:rsid w:val="00A55FEA"/>
    <w:rsid w:val="00A56F1C"/>
    <w:rsid w:val="00A62E8C"/>
    <w:rsid w:val="00A65378"/>
    <w:rsid w:val="00A65E93"/>
    <w:rsid w:val="00A736D9"/>
    <w:rsid w:val="00A75917"/>
    <w:rsid w:val="00A77E7D"/>
    <w:rsid w:val="00A8118A"/>
    <w:rsid w:val="00A83E2F"/>
    <w:rsid w:val="00A904BB"/>
    <w:rsid w:val="00A9091B"/>
    <w:rsid w:val="00A91F7A"/>
    <w:rsid w:val="00A92AD2"/>
    <w:rsid w:val="00A94B48"/>
    <w:rsid w:val="00A95591"/>
    <w:rsid w:val="00A95EBB"/>
    <w:rsid w:val="00A97735"/>
    <w:rsid w:val="00AA019D"/>
    <w:rsid w:val="00AA1245"/>
    <w:rsid w:val="00AA37D3"/>
    <w:rsid w:val="00AA58EB"/>
    <w:rsid w:val="00AA66EC"/>
    <w:rsid w:val="00AA7640"/>
    <w:rsid w:val="00AA7919"/>
    <w:rsid w:val="00AB0242"/>
    <w:rsid w:val="00AB1D0D"/>
    <w:rsid w:val="00AB2E5F"/>
    <w:rsid w:val="00AB36C6"/>
    <w:rsid w:val="00AB37B5"/>
    <w:rsid w:val="00AB5C76"/>
    <w:rsid w:val="00AB7FC3"/>
    <w:rsid w:val="00AC04B5"/>
    <w:rsid w:val="00AC0BC4"/>
    <w:rsid w:val="00AC552A"/>
    <w:rsid w:val="00AC5B18"/>
    <w:rsid w:val="00AD1D2D"/>
    <w:rsid w:val="00AD3736"/>
    <w:rsid w:val="00AD4769"/>
    <w:rsid w:val="00AD6956"/>
    <w:rsid w:val="00AD7212"/>
    <w:rsid w:val="00AD744A"/>
    <w:rsid w:val="00AD74E3"/>
    <w:rsid w:val="00AE0041"/>
    <w:rsid w:val="00AE0265"/>
    <w:rsid w:val="00AE5730"/>
    <w:rsid w:val="00AE6878"/>
    <w:rsid w:val="00AE6EB4"/>
    <w:rsid w:val="00AE6EF0"/>
    <w:rsid w:val="00AF0E56"/>
    <w:rsid w:val="00AF60A9"/>
    <w:rsid w:val="00AF68EC"/>
    <w:rsid w:val="00AF73F1"/>
    <w:rsid w:val="00AF79CD"/>
    <w:rsid w:val="00B00BD1"/>
    <w:rsid w:val="00B03EF2"/>
    <w:rsid w:val="00B04553"/>
    <w:rsid w:val="00B131B4"/>
    <w:rsid w:val="00B17C21"/>
    <w:rsid w:val="00B20319"/>
    <w:rsid w:val="00B23502"/>
    <w:rsid w:val="00B2570D"/>
    <w:rsid w:val="00B25EA3"/>
    <w:rsid w:val="00B31BB5"/>
    <w:rsid w:val="00B3403C"/>
    <w:rsid w:val="00B35795"/>
    <w:rsid w:val="00B377D3"/>
    <w:rsid w:val="00B40B88"/>
    <w:rsid w:val="00B45CD4"/>
    <w:rsid w:val="00B477B2"/>
    <w:rsid w:val="00B50005"/>
    <w:rsid w:val="00B52399"/>
    <w:rsid w:val="00B53BC8"/>
    <w:rsid w:val="00B5619E"/>
    <w:rsid w:val="00B56FBD"/>
    <w:rsid w:val="00B57F5D"/>
    <w:rsid w:val="00B61AEC"/>
    <w:rsid w:val="00B61C1F"/>
    <w:rsid w:val="00B632D8"/>
    <w:rsid w:val="00B66E6C"/>
    <w:rsid w:val="00B674BF"/>
    <w:rsid w:val="00B70377"/>
    <w:rsid w:val="00B70FE8"/>
    <w:rsid w:val="00B712D0"/>
    <w:rsid w:val="00B714F5"/>
    <w:rsid w:val="00B71518"/>
    <w:rsid w:val="00B717B4"/>
    <w:rsid w:val="00B72773"/>
    <w:rsid w:val="00B73F78"/>
    <w:rsid w:val="00B74659"/>
    <w:rsid w:val="00B77344"/>
    <w:rsid w:val="00B818D7"/>
    <w:rsid w:val="00B828FF"/>
    <w:rsid w:val="00B83516"/>
    <w:rsid w:val="00B87A16"/>
    <w:rsid w:val="00B90FC1"/>
    <w:rsid w:val="00B92F43"/>
    <w:rsid w:val="00B95C7A"/>
    <w:rsid w:val="00B96AED"/>
    <w:rsid w:val="00B97B1E"/>
    <w:rsid w:val="00B97B7D"/>
    <w:rsid w:val="00BA0420"/>
    <w:rsid w:val="00BA0CC3"/>
    <w:rsid w:val="00BA0F26"/>
    <w:rsid w:val="00BA462B"/>
    <w:rsid w:val="00BA4D40"/>
    <w:rsid w:val="00BA65F8"/>
    <w:rsid w:val="00BA6BF3"/>
    <w:rsid w:val="00BA6E3F"/>
    <w:rsid w:val="00BA7327"/>
    <w:rsid w:val="00BA7B2F"/>
    <w:rsid w:val="00BB13A0"/>
    <w:rsid w:val="00BB1779"/>
    <w:rsid w:val="00BB2265"/>
    <w:rsid w:val="00BB43F6"/>
    <w:rsid w:val="00BB7E44"/>
    <w:rsid w:val="00BC0770"/>
    <w:rsid w:val="00BC3383"/>
    <w:rsid w:val="00BC4649"/>
    <w:rsid w:val="00BC6938"/>
    <w:rsid w:val="00BC6AB6"/>
    <w:rsid w:val="00BD0BD2"/>
    <w:rsid w:val="00BD42BF"/>
    <w:rsid w:val="00BD49DC"/>
    <w:rsid w:val="00BD4C12"/>
    <w:rsid w:val="00BD6D37"/>
    <w:rsid w:val="00BD7E7C"/>
    <w:rsid w:val="00BE327C"/>
    <w:rsid w:val="00BE415D"/>
    <w:rsid w:val="00BE4205"/>
    <w:rsid w:val="00BE6911"/>
    <w:rsid w:val="00BF0606"/>
    <w:rsid w:val="00BF4D87"/>
    <w:rsid w:val="00BF5F72"/>
    <w:rsid w:val="00BF7127"/>
    <w:rsid w:val="00BF73E4"/>
    <w:rsid w:val="00BF752D"/>
    <w:rsid w:val="00BF7B02"/>
    <w:rsid w:val="00C05127"/>
    <w:rsid w:val="00C12371"/>
    <w:rsid w:val="00C12BF3"/>
    <w:rsid w:val="00C145F2"/>
    <w:rsid w:val="00C14E01"/>
    <w:rsid w:val="00C1729B"/>
    <w:rsid w:val="00C174CB"/>
    <w:rsid w:val="00C23065"/>
    <w:rsid w:val="00C25842"/>
    <w:rsid w:val="00C25D0E"/>
    <w:rsid w:val="00C2628A"/>
    <w:rsid w:val="00C328CB"/>
    <w:rsid w:val="00C32933"/>
    <w:rsid w:val="00C33F29"/>
    <w:rsid w:val="00C356DB"/>
    <w:rsid w:val="00C3587D"/>
    <w:rsid w:val="00C372C9"/>
    <w:rsid w:val="00C41190"/>
    <w:rsid w:val="00C43A99"/>
    <w:rsid w:val="00C445C1"/>
    <w:rsid w:val="00C44F40"/>
    <w:rsid w:val="00C4605A"/>
    <w:rsid w:val="00C46B6B"/>
    <w:rsid w:val="00C46FA7"/>
    <w:rsid w:val="00C5333B"/>
    <w:rsid w:val="00C548ED"/>
    <w:rsid w:val="00C54DF7"/>
    <w:rsid w:val="00C60D33"/>
    <w:rsid w:val="00C6111F"/>
    <w:rsid w:val="00C615B8"/>
    <w:rsid w:val="00C674A7"/>
    <w:rsid w:val="00C701D9"/>
    <w:rsid w:val="00C70459"/>
    <w:rsid w:val="00C707E6"/>
    <w:rsid w:val="00C71090"/>
    <w:rsid w:val="00C716F2"/>
    <w:rsid w:val="00C72E93"/>
    <w:rsid w:val="00C73400"/>
    <w:rsid w:val="00C756AD"/>
    <w:rsid w:val="00C756BD"/>
    <w:rsid w:val="00C76D39"/>
    <w:rsid w:val="00C822C6"/>
    <w:rsid w:val="00C83442"/>
    <w:rsid w:val="00C83B2D"/>
    <w:rsid w:val="00C9038E"/>
    <w:rsid w:val="00C90B82"/>
    <w:rsid w:val="00C91604"/>
    <w:rsid w:val="00C918D0"/>
    <w:rsid w:val="00C9210F"/>
    <w:rsid w:val="00C92B39"/>
    <w:rsid w:val="00C92F00"/>
    <w:rsid w:val="00CA1CC9"/>
    <w:rsid w:val="00CA3FD2"/>
    <w:rsid w:val="00CA65DC"/>
    <w:rsid w:val="00CB1080"/>
    <w:rsid w:val="00CB113E"/>
    <w:rsid w:val="00CB149B"/>
    <w:rsid w:val="00CB1D1E"/>
    <w:rsid w:val="00CB3273"/>
    <w:rsid w:val="00CB42F1"/>
    <w:rsid w:val="00CC53E0"/>
    <w:rsid w:val="00CC614F"/>
    <w:rsid w:val="00CD2D51"/>
    <w:rsid w:val="00CD4FB1"/>
    <w:rsid w:val="00CD61D1"/>
    <w:rsid w:val="00CD7B24"/>
    <w:rsid w:val="00CE0B96"/>
    <w:rsid w:val="00CE3F28"/>
    <w:rsid w:val="00CE5A7E"/>
    <w:rsid w:val="00CE66EB"/>
    <w:rsid w:val="00CE7C12"/>
    <w:rsid w:val="00CF146E"/>
    <w:rsid w:val="00CF36E7"/>
    <w:rsid w:val="00CF3902"/>
    <w:rsid w:val="00CF53F2"/>
    <w:rsid w:val="00CF5C4E"/>
    <w:rsid w:val="00D00AD3"/>
    <w:rsid w:val="00D022BE"/>
    <w:rsid w:val="00D025F2"/>
    <w:rsid w:val="00D041A4"/>
    <w:rsid w:val="00D05AC0"/>
    <w:rsid w:val="00D07117"/>
    <w:rsid w:val="00D10617"/>
    <w:rsid w:val="00D109DC"/>
    <w:rsid w:val="00D112F7"/>
    <w:rsid w:val="00D14531"/>
    <w:rsid w:val="00D17669"/>
    <w:rsid w:val="00D2101A"/>
    <w:rsid w:val="00D23435"/>
    <w:rsid w:val="00D248FA"/>
    <w:rsid w:val="00D2514C"/>
    <w:rsid w:val="00D30BE3"/>
    <w:rsid w:val="00D3439B"/>
    <w:rsid w:val="00D349B8"/>
    <w:rsid w:val="00D41B8B"/>
    <w:rsid w:val="00D4321E"/>
    <w:rsid w:val="00D43967"/>
    <w:rsid w:val="00D450F6"/>
    <w:rsid w:val="00D46810"/>
    <w:rsid w:val="00D4764A"/>
    <w:rsid w:val="00D5099E"/>
    <w:rsid w:val="00D50DD1"/>
    <w:rsid w:val="00D55675"/>
    <w:rsid w:val="00D5612D"/>
    <w:rsid w:val="00D6385E"/>
    <w:rsid w:val="00D678AA"/>
    <w:rsid w:val="00D72151"/>
    <w:rsid w:val="00D7286B"/>
    <w:rsid w:val="00D7444F"/>
    <w:rsid w:val="00D75508"/>
    <w:rsid w:val="00D75EBB"/>
    <w:rsid w:val="00D80391"/>
    <w:rsid w:val="00D808E5"/>
    <w:rsid w:val="00D80C18"/>
    <w:rsid w:val="00D810A6"/>
    <w:rsid w:val="00D8201B"/>
    <w:rsid w:val="00D82030"/>
    <w:rsid w:val="00D82354"/>
    <w:rsid w:val="00D84BF0"/>
    <w:rsid w:val="00D85D28"/>
    <w:rsid w:val="00D902ED"/>
    <w:rsid w:val="00D9370F"/>
    <w:rsid w:val="00DA1853"/>
    <w:rsid w:val="00DA3B48"/>
    <w:rsid w:val="00DA4707"/>
    <w:rsid w:val="00DB099B"/>
    <w:rsid w:val="00DB170C"/>
    <w:rsid w:val="00DB72CA"/>
    <w:rsid w:val="00DB74B0"/>
    <w:rsid w:val="00DC103A"/>
    <w:rsid w:val="00DC1B74"/>
    <w:rsid w:val="00DC4AA9"/>
    <w:rsid w:val="00DC4E65"/>
    <w:rsid w:val="00DC718B"/>
    <w:rsid w:val="00DD0BDA"/>
    <w:rsid w:val="00DD0C90"/>
    <w:rsid w:val="00DD0F7D"/>
    <w:rsid w:val="00DD1F9C"/>
    <w:rsid w:val="00DD30BD"/>
    <w:rsid w:val="00DD5F39"/>
    <w:rsid w:val="00DD6653"/>
    <w:rsid w:val="00DD760D"/>
    <w:rsid w:val="00DD7CEE"/>
    <w:rsid w:val="00DE1DA4"/>
    <w:rsid w:val="00DE47CE"/>
    <w:rsid w:val="00DF1532"/>
    <w:rsid w:val="00DF244C"/>
    <w:rsid w:val="00DF2B00"/>
    <w:rsid w:val="00DF2DAE"/>
    <w:rsid w:val="00DF3FAE"/>
    <w:rsid w:val="00DF4170"/>
    <w:rsid w:val="00DF4DF6"/>
    <w:rsid w:val="00DF68C0"/>
    <w:rsid w:val="00E0503E"/>
    <w:rsid w:val="00E05EE2"/>
    <w:rsid w:val="00E073A6"/>
    <w:rsid w:val="00E11F54"/>
    <w:rsid w:val="00E14ADA"/>
    <w:rsid w:val="00E15796"/>
    <w:rsid w:val="00E202C5"/>
    <w:rsid w:val="00E2081F"/>
    <w:rsid w:val="00E24298"/>
    <w:rsid w:val="00E24560"/>
    <w:rsid w:val="00E25600"/>
    <w:rsid w:val="00E32DC9"/>
    <w:rsid w:val="00E42E80"/>
    <w:rsid w:val="00E44DC5"/>
    <w:rsid w:val="00E4574D"/>
    <w:rsid w:val="00E46D71"/>
    <w:rsid w:val="00E5160E"/>
    <w:rsid w:val="00E51873"/>
    <w:rsid w:val="00E53434"/>
    <w:rsid w:val="00E57A44"/>
    <w:rsid w:val="00E60E60"/>
    <w:rsid w:val="00E62FDF"/>
    <w:rsid w:val="00E643C8"/>
    <w:rsid w:val="00E66382"/>
    <w:rsid w:val="00E66448"/>
    <w:rsid w:val="00E66F59"/>
    <w:rsid w:val="00E700BC"/>
    <w:rsid w:val="00E72F09"/>
    <w:rsid w:val="00E75028"/>
    <w:rsid w:val="00E75FEE"/>
    <w:rsid w:val="00E81BCD"/>
    <w:rsid w:val="00E916C8"/>
    <w:rsid w:val="00E918EE"/>
    <w:rsid w:val="00E933C6"/>
    <w:rsid w:val="00E965EB"/>
    <w:rsid w:val="00EA06B0"/>
    <w:rsid w:val="00EA0AAE"/>
    <w:rsid w:val="00EA13E9"/>
    <w:rsid w:val="00EA1668"/>
    <w:rsid w:val="00EA26D2"/>
    <w:rsid w:val="00EA3047"/>
    <w:rsid w:val="00EA4056"/>
    <w:rsid w:val="00EA5113"/>
    <w:rsid w:val="00EA7818"/>
    <w:rsid w:val="00EA7978"/>
    <w:rsid w:val="00EB13E5"/>
    <w:rsid w:val="00EB3508"/>
    <w:rsid w:val="00EB470D"/>
    <w:rsid w:val="00EB6239"/>
    <w:rsid w:val="00EC1684"/>
    <w:rsid w:val="00EC1FB8"/>
    <w:rsid w:val="00EC27CE"/>
    <w:rsid w:val="00EC2AB7"/>
    <w:rsid w:val="00EC2C3B"/>
    <w:rsid w:val="00EC3405"/>
    <w:rsid w:val="00EC5BA8"/>
    <w:rsid w:val="00EC6EED"/>
    <w:rsid w:val="00EC6FF8"/>
    <w:rsid w:val="00ED0223"/>
    <w:rsid w:val="00ED1483"/>
    <w:rsid w:val="00ED74E9"/>
    <w:rsid w:val="00EE3818"/>
    <w:rsid w:val="00EE7886"/>
    <w:rsid w:val="00EF0B70"/>
    <w:rsid w:val="00EF1B07"/>
    <w:rsid w:val="00EF36EC"/>
    <w:rsid w:val="00EF5006"/>
    <w:rsid w:val="00EF6453"/>
    <w:rsid w:val="00EF6B3A"/>
    <w:rsid w:val="00EF7173"/>
    <w:rsid w:val="00F01B0B"/>
    <w:rsid w:val="00F07620"/>
    <w:rsid w:val="00F078BA"/>
    <w:rsid w:val="00F07D71"/>
    <w:rsid w:val="00F10276"/>
    <w:rsid w:val="00F1554C"/>
    <w:rsid w:val="00F21627"/>
    <w:rsid w:val="00F21F46"/>
    <w:rsid w:val="00F22A97"/>
    <w:rsid w:val="00F23DE0"/>
    <w:rsid w:val="00F26BFE"/>
    <w:rsid w:val="00F34A02"/>
    <w:rsid w:val="00F35F2A"/>
    <w:rsid w:val="00F370C9"/>
    <w:rsid w:val="00F410E7"/>
    <w:rsid w:val="00F41FD7"/>
    <w:rsid w:val="00F42AAA"/>
    <w:rsid w:val="00F45147"/>
    <w:rsid w:val="00F4545B"/>
    <w:rsid w:val="00F45AF7"/>
    <w:rsid w:val="00F50361"/>
    <w:rsid w:val="00F50F8F"/>
    <w:rsid w:val="00F512C2"/>
    <w:rsid w:val="00F51306"/>
    <w:rsid w:val="00F53DA5"/>
    <w:rsid w:val="00F54221"/>
    <w:rsid w:val="00F612DD"/>
    <w:rsid w:val="00F637F7"/>
    <w:rsid w:val="00F6613F"/>
    <w:rsid w:val="00F6711C"/>
    <w:rsid w:val="00F71B91"/>
    <w:rsid w:val="00F71E5A"/>
    <w:rsid w:val="00F7520B"/>
    <w:rsid w:val="00F82C86"/>
    <w:rsid w:val="00F84CD4"/>
    <w:rsid w:val="00F85024"/>
    <w:rsid w:val="00F869D4"/>
    <w:rsid w:val="00F87175"/>
    <w:rsid w:val="00F877A0"/>
    <w:rsid w:val="00F944E0"/>
    <w:rsid w:val="00F95ACD"/>
    <w:rsid w:val="00F9714C"/>
    <w:rsid w:val="00F975B5"/>
    <w:rsid w:val="00FA1FE7"/>
    <w:rsid w:val="00FA240D"/>
    <w:rsid w:val="00FA338F"/>
    <w:rsid w:val="00FA4B87"/>
    <w:rsid w:val="00FA5C8E"/>
    <w:rsid w:val="00FA5DE8"/>
    <w:rsid w:val="00FB38F2"/>
    <w:rsid w:val="00FB3AD0"/>
    <w:rsid w:val="00FB3AF8"/>
    <w:rsid w:val="00FB52BD"/>
    <w:rsid w:val="00FB564F"/>
    <w:rsid w:val="00FC00C3"/>
    <w:rsid w:val="00FC1FB3"/>
    <w:rsid w:val="00FC43D9"/>
    <w:rsid w:val="00FC587A"/>
    <w:rsid w:val="00FC6AA5"/>
    <w:rsid w:val="00FD3469"/>
    <w:rsid w:val="00FD4765"/>
    <w:rsid w:val="00FD7FB8"/>
    <w:rsid w:val="00FE03DE"/>
    <w:rsid w:val="00FE094F"/>
    <w:rsid w:val="00FE15EF"/>
    <w:rsid w:val="00FE2A80"/>
    <w:rsid w:val="00FE3418"/>
    <w:rsid w:val="00FE3D21"/>
    <w:rsid w:val="00FE4E4E"/>
    <w:rsid w:val="00FE4F29"/>
    <w:rsid w:val="00FE7A28"/>
    <w:rsid w:val="00FE7D24"/>
    <w:rsid w:val="00FF01B5"/>
    <w:rsid w:val="00FF5661"/>
    <w:rsid w:val="01B42948"/>
    <w:rsid w:val="01E4322D"/>
    <w:rsid w:val="029A1B3E"/>
    <w:rsid w:val="041F0982"/>
    <w:rsid w:val="06DA4F3A"/>
    <w:rsid w:val="06F56C04"/>
    <w:rsid w:val="074D2288"/>
    <w:rsid w:val="0758774A"/>
    <w:rsid w:val="07ED0962"/>
    <w:rsid w:val="0868040D"/>
    <w:rsid w:val="0A165F4E"/>
    <w:rsid w:val="0ACB31DC"/>
    <w:rsid w:val="0BC963DF"/>
    <w:rsid w:val="0E214EC1"/>
    <w:rsid w:val="0E9A4FA3"/>
    <w:rsid w:val="0EB126E9"/>
    <w:rsid w:val="10CB5118"/>
    <w:rsid w:val="11F37030"/>
    <w:rsid w:val="14E2600B"/>
    <w:rsid w:val="1504186D"/>
    <w:rsid w:val="15083D4B"/>
    <w:rsid w:val="16464112"/>
    <w:rsid w:val="16F14C2B"/>
    <w:rsid w:val="18402737"/>
    <w:rsid w:val="1BA335E9"/>
    <w:rsid w:val="1DE22563"/>
    <w:rsid w:val="1E1E141D"/>
    <w:rsid w:val="1E5866DD"/>
    <w:rsid w:val="1F046673"/>
    <w:rsid w:val="1F412B3E"/>
    <w:rsid w:val="20AA21D1"/>
    <w:rsid w:val="21EF55AB"/>
    <w:rsid w:val="240C31E5"/>
    <w:rsid w:val="246652F8"/>
    <w:rsid w:val="24A3442A"/>
    <w:rsid w:val="254A0D4A"/>
    <w:rsid w:val="25A03144"/>
    <w:rsid w:val="25C56922"/>
    <w:rsid w:val="25C97EC1"/>
    <w:rsid w:val="26DE174A"/>
    <w:rsid w:val="26E22CCA"/>
    <w:rsid w:val="27677991"/>
    <w:rsid w:val="286F2FA1"/>
    <w:rsid w:val="29E654E5"/>
    <w:rsid w:val="2A364506"/>
    <w:rsid w:val="2C1047A7"/>
    <w:rsid w:val="2D197980"/>
    <w:rsid w:val="30AE7BC6"/>
    <w:rsid w:val="33FA04F6"/>
    <w:rsid w:val="362A0508"/>
    <w:rsid w:val="37EA299D"/>
    <w:rsid w:val="38145F52"/>
    <w:rsid w:val="39AB247D"/>
    <w:rsid w:val="3A4C2D90"/>
    <w:rsid w:val="3D2B3A1F"/>
    <w:rsid w:val="416A65A4"/>
    <w:rsid w:val="43BB6C43"/>
    <w:rsid w:val="4436276D"/>
    <w:rsid w:val="4441183E"/>
    <w:rsid w:val="45B8114E"/>
    <w:rsid w:val="45EC379D"/>
    <w:rsid w:val="467031B7"/>
    <w:rsid w:val="469F10C1"/>
    <w:rsid w:val="47750BF6"/>
    <w:rsid w:val="48E4595D"/>
    <w:rsid w:val="492C2801"/>
    <w:rsid w:val="495060B5"/>
    <w:rsid w:val="4B533C05"/>
    <w:rsid w:val="4BA2770C"/>
    <w:rsid w:val="4C417F01"/>
    <w:rsid w:val="4D297313"/>
    <w:rsid w:val="4DD947C2"/>
    <w:rsid w:val="4F6A776F"/>
    <w:rsid w:val="50321687"/>
    <w:rsid w:val="53332C9A"/>
    <w:rsid w:val="569752EE"/>
    <w:rsid w:val="570C644B"/>
    <w:rsid w:val="589046EA"/>
    <w:rsid w:val="5A7B6085"/>
    <w:rsid w:val="5B6A7475"/>
    <w:rsid w:val="5C855BE8"/>
    <w:rsid w:val="5E8347DF"/>
    <w:rsid w:val="5E9A1E1F"/>
    <w:rsid w:val="5F6D598C"/>
    <w:rsid w:val="61A46B11"/>
    <w:rsid w:val="61D5316E"/>
    <w:rsid w:val="620F042E"/>
    <w:rsid w:val="624831BC"/>
    <w:rsid w:val="628174C5"/>
    <w:rsid w:val="63626C83"/>
    <w:rsid w:val="642F6192"/>
    <w:rsid w:val="66A6332B"/>
    <w:rsid w:val="67453BE5"/>
    <w:rsid w:val="69D4743D"/>
    <w:rsid w:val="6B0A1F18"/>
    <w:rsid w:val="6C0F0C37"/>
    <w:rsid w:val="6C593CD1"/>
    <w:rsid w:val="6C766355"/>
    <w:rsid w:val="6CD04C5E"/>
    <w:rsid w:val="6CFEF521"/>
    <w:rsid w:val="6DB75505"/>
    <w:rsid w:val="70B36D70"/>
    <w:rsid w:val="711931E4"/>
    <w:rsid w:val="748663A5"/>
    <w:rsid w:val="76050C77"/>
    <w:rsid w:val="768259EA"/>
    <w:rsid w:val="7BDB4852"/>
    <w:rsid w:val="7BE51663"/>
    <w:rsid w:val="7C594C70"/>
    <w:rsid w:val="7C8A495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qFormat="1" w:uiPriority="99" w:semiHidden="0"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qFormat="1" w:uiPriority="99" w:semiHidden="0"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00" w:after="200" w:line="276" w:lineRule="auto"/>
    </w:pPr>
    <w:rPr>
      <w:rFonts w:asciiTheme="minorHAnsi" w:hAnsiTheme="minorHAnsi" w:eastAsiaTheme="minorEastAsia" w:cstheme="minorBidi"/>
      <w:lang w:val="en-US" w:eastAsia="zh-TW" w:bidi="ar-SA"/>
    </w:rPr>
  </w:style>
  <w:style w:type="paragraph" w:styleId="2">
    <w:name w:val="heading 1"/>
    <w:basedOn w:val="1"/>
    <w:next w:val="1"/>
    <w:link w:val="30"/>
    <w:qFormat/>
    <w:uiPriority w:val="9"/>
    <w:pPr>
      <w:pBdr>
        <w:top w:val="single" w:color="F09415" w:themeColor="accent1" w:sz="24" w:space="0"/>
        <w:left w:val="single" w:color="F09415" w:themeColor="accent1" w:sz="24" w:space="0"/>
        <w:bottom w:val="single" w:color="F09415" w:themeColor="accent1" w:sz="24" w:space="0"/>
        <w:right w:val="single" w:color="F09415" w:themeColor="accent1" w:sz="24" w:space="0"/>
      </w:pBdr>
      <w:shd w:val="clear" w:color="auto" w:fill="F09415" w:themeFill="accent1"/>
      <w:spacing w:after="0"/>
      <w:outlineLvl w:val="0"/>
    </w:pPr>
    <w:rPr>
      <w:caps/>
      <w:color w:val="FFFFFF" w:themeColor="background1"/>
      <w:spacing w:val="15"/>
      <w:sz w:val="22"/>
      <w:szCs w:val="22"/>
      <w14:textFill>
        <w14:solidFill>
          <w14:schemeClr w14:val="bg1"/>
        </w14:solidFill>
      </w14:textFill>
    </w:rPr>
  </w:style>
  <w:style w:type="paragraph" w:styleId="3">
    <w:name w:val="heading 2"/>
    <w:basedOn w:val="1"/>
    <w:next w:val="1"/>
    <w:link w:val="31"/>
    <w:unhideWhenUsed/>
    <w:qFormat/>
    <w:uiPriority w:val="9"/>
    <w:pPr>
      <w:pBdr>
        <w:top w:val="single" w:color="FBE9D0" w:themeColor="accent1" w:themeTint="33" w:sz="24" w:space="0"/>
        <w:left w:val="single" w:color="FBE9D0" w:themeColor="accent1" w:themeTint="33" w:sz="24" w:space="0"/>
        <w:bottom w:val="single" w:color="FBE9D0" w:themeColor="accent1" w:themeTint="33" w:sz="24" w:space="0"/>
        <w:right w:val="single" w:color="FBE9D0" w:themeColor="accent1" w:themeTint="33" w:sz="24" w:space="0"/>
      </w:pBdr>
      <w:shd w:val="clear" w:color="auto" w:fill="FBE9D0" w:themeFill="accent1" w:themeFillTint="33"/>
      <w:spacing w:after="0"/>
      <w:outlineLvl w:val="1"/>
    </w:pPr>
    <w:rPr>
      <w:caps/>
      <w:spacing w:val="15"/>
    </w:rPr>
  </w:style>
  <w:style w:type="paragraph" w:styleId="4">
    <w:name w:val="heading 3"/>
    <w:basedOn w:val="1"/>
    <w:next w:val="1"/>
    <w:link w:val="32"/>
    <w:unhideWhenUsed/>
    <w:qFormat/>
    <w:uiPriority w:val="9"/>
    <w:pPr>
      <w:pBdr>
        <w:top w:val="single" w:color="F09415" w:themeColor="accent1" w:sz="6" w:space="2"/>
      </w:pBdr>
      <w:spacing w:before="300" w:after="0"/>
      <w:outlineLvl w:val="2"/>
    </w:pPr>
    <w:rPr>
      <w:caps/>
      <w:color w:val="7B4A08" w:themeColor="accent1" w:themeShade="80"/>
      <w:spacing w:val="15"/>
    </w:rPr>
  </w:style>
  <w:style w:type="paragraph" w:styleId="5">
    <w:name w:val="heading 4"/>
    <w:basedOn w:val="1"/>
    <w:next w:val="1"/>
    <w:link w:val="33"/>
    <w:unhideWhenUsed/>
    <w:qFormat/>
    <w:uiPriority w:val="9"/>
    <w:pPr>
      <w:pBdr>
        <w:top w:val="dotted" w:color="F09415" w:themeColor="accent1" w:sz="6" w:space="2"/>
      </w:pBdr>
      <w:spacing w:before="200" w:after="0"/>
      <w:outlineLvl w:val="3"/>
    </w:pPr>
    <w:rPr>
      <w:caps/>
      <w:color w:val="B8700C" w:themeColor="accent1" w:themeShade="BF"/>
      <w:spacing w:val="10"/>
    </w:rPr>
  </w:style>
  <w:style w:type="paragraph" w:styleId="6">
    <w:name w:val="heading 5"/>
    <w:basedOn w:val="1"/>
    <w:next w:val="1"/>
    <w:link w:val="34"/>
    <w:semiHidden/>
    <w:unhideWhenUsed/>
    <w:qFormat/>
    <w:uiPriority w:val="9"/>
    <w:pPr>
      <w:pBdr>
        <w:bottom w:val="single" w:color="F09415" w:themeColor="accent1" w:sz="6" w:space="1"/>
      </w:pBdr>
      <w:spacing w:before="200" w:after="0"/>
      <w:outlineLvl w:val="4"/>
    </w:pPr>
    <w:rPr>
      <w:caps/>
      <w:color w:val="B8700C" w:themeColor="accent1" w:themeShade="BF"/>
      <w:spacing w:val="10"/>
    </w:rPr>
  </w:style>
  <w:style w:type="paragraph" w:styleId="7">
    <w:name w:val="heading 6"/>
    <w:basedOn w:val="1"/>
    <w:next w:val="1"/>
    <w:link w:val="35"/>
    <w:semiHidden/>
    <w:unhideWhenUsed/>
    <w:qFormat/>
    <w:uiPriority w:val="9"/>
    <w:pPr>
      <w:pBdr>
        <w:bottom w:val="dotted" w:color="F09415" w:themeColor="accent1" w:sz="6" w:space="1"/>
      </w:pBdr>
      <w:spacing w:before="200" w:after="0"/>
      <w:outlineLvl w:val="5"/>
    </w:pPr>
    <w:rPr>
      <w:caps/>
      <w:color w:val="B8700C" w:themeColor="accent1" w:themeShade="BF"/>
      <w:spacing w:val="10"/>
    </w:rPr>
  </w:style>
  <w:style w:type="paragraph" w:styleId="8">
    <w:name w:val="heading 7"/>
    <w:basedOn w:val="1"/>
    <w:next w:val="1"/>
    <w:link w:val="36"/>
    <w:semiHidden/>
    <w:unhideWhenUsed/>
    <w:qFormat/>
    <w:uiPriority w:val="9"/>
    <w:pPr>
      <w:spacing w:before="200" w:after="0"/>
      <w:outlineLvl w:val="6"/>
    </w:pPr>
    <w:rPr>
      <w:caps/>
      <w:color w:val="B8700C" w:themeColor="accent1" w:themeShade="BF"/>
      <w:spacing w:val="10"/>
    </w:rPr>
  </w:style>
  <w:style w:type="paragraph" w:styleId="9">
    <w:name w:val="heading 8"/>
    <w:basedOn w:val="1"/>
    <w:next w:val="1"/>
    <w:link w:val="37"/>
    <w:semiHidden/>
    <w:unhideWhenUsed/>
    <w:qFormat/>
    <w:uiPriority w:val="9"/>
    <w:pPr>
      <w:spacing w:before="200" w:after="0"/>
      <w:outlineLvl w:val="7"/>
    </w:pPr>
    <w:rPr>
      <w:caps/>
      <w:spacing w:val="10"/>
      <w:sz w:val="18"/>
      <w:szCs w:val="18"/>
    </w:rPr>
  </w:style>
  <w:style w:type="paragraph" w:styleId="10">
    <w:name w:val="heading 9"/>
    <w:basedOn w:val="1"/>
    <w:next w:val="1"/>
    <w:link w:val="38"/>
    <w:semiHidden/>
    <w:unhideWhenUsed/>
    <w:qFormat/>
    <w:uiPriority w:val="9"/>
    <w:pPr>
      <w:spacing w:before="200" w:after="0"/>
      <w:outlineLvl w:val="8"/>
    </w:pPr>
    <w:rPr>
      <w:i/>
      <w:iCs/>
      <w:caps/>
      <w:spacing w:val="10"/>
      <w:sz w:val="18"/>
      <w:szCs w:val="18"/>
    </w:rPr>
  </w:style>
  <w:style w:type="character" w:default="1" w:styleId="25">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rPr>
      <w:b/>
      <w:bCs/>
      <w:color w:val="B8700C" w:themeColor="accent1" w:themeShade="BF"/>
      <w:sz w:val="16"/>
      <w:szCs w:val="16"/>
    </w:rPr>
  </w:style>
  <w:style w:type="paragraph" w:styleId="12">
    <w:name w:val="annotation text"/>
    <w:basedOn w:val="1"/>
    <w:link w:val="82"/>
    <w:unhideWhenUsed/>
    <w:qFormat/>
    <w:uiPriority w:val="0"/>
    <w:pPr>
      <w:spacing w:line="240" w:lineRule="auto"/>
    </w:pPr>
  </w:style>
  <w:style w:type="paragraph" w:styleId="13">
    <w:name w:val="Salutation"/>
    <w:basedOn w:val="1"/>
    <w:next w:val="1"/>
    <w:link w:val="65"/>
    <w:unhideWhenUsed/>
    <w:qFormat/>
    <w:uiPriority w:val="99"/>
    <w:rPr>
      <w:rFonts w:ascii="PMingLiU" w:hAnsi="PMingLiU" w:eastAsia="PMingLiU" w:cs="PMingLiU"/>
      <w:b/>
      <w:color w:val="484848"/>
      <w:sz w:val="18"/>
      <w:szCs w:val="18"/>
    </w:rPr>
  </w:style>
  <w:style w:type="paragraph" w:styleId="14">
    <w:name w:val="Closing"/>
    <w:basedOn w:val="1"/>
    <w:link w:val="66"/>
    <w:unhideWhenUsed/>
    <w:qFormat/>
    <w:uiPriority w:val="99"/>
    <w:pPr>
      <w:ind w:left="100" w:leftChars="1800"/>
    </w:pPr>
    <w:rPr>
      <w:rFonts w:ascii="PMingLiU" w:hAnsi="PMingLiU" w:eastAsia="PMingLiU" w:cs="PMingLiU"/>
      <w:b/>
      <w:color w:val="484848"/>
      <w:sz w:val="18"/>
      <w:szCs w:val="18"/>
    </w:rPr>
  </w:style>
  <w:style w:type="paragraph" w:styleId="15">
    <w:name w:val="Balloon Text"/>
    <w:basedOn w:val="1"/>
    <w:link w:val="59"/>
    <w:semiHidden/>
    <w:unhideWhenUsed/>
    <w:qFormat/>
    <w:uiPriority w:val="99"/>
    <w:pPr>
      <w:spacing w:before="0" w:after="0" w:line="240" w:lineRule="auto"/>
    </w:pPr>
    <w:rPr>
      <w:rFonts w:ascii="Lucida Grande" w:hAnsi="Lucida Grande" w:cs="Lucida Grande"/>
      <w:sz w:val="18"/>
      <w:szCs w:val="18"/>
    </w:rPr>
  </w:style>
  <w:style w:type="paragraph" w:styleId="16">
    <w:name w:val="footer"/>
    <w:basedOn w:val="1"/>
    <w:link w:val="53"/>
    <w:unhideWhenUsed/>
    <w:qFormat/>
    <w:uiPriority w:val="99"/>
    <w:pPr>
      <w:tabs>
        <w:tab w:val="center" w:pos="4153"/>
        <w:tab w:val="right" w:pos="8306"/>
      </w:tabs>
      <w:snapToGrid w:val="0"/>
    </w:pPr>
  </w:style>
  <w:style w:type="paragraph" w:styleId="17">
    <w:name w:val="header"/>
    <w:basedOn w:val="1"/>
    <w:link w:val="52"/>
    <w:unhideWhenUsed/>
    <w:qFormat/>
    <w:uiPriority w:val="99"/>
    <w:pPr>
      <w:tabs>
        <w:tab w:val="center" w:pos="4153"/>
        <w:tab w:val="right" w:pos="8306"/>
      </w:tabs>
      <w:snapToGrid w:val="0"/>
    </w:pPr>
  </w:style>
  <w:style w:type="paragraph" w:styleId="18">
    <w:name w:val="Subtitle"/>
    <w:basedOn w:val="1"/>
    <w:next w:val="1"/>
    <w:link w:val="40"/>
    <w:qFormat/>
    <w:uiPriority w:val="11"/>
    <w:pPr>
      <w:spacing w:before="0" w:after="500" w:line="240" w:lineRule="auto"/>
    </w:pPr>
    <w:rPr>
      <w:caps/>
      <w:color w:val="595959" w:themeColor="text1" w:themeTint="A6"/>
      <w:spacing w:val="10"/>
      <w:sz w:val="21"/>
      <w:szCs w:val="21"/>
      <w14:textFill>
        <w14:solidFill>
          <w14:schemeClr w14:val="tx1">
            <w14:lumMod w14:val="65000"/>
            <w14:lumOff w14:val="35000"/>
          </w14:schemeClr>
        </w14:solidFill>
      </w14:textFill>
    </w:rPr>
  </w:style>
  <w:style w:type="paragraph" w:styleId="1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0">
    <w:name w:val="Normal (Web)"/>
    <w:basedOn w:val="1"/>
    <w:unhideWhenUsed/>
    <w:qFormat/>
    <w:uiPriority w:val="99"/>
    <w:pPr>
      <w:spacing w:beforeAutospacing="1" w:after="100" w:afterAutospacing="1" w:line="240" w:lineRule="auto"/>
    </w:pPr>
    <w:rPr>
      <w:rFonts w:ascii="Times New Roman" w:hAnsi="Times New Roman" w:eastAsia="Times New Roman" w:cs="Times New Roman"/>
      <w:sz w:val="24"/>
      <w:szCs w:val="24"/>
    </w:rPr>
  </w:style>
  <w:style w:type="paragraph" w:styleId="21">
    <w:name w:val="Title"/>
    <w:basedOn w:val="1"/>
    <w:next w:val="1"/>
    <w:link w:val="39"/>
    <w:qFormat/>
    <w:uiPriority w:val="10"/>
    <w:pPr>
      <w:spacing w:before="0" w:after="0"/>
    </w:pPr>
    <w:rPr>
      <w:rFonts w:asciiTheme="majorHAnsi" w:hAnsiTheme="majorHAnsi" w:eastAsiaTheme="majorEastAsia" w:cstheme="majorBidi"/>
      <w:caps/>
      <w:color w:val="F09415" w:themeColor="accent1"/>
      <w:spacing w:val="10"/>
      <w:sz w:val="52"/>
      <w:szCs w:val="52"/>
      <w14:textFill>
        <w14:solidFill>
          <w14:schemeClr w14:val="accent1"/>
        </w14:solidFill>
      </w14:textFill>
    </w:rPr>
  </w:style>
  <w:style w:type="paragraph" w:styleId="22">
    <w:name w:val="annotation subject"/>
    <w:basedOn w:val="12"/>
    <w:next w:val="12"/>
    <w:link w:val="83"/>
    <w:semiHidden/>
    <w:unhideWhenUsed/>
    <w:qFormat/>
    <w:uiPriority w:val="99"/>
    <w:rPr>
      <w:b/>
      <w:bCs/>
    </w:rPr>
  </w:style>
  <w:style w:type="table" w:styleId="24">
    <w:name w:val="Table Grid"/>
    <w:basedOn w:val="2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qFormat/>
    <w:uiPriority w:val="22"/>
    <w:rPr>
      <w:b/>
      <w:bCs/>
    </w:rPr>
  </w:style>
  <w:style w:type="character" w:styleId="27">
    <w:name w:val="Emphasis"/>
    <w:qFormat/>
    <w:uiPriority w:val="20"/>
    <w:rPr>
      <w:caps/>
      <w:color w:val="7B4A08" w:themeColor="accent1" w:themeShade="80"/>
      <w:spacing w:val="5"/>
    </w:rPr>
  </w:style>
  <w:style w:type="character" w:styleId="28">
    <w:name w:val="Hyperlink"/>
    <w:basedOn w:val="25"/>
    <w:unhideWhenUsed/>
    <w:qFormat/>
    <w:uiPriority w:val="99"/>
    <w:rPr>
      <w:color w:val="0000FF"/>
      <w:u w:val="single"/>
    </w:rPr>
  </w:style>
  <w:style w:type="character" w:styleId="29">
    <w:name w:val="annotation reference"/>
    <w:basedOn w:val="25"/>
    <w:semiHidden/>
    <w:unhideWhenUsed/>
    <w:qFormat/>
    <w:uiPriority w:val="99"/>
    <w:rPr>
      <w:sz w:val="16"/>
      <w:szCs w:val="16"/>
    </w:rPr>
  </w:style>
  <w:style w:type="character" w:customStyle="1" w:styleId="30">
    <w:name w:val="Heading 1 Char"/>
    <w:basedOn w:val="25"/>
    <w:link w:val="2"/>
    <w:qFormat/>
    <w:uiPriority w:val="9"/>
    <w:rPr>
      <w:caps/>
      <w:color w:val="FFFFFF" w:themeColor="background1"/>
      <w:spacing w:val="15"/>
      <w:sz w:val="22"/>
      <w:szCs w:val="22"/>
      <w:shd w:val="clear" w:color="auto" w:fill="F09415" w:themeFill="accent1"/>
      <w14:textFill>
        <w14:solidFill>
          <w14:schemeClr w14:val="bg1"/>
        </w14:solidFill>
      </w14:textFill>
    </w:rPr>
  </w:style>
  <w:style w:type="character" w:customStyle="1" w:styleId="31">
    <w:name w:val="Heading 2 Char"/>
    <w:basedOn w:val="25"/>
    <w:link w:val="3"/>
    <w:qFormat/>
    <w:uiPriority w:val="9"/>
    <w:rPr>
      <w:caps/>
      <w:spacing w:val="15"/>
      <w:shd w:val="clear" w:color="auto" w:fill="FBE9D0" w:themeFill="accent1" w:themeFillTint="33"/>
    </w:rPr>
  </w:style>
  <w:style w:type="character" w:customStyle="1" w:styleId="32">
    <w:name w:val="Heading 3 Char"/>
    <w:basedOn w:val="25"/>
    <w:link w:val="4"/>
    <w:qFormat/>
    <w:uiPriority w:val="9"/>
    <w:rPr>
      <w:caps/>
      <w:color w:val="7B4A08" w:themeColor="accent1" w:themeShade="80"/>
      <w:spacing w:val="15"/>
    </w:rPr>
  </w:style>
  <w:style w:type="character" w:customStyle="1" w:styleId="33">
    <w:name w:val="Heading 4 Char"/>
    <w:basedOn w:val="25"/>
    <w:link w:val="5"/>
    <w:semiHidden/>
    <w:qFormat/>
    <w:uiPriority w:val="9"/>
    <w:rPr>
      <w:caps/>
      <w:color w:val="B8700C" w:themeColor="accent1" w:themeShade="BF"/>
      <w:spacing w:val="10"/>
    </w:rPr>
  </w:style>
  <w:style w:type="character" w:customStyle="1" w:styleId="34">
    <w:name w:val="Heading 5 Char"/>
    <w:basedOn w:val="25"/>
    <w:link w:val="6"/>
    <w:semiHidden/>
    <w:qFormat/>
    <w:uiPriority w:val="9"/>
    <w:rPr>
      <w:caps/>
      <w:color w:val="B8700C" w:themeColor="accent1" w:themeShade="BF"/>
      <w:spacing w:val="10"/>
    </w:rPr>
  </w:style>
  <w:style w:type="character" w:customStyle="1" w:styleId="35">
    <w:name w:val="Heading 6 Char"/>
    <w:basedOn w:val="25"/>
    <w:link w:val="7"/>
    <w:semiHidden/>
    <w:qFormat/>
    <w:uiPriority w:val="9"/>
    <w:rPr>
      <w:caps/>
      <w:color w:val="B8700C" w:themeColor="accent1" w:themeShade="BF"/>
      <w:spacing w:val="10"/>
    </w:rPr>
  </w:style>
  <w:style w:type="character" w:customStyle="1" w:styleId="36">
    <w:name w:val="Heading 7 Char"/>
    <w:basedOn w:val="25"/>
    <w:link w:val="8"/>
    <w:semiHidden/>
    <w:qFormat/>
    <w:uiPriority w:val="9"/>
    <w:rPr>
      <w:caps/>
      <w:color w:val="B8700C" w:themeColor="accent1" w:themeShade="BF"/>
      <w:spacing w:val="10"/>
    </w:rPr>
  </w:style>
  <w:style w:type="character" w:customStyle="1" w:styleId="37">
    <w:name w:val="Heading 8 Char"/>
    <w:basedOn w:val="25"/>
    <w:link w:val="9"/>
    <w:semiHidden/>
    <w:qFormat/>
    <w:uiPriority w:val="9"/>
    <w:rPr>
      <w:caps/>
      <w:spacing w:val="10"/>
      <w:sz w:val="18"/>
      <w:szCs w:val="18"/>
    </w:rPr>
  </w:style>
  <w:style w:type="character" w:customStyle="1" w:styleId="38">
    <w:name w:val="Heading 9 Char"/>
    <w:basedOn w:val="25"/>
    <w:link w:val="10"/>
    <w:semiHidden/>
    <w:qFormat/>
    <w:uiPriority w:val="9"/>
    <w:rPr>
      <w:i/>
      <w:iCs/>
      <w:caps/>
      <w:spacing w:val="10"/>
      <w:sz w:val="18"/>
      <w:szCs w:val="18"/>
    </w:rPr>
  </w:style>
  <w:style w:type="character" w:customStyle="1" w:styleId="39">
    <w:name w:val="Title Char"/>
    <w:basedOn w:val="25"/>
    <w:link w:val="21"/>
    <w:qFormat/>
    <w:uiPriority w:val="10"/>
    <w:rPr>
      <w:rFonts w:asciiTheme="majorHAnsi" w:hAnsiTheme="majorHAnsi" w:eastAsiaTheme="majorEastAsia" w:cstheme="majorBidi"/>
      <w:caps/>
      <w:color w:val="F09415" w:themeColor="accent1"/>
      <w:spacing w:val="10"/>
      <w:sz w:val="52"/>
      <w:szCs w:val="52"/>
      <w14:textFill>
        <w14:solidFill>
          <w14:schemeClr w14:val="accent1"/>
        </w14:solidFill>
      </w14:textFill>
    </w:rPr>
  </w:style>
  <w:style w:type="character" w:customStyle="1" w:styleId="40">
    <w:name w:val="Subtitle Char"/>
    <w:basedOn w:val="25"/>
    <w:link w:val="18"/>
    <w:qFormat/>
    <w:uiPriority w:val="11"/>
    <w:rPr>
      <w:caps/>
      <w:color w:val="595959" w:themeColor="text1" w:themeTint="A6"/>
      <w:spacing w:val="10"/>
      <w:sz w:val="21"/>
      <w:szCs w:val="21"/>
      <w14:textFill>
        <w14:solidFill>
          <w14:schemeClr w14:val="tx1">
            <w14:lumMod w14:val="65000"/>
            <w14:lumOff w14:val="35000"/>
          </w14:schemeClr>
        </w14:solidFill>
      </w14:textFill>
    </w:rPr>
  </w:style>
  <w:style w:type="paragraph" w:styleId="41">
    <w:name w:val="No Spacing"/>
    <w:qFormat/>
    <w:uiPriority w:val="1"/>
    <w:pPr>
      <w:spacing w:before="100"/>
    </w:pPr>
    <w:rPr>
      <w:rFonts w:asciiTheme="minorHAnsi" w:hAnsiTheme="minorHAnsi" w:eastAsiaTheme="minorEastAsia" w:cstheme="minorBidi"/>
      <w:lang w:val="en-US" w:eastAsia="zh-TW" w:bidi="ar-SA"/>
    </w:rPr>
  </w:style>
  <w:style w:type="paragraph" w:styleId="42">
    <w:name w:val="Quote"/>
    <w:basedOn w:val="1"/>
    <w:next w:val="1"/>
    <w:link w:val="43"/>
    <w:qFormat/>
    <w:uiPriority w:val="29"/>
    <w:rPr>
      <w:i/>
      <w:iCs/>
      <w:sz w:val="24"/>
      <w:szCs w:val="24"/>
    </w:rPr>
  </w:style>
  <w:style w:type="character" w:customStyle="1" w:styleId="43">
    <w:name w:val="Quote Char"/>
    <w:basedOn w:val="25"/>
    <w:link w:val="42"/>
    <w:qFormat/>
    <w:uiPriority w:val="29"/>
    <w:rPr>
      <w:i/>
      <w:iCs/>
      <w:sz w:val="24"/>
      <w:szCs w:val="24"/>
    </w:rPr>
  </w:style>
  <w:style w:type="paragraph" w:styleId="44">
    <w:name w:val="Intense Quote"/>
    <w:basedOn w:val="1"/>
    <w:next w:val="1"/>
    <w:link w:val="45"/>
    <w:qFormat/>
    <w:uiPriority w:val="30"/>
    <w:pPr>
      <w:spacing w:before="240" w:after="240" w:line="240" w:lineRule="auto"/>
      <w:ind w:left="1080" w:right="1080"/>
      <w:jc w:val="center"/>
    </w:pPr>
    <w:rPr>
      <w:color w:val="F09415" w:themeColor="accent1"/>
      <w:sz w:val="24"/>
      <w:szCs w:val="24"/>
      <w14:textFill>
        <w14:solidFill>
          <w14:schemeClr w14:val="accent1"/>
        </w14:solidFill>
      </w14:textFill>
    </w:rPr>
  </w:style>
  <w:style w:type="character" w:customStyle="1" w:styleId="45">
    <w:name w:val="Intense Quote Char"/>
    <w:basedOn w:val="25"/>
    <w:link w:val="44"/>
    <w:qFormat/>
    <w:uiPriority w:val="30"/>
    <w:rPr>
      <w:color w:val="F09415" w:themeColor="accent1"/>
      <w:sz w:val="24"/>
      <w:szCs w:val="24"/>
      <w14:textFill>
        <w14:solidFill>
          <w14:schemeClr w14:val="accent1"/>
        </w14:solidFill>
      </w14:textFill>
    </w:rPr>
  </w:style>
  <w:style w:type="character" w:customStyle="1" w:styleId="46">
    <w:name w:val="Subtle Emphasis1"/>
    <w:qFormat/>
    <w:uiPriority w:val="19"/>
    <w:rPr>
      <w:i/>
      <w:iCs/>
      <w:color w:val="7B4A08" w:themeColor="accent1" w:themeShade="80"/>
    </w:rPr>
  </w:style>
  <w:style w:type="character" w:customStyle="1" w:styleId="47">
    <w:name w:val="Intense Emphasis1"/>
    <w:qFormat/>
    <w:uiPriority w:val="21"/>
    <w:rPr>
      <w:b/>
      <w:bCs/>
      <w:caps/>
      <w:color w:val="7B4A08" w:themeColor="accent1" w:themeShade="80"/>
      <w:spacing w:val="10"/>
    </w:rPr>
  </w:style>
  <w:style w:type="character" w:customStyle="1" w:styleId="48">
    <w:name w:val="Subtle Reference1"/>
    <w:qFormat/>
    <w:uiPriority w:val="31"/>
    <w:rPr>
      <w:b/>
      <w:bCs/>
      <w:color w:val="F09415" w:themeColor="accent1"/>
      <w14:textFill>
        <w14:solidFill>
          <w14:schemeClr w14:val="accent1"/>
        </w14:solidFill>
      </w14:textFill>
    </w:rPr>
  </w:style>
  <w:style w:type="character" w:customStyle="1" w:styleId="49">
    <w:name w:val="Intense Reference1"/>
    <w:qFormat/>
    <w:uiPriority w:val="32"/>
    <w:rPr>
      <w:b/>
      <w:bCs/>
      <w:i/>
      <w:iCs/>
      <w:caps/>
      <w:color w:val="F09415" w:themeColor="accent1"/>
      <w14:textFill>
        <w14:solidFill>
          <w14:schemeClr w14:val="accent1"/>
        </w14:solidFill>
      </w14:textFill>
    </w:rPr>
  </w:style>
  <w:style w:type="character" w:customStyle="1" w:styleId="50">
    <w:name w:val="Book Title1"/>
    <w:qFormat/>
    <w:uiPriority w:val="33"/>
    <w:rPr>
      <w:b/>
      <w:bCs/>
      <w:i/>
      <w:iCs/>
      <w:spacing w:val="0"/>
    </w:rPr>
  </w:style>
  <w:style w:type="paragraph" w:customStyle="1" w:styleId="51">
    <w:name w:val="TOC Heading1"/>
    <w:basedOn w:val="2"/>
    <w:next w:val="1"/>
    <w:semiHidden/>
    <w:unhideWhenUsed/>
    <w:qFormat/>
    <w:uiPriority w:val="39"/>
    <w:pPr>
      <w:outlineLvl w:val="9"/>
    </w:pPr>
  </w:style>
  <w:style w:type="character" w:customStyle="1" w:styleId="52">
    <w:name w:val="Header Char"/>
    <w:basedOn w:val="25"/>
    <w:link w:val="17"/>
    <w:qFormat/>
    <w:uiPriority w:val="99"/>
  </w:style>
  <w:style w:type="character" w:customStyle="1" w:styleId="53">
    <w:name w:val="Footer Char"/>
    <w:basedOn w:val="25"/>
    <w:link w:val="16"/>
    <w:qFormat/>
    <w:uiPriority w:val="99"/>
  </w:style>
  <w:style w:type="table" w:customStyle="1" w:styleId="54">
    <w:name w:val="格線表格 1 淺色 - 輔色 11"/>
    <w:basedOn w:val="23"/>
    <w:qFormat/>
    <w:uiPriority w:val="46"/>
    <w:tblPr>
      <w:tblBorders>
        <w:top w:val="single" w:color="F8D4A1" w:themeColor="accent1" w:themeTint="66" w:sz="4" w:space="0"/>
        <w:left w:val="single" w:color="F8D4A1" w:themeColor="accent1" w:themeTint="66" w:sz="4" w:space="0"/>
        <w:bottom w:val="single" w:color="F8D4A1" w:themeColor="accent1" w:themeTint="66" w:sz="4" w:space="0"/>
        <w:right w:val="single" w:color="F8D4A1" w:themeColor="accent1" w:themeTint="66" w:sz="4" w:space="0"/>
        <w:insideH w:val="single" w:color="F8D4A1" w:themeColor="accent1" w:themeTint="66" w:sz="4" w:space="0"/>
        <w:insideV w:val="single" w:color="F8D4A1" w:themeColor="accent1" w:themeTint="66" w:sz="4" w:space="0"/>
      </w:tblBorders>
    </w:tblPr>
    <w:tblStylePr w:type="firstRow">
      <w:rPr>
        <w:b/>
        <w:bCs/>
      </w:rPr>
      <w:tcPr>
        <w:tcBorders>
          <w:bottom w:val="single" w:color="F5BE72" w:themeColor="accent1" w:themeTint="99" w:sz="12" w:space="0"/>
        </w:tcBorders>
      </w:tcPr>
    </w:tblStylePr>
    <w:tblStylePr w:type="lastRow">
      <w:rPr>
        <w:b/>
        <w:bCs/>
      </w:rPr>
      <w:tcPr>
        <w:tcBorders>
          <w:top w:val="double" w:color="F5BE72" w:themeColor="accent1" w:themeTint="99" w:sz="2" w:space="0"/>
        </w:tcBorders>
      </w:tcPr>
    </w:tblStylePr>
    <w:tblStylePr w:type="firstCol">
      <w:rPr>
        <w:b/>
        <w:bCs/>
      </w:rPr>
    </w:tblStylePr>
    <w:tblStylePr w:type="lastCol">
      <w:rPr>
        <w:b/>
        <w:bCs/>
      </w:rPr>
    </w:tblStylePr>
  </w:style>
  <w:style w:type="table" w:customStyle="1" w:styleId="55">
    <w:name w:val="格線表格 1 淺色 - 輔色 61"/>
    <w:basedOn w:val="23"/>
    <w:qFormat/>
    <w:uiPriority w:val="46"/>
    <w:tblPr>
      <w:tblBorders>
        <w:top w:val="single" w:color="FCCBBD" w:themeColor="accent6" w:themeTint="66" w:sz="4" w:space="0"/>
        <w:left w:val="single" w:color="FCCBBD" w:themeColor="accent6" w:themeTint="66" w:sz="4" w:space="0"/>
        <w:bottom w:val="single" w:color="FCCBBD" w:themeColor="accent6" w:themeTint="66" w:sz="4" w:space="0"/>
        <w:right w:val="single" w:color="FCCBBD" w:themeColor="accent6" w:themeTint="66" w:sz="4" w:space="0"/>
        <w:insideH w:val="single" w:color="FCCBBD" w:themeColor="accent6" w:themeTint="66" w:sz="4" w:space="0"/>
        <w:insideV w:val="single" w:color="FCCBBD" w:themeColor="accent6" w:themeTint="66" w:sz="4" w:space="0"/>
      </w:tblBorders>
    </w:tblPr>
    <w:tblStylePr w:type="firstRow">
      <w:rPr>
        <w:b/>
        <w:bCs/>
      </w:rPr>
      <w:tcPr>
        <w:tcBorders>
          <w:bottom w:val="single" w:color="FBB19D" w:themeColor="accent6" w:themeTint="99" w:sz="12" w:space="0"/>
        </w:tcBorders>
      </w:tcPr>
    </w:tblStylePr>
    <w:tblStylePr w:type="lastRow">
      <w:rPr>
        <w:b/>
        <w:bCs/>
      </w:rPr>
      <w:tcPr>
        <w:tcBorders>
          <w:top w:val="double" w:color="FBB19D" w:themeColor="accent6" w:themeTint="99" w:sz="2" w:space="0"/>
        </w:tcBorders>
      </w:tcPr>
    </w:tblStylePr>
    <w:tblStylePr w:type="firstCol">
      <w:rPr>
        <w:b/>
        <w:bCs/>
      </w:rPr>
    </w:tblStylePr>
    <w:tblStylePr w:type="lastCol">
      <w:rPr>
        <w:b/>
        <w:bCs/>
      </w:rPr>
    </w:tblStylePr>
  </w:style>
  <w:style w:type="table" w:customStyle="1" w:styleId="56">
    <w:name w:val="格線表格 1 淺色 - 輔色 51"/>
    <w:basedOn w:val="23"/>
    <w:qFormat/>
    <w:uiPriority w:val="46"/>
    <w:tblPr>
      <w:tblBorders>
        <w:top w:val="single" w:color="ECCAFC" w:themeColor="accent5" w:themeTint="66" w:sz="4" w:space="0"/>
        <w:left w:val="single" w:color="ECCAFC" w:themeColor="accent5" w:themeTint="66" w:sz="4" w:space="0"/>
        <w:bottom w:val="single" w:color="ECCAFC" w:themeColor="accent5" w:themeTint="66" w:sz="4" w:space="0"/>
        <w:right w:val="single" w:color="ECCAFC" w:themeColor="accent5" w:themeTint="66" w:sz="4" w:space="0"/>
        <w:insideH w:val="single" w:color="ECCAFC" w:themeColor="accent5" w:themeTint="66" w:sz="4" w:space="0"/>
        <w:insideV w:val="single" w:color="ECCAFC" w:themeColor="accent5" w:themeTint="66" w:sz="4" w:space="0"/>
      </w:tblBorders>
    </w:tblPr>
    <w:tblStylePr w:type="firstRow">
      <w:rPr>
        <w:b/>
        <w:bCs/>
      </w:rPr>
      <w:tcPr>
        <w:tcBorders>
          <w:bottom w:val="single" w:color="E3B0FB" w:themeColor="accent5" w:themeTint="99" w:sz="12" w:space="0"/>
        </w:tcBorders>
      </w:tcPr>
    </w:tblStylePr>
    <w:tblStylePr w:type="lastRow">
      <w:rPr>
        <w:b/>
        <w:bCs/>
      </w:rPr>
      <w:tcPr>
        <w:tcBorders>
          <w:top w:val="double" w:color="E3B0FB" w:themeColor="accent5" w:themeTint="99" w:sz="2" w:space="0"/>
        </w:tcBorders>
      </w:tcPr>
    </w:tblStylePr>
    <w:tblStylePr w:type="firstCol">
      <w:rPr>
        <w:b/>
        <w:bCs/>
      </w:rPr>
    </w:tblStylePr>
    <w:tblStylePr w:type="lastCol">
      <w:rPr>
        <w:b/>
        <w:bCs/>
      </w:rPr>
    </w:tblStylePr>
  </w:style>
  <w:style w:type="table" w:customStyle="1" w:styleId="57">
    <w:name w:val="純表格 51"/>
    <w:basedOn w:val="23"/>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styleId="58">
    <w:name w:val="Placeholder Text"/>
    <w:basedOn w:val="25"/>
    <w:semiHidden/>
    <w:qFormat/>
    <w:uiPriority w:val="99"/>
    <w:rPr>
      <w:color w:val="808080"/>
    </w:rPr>
  </w:style>
  <w:style w:type="character" w:customStyle="1" w:styleId="59">
    <w:name w:val="Balloon Text Char"/>
    <w:basedOn w:val="25"/>
    <w:link w:val="15"/>
    <w:semiHidden/>
    <w:qFormat/>
    <w:uiPriority w:val="99"/>
    <w:rPr>
      <w:rFonts w:ascii="Lucida Grande" w:hAnsi="Lucida Grande" w:cs="Lucida Grande"/>
      <w:sz w:val="18"/>
      <w:szCs w:val="18"/>
    </w:rPr>
  </w:style>
  <w:style w:type="paragraph" w:styleId="60">
    <w:name w:val="List Paragraph"/>
    <w:basedOn w:val="1"/>
    <w:qFormat/>
    <w:uiPriority w:val="34"/>
    <w:pPr>
      <w:ind w:left="480" w:leftChars="200"/>
    </w:pPr>
  </w:style>
  <w:style w:type="character" w:customStyle="1" w:styleId="61">
    <w:name w:val="st"/>
    <w:basedOn w:val="25"/>
    <w:qFormat/>
    <w:uiPriority w:val="0"/>
  </w:style>
  <w:style w:type="table" w:customStyle="1" w:styleId="62">
    <w:name w:val="格線表格 4 - 輔色 11"/>
    <w:basedOn w:val="23"/>
    <w:qFormat/>
    <w:uiPriority w:val="49"/>
    <w:tblPr>
      <w:tblBorders>
        <w:top w:val="single" w:color="F5BE72" w:themeColor="accent1" w:themeTint="99" w:sz="4" w:space="0"/>
        <w:left w:val="single" w:color="F5BE72" w:themeColor="accent1" w:themeTint="99" w:sz="4" w:space="0"/>
        <w:bottom w:val="single" w:color="F5BE72" w:themeColor="accent1" w:themeTint="99" w:sz="4" w:space="0"/>
        <w:right w:val="single" w:color="F5BE72" w:themeColor="accent1" w:themeTint="99" w:sz="4" w:space="0"/>
        <w:insideH w:val="single" w:color="F5BE72" w:themeColor="accent1" w:themeTint="99" w:sz="4" w:space="0"/>
        <w:insideV w:val="single" w:color="F5BE72" w:themeColor="accent1" w:themeTint="99" w:sz="4" w:space="0"/>
      </w:tblBorders>
    </w:tblPr>
    <w:tblStylePr w:type="firstRow">
      <w:rPr>
        <w:b/>
        <w:bCs/>
        <w:color w:val="FFFFFF" w:themeColor="background1"/>
        <w14:textFill>
          <w14:solidFill>
            <w14:schemeClr w14:val="bg1"/>
          </w14:solidFill>
        </w14:textFill>
      </w:rPr>
      <w:tcPr>
        <w:tcBorders>
          <w:top w:val="single" w:color="F09415" w:themeColor="accent1" w:sz="4" w:space="0"/>
          <w:left w:val="single" w:color="F09415" w:themeColor="accent1" w:sz="4" w:space="0"/>
          <w:bottom w:val="single" w:color="F09415" w:themeColor="accent1" w:sz="4" w:space="0"/>
          <w:right w:val="single" w:color="F09415" w:themeColor="accent1" w:sz="4" w:space="0"/>
          <w:insideH w:val="nil"/>
          <w:insideV w:val="nil"/>
        </w:tcBorders>
        <w:shd w:val="clear" w:color="auto" w:fill="F09415" w:themeFill="accent1"/>
      </w:tcPr>
    </w:tblStylePr>
    <w:tblStylePr w:type="lastRow">
      <w:rPr>
        <w:b/>
        <w:bCs/>
      </w:rPr>
      <w:tcPr>
        <w:tcBorders>
          <w:top w:val="double" w:color="F09415" w:themeColor="accent1" w:sz="4" w:space="0"/>
        </w:tcBorders>
      </w:tcPr>
    </w:tblStylePr>
    <w:tblStylePr w:type="firstCol">
      <w:rPr>
        <w:b/>
        <w:bCs/>
      </w:rPr>
    </w:tblStylePr>
    <w:tblStylePr w:type="lastCol">
      <w:rPr>
        <w:b/>
        <w:bCs/>
      </w:rPr>
    </w:tblStylePr>
    <w:tblStylePr w:type="band1Vert">
      <w:tcPr>
        <w:shd w:val="clear" w:color="auto" w:fill="FBE9D0" w:themeFill="accent1" w:themeFillTint="33"/>
      </w:tcPr>
    </w:tblStylePr>
    <w:tblStylePr w:type="band1Horz">
      <w:tcPr>
        <w:shd w:val="clear" w:color="auto" w:fill="FBE9D0" w:themeFill="accent1" w:themeFillTint="33"/>
      </w:tcPr>
    </w:tblStylePr>
  </w:style>
  <w:style w:type="character" w:customStyle="1" w:styleId="63">
    <w:name w:val="apple-converted-space"/>
    <w:basedOn w:val="25"/>
    <w:qFormat/>
    <w:uiPriority w:val="0"/>
  </w:style>
  <w:style w:type="table" w:customStyle="1" w:styleId="64">
    <w:name w:val="格線表格 1 淺色 - 輔色 12"/>
    <w:basedOn w:val="23"/>
    <w:qFormat/>
    <w:uiPriority w:val="46"/>
    <w:tblPr>
      <w:tblBorders>
        <w:top w:val="single" w:color="F8D4A1" w:themeColor="accent1" w:themeTint="66" w:sz="4" w:space="0"/>
        <w:left w:val="single" w:color="F8D4A1" w:themeColor="accent1" w:themeTint="66" w:sz="4" w:space="0"/>
        <w:bottom w:val="single" w:color="F8D4A1" w:themeColor="accent1" w:themeTint="66" w:sz="4" w:space="0"/>
        <w:right w:val="single" w:color="F8D4A1" w:themeColor="accent1" w:themeTint="66" w:sz="4" w:space="0"/>
        <w:insideH w:val="single" w:color="F8D4A1" w:themeColor="accent1" w:themeTint="66" w:sz="4" w:space="0"/>
        <w:insideV w:val="single" w:color="F8D4A1" w:themeColor="accent1" w:themeTint="66" w:sz="4" w:space="0"/>
      </w:tblBorders>
    </w:tblPr>
    <w:tblStylePr w:type="firstRow">
      <w:rPr>
        <w:b/>
        <w:bCs/>
      </w:rPr>
      <w:tcPr>
        <w:tcBorders>
          <w:bottom w:val="single" w:color="F5BE72" w:themeColor="accent1" w:themeTint="99" w:sz="12" w:space="0"/>
        </w:tcBorders>
      </w:tcPr>
    </w:tblStylePr>
    <w:tblStylePr w:type="lastRow">
      <w:rPr>
        <w:b/>
        <w:bCs/>
      </w:rPr>
      <w:tcPr>
        <w:tcBorders>
          <w:top w:val="double" w:color="F5BE72" w:themeColor="accent1" w:themeTint="99" w:sz="2" w:space="0"/>
        </w:tcBorders>
      </w:tcPr>
    </w:tblStylePr>
    <w:tblStylePr w:type="firstCol">
      <w:rPr>
        <w:b/>
        <w:bCs/>
      </w:rPr>
    </w:tblStylePr>
    <w:tblStylePr w:type="lastCol">
      <w:rPr>
        <w:b/>
        <w:bCs/>
      </w:rPr>
    </w:tblStylePr>
  </w:style>
  <w:style w:type="character" w:customStyle="1" w:styleId="65">
    <w:name w:val="Salutation Char"/>
    <w:basedOn w:val="25"/>
    <w:link w:val="13"/>
    <w:qFormat/>
    <w:uiPriority w:val="99"/>
    <w:rPr>
      <w:rFonts w:ascii="PMingLiU" w:hAnsi="PMingLiU" w:eastAsia="PMingLiU" w:cs="PMingLiU"/>
      <w:b/>
      <w:color w:val="484848"/>
      <w:sz w:val="18"/>
      <w:szCs w:val="18"/>
    </w:rPr>
  </w:style>
  <w:style w:type="character" w:customStyle="1" w:styleId="66">
    <w:name w:val="Closing Char"/>
    <w:basedOn w:val="25"/>
    <w:link w:val="14"/>
    <w:qFormat/>
    <w:uiPriority w:val="99"/>
    <w:rPr>
      <w:rFonts w:ascii="PMingLiU" w:hAnsi="PMingLiU" w:eastAsia="PMingLiU" w:cs="PMingLiU"/>
      <w:b/>
      <w:color w:val="484848"/>
      <w:sz w:val="18"/>
      <w:szCs w:val="18"/>
    </w:rPr>
  </w:style>
  <w:style w:type="table" w:customStyle="1" w:styleId="67">
    <w:name w:val="清單表格 3 - 輔色 11"/>
    <w:basedOn w:val="23"/>
    <w:qFormat/>
    <w:uiPriority w:val="48"/>
    <w:tblPr>
      <w:tblBorders>
        <w:top w:val="single" w:color="F09415" w:themeColor="accent1" w:sz="4" w:space="0"/>
        <w:left w:val="single" w:color="F09415" w:themeColor="accent1" w:sz="4" w:space="0"/>
        <w:bottom w:val="single" w:color="F09415" w:themeColor="accent1" w:sz="4" w:space="0"/>
        <w:right w:val="single" w:color="F09415" w:themeColor="accent1" w:sz="4" w:space="0"/>
      </w:tblBorders>
    </w:tblPr>
    <w:tblStylePr w:type="firstRow">
      <w:rPr>
        <w:b/>
        <w:bCs/>
        <w:color w:val="FFFFFF" w:themeColor="background1"/>
        <w14:textFill>
          <w14:solidFill>
            <w14:schemeClr w14:val="bg1"/>
          </w14:solidFill>
        </w14:textFill>
      </w:rPr>
      <w:tcPr>
        <w:shd w:val="clear" w:color="auto" w:fill="F09415" w:themeFill="accent1"/>
      </w:tcPr>
    </w:tblStylePr>
    <w:tblStylePr w:type="lastRow">
      <w:rPr>
        <w:b/>
        <w:bCs/>
      </w:rPr>
      <w:tcPr>
        <w:tcBorders>
          <w:top w:val="double" w:color="F09415"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F09415" w:themeColor="accent1" w:sz="4" w:space="0"/>
          <w:right w:val="single" w:color="F09415" w:themeColor="accent1" w:sz="4" w:space="0"/>
        </w:tcBorders>
      </w:tcPr>
    </w:tblStylePr>
    <w:tblStylePr w:type="band1Horz">
      <w:tcPr>
        <w:tcBorders>
          <w:top w:val="single" w:color="F09415" w:themeColor="accent1" w:sz="4" w:space="0"/>
          <w:bottom w:val="single" w:color="F09415"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F09415" w:themeColor="accent1" w:sz="4" w:space="0"/>
          <w:left w:val="nil"/>
        </w:tcBorders>
      </w:tcPr>
    </w:tblStylePr>
    <w:tblStylePr w:type="swCell">
      <w:tcPr>
        <w:tcBorders>
          <w:top w:val="double" w:color="F09415" w:themeColor="accent1" w:sz="4" w:space="0"/>
          <w:right w:val="nil"/>
        </w:tcBorders>
      </w:tcPr>
    </w:tblStylePr>
  </w:style>
  <w:style w:type="table" w:customStyle="1" w:styleId="68">
    <w:name w:val="清單表格 7 彩色 - 輔色 11"/>
    <w:basedOn w:val="23"/>
    <w:qFormat/>
    <w:uiPriority w:val="52"/>
    <w:rPr>
      <w:color w:val="B8700C" w:themeColor="accent1" w:themeShade="BF"/>
    </w:rPr>
    <w:tblStylePr w:type="firstRow">
      <w:rPr>
        <w:rFonts w:asciiTheme="majorHAnsi" w:hAnsiTheme="majorHAnsi" w:eastAsiaTheme="majorEastAsia" w:cstheme="majorBidi"/>
        <w:i/>
        <w:iCs/>
        <w:sz w:val="26"/>
      </w:rPr>
      <w:tcPr>
        <w:tcBorders>
          <w:bottom w:val="single" w:color="F09415" w:themeColor="accen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F09415"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F09415" w:themeColor="accen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F09415" w:themeColor="accent1" w:sz="4" w:space="0"/>
        </w:tcBorders>
        <w:shd w:val="clear" w:color="auto" w:fill="FFFFFF" w:themeFill="background1"/>
      </w:tcPr>
    </w:tblStylePr>
    <w:tblStylePr w:type="band1Vert">
      <w:tcPr>
        <w:shd w:val="clear" w:color="auto" w:fill="FBE9D0" w:themeFill="accent1" w:themeFillTint="33"/>
      </w:tcPr>
    </w:tblStylePr>
    <w:tblStylePr w:type="band1Horz">
      <w:tcPr>
        <w:shd w:val="clear" w:color="auto" w:fill="FBE9D0" w:themeFill="accen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9">
    <w:name w:val="格線表格 3 - 輔色 11"/>
    <w:basedOn w:val="23"/>
    <w:qFormat/>
    <w:uiPriority w:val="48"/>
    <w:tblPr>
      <w:tblBorders>
        <w:top w:val="single" w:color="F5BE72" w:themeColor="accent1" w:themeTint="99" w:sz="4" w:space="0"/>
        <w:left w:val="single" w:color="F5BE72" w:themeColor="accent1" w:themeTint="99" w:sz="4" w:space="0"/>
        <w:bottom w:val="single" w:color="F5BE72" w:themeColor="accent1" w:themeTint="99" w:sz="4" w:space="0"/>
        <w:right w:val="single" w:color="F5BE72" w:themeColor="accent1" w:themeTint="99" w:sz="4" w:space="0"/>
        <w:insideH w:val="single" w:color="F5BE72" w:themeColor="accent1" w:themeTint="99" w:sz="4" w:space="0"/>
        <w:insideV w:val="single" w:color="F5BE72"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BE9D0" w:themeFill="accent1" w:themeFillTint="33"/>
      </w:tcPr>
    </w:tblStylePr>
    <w:tblStylePr w:type="band1Horz">
      <w:tcPr>
        <w:shd w:val="clear" w:color="auto" w:fill="FBE9D0" w:themeFill="accent1" w:themeFillTint="33"/>
      </w:tcPr>
    </w:tblStylePr>
    <w:tblStylePr w:type="neCell">
      <w:tcPr>
        <w:tcBorders>
          <w:bottom w:val="single" w:color="F5BE72" w:themeColor="accent1" w:themeTint="99" w:sz="4" w:space="0"/>
        </w:tcBorders>
      </w:tcPr>
    </w:tblStylePr>
    <w:tblStylePr w:type="nwCell">
      <w:tcPr>
        <w:tcBorders>
          <w:bottom w:val="single" w:color="F5BE72" w:themeColor="accent1" w:themeTint="99" w:sz="4" w:space="0"/>
        </w:tcBorders>
      </w:tcPr>
    </w:tblStylePr>
    <w:tblStylePr w:type="seCell">
      <w:tcPr>
        <w:tcBorders>
          <w:top w:val="single" w:color="F5BE72" w:themeColor="accent1" w:themeTint="99" w:sz="4" w:space="0"/>
        </w:tcBorders>
      </w:tcPr>
    </w:tblStylePr>
    <w:tblStylePr w:type="swCell">
      <w:tcPr>
        <w:tcBorders>
          <w:top w:val="single" w:color="F5BE72" w:themeColor="accent1" w:themeTint="99" w:sz="4" w:space="0"/>
        </w:tcBorders>
      </w:tcPr>
    </w:tblStylePr>
  </w:style>
  <w:style w:type="table" w:customStyle="1" w:styleId="70">
    <w:name w:val="格線表格 5 深色 - 輔色 11"/>
    <w:basedOn w:val="23"/>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E9D0"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09415"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09415"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F09415"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09415" w:themeFill="accent1"/>
      </w:tcPr>
    </w:tblStylePr>
    <w:tblStylePr w:type="band1Vert">
      <w:tcPr>
        <w:shd w:val="clear" w:color="auto" w:fill="F8D4A1" w:themeFill="accent1" w:themeFillTint="66"/>
      </w:tcPr>
    </w:tblStylePr>
    <w:tblStylePr w:type="band1Horz">
      <w:tcPr>
        <w:shd w:val="clear" w:color="auto" w:fill="F8D4A1" w:themeFill="accent1" w:themeFillTint="66"/>
      </w:tcPr>
    </w:tblStylePr>
  </w:style>
  <w:style w:type="table" w:customStyle="1" w:styleId="71">
    <w:name w:val="格線表格 4 - 輔色 61"/>
    <w:basedOn w:val="23"/>
    <w:qFormat/>
    <w:uiPriority w:val="49"/>
    <w:tblPr>
      <w:tblBorders>
        <w:top w:val="single" w:color="FBB19D" w:themeColor="accent6" w:themeTint="99" w:sz="4" w:space="0"/>
        <w:left w:val="single" w:color="FBB19D" w:themeColor="accent6" w:themeTint="99" w:sz="4" w:space="0"/>
        <w:bottom w:val="single" w:color="FBB19D" w:themeColor="accent6" w:themeTint="99" w:sz="4" w:space="0"/>
        <w:right w:val="single" w:color="FBB19D" w:themeColor="accent6" w:themeTint="99" w:sz="4" w:space="0"/>
        <w:insideH w:val="single" w:color="FBB19D" w:themeColor="accent6" w:themeTint="99" w:sz="4" w:space="0"/>
        <w:insideV w:val="single" w:color="FBB19D" w:themeColor="accent6" w:themeTint="99" w:sz="4" w:space="0"/>
      </w:tblBorders>
    </w:tblPr>
    <w:tblStylePr w:type="firstRow">
      <w:rPr>
        <w:b/>
        <w:bCs/>
        <w:color w:val="FFFFFF" w:themeColor="background1"/>
        <w14:textFill>
          <w14:solidFill>
            <w14:schemeClr w14:val="bg1"/>
          </w14:solidFill>
        </w14:textFill>
      </w:rPr>
      <w:tcPr>
        <w:tcBorders>
          <w:top w:val="single" w:color="FA7E5C" w:themeColor="accent6" w:sz="4" w:space="0"/>
          <w:left w:val="single" w:color="FA7E5C" w:themeColor="accent6" w:sz="4" w:space="0"/>
          <w:bottom w:val="single" w:color="FA7E5C" w:themeColor="accent6" w:sz="4" w:space="0"/>
          <w:right w:val="single" w:color="FA7E5C" w:themeColor="accent6" w:sz="4" w:space="0"/>
          <w:insideH w:val="nil"/>
          <w:insideV w:val="nil"/>
        </w:tcBorders>
        <w:shd w:val="clear" w:color="auto" w:fill="FA7E5C" w:themeFill="accent6"/>
      </w:tcPr>
    </w:tblStylePr>
    <w:tblStylePr w:type="lastRow">
      <w:rPr>
        <w:b/>
        <w:bCs/>
      </w:rPr>
      <w:tcPr>
        <w:tcBorders>
          <w:top w:val="double" w:color="FA7E5C" w:themeColor="accent6" w:sz="4" w:space="0"/>
        </w:tcBorders>
      </w:tcPr>
    </w:tblStylePr>
    <w:tblStylePr w:type="firstCol">
      <w:rPr>
        <w:b/>
        <w:bCs/>
      </w:rPr>
    </w:tblStylePr>
    <w:tblStylePr w:type="lastCol">
      <w:rPr>
        <w:b/>
        <w:bCs/>
      </w:rPr>
    </w:tblStylePr>
    <w:tblStylePr w:type="band1Vert">
      <w:tcPr>
        <w:shd w:val="clear" w:color="auto" w:fill="FDE5DE" w:themeFill="accent6" w:themeFillTint="33"/>
      </w:tcPr>
    </w:tblStylePr>
    <w:tblStylePr w:type="band1Horz">
      <w:tcPr>
        <w:shd w:val="clear" w:color="auto" w:fill="FDE5DE" w:themeFill="accent6" w:themeFillTint="33"/>
      </w:tcPr>
    </w:tblStylePr>
  </w:style>
  <w:style w:type="character" w:customStyle="1" w:styleId="72">
    <w:name w:val="content1"/>
    <w:basedOn w:val="25"/>
    <w:qFormat/>
    <w:uiPriority w:val="0"/>
    <w:rPr>
      <w:rFonts w:hint="default" w:ascii="Arial" w:hAnsi="Arial" w:cs="Arial"/>
      <w:color w:val="000000"/>
      <w:sz w:val="21"/>
      <w:szCs w:val="21"/>
      <w:u w:val="none"/>
    </w:rPr>
  </w:style>
  <w:style w:type="character" w:customStyle="1" w:styleId="73">
    <w:name w:val="q_stock_code_blue1"/>
    <w:basedOn w:val="25"/>
    <w:qFormat/>
    <w:uiPriority w:val="0"/>
    <w:rPr>
      <w:rFonts w:hint="default" w:ascii="Helvetica" w:hAnsi="Helvetica" w:cs="Helvetica"/>
      <w:color w:val="003366"/>
      <w:sz w:val="17"/>
      <w:szCs w:val="17"/>
      <w:u w:val="none"/>
    </w:rPr>
  </w:style>
  <w:style w:type="table" w:customStyle="1" w:styleId="74">
    <w:name w:val="格線表格 4 - 輔色 21"/>
    <w:basedOn w:val="23"/>
    <w:qFormat/>
    <w:uiPriority w:val="49"/>
    <w:rPr>
      <w:kern w:val="2"/>
      <w:sz w:val="24"/>
      <w:szCs w:val="22"/>
    </w:rPr>
    <w:tblPr>
      <w:tblBorders>
        <w:top w:val="single" w:color="D9D2A6" w:themeColor="accent2" w:themeTint="99" w:sz="4" w:space="0"/>
        <w:left w:val="single" w:color="D9D2A6" w:themeColor="accent2" w:themeTint="99" w:sz="4" w:space="0"/>
        <w:bottom w:val="single" w:color="D9D2A6" w:themeColor="accent2" w:themeTint="99" w:sz="4" w:space="0"/>
        <w:right w:val="single" w:color="D9D2A6" w:themeColor="accent2" w:themeTint="99" w:sz="4" w:space="0"/>
        <w:insideH w:val="single" w:color="D9D2A6" w:themeColor="accent2" w:themeTint="99" w:sz="4" w:space="0"/>
        <w:insideV w:val="single" w:color="D9D2A6" w:themeColor="accent2" w:themeTint="99" w:sz="4" w:space="0"/>
      </w:tblBorders>
    </w:tblPr>
    <w:tblStylePr w:type="firstRow">
      <w:rPr>
        <w:b/>
        <w:bCs/>
        <w:color w:val="FFFFFF" w:themeColor="background1"/>
        <w14:textFill>
          <w14:solidFill>
            <w14:schemeClr w14:val="bg1"/>
          </w14:solidFill>
        </w14:textFill>
      </w:rPr>
      <w:tcPr>
        <w:tcBorders>
          <w:top w:val="single" w:color="C1B56B" w:themeColor="accent2" w:sz="4" w:space="0"/>
          <w:left w:val="single" w:color="C1B56B" w:themeColor="accent2" w:sz="4" w:space="0"/>
          <w:bottom w:val="single" w:color="C1B56B" w:themeColor="accent2" w:sz="4" w:space="0"/>
          <w:right w:val="single" w:color="C1B56B" w:themeColor="accent2" w:sz="4" w:space="0"/>
          <w:insideH w:val="nil"/>
          <w:insideV w:val="nil"/>
        </w:tcBorders>
        <w:shd w:val="clear" w:color="auto" w:fill="C1B56B" w:themeFill="accent2"/>
      </w:tcPr>
    </w:tblStylePr>
    <w:tblStylePr w:type="lastRow">
      <w:rPr>
        <w:b/>
        <w:bCs/>
      </w:rPr>
      <w:tcPr>
        <w:tcBorders>
          <w:top w:val="double" w:color="C1B56B" w:themeColor="accent2" w:sz="4" w:space="0"/>
        </w:tcBorders>
      </w:tcPr>
    </w:tblStylePr>
    <w:tblStylePr w:type="firstCol">
      <w:rPr>
        <w:b/>
        <w:bCs/>
      </w:rPr>
    </w:tblStylePr>
    <w:tblStylePr w:type="lastCol">
      <w:rPr>
        <w:b/>
        <w:bCs/>
      </w:rPr>
    </w:tblStylePr>
    <w:tblStylePr w:type="band1Vert">
      <w:tcPr>
        <w:shd w:val="clear" w:color="auto" w:fill="F2F0E1" w:themeFill="accent2" w:themeFillTint="33"/>
      </w:tcPr>
    </w:tblStylePr>
    <w:tblStylePr w:type="band1Horz">
      <w:tcPr>
        <w:shd w:val="clear" w:color="auto" w:fill="F2F0E1" w:themeFill="accent2" w:themeFillTint="33"/>
      </w:tcPr>
    </w:tblStylePr>
  </w:style>
  <w:style w:type="table" w:customStyle="1" w:styleId="75">
    <w:name w:val="格線表格 5 深色 - 輔色 21"/>
    <w:basedOn w:val="23"/>
    <w:qFormat/>
    <w:uiPriority w:val="50"/>
    <w:rPr>
      <w:kern w:val="2"/>
      <w:sz w:val="24"/>
      <w:szCs w:val="22"/>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0E1"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1B56B"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1B56B"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C1B56B"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1B56B" w:themeFill="accent2"/>
      </w:tcPr>
    </w:tblStylePr>
    <w:tblStylePr w:type="band1Vert">
      <w:tcPr>
        <w:shd w:val="clear" w:color="auto" w:fill="E6E1C3" w:themeFill="accent2" w:themeFillTint="66"/>
      </w:tcPr>
    </w:tblStylePr>
    <w:tblStylePr w:type="band1Horz">
      <w:tcPr>
        <w:shd w:val="clear" w:color="auto" w:fill="E6E1C3" w:themeFill="accent2" w:themeFillTint="66"/>
      </w:tcPr>
    </w:tblStylePr>
  </w:style>
  <w:style w:type="table" w:customStyle="1" w:styleId="76">
    <w:name w:val="清單表格 2 - 輔色 11"/>
    <w:basedOn w:val="23"/>
    <w:qFormat/>
    <w:uiPriority w:val="47"/>
    <w:tblPr>
      <w:tblBorders>
        <w:top w:val="single" w:color="F5BE72" w:themeColor="accent1" w:themeTint="99" w:sz="4" w:space="0"/>
        <w:bottom w:val="single" w:color="F5BE72" w:themeColor="accent1" w:themeTint="99" w:sz="4" w:space="0"/>
        <w:insideH w:val="single" w:color="F5BE72"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BE9D0" w:themeFill="accent1" w:themeFillTint="33"/>
      </w:tcPr>
    </w:tblStylePr>
    <w:tblStylePr w:type="band1Horz">
      <w:tcPr>
        <w:shd w:val="clear" w:color="auto" w:fill="FBE9D0" w:themeFill="accent1" w:themeFillTint="33"/>
      </w:tcPr>
    </w:tblStylePr>
  </w:style>
  <w:style w:type="table" w:customStyle="1" w:styleId="77">
    <w:name w:val="清單表格 4 - 輔色 11"/>
    <w:basedOn w:val="23"/>
    <w:qFormat/>
    <w:uiPriority w:val="49"/>
    <w:tblPr>
      <w:tblBorders>
        <w:top w:val="single" w:color="F5BE72" w:themeColor="accent1" w:themeTint="99" w:sz="4" w:space="0"/>
        <w:left w:val="single" w:color="F5BE72" w:themeColor="accent1" w:themeTint="99" w:sz="4" w:space="0"/>
        <w:bottom w:val="single" w:color="F5BE72" w:themeColor="accent1" w:themeTint="99" w:sz="4" w:space="0"/>
        <w:right w:val="single" w:color="F5BE72" w:themeColor="accent1" w:themeTint="99" w:sz="4" w:space="0"/>
        <w:insideH w:val="single" w:color="F5BE72" w:themeColor="accent1" w:themeTint="99" w:sz="4" w:space="0"/>
      </w:tblBorders>
    </w:tblPr>
    <w:tblStylePr w:type="firstRow">
      <w:rPr>
        <w:b/>
        <w:bCs/>
        <w:color w:val="FFFFFF" w:themeColor="background1"/>
        <w14:textFill>
          <w14:solidFill>
            <w14:schemeClr w14:val="bg1"/>
          </w14:solidFill>
        </w14:textFill>
      </w:rPr>
      <w:tcPr>
        <w:tcBorders>
          <w:top w:val="single" w:color="F09415" w:themeColor="accent1" w:sz="4" w:space="0"/>
          <w:left w:val="single" w:color="F09415" w:themeColor="accent1" w:sz="4" w:space="0"/>
          <w:bottom w:val="single" w:color="F09415" w:themeColor="accent1" w:sz="4" w:space="0"/>
          <w:right w:val="single" w:color="F09415" w:themeColor="accent1" w:sz="4" w:space="0"/>
          <w:insideH w:val="nil"/>
        </w:tcBorders>
        <w:shd w:val="clear" w:color="auto" w:fill="F09415" w:themeFill="accent1"/>
      </w:tcPr>
    </w:tblStylePr>
    <w:tblStylePr w:type="lastRow">
      <w:rPr>
        <w:b/>
        <w:bCs/>
      </w:rPr>
      <w:tcPr>
        <w:tcBorders>
          <w:top w:val="double" w:color="F5BE72" w:themeColor="accent1" w:themeTint="99" w:sz="4" w:space="0"/>
        </w:tcBorders>
      </w:tcPr>
    </w:tblStylePr>
    <w:tblStylePr w:type="firstCol">
      <w:rPr>
        <w:b/>
        <w:bCs/>
      </w:rPr>
    </w:tblStylePr>
    <w:tblStylePr w:type="lastCol">
      <w:rPr>
        <w:b/>
        <w:bCs/>
      </w:rPr>
    </w:tblStylePr>
    <w:tblStylePr w:type="band1Vert">
      <w:tcPr>
        <w:shd w:val="clear" w:color="auto" w:fill="FBE9D0" w:themeFill="accent1" w:themeFillTint="33"/>
      </w:tcPr>
    </w:tblStylePr>
    <w:tblStylePr w:type="band1Horz">
      <w:tcPr>
        <w:shd w:val="clear" w:color="auto" w:fill="FBE9D0" w:themeFill="accent1" w:themeFillTint="33"/>
      </w:tcPr>
    </w:tblStylePr>
  </w:style>
  <w:style w:type="table" w:customStyle="1" w:styleId="78">
    <w:name w:val="Grid Table 31"/>
    <w:basedOn w:val="23"/>
    <w:qFormat/>
    <w:uiPriority w:val="48"/>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79">
    <w:name w:val="Grid Table 21"/>
    <w:basedOn w:val="23"/>
    <w:qFormat/>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1"/>
    <w:basedOn w:val="23"/>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1">
    <w:name w:val="Grid Table 41"/>
    <w:basedOn w:val="2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82">
    <w:name w:val="Comment Text Char"/>
    <w:basedOn w:val="25"/>
    <w:link w:val="12"/>
    <w:qFormat/>
    <w:uiPriority w:val="0"/>
  </w:style>
  <w:style w:type="character" w:customStyle="1" w:styleId="83">
    <w:name w:val="Comment Subject Char"/>
    <w:basedOn w:val="82"/>
    <w:link w:val="22"/>
    <w:semiHidden/>
    <w:qFormat/>
    <w:uiPriority w:val="99"/>
    <w:rPr>
      <w:b/>
      <w:bCs/>
    </w:rPr>
  </w:style>
  <w:style w:type="paragraph" w:customStyle="1" w:styleId="84">
    <w:name w:val="Revision1"/>
    <w:hidden/>
    <w:semiHidden/>
    <w:qFormat/>
    <w:uiPriority w:val="99"/>
    <w:rPr>
      <w:rFonts w:asciiTheme="minorHAnsi" w:hAnsiTheme="minorHAnsi" w:eastAsiaTheme="minorEastAsia" w:cstheme="minorBidi"/>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柏林">
  <a:themeElements>
    <a:clrScheme name="柏林">
      <a:dk1>
        <a:sysClr val="windowText" lastClr="000000"/>
      </a:dk1>
      <a:lt1>
        <a:sysClr val="window" lastClr="FFFFFF"/>
      </a:lt1>
      <a:dk2>
        <a:srgbClr val="9D360E"/>
      </a:dk2>
      <a:lt2>
        <a:srgbClr val="E7E6E6"/>
      </a:lt2>
      <a:accent1>
        <a:srgbClr val="F09415"/>
      </a:accent1>
      <a:accent2>
        <a:srgbClr val="C1B56B"/>
      </a:accent2>
      <a:accent3>
        <a:srgbClr val="4BAF73"/>
      </a:accent3>
      <a:accent4>
        <a:srgbClr val="5AA6C0"/>
      </a:accent4>
      <a:accent5>
        <a:srgbClr val="D17DF9"/>
      </a:accent5>
      <a:accent6>
        <a:srgbClr val="FA7E5C"/>
      </a:accent6>
      <a:hlink>
        <a:srgbClr val="FFAE3E"/>
      </a:hlink>
      <a:folHlink>
        <a:srgbClr val="FCC77E"/>
      </a:folHlink>
    </a:clrScheme>
    <a:fontScheme name="柏林">
      <a:majorFont>
        <a:latin typeface="Trebuchet MS"/>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柏林">
      <a:fillStyleLst>
        <a:solidFill>
          <a:schemeClr val="phClr"/>
        </a:solidFill>
        <a:gradFill rotWithShape="1">
          <a:gsLst>
            <a:gs pos="0">
              <a:schemeClr val="phClr">
                <a:tint val="60000"/>
                <a:satMod val="100000"/>
                <a:lumMod val="110000"/>
              </a:schemeClr>
            </a:gs>
            <a:gs pos="100000">
              <a:schemeClr val="phClr">
                <a:tint val="70000"/>
                <a:satMod val="100000"/>
                <a:lumMod val="100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6000"/>
                <a:shade val="100000"/>
                <a:hueMod val="270000"/>
                <a:satMod val="200000"/>
                <a:lumMod val="128000"/>
              </a:schemeClr>
            </a:gs>
            <a:gs pos="50000">
              <a:schemeClr val="phClr">
                <a:shade val="100000"/>
                <a:hueMod val="100000"/>
                <a:satMod val="110000"/>
                <a:lumMod val="130000"/>
              </a:schemeClr>
            </a:gs>
            <a:gs pos="100000">
              <a:schemeClr val="phClr">
                <a:shade val="78000"/>
                <a:hueMod val="44000"/>
                <a:satMod val="200000"/>
                <a:lumMod val="69000"/>
              </a:schemeClr>
            </a:gs>
          </a:gsLst>
          <a:lin ang="252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Hewlett-Packard Company</Company>
  <Pages>6</Pages>
  <Words>2219</Words>
  <Characters>2645</Characters>
  <Lines>32</Lines>
  <Paragraphs>9</Paragraphs>
  <TotalTime>5</TotalTime>
  <ScaleCrop>false</ScaleCrop>
  <LinksUpToDate>false</LinksUpToDate>
  <CharactersWithSpaces>2766</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2024-09-16T09:38:00Z</dcterms:created>
  <dc:creator>。</dc:creator>
  <cp:lastModifiedBy>Zwx</cp:lastModifiedBy>
  <cp:lastPrinted>2017-05-23T12:03:00Z</cp:lastPrinted>
  <dcterms:modified xsi:type="dcterms:W3CDTF">2025-06-24T08:21:31Z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8694090288894345A1A951422F1443C9</vt:lpwstr>
  </property>
  <property fmtid="{D5CDD505-2E9C-101B-9397-08002B2CF9AE}" pid="4" name="KSOTemplateDocerSaveRecord">
    <vt:lpwstr>eyJoZGlkIjoiYzE2ODgwMWRiZTk0NDVjMjJlNGNmNWM1OTJhMGZlMzUiLCJ1c2VySWQiOiI4NTgxNTQ1OTEifQ==</vt:lpwstr>
  </property>
</Properties>
</file>