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B57"/>
          <w:sz w:val="56"/>
          <w:szCs w:val="56"/>
        </w:rPr>
        <w:t xml:space="preserve">Cartogen AI</w:t>
      </w:r>
    </w:p>
    <w:p>
      <w:pPr>
        <w:spacing w:after="100"/>
        <w:jc w:val="center"/>
      </w:pPr>
      <w:r>
        <w:rPr>
          <w:rFonts w:ascii="Calibri" w:cs="Calibri" w:eastAsia="Calibri" w:hAnsi="Calibri"/>
          <w:b/>
          <w:bCs/>
          <w:color w:val="333333"/>
          <w:sz w:val="36"/>
          <w:szCs w:val="36"/>
        </w:rPr>
        <w:t xml:space="preserve">GDPR Compliance Review</w:t>
      </w:r>
    </w:p>
    <w:p>
      <w:pPr>
        <w:spacing w:after="500"/>
        <w:jc w:val="center"/>
      </w:pPr>
      <w:r>
        <w:rPr>
          <w:rFonts w:ascii="Calibri" w:cs="Calibri" w:eastAsia="Calibri" w:hAnsi="Calibri"/>
          <w:i/>
          <w:iCs/>
          <w:color w:val="5B5B5B"/>
          <w:sz w:val="22"/>
          <w:szCs w:val="22"/>
        </w:rPr>
        <w:t xml:space="preserve">Implementation review against Regulation (EU) 2016/679</w:t>
      </w:r>
    </w:p>
    <w:p>
      <w:pPr>
        <w:spacing w:after="60"/>
        <w:jc w:val="center"/>
      </w:pPr>
      <w:r>
        <w:rPr>
          <w:rFonts w:ascii="Calibri" w:cs="Calibri" w:eastAsia="Calibri" w:hAnsi="Calibri"/>
          <w:sz w:val="21"/>
          <w:szCs w:val="21"/>
        </w:rPr>
        <w:t xml:space="preserve">Prepared for: Alaa Alshoubaki</w:t>
      </w:r>
    </w:p>
    <w:p>
      <w:pPr>
        <w:spacing w:after="60"/>
        <w:jc w:val="center"/>
      </w:pPr>
      <w:r>
        <w:rPr>
          <w:rFonts w:ascii="Calibri" w:cs="Calibri" w:eastAsia="Calibri" w:hAnsi="Calibri"/>
          <w:sz w:val="21"/>
          <w:szCs w:val="21"/>
        </w:rPr>
        <w:t xml:space="preserve">Codebase reviewed: cartogen-ai-community, v1.4.4, commit 01d853f</w:t>
      </w:r>
    </w:p>
    <w:p>
      <w:pPr>
        <w:spacing w:after="60"/>
        <w:jc w:val="center"/>
      </w:pPr>
      <w:r>
        <w:rPr>
          <w:rFonts w:ascii="Calibri" w:cs="Calibri" w:eastAsia="Calibri" w:hAnsi="Calibri"/>
          <w:sz w:val="21"/>
          <w:szCs w:val="21"/>
        </w:rPr>
        <w:t xml:space="preserve">Review date: 2026-09-01</w:t>
      </w:r>
    </w:p>
    <w:p>
      <w:pPr>
        <w:spacing w:after="500"/>
        <w:jc w:val="center"/>
      </w:pPr>
      <w:r>
        <w:rPr>
          <w:rFonts w:ascii="Calibri" w:cs="Calibri" w:eastAsia="Calibri" w:hAnsi="Calibri"/>
          <w:sz w:val="21"/>
          <w:szCs w:val="21"/>
        </w:rPr>
        <w:t xml:space="preserve">Context: DG ECHO / humanitarian GIS deployment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E0B341" w:sz="4"/>
              <w:left w:val="single" w:color="E0B341" w:sz="4"/>
              <w:bottom w:val="single" w:color="E0B341" w:sz="4"/>
              <w:right w:val="single" w:color="E0B341" w:sz="4"/>
            </w:tcBorders>
            <w:shd w:fill="FFF6E5" w:val="clear"/>
            <w:tcMar>
              <w:top w:type="dxa" w:w="200"/>
              <w:left w:type="dxa" w:w="260"/>
              <w:bottom w:type="dxa" w:w="200"/>
              <w:right w:type="dxa" w:w="260"/>
            </w:tcMar>
          </w:tcPr>
          <w:p>
            <w:pPr>
              <w:spacing w:after="100"/>
            </w:pPr>
            <w:r>
              <w:rPr>
                <w:rFonts w:ascii="Calibri" w:cs="Calibri" w:eastAsia="Calibri" w:hAnsi="Calibri"/>
                <w:b/>
                <w:bCs/>
                <w:color w:val="5C4300"/>
                <w:sz w:val="22"/>
                <w:szCs w:val="22"/>
              </w:rPr>
              <w:t xml:space="preserve">Disclaimer</w:t>
            </w:r>
          </w:p>
          <w:p>
            <w:pPr>
              <w:spacing w:after="0"/>
            </w:pPr>
            <w:r>
              <w:rPr>
                <w:rFonts w:ascii="Calibri" w:cs="Calibri" w:eastAsia="Calibri" w:hAnsi="Calibri"/>
                <w:color w:val="5C4300"/>
                <w:sz w:val="20"/>
                <w:szCs w:val="20"/>
              </w:rPr>
              <w:t xml:space="preserve">This review was produced by an AI system, not a qualified data protection lawyer or a Data Protection Officer, and is not legal advice. It is a code-level technical review -- what the software actually does with data -- mapped against GDPR's structure, to give you a concrete, evidence-based starting point. Every finding below cites the exact file and behaviour it is based on so it can be independently verified. Legal conclusions (lawful basis, DPIA necessity, transfer-mechanism adequacy, and any decision about deploying this tool against real beneficiary data) require sign-off from your organization's DPO and/or qualified EU counsel before relying on them operationally.</w:t>
            </w:r>
          </w:p>
        </w:tc>
      </w:tr>
    </w:tbl>
    <w:p>
      <w:r>
        <w:br w:type="page"/>
      </w:r>
    </w:p>
    <w:p>
      <w:pPr>
        <w:pStyle w:val="Heading1"/>
        <w:spacing w:after="200" w:before="360"/>
      </w:pPr>
      <w:r>
        <w:rPr>
          <w:rFonts w:ascii="Calibri" w:cs="Calibri" w:eastAsia="Calibri" w:hAnsi="Calibri"/>
          <w:b/>
          <w:bCs/>
          <w:color w:val="1F3B57"/>
          <w:sz w:val="30"/>
          <w:szCs w:val="30"/>
        </w:rPr>
        <w:t xml:space="preserve">1. Executive Summary</w:t>
      </w:r>
    </w:p>
    <w:p>
      <w:pPr>
        <w:spacing w:after="160" w:before="0"/>
      </w:pPr>
      <w:r>
        <w:rPr>
          <w:rFonts w:ascii="Calibri" w:cs="Calibri" w:eastAsia="Calibri" w:hAnsi="Calibri"/>
          <w:sz w:val="21"/>
          <w:szCs w:val="21"/>
        </w:rPr>
        <w:t xml:space="preserve">Cartogen AI is a QGIS plugin: it runs entirely on the user's own machine, inside their own QGIS installation. It is not a hosted service, and today it has no Cartogen-operated backend that sees a deploying organization's data. That single architectural fact drives most of this review's legal framing: the organization deploying Cartogen AI is the GDPR data controller for the humanitarian data it processes through the tool; each cloud LLM provider the organization chooses to connect (OpenRouter, Google Gemini, OpenAI, or Anthropic Claude) becomes a processor via the organization's own direct account with that provider, not via Cartogen AI. A local-only Ollama connection avoids third-party transfer entirely.</w:t>
      </w:r>
    </w:p>
    <w:p>
      <w:pPr>
        <w:spacing w:after="160" w:before="0"/>
      </w:pPr>
      <w:r>
        <w:rPr>
          <w:rFonts w:ascii="Calibri" w:cs="Calibri" w:eastAsia="Calibri" w:hAnsi="Calibri"/>
          <w:sz w:val="21"/>
          <w:szCs w:val="21"/>
        </w:rPr>
        <w:t xml:space="preserve">Within that framing, this review found one finding serious enough to call CRITICAL: a "global memory" feature the agent uses to remember notes across every project on a machine has no deletion path anywhere in the code -- not in the UI, not in the API. Once written, a note stays until the machine's QGIS settings are wiped by hand outside the plugin entirely. If that note ever contains personal or special-category data (a beneficiary name, a security-incident detail), there is currently no way to honour an erasure request for it from inside the product.</w:t>
      </w:r>
    </w:p>
    <w:p>
      <w:pPr>
        <w:spacing w:after="160" w:before="0"/>
      </w:pPr>
      <w:r>
        <w:rPr>
          <w:rFonts w:ascii="Calibri" w:cs="Calibri" w:eastAsia="Calibri" w:hAnsi="Calibri"/>
          <w:sz w:val="21"/>
          <w:szCs w:val="21"/>
        </w:rPr>
        <w:t xml:space="preserve">Beyond that, the review found no privacy notice anywhere in the product describing what happens to data once a cloud provider is selected; no documented transfer mechanism (adequacy decision or Standard Contractual Clauses) for any of the four cloud providers; and no Data Processing Agreement visibility for the organization to check before enabling one. Given the humanitarian-GIS use case -- security-incident data, vulnerability and protection indicators, population and household-level detail -- this processing plausibly meets the EDPB's high-risk criteria for a mandatory Data Protection Impact Assessment, which has not been performed.</w:t>
      </w:r>
    </w:p>
    <w:p>
      <w:pPr>
        <w:spacing w:after="160" w:before="0"/>
      </w:pPr>
      <w:r>
        <w:rPr>
          <w:rFonts w:ascii="Calibri" w:cs="Calibri" w:eastAsia="Calibri" w:hAnsi="Calibri"/>
          <w:sz w:val="21"/>
          <w:szCs w:val="21"/>
        </w:rPr>
        <w:t xml:space="preserve">On the positive side, the codebase already implements real, tested Article 32 security measures: encrypted-by-default credential storage with a user-facing warning on fallback, an SSRF guard, a sandboxed script-execution path, and confirmation gates on destructive operations. These are documented in SECURITY.md with file:line references and backed by passing tests -- a genuinely stronger security posture than most tools at this stage. The gap in this review is specifically the personal-data lifecycle (transparency, erasure, transfer documentation, DPIA), not general application security.</w:t>
      </w:r>
    </w:p>
    <w:p>
      <w:pPr>
        <w:spacing w:after="160" w:before="0"/>
      </w:pPr>
      <w:r>
        <w:rPr>
          <w:rFonts w:ascii="Calibri" w:cs="Calibri" w:eastAsia="Calibri" w:hAnsi="Calibri"/>
          <w:sz w:val="21"/>
          <w:szCs w:val="21"/>
        </w:rPr>
        <w:t xml:space="preserve">Fourteen findings are detailed below (F1-F14), one CRITICAL, four HIGH, five MEDIUM, one LOW, two INFORMATIONAL, and one POSITIVE. None of them requires re-architecting the plugin; all are addressable with a combination of documentation, a small set of UI additions, and organizational process on the deploying organization's side.</w:t>
      </w:r>
    </w:p>
    <w:p>
      <w:pPr>
        <w:spacing w:after="160" w:before="0"/>
      </w:pPr>
      <w:r>
        <w:rPr>
          <w:rFonts w:ascii="Calibri" w:cs="Calibri" w:eastAsia="Calibri" w:hAnsi="Calibri"/>
          <w:b/>
          <w:bCs/>
          <w:sz w:val="21"/>
          <w:szCs w:val="21"/>
        </w:rPr>
        <w:t xml:space="preserve">Extension note (2026-09-08): </w:t>
      </w:r>
      <w:r>
        <w:rPr>
          <w:rFonts w:ascii="Calibri" w:cs="Calibri" w:eastAsia="Calibri" w:hAnsi="Calibri"/>
          <w:sz w:val="21"/>
          <w:szCs w:val="21"/>
        </w:rPr>
        <w:t xml:space="preserve">This review's original file list (Section 8) and Sections 3.2/3.3 covered only the inert "Cartogen AI (Hosted)" LLM-provider stub, not the separate Hosted-Account feature (agent/account.py / ui/account_dialog.py), added 2026-08-28 -- before this review's own 2026-09-01 date, but outside its original scope. Finding F14 closes that scope gap, folding in the verified inventory from docs/GDPR_HOSTED_ACCOUNT_ADDENDUM_2026-09-08.md.</w:t>
      </w:r>
    </w:p>
    <w:p>
      <w:pPr>
        <w:pStyle w:val="Heading1"/>
        <w:spacing w:after="200" w:before="360"/>
      </w:pPr>
      <w:r>
        <w:rPr>
          <w:rFonts w:ascii="Calibri" w:cs="Calibri" w:eastAsia="Calibri" w:hAnsi="Calibri"/>
          <w:b/>
          <w:bCs/>
          <w:color w:val="1F3B57"/>
          <w:sz w:val="30"/>
          <w:szCs w:val="30"/>
        </w:rPr>
        <w:t xml:space="preserve">2. Methodology and Scope</w:t>
      </w:r>
    </w:p>
    <w:p>
      <w:pPr>
        <w:spacing w:after="160" w:before="0"/>
      </w:pPr>
      <w:r>
        <w:rPr>
          <w:rFonts w:ascii="Calibri" w:cs="Calibri" w:eastAsia="Calibri" w:hAnsi="Calibri"/>
          <w:sz w:val="21"/>
          <w:szCs w:val="21"/>
        </w:rPr>
        <w:t xml:space="preserve">This review is a direct code inspection of the cartogen-ai-community repository (commit 01d853f, v1.4.4) -- reading the actual source that handles credentials, chat, memory, and provider connections, not the documentation's description of it, and not an assumption of best practice. Every claim below is grounded in a specific file and, where useful, a line number or function name, in keeping with this project's own "file:line references throughout" convention already used in SECURITY.md. Nothing here is inferred from what a similar tool typically does.</w:t>
      </w:r>
    </w:p>
    <w:p>
      <w:pPr>
        <w:spacing w:after="160" w:before="0"/>
      </w:pPr>
      <w:r>
        <w:rPr>
          <w:rFonts w:ascii="Calibri" w:cs="Calibri" w:eastAsia="Calibri" w:hAnsi="Calibri"/>
          <w:sz w:val="21"/>
          <w:szCs w:val="21"/>
        </w:rPr>
        <w:t xml:space="preserve">In scope: the shipped Community-edition plugin as installed from this repository -- credential handling, chat/tool-calling data flow to LLM providers, local persistence (chat history, project memory, global memory), and the currently-unused "Cartogen AI (Hosted)" gateway option. Out of scope: the deploying organization's own data-collection practices, consent mechanisms, and existing GDPR programme (these are organizational, not code, and this review cannot see them); the private Pro/Enterprise repository and service/ hosted-gateway prototype, beyond noting where they change the legal analysis once live; and any jurisdiction's law other than the EU GDPR (UK GDPR, EU AI Act, and ePrivacy considerations are not covered here).</w:t>
      </w:r>
    </w:p>
    <w:p>
      <w:pPr>
        <w:pStyle w:val="Heading1"/>
        <w:spacing w:after="200" w:before="360"/>
      </w:pPr>
      <w:r>
        <w:rPr>
          <w:rFonts w:ascii="Calibri" w:cs="Calibri" w:eastAsia="Calibri" w:hAnsi="Calibri"/>
          <w:b/>
          <w:bCs/>
          <w:color w:val="1F3B57"/>
          <w:sz w:val="30"/>
          <w:szCs w:val="30"/>
        </w:rPr>
        <w:t xml:space="preserve">3. Legal Role Determination -- Controller and Processor</w:t>
      </w:r>
    </w:p>
    <w:p>
      <w:pPr>
        <w:spacing w:after="160" w:before="0"/>
      </w:pPr>
      <w:r>
        <w:rPr>
          <w:rFonts w:ascii="Calibri" w:cs="Calibri" w:eastAsia="Calibri" w:hAnsi="Calibri"/>
          <w:sz w:val="21"/>
          <w:szCs w:val="21"/>
        </w:rPr>
        <w:t xml:space="preserve">Getting this allocation right is the precondition for the rest of the analysis, since GDPR's obligations attach very differently to a controller than to a processor.</w:t>
      </w:r>
    </w:p>
    <w:p>
      <w:pPr>
        <w:pStyle w:val="Heading3"/>
        <w:spacing w:after="120" w:before="220"/>
      </w:pPr>
      <w:r>
        <w:rPr>
          <w:rFonts w:ascii="Calibri" w:cs="Calibri" w:eastAsia="Calibri" w:hAnsi="Calibri"/>
          <w:b/>
          <w:bCs/>
          <w:color w:val="333333"/>
          <w:sz w:val="22"/>
          <w:szCs w:val="22"/>
        </w:rPr>
        <w:t xml:space="preserve">3.1 The deploying organization is the controller</w:t>
      </w:r>
    </w:p>
    <w:p>
      <w:pPr>
        <w:spacing w:after="160" w:before="0"/>
      </w:pPr>
      <w:r>
        <w:rPr>
          <w:rFonts w:ascii="Calibri" w:cs="Calibri" w:eastAsia="Calibri" w:hAnsi="Calibri"/>
          <w:sz w:val="21"/>
          <w:szCs w:val="21"/>
        </w:rPr>
        <w:t xml:space="preserve">The organization installing Cartogen AI decides what humanitarian data to load into QGIS, what to ask the agent to do with it, and which LLM provider to connect. Those are controller decisions (Art. 4(7): the entity that determines the purposes and means of processing) squarely on the organization's side, not the plugin author's.</w:t>
      </w:r>
    </w:p>
    <w:p>
      <w:pPr>
        <w:pStyle w:val="Heading3"/>
        <w:spacing w:after="120" w:before="220"/>
      </w:pPr>
      <w:r>
        <w:rPr>
          <w:rFonts w:ascii="Calibri" w:cs="Calibri" w:eastAsia="Calibri" w:hAnsi="Calibri"/>
          <w:b/>
          <w:bCs/>
          <w:color w:val="333333"/>
          <w:sz w:val="22"/>
          <w:szCs w:val="22"/>
        </w:rPr>
        <w:t xml:space="preserve">3.2 Cartogen AI (the software) is not currently a processor</w:t>
      </w:r>
    </w:p>
    <w:p>
      <w:pPr>
        <w:spacing w:after="160" w:before="0"/>
      </w:pPr>
      <w:r>
        <w:rPr>
          <w:rFonts w:ascii="Calibri" w:cs="Calibri" w:eastAsia="Calibri" w:hAnsi="Calibri"/>
          <w:sz w:val="21"/>
          <w:szCs w:val="21"/>
        </w:rPr>
        <w:t xml:space="preserve">A search of every provider client under </w:t>
      </w:r>
      <w:r>
        <w:rPr>
          <w:rFonts w:ascii="Consolas" w:cs="Consolas" w:eastAsia="Consolas" w:hAnsi="Consolas"/>
          <w:color w:val="5B2AA3"/>
          <w:sz w:val="20"/>
          <w:szCs w:val="20"/>
        </w:rPr>
        <w:t xml:space="preserve">src/cartogen_ai/core/agent/providers/</w:t>
      </w:r>
      <w:r>
        <w:rPr>
          <w:rFonts w:ascii="Calibri" w:cs="Calibri" w:eastAsia="Calibri" w:hAnsi="Calibri"/>
          <w:sz w:val="21"/>
          <w:szCs w:val="21"/>
        </w:rPr>
        <w:t xml:space="preserve"> confirms each cloud provider is called at its own official API endpoint -- </w:t>
      </w:r>
      <w:r>
        <w:rPr>
          <w:rFonts w:ascii="Consolas" w:cs="Consolas" w:eastAsia="Consolas" w:hAnsi="Consolas"/>
          <w:color w:val="5B2AA3"/>
          <w:sz w:val="20"/>
          <w:szCs w:val="20"/>
        </w:rPr>
        <w:t xml:space="preserve">api.anthropic.com</w:t>
      </w:r>
      <w:r>
        <w:rPr>
          <w:rFonts w:ascii="Calibri" w:cs="Calibri" w:eastAsia="Calibri" w:hAnsi="Calibri"/>
          <w:sz w:val="21"/>
          <w:szCs w:val="21"/>
        </w:rPr>
        <w:t xml:space="preserve">, </w:t>
      </w:r>
      <w:r>
        <w:rPr>
          <w:rFonts w:ascii="Consolas" w:cs="Consolas" w:eastAsia="Consolas" w:hAnsi="Consolas"/>
          <w:color w:val="5B2AA3"/>
          <w:sz w:val="20"/>
          <w:szCs w:val="20"/>
        </w:rPr>
        <w:t xml:space="preserve">generativelanguage.googleapis.com</w:t>
      </w:r>
      <w:r>
        <w:rPr>
          <w:rFonts w:ascii="Calibri" w:cs="Calibri" w:eastAsia="Calibri" w:hAnsi="Calibri"/>
          <w:sz w:val="21"/>
          <w:szCs w:val="21"/>
        </w:rPr>
        <w:t xml:space="preserve">, </w:t>
      </w:r>
      <w:r>
        <w:rPr>
          <w:rFonts w:ascii="Consolas" w:cs="Consolas" w:eastAsia="Consolas" w:hAnsi="Consolas"/>
          <w:color w:val="5B2AA3"/>
          <w:sz w:val="20"/>
          <w:szCs w:val="20"/>
        </w:rPr>
        <w:t xml:space="preserve">api.openai.com</w:t>
      </w:r>
      <w:r>
        <w:rPr>
          <w:rFonts w:ascii="Calibri" w:cs="Calibri" w:eastAsia="Calibri" w:hAnsi="Calibri"/>
          <w:sz w:val="21"/>
          <w:szCs w:val="21"/>
        </w:rPr>
        <w:t xml:space="preserve">, </w:t>
      </w:r>
      <w:r>
        <w:rPr>
          <w:rFonts w:ascii="Consolas" w:cs="Consolas" w:eastAsia="Consolas" w:hAnsi="Consolas"/>
          <w:color w:val="5B2AA3"/>
          <w:sz w:val="20"/>
          <w:szCs w:val="20"/>
        </w:rPr>
        <w:t xml:space="preserve">openrouter.ai/api</w:t>
      </w:r>
      <w:r>
        <w:rPr>
          <w:rFonts w:ascii="Calibri" w:cs="Calibri" w:eastAsia="Calibri" w:hAnsi="Calibri"/>
          <w:sz w:val="21"/>
          <w:szCs w:val="21"/>
        </w:rPr>
        <w:t xml:space="preserve"> -- using the organization's own API key, sent directly from the user's machine. No Cartogen-operated server sits in that path today. No telemetry, analytics, or usage-reporting call to any Cartogen-controlled endpoint was found anywhere in the source tree.</w:t>
      </w:r>
    </w:p>
    <w:p>
      <w:pPr>
        <w:spacing w:after="160" w:before="0"/>
      </w:pPr>
      <w:r>
        <w:rPr>
          <w:rFonts w:ascii="Calibri" w:cs="Calibri" w:eastAsia="Calibri" w:hAnsi="Calibri"/>
          <w:sz w:val="21"/>
          <w:szCs w:val="21"/>
        </w:rPr>
        <w:t xml:space="preserve">A "Cartogen AI (Hosted)" option does exist in the Settings provider dropdown (settings_dialog.py, PROVIDERS list), but its own in-app tooltip states plainly: "No hosted gateway is deployed yet -- this option isn't usable in the Community edition today." Its client code (agent/providers/cartogen.py) is an explicit stub pointed at a placeholder domain (gateway.cartogen.ai) that resolves to nothing live. Selecting it today does not route any real data anywhere.</w:t>
      </w:r>
    </w:p>
    <w:p>
      <w:pPr>
        <w:pStyle w:val="Heading3"/>
        <w:spacing w:after="120" w:before="220"/>
      </w:pPr>
      <w:r>
        <w:rPr>
          <w:rFonts w:ascii="Calibri" w:cs="Calibri" w:eastAsia="Calibri" w:hAnsi="Calibri"/>
          <w:b/>
          <w:bCs/>
          <w:color w:val="333333"/>
          <w:sz w:val="22"/>
          <w:szCs w:val="22"/>
        </w:rPr>
        <w:t xml:space="preserve">3.3 This will change if the hosted gateway ships</w:t>
      </w:r>
    </w:p>
    <w:p>
      <w:pPr>
        <w:spacing w:after="160" w:before="0"/>
      </w:pPr>
      <w:r>
        <w:rPr>
          <w:rFonts w:ascii="Calibri" w:cs="Calibri" w:eastAsia="Calibri" w:hAnsi="Calibri"/>
          <w:sz w:val="21"/>
          <w:szCs w:val="21"/>
        </w:rPr>
        <w:t xml:space="preserve">docs/archive/PRO_TIER_BUILD_PLAN_2026-08-21.md and docs/archive/TIER_RESTRUCTURE_PROPOSAL_2026-08-20.md scope a future Cartogen-operated model gateway (a LiteLLM proxy in front of the same providers) for a paid Professional tier. The moment that gateway is deployed and an organization enables it, Cartogen AI becomes a processor for the traffic that flows through it, and will need a Data Processing Agreement with every organization using it, plus its own Art. 28/30/32 obligations as a processor. This is worth resolving before, not after, that feature ships -- see Recommendation R1.</w:t>
      </w:r>
    </w:p>
    <w:p>
      <w:pPr>
        <w:pStyle w:val="Heading3"/>
        <w:spacing w:after="120" w:before="220"/>
      </w:pPr>
      <w:r>
        <w:rPr>
          <w:rFonts w:ascii="Calibri" w:cs="Calibri" w:eastAsia="Calibri" w:hAnsi="Calibri"/>
          <w:b/>
          <w:bCs/>
          <w:color w:val="333333"/>
          <w:sz w:val="22"/>
          <w:szCs w:val="22"/>
        </w:rPr>
        <w:t xml:space="preserve">3.4 Each connected LLM provider is a sub-processor the organization must manage directly</w:t>
      </w:r>
    </w:p>
    <w:p>
      <w:pPr>
        <w:spacing w:after="160" w:before="0"/>
      </w:pPr>
      <w:r>
        <w:rPr>
          <w:rFonts w:ascii="Calibri" w:cs="Calibri" w:eastAsia="Calibri" w:hAnsi="Calibri"/>
          <w:sz w:val="21"/>
          <w:szCs w:val="21"/>
        </w:rPr>
        <w:t xml:space="preserve">Because the plugin connects directly with the organization's own key, the organization has a direct contractual relationship with whichever provider(s) it enables -- and is responsible for that provider's own Art. 28 processor terms, not Cartogen AI. See Finding F4.</w:t>
      </w:r>
    </w:p>
    <w:p>
      <w:r>
        <w:br w:type="page"/>
      </w:r>
    </w:p>
    <w:p>
      <w:pPr>
        <w:pStyle w:val="Heading1"/>
        <w:spacing w:after="200" w:before="360"/>
      </w:pPr>
      <w:r>
        <w:rPr>
          <w:rFonts w:ascii="Calibri" w:cs="Calibri" w:eastAsia="Calibri" w:hAnsi="Calibri"/>
          <w:b/>
          <w:bCs/>
          <w:color w:val="1F3B57"/>
          <w:sz w:val="30"/>
          <w:szCs w:val="30"/>
        </w:rPr>
        <w:t xml:space="preserve">4. Data Inventory and Flow Map</w:t>
      </w:r>
    </w:p>
    <w:p>
      <w:pPr>
        <w:spacing w:after="160" w:before="0"/>
      </w:pPr>
      <w:r>
        <w:rPr>
          <w:rFonts w:ascii="Calibri" w:cs="Calibri" w:eastAsia="Calibri" w:hAnsi="Calibri"/>
          <w:sz w:val="21"/>
          <w:szCs w:val="21"/>
        </w:rPr>
        <w:t xml:space="preserve">Every place the plugin's own code reads, writes, or transmits data, based on direct inspection of chat_persistence.py, memory.py, auth.py, attachments.py, and the four provider clients.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200"/>
        <w:gridCol w:w="1600"/>
      </w:tblGrid>
      <w:tr>
        <w:trPr>
          <w:tblHeader/>
        </w:trPr>
        <w:tc>
          <w:tcPr>
            <w:tcW w:type="dxa" w:w="20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 element</w:t>
            </w:r>
          </w:p>
        </w:tc>
        <w:tc>
          <w:tcPr>
            <w:tcW w:type="dxa" w:w="26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Where it lives</w:t>
            </w:r>
          </w:p>
        </w:tc>
        <w:tc>
          <w:tcPr>
            <w:tcW w:type="dxa" w:w="20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Leaves the machine?</w:t>
            </w:r>
          </w:p>
        </w:tc>
        <w:tc>
          <w:tcPr>
            <w:tcW w:type="dxa" w:w="22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Opt-in / disclosed?</w:t>
            </w:r>
          </w:p>
        </w:tc>
        <w:tc>
          <w:tcPr>
            <w:tcW w:type="dxa" w:w="16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User erasable?</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Chat messages (this session)</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In-memory only, per session</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Yes -- to selected LLM provider</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N/A (core function)</w:t>
            </w:r>
          </w:p>
        </w:tc>
        <w:tc>
          <w:tcPr>
            <w:tcW w:type="dxa" w:w="1600"/>
            <w:tcMar>
              <w:top w:type="dxa" w:w="80"/>
              <w:left w:type="dxa" w:w="100"/>
              <w:bottom w:type="dxa" w:w="80"/>
              <w:right w:type="dxa" w:w="100"/>
            </w:tcMar>
            <w:vAlign w:val="center"/>
          </w:tcPr>
          <w:p>
            <w:pPr>
              <w:jc w:val="left"/>
            </w:pPr>
            <w:r>
              <w:rPr>
                <w:rFonts w:ascii="Calibri" w:cs="Calibri" w:eastAsia="Calibri" w:hAnsi="Calibri"/>
                <w:sz w:val="19"/>
                <w:szCs w:val="19"/>
              </w:rPr>
              <w:t xml:space="preserve">N/A (not persisted)</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Chat history</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QgsProject custom property, inside the .qgz file</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Only if re-sent in a later session</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Yes -- opt-in, default OFF, warned in code comments</w:t>
            </w:r>
          </w:p>
        </w:tc>
        <w:tc>
          <w:tcPr>
            <w:tcW w:type="dxa" w:w="1600"/>
            <w:tcMar>
              <w:top w:type="dxa" w:w="80"/>
              <w:left w:type="dxa" w:w="100"/>
              <w:bottom w:type="dxa" w:w="80"/>
              <w:right w:type="dxa" w:w="100"/>
            </w:tcMar>
            <w:vAlign w:val="center"/>
          </w:tcPr>
          <w:p>
            <w:pPr>
              <w:jc w:val="left"/>
            </w:pPr>
            <w:r>
              <w:rPr>
                <w:rFonts w:ascii="Calibri" w:cs="Calibri" w:eastAsia="Calibri" w:hAnsi="Calibri"/>
                <w:sz w:val="19"/>
                <w:szCs w:val="19"/>
              </w:rPr>
              <w:t xml:space="preserve">Yes -- toggle off; existing history not auto-purged</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Project-scoped memory notes</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Sidecar SQLite file + QgsProject custom property (inside .qgz)</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Only if referenced in later chat</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No -- always on, no setting found</w:t>
            </w:r>
          </w:p>
        </w:tc>
        <w:tc>
          <w:tcPr>
            <w:tcW w:type="dxa" w:w="1600"/>
            <w:tcMar>
              <w:top w:type="dxa" w:w="80"/>
              <w:left w:type="dxa" w:w="100"/>
              <w:bottom w:type="dxa" w:w="80"/>
              <w:right w:type="dxa" w:w="100"/>
            </w:tcMar>
            <w:vAlign w:val="center"/>
          </w:tcPr>
          <w:p>
            <w:pPr>
              <w:jc w:val="left"/>
            </w:pPr>
            <w:r>
              <w:rPr>
                <w:rFonts w:ascii="Calibri" w:cs="Calibri" w:eastAsia="Calibri" w:hAnsi="Calibri"/>
                <w:sz w:val="19"/>
                <w:szCs w:val="19"/>
              </w:rPr>
              <w:t xml:space="preserve">Yes -- "Clear Project Memory" button (forward-looking only)</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Global memory notes</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QgsSettings, machine-wide, all projects</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Only if referenced in later chat</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No -- always on, no setting found</w:t>
            </w:r>
          </w:p>
        </w:tc>
        <w:tc>
          <w:tcPr>
            <w:tcW w:type="dxa" w:w="1600"/>
            <w:tcMar>
              <w:top w:type="dxa" w:w="80"/>
              <w:left w:type="dxa" w:w="100"/>
              <w:bottom w:type="dxa" w:w="80"/>
              <w:right w:type="dxa" w:w="100"/>
            </w:tcMar>
            <w:vAlign w:val="center"/>
          </w:tcPr>
          <w:p>
            <w:pPr>
              <w:jc w:val="left"/>
            </w:pPr>
            <w:r>
              <w:rPr>
                <w:rFonts w:ascii="Calibri" w:cs="Calibri" w:eastAsia="Calibri" w:hAnsi="Calibri"/>
                <w:b/>
                <w:bCs/>
                <w:color w:val="B3261E"/>
                <w:sz w:val="19"/>
                <w:szCs w:val="19"/>
              </w:rPr>
              <w:t xml:space="preserve">No -- no deletion code path found anywhere</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Layer / attribute-table content</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QGIS project (not plugin-controlled)</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Yes -- when a tool call surfaces it to the model</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N/A (core function)</w:t>
            </w:r>
          </w:p>
        </w:tc>
        <w:tc>
          <w:tcPr>
            <w:tcW w:type="dxa" w:w="1600"/>
            <w:tcMar>
              <w:top w:type="dxa" w:w="80"/>
              <w:left w:type="dxa" w:w="100"/>
              <w:bottom w:type="dxa" w:w="80"/>
              <w:right w:type="dxa" w:w="100"/>
            </w:tcMar>
            <w:vAlign w:val="center"/>
          </w:tcPr>
          <w:p>
            <w:pPr>
              <w:jc w:val="left"/>
            </w:pPr>
            <w:r>
              <w:rPr>
                <w:rFonts w:ascii="Calibri" w:cs="Calibri" w:eastAsia="Calibri" w:hAnsi="Calibri"/>
                <w:sz w:val="19"/>
                <w:szCs w:val="19"/>
              </w:rPr>
              <w:t xml:space="preserve">N/A -- controlled by the org's own project data</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Provider API keys</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QgsAuthManager (encrypted) or QgsSettings (plaintext fallback, warned)</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Yes -- sent as auth header to that provider</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N/A (credential, not personal data of a subject)</w:t>
            </w:r>
          </w:p>
        </w:tc>
        <w:tc>
          <w:tcPr>
            <w:tcW w:type="dxa" w:w="1600"/>
            <w:tcMar>
              <w:top w:type="dxa" w:w="80"/>
              <w:left w:type="dxa" w:w="100"/>
              <w:bottom w:type="dxa" w:w="80"/>
              <w:right w:type="dxa" w:w="100"/>
            </w:tcMar>
            <w:vAlign w:val="center"/>
          </w:tcPr>
          <w:p>
            <w:pPr>
              <w:jc w:val="left"/>
            </w:pPr>
            <w:r>
              <w:rPr>
                <w:rFonts w:ascii="Calibri" w:cs="Calibri" w:eastAsia="Calibri" w:hAnsi="Calibri"/>
                <w:sz w:val="19"/>
                <w:szCs w:val="19"/>
              </w:rPr>
              <w:t xml:space="preserve">Yes -- re-enter/clear in Settings</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Attached files (PDF/Word/Excel/image)</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Read transiently, content passed to the model</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Yes -- file content reaches the LLM provider</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N/A (explicit user action per attach)</w:t>
            </w:r>
          </w:p>
        </w:tc>
        <w:tc>
          <w:tcPr>
            <w:tcW w:type="dxa" w:w="1600"/>
            <w:tcMar>
              <w:top w:type="dxa" w:w="80"/>
              <w:left w:type="dxa" w:w="100"/>
              <w:bottom w:type="dxa" w:w="80"/>
              <w:right w:type="dxa" w:w="100"/>
            </w:tcMar>
            <w:vAlign w:val="center"/>
          </w:tcPr>
          <w:p>
            <w:pPr>
              <w:jc w:val="left"/>
            </w:pPr>
            <w:r>
              <w:rPr>
                <w:rFonts w:ascii="Calibri" w:cs="Calibri" w:eastAsia="Calibri" w:hAnsi="Calibri"/>
                <w:sz w:val="19"/>
                <w:szCs w:val="19"/>
              </w:rPr>
              <w:t xml:space="preserve">N/A -- not persisted by the plugin</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Usage telemetry / analytics</w:t>
            </w:r>
          </w:p>
        </w:tc>
        <w:tc>
          <w:tcPr>
            <w:tcW w:type="dxa" w:w="2600"/>
            <w:tcMar>
              <w:top w:type="dxa" w:w="80"/>
              <w:left w:type="dxa" w:w="100"/>
              <w:bottom w:type="dxa" w:w="80"/>
              <w:right w:type="dxa" w:w="100"/>
            </w:tcMar>
            <w:vAlign w:val="center"/>
          </w:tcPr>
          <w:p>
            <w:pPr>
              <w:jc w:val="left"/>
            </w:pPr>
            <w:r>
              <w:rPr>
                <w:rFonts w:ascii="Calibri" w:cs="Calibri" w:eastAsia="Calibri" w:hAnsi="Calibri"/>
                <w:i/>
                <w:iCs/>
                <w:sz w:val="19"/>
                <w:szCs w:val="19"/>
              </w:rPr>
              <w:t xml:space="preserve">None found</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No</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N/A</w:t>
            </w:r>
          </w:p>
        </w:tc>
        <w:tc>
          <w:tcPr>
            <w:tcW w:type="dxa" w:w="1600"/>
            <w:tcMar>
              <w:top w:type="dxa" w:w="80"/>
              <w:left w:type="dxa" w:w="100"/>
              <w:bottom w:type="dxa" w:w="80"/>
              <w:right w:type="dxa" w:w="100"/>
            </w:tcMar>
            <w:vAlign w:val="center"/>
          </w:tcPr>
          <w:p>
            <w:pPr>
              <w:jc w:val="left"/>
            </w:pPr>
            <w:r>
              <w:rPr>
                <w:rFonts w:ascii="Calibri" w:cs="Calibri" w:eastAsia="Calibri" w:hAnsi="Calibri"/>
                <w:sz w:val="19"/>
                <w:szCs w:val="19"/>
              </w:rPr>
              <w:t xml:space="preserve">N/A</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Hosted-Account email / name / password</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Not stored -- held only in the dialog's fields for the session; sent to base_url over HTTPS</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Yes -- to the configured Cartogen-account service (agent/account.py)</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Yes -- opt-in (user chooses to register/sign in); in-app privacy notice added 2026-09-08</w:t>
            </w:r>
          </w:p>
        </w:tc>
        <w:tc>
          <w:tcPr>
            <w:tcW w:type="dxa" w:w="1600"/>
            <w:tcMar>
              <w:top w:type="dxa" w:w="80"/>
              <w:left w:type="dxa" w:w="100"/>
              <w:bottom w:type="dxa" w:w="80"/>
              <w:right w:type="dxa" w:w="100"/>
            </w:tcMar>
            <w:vAlign w:val="center"/>
          </w:tcPr>
          <w:p>
            <w:pPr>
              <w:jc w:val="left"/>
            </w:pPr>
            <w:r>
              <w:rPr>
                <w:rFonts w:ascii="Calibri" w:cs="Calibri" w:eastAsia="Calibri" w:hAnsi="Calibri"/>
                <w:sz w:val="19"/>
                <w:szCs w:val="19"/>
              </w:rPr>
              <w:t xml:space="preserve">N/A -- not persisted by the plugin</w:t>
            </w:r>
          </w:p>
        </w:tc>
      </w:tr>
      <w:tr>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Hosted-Account session token</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QgsAuthManager, encrypted (agent/auth.py); no plaintext fallback for this secret</w:t>
            </w:r>
          </w:p>
        </w:tc>
        <w:tc>
          <w:tcPr>
            <w:tcW w:type="dxa" w:w="2000"/>
            <w:tcMar>
              <w:top w:type="dxa" w:w="80"/>
              <w:left w:type="dxa" w:w="100"/>
              <w:bottom w:type="dxa" w:w="80"/>
              <w:right w:type="dxa" w:w="100"/>
            </w:tcMar>
            <w:vAlign w:val="center"/>
          </w:tcPr>
          <w:p>
            <w:pPr>
              <w:jc w:val="left"/>
            </w:pPr>
            <w:r>
              <w:rPr>
                <w:rFonts w:ascii="Calibri" w:cs="Calibri" w:eastAsia="Calibri" w:hAnsi="Calibri"/>
                <w:sz w:val="19"/>
                <w:szCs w:val="19"/>
              </w:rPr>
              <w:t xml:space="preserve">No (received on login, not sent onward)</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Yes -- created only after a successful login</w:t>
            </w:r>
          </w:p>
        </w:tc>
        <w:tc>
          <w:tcPr>
            <w:tcW w:type="dxa" w:w="1600"/>
            <w:tcMar>
              <w:top w:type="dxa" w:w="80"/>
              <w:left w:type="dxa" w:w="100"/>
              <w:bottom w:type="dxa" w:w="80"/>
              <w:right w:type="dxa" w:w="100"/>
            </w:tcMar>
            <w:vAlign w:val="center"/>
          </w:tcPr>
          <w:p>
            <w:pPr>
              <w:jc w:val="left"/>
            </w:pPr>
            <w:r>
              <w:rPr>
                <w:rFonts w:ascii="Calibri" w:cs="Calibri" w:eastAsia="Calibri" w:hAnsi="Calibri"/>
                <w:sz w:val="19"/>
                <w:szCs w:val="19"/>
              </w:rPr>
              <w:t xml:space="preserve">Yes -- "Sign out" clears it (CredentialManager.clear_account_session())</w:t>
            </w:r>
          </w:p>
        </w:tc>
      </w:tr>
    </w:tbl>
    <w:p>
      <w:pPr>
        <w:spacing w:after="160" w:before="200"/>
      </w:pPr>
      <w:r>
        <w:rPr>
          <w:rFonts w:ascii="Calibri" w:cs="Calibri" w:eastAsia="Calibri" w:hAnsi="Calibri"/>
          <w:sz w:val="21"/>
          <w:szCs w:val="21"/>
        </w:rPr>
        <w:t xml:space="preserve"/>
      </w:r>
    </w:p>
    <w:p>
      <w:pPr>
        <w:spacing w:after="160" w:before="0"/>
      </w:pPr>
      <w:r>
        <w:rPr>
          <w:rFonts w:ascii="Calibri" w:cs="Calibri" w:eastAsia="Calibri" w:hAnsi="Calibri"/>
          <w:b/>
          <w:bCs/>
          <w:sz w:val="21"/>
          <w:szCs w:val="21"/>
        </w:rPr>
        <w:t xml:space="preserve">Note on "leaves the machine": </w:t>
      </w:r>
      <w:r>
        <w:rPr>
          <w:rFonts w:ascii="Calibri" w:cs="Calibri" w:eastAsia="Calibri" w:hAnsi="Calibri"/>
          <w:sz w:val="21"/>
          <w:szCs w:val="21"/>
        </w:rPr>
        <w:t xml:space="preserve">when a cloud provider is selected, the request payload the agent builds includes the running conversation and whatever tool results the model has been given -- which can include attribute-table values, coordinates, and file-attachment content, not just what the user typed. There is no redaction or field-level filtering before that payload is sent (see Finding F6/F2).</w:t>
      </w:r>
    </w:p>
    <w:p>
      <w:r>
        <w:br w:type="page"/>
      </w:r>
    </w:p>
    <w:p>
      <w:pPr>
        <w:pStyle w:val="Heading1"/>
        <w:spacing w:after="200" w:before="360"/>
      </w:pPr>
      <w:r>
        <w:rPr>
          <w:rFonts w:ascii="Calibri" w:cs="Calibri" w:eastAsia="Calibri" w:hAnsi="Calibri"/>
          <w:b/>
          <w:bCs/>
          <w:color w:val="1F3B57"/>
          <w:sz w:val="30"/>
          <w:szCs w:val="30"/>
        </w:rPr>
        <w:t xml:space="preserve">5. Findings Summary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5200"/>
        <w:gridCol w:w="3000"/>
      </w:tblGrid>
      <w:tr>
        <w:trPr>
          <w:tblHeader/>
        </w:trPr>
        <w:tc>
          <w:tcPr>
            <w:tcW w:type="dxa" w:w="9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ID</w:t>
            </w:r>
          </w:p>
        </w:tc>
        <w:tc>
          <w:tcPr>
            <w:tcW w:type="dxa" w:w="13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Severity</w:t>
            </w:r>
          </w:p>
        </w:tc>
        <w:tc>
          <w:tcPr>
            <w:tcW w:type="dxa" w:w="52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Finding</w:t>
            </w:r>
          </w:p>
        </w:tc>
        <w:tc>
          <w:tcPr>
            <w:tcW w:type="dxa" w:w="30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Primary article(s)</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F1</w:t>
            </w:r>
          </w:p>
        </w:tc>
        <w:tc>
          <w:tcPr>
            <w:tcW w:type="dxa" w:w="1300"/>
            <w:shd w:fill="B3261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CRITICAL</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"Global memory" notes have no deletion path anywhere in the codebase -- write-only, machine-wide, indefinite retention.</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5(1)(e), Art. 17</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F2</w:t>
            </w:r>
          </w:p>
        </w:tc>
        <w:tc>
          <w:tcPr>
            <w:tcW w:type="dxa" w:w="1300"/>
            <w:shd w:fill="B15C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HIGH</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No privacy notice exists anywhere in the product (repo or in-app) describing what happens to data sent to a cloud LLM provider.</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12, 13, 14</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F3</w:t>
            </w:r>
          </w:p>
        </w:tc>
        <w:tc>
          <w:tcPr>
            <w:tcW w:type="dxa" w:w="1300"/>
            <w:shd w:fill="B15C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HIGH</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International transfer mechanism (SCCs / adequacy) is not documented or verified for any of the four cloud LLM providers.</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44-49</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F4</w:t>
            </w:r>
          </w:p>
        </w:tc>
        <w:tc>
          <w:tcPr>
            <w:tcW w:type="dxa" w:w="1300"/>
            <w:shd w:fill="B15C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HIGH</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No Data Processing Agreement / sub-processor visibility surfaced to the deploying organization for any provider.</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28</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F5</w:t>
            </w:r>
          </w:p>
        </w:tc>
        <w:tc>
          <w:tcPr>
            <w:tcW w:type="dxa" w:w="1300"/>
            <w:shd w:fill="B15C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HIGH</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Processing plausibly meets EDPB high-risk criteria (sensitive data, systematic incident/risk scoring, new technology, third-country transfer); no DPIA has been performed.</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35</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F6</w:t>
            </w:r>
          </w:p>
        </w:tc>
        <w:tc>
          <w:tcPr>
            <w:tcW w:type="dxa" w:w="1300"/>
            <w:shd w:fill="8A6D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MEDIUM</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Project-scoped memory is always-on with no user-facing disclosure, and is duplicated into a sidecar file that can be shared separately from the project.</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5(1)(c), Art. 25</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F7</w:t>
            </w:r>
          </w:p>
        </w:tc>
        <w:tc>
          <w:tcPr>
            <w:tcW w:type="dxa" w:w="1300"/>
            <w:shd w:fill="8A6D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MEDIUM</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No structured export (data portability) tool exists for chat history or memory notes.</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20</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F8</w:t>
            </w:r>
          </w:p>
        </w:tc>
        <w:tc>
          <w:tcPr>
            <w:tcW w:type="dxa" w:w="1300"/>
            <w:shd w:fill="8A6D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MEDIUM</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Right of access is only informally satisfiable (reading the memory panel / project file); no formal subject-access workflow.</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15</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F9</w:t>
            </w:r>
          </w:p>
        </w:tc>
        <w:tc>
          <w:tcPr>
            <w:tcW w:type="dxa" w:w="1300"/>
            <w:shd w:fill="8A6D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MEDIUM</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Erasure via in-app controls cannot reach copies already embedded in previously saved/shared .qgz files or sidecar databases.</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17</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F10</w:t>
            </w:r>
          </w:p>
        </w:tc>
        <w:tc>
          <w:tcPr>
            <w:tcW w:type="dxa" w:w="1300"/>
            <w:shd w:fill="1E6B3C"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LOW</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Plaintext credential-storage fallback is possible (though flagged to the user and tested) when QgsAuthManager is unavailable.</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32</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F11</w:t>
            </w:r>
          </w:p>
        </w:tc>
        <w:tc>
          <w:tcPr>
            <w:tcW w:type="dxa" w:w="1300"/>
            <w:shd w:fill="5B5B5B"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INFORMATIONAL</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Lawful basis and special-category-data justification are the deploying organization's responsibility, not something the plugin's code can establish.</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6, 9</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F12</w:t>
            </w:r>
          </w:p>
        </w:tc>
        <w:tc>
          <w:tcPr>
            <w:tcW w:type="dxa" w:w="1300"/>
            <w:shd w:fill="5B5B5B"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INFORMATIONAL</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Records of Processing (ROPA) is an organizational obligation, out of scope for the plugin itself.</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30</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F13</w:t>
            </w:r>
          </w:p>
        </w:tc>
        <w:tc>
          <w:tcPr>
            <w:tcW w:type="dxa" w:w="1300"/>
            <w:shd w:fill="5B5B5B"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POSITIVE</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Encrypted-by-default credential storage, SSRF guard, sandboxed script execution, and destructive-action confirmation gates are real, tested Art. 32 measures already in place.</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32</w:t>
            </w:r>
          </w:p>
        </w:tc>
      </w:tr>
      <w:tr>
        <w:tc>
          <w:tcPr>
            <w:tcW w:type="dxa" w:w="9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F14</w:t>
            </w:r>
          </w:p>
        </w:tc>
        <w:tc>
          <w:tcPr>
            <w:tcW w:type="dxa" w:w="1300"/>
            <w:shd w:fill="8A6D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MEDIUM</w:t>
            </w:r>
          </w:p>
        </w:tc>
        <w:tc>
          <w:tcPr>
            <w:tcW w:type="dxa" w:w="5200"/>
            <w:tcMar>
              <w:top w:type="dxa" w:w="80"/>
              <w:left w:type="dxa" w:w="100"/>
              <w:bottom w:type="dxa" w:w="80"/>
              <w:right w:type="dxa" w:w="100"/>
            </w:tcMar>
            <w:vAlign w:val="center"/>
          </w:tcPr>
          <w:p>
            <w:pPr>
              <w:jc w:val="left"/>
            </w:pPr>
            <w:r>
              <w:rPr>
                <w:rFonts w:ascii="Calibri" w:cs="Calibri" w:eastAsia="Calibri" w:hAnsi="Calibri"/>
                <w:sz w:val="19"/>
                <w:szCs w:val="19"/>
              </w:rPr>
              <w:t xml:space="preserve">Hosted-Account feature reviewed: privacy notice and HTTPS-only transport now in place; no self-service deletion/export or documented retention policy</w:t>
            </w:r>
          </w:p>
        </w:tc>
        <w:tc>
          <w:tcPr>
            <w:tcW w:type="dxa" w:w="3000"/>
            <w:tcMar>
              <w:top w:type="dxa" w:w="80"/>
              <w:left w:type="dxa" w:w="100"/>
              <w:bottom w:type="dxa" w:w="80"/>
              <w:right w:type="dxa" w:w="100"/>
            </w:tcMar>
            <w:vAlign w:val="center"/>
          </w:tcPr>
          <w:p>
            <w:pPr>
              <w:jc w:val="left"/>
            </w:pPr>
            <w:r>
              <w:rPr>
                <w:rFonts w:ascii="Calibri" w:cs="Calibri" w:eastAsia="Calibri" w:hAnsi="Calibri"/>
                <w:sz w:val="19"/>
                <w:szCs w:val="19"/>
              </w:rPr>
              <w:t xml:space="preserve">Art. 12-14, Art. 17, Art. 20</w:t>
            </w:r>
          </w:p>
        </w:tc>
      </w:tr>
    </w:tbl>
    <w:p>
      <w:r>
        <w:br w:type="page"/>
      </w:r>
    </w:p>
    <w:p>
      <w:pPr>
        <w:pStyle w:val="Heading1"/>
        <w:spacing w:after="200" w:before="360"/>
      </w:pPr>
      <w:r>
        <w:rPr>
          <w:rFonts w:ascii="Calibri" w:cs="Calibri" w:eastAsia="Calibri" w:hAnsi="Calibri"/>
          <w:b/>
          <w:bCs/>
          <w:color w:val="1F3B57"/>
          <w:sz w:val="30"/>
          <w:szCs w:val="30"/>
        </w:rPr>
        <w:t xml:space="preserve">6. Detailed Findings</w:t>
      </w:r>
    </w:p>
    <w:p>
      <w:pPr>
        <w:spacing w:after="100" w:before="280"/>
      </w:pPr>
      <w:r>
        <w:rPr>
          <w:rFonts w:ascii="Calibri" w:cs="Calibri" w:eastAsia="Calibri" w:hAnsi="Calibri"/>
          <w:b/>
          <w:bCs/>
          <w:color w:val="1F3B57"/>
          <w:sz w:val="23"/>
          <w:szCs w:val="23"/>
        </w:rPr>
        <w:t xml:space="preserve">F1  </w:t>
      </w:r>
      <w:r>
        <w:rPr>
          <w:rFonts w:ascii="Calibri" w:cs="Calibri" w:eastAsia="Calibri" w:hAnsi="Calibri"/>
          <w:b/>
          <w:bCs/>
          <w:color w:val="1A1A1A"/>
          <w:sz w:val="23"/>
          <w:szCs w:val="23"/>
        </w:rPr>
        <w:t xml:space="preserve">Global memory notes cannot be deleted</w:t>
      </w:r>
      <w:r>
        <w:t xml:space="preserve">   </w:t>
      </w:r>
      <w:r>
        <w:rPr>
          <w:rFonts w:ascii="Calibri" w:cs="Calibri" w:eastAsia="Calibri" w:hAnsi="Calibri"/>
          <w:b/>
          <w:bCs/>
          <w:color w:val="FFFFFF"/>
          <w:sz w:val="19"/>
          <w:szCs w:val="19"/>
          <w:shd w:fill="B3261E" w:val="clear"/>
        </w:rPr>
        <w:t xml:space="preserve">  CRITICAL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SpatialMemoryManager.store_global_note() writes agent-generated notes into QgsSettings under the key cartogen_ai/global_memory. This is instantiated unconditionally in Agent.__init__ (self.memory_manager = SpatialMemoryManager()) -- there is no setting to disable it, and no user action is required for the agent to start writing to it.</w:t>
      </w:r>
    </w:p>
    <w:p>
      <w:pPr>
        <w:spacing w:after="120"/>
      </w:pPr>
      <w:r>
        <w:rPr>
          <w:rFonts w:ascii="Calibri" w:cs="Calibri" w:eastAsia="Calibri" w:hAnsi="Calibri"/>
          <w:b/>
          <w:bCs/>
          <w:sz w:val="21"/>
          <w:szCs w:val="21"/>
        </w:rPr>
        <w:t xml:space="preserve">Why it matters: </w:t>
      </w:r>
      <w:r>
        <w:rPr>
          <w:rFonts w:ascii="Calibri" w:cs="Calibri" w:eastAsia="Calibri" w:hAnsi="Calibri"/>
          <w:sz w:val="21"/>
          <w:szCs w:val="21"/>
        </w:rPr>
        <w:t xml:space="preserve">Once a note is written, it persists on that machine indefinitely, across every future QGIS project and session, until QgsSettings itself is manually cleared outside the plugin. A full read of memory.py's SpatialMemoryManager class turns up store_global_note() and get_global_notes(), and no counterpart clear_global_notes(), clear_all(), or delete method of any kind. A repository-wide search for "clear_global" and "global_notes" confirms the deletion path simply does not exist in code. The Tasks &amp; Notes panel's "Clear Project Memory" button (tasks_tab_widget.py) calls only clear_project_notes() -- it does not touch global notes, even though get_formatted_memory_context() displays both in the same panel.</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If a global note ever captures personal or special-category data (plausible in this domain -- an agent asked to "remember" a recurring project preference could just as easily be asked to remember a fact about a location or population), there is no way to fulfil an Art. 17 erasure request for it from inside the product, and no storage-limitation control (Art. 5(1)(e)) at all -- it is retained forever by default.</w:t>
      </w:r>
    </w:p>
    <w:p>
      <w:pPr>
        <w:spacing w:after="160"/>
      </w:pPr>
      <w:r>
        <w:rPr>
          <w:rFonts w:ascii="Calibri" w:cs="Calibri" w:eastAsia="Calibri" w:hAnsi="Calibri"/>
          <w:b/>
          <w:bCs/>
          <w:color w:val="444444"/>
          <w:sz w:val="20"/>
          <w:szCs w:val="20"/>
        </w:rPr>
        <w:t xml:space="preserve">Evidence: </w:t>
      </w:r>
      <w:r>
        <w:rPr>
          <w:rFonts w:ascii="Consolas" w:cs="Consolas" w:eastAsia="Consolas" w:hAnsi="Consolas"/>
          <w:color w:val="5B2AA3"/>
          <w:sz w:val="19"/>
          <w:szCs w:val="19"/>
        </w:rPr>
        <w:t xml:space="preserve">src/cartogen_ai/core/agent/memory.py:152-177 (store_global_note / get_global_notes)  |  src/cartogen_ai/core/agent/agent.py:218 (unconditional instantiation)  |  src/cartogen_ai/core/ui/tasks_tab_widget.py:465-478 (Clear button, project-scope only)</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Add a clear_global_notes() method and wire a "Clear Global Memory" control next to the existing project-memory button; consider whether global memory should default to off, matching chat history's existing opt-in pattern, given it is the most persistent of the three storage mechanisms.</w:t>
      </w:r>
    </w:p>
    <w:p>
      <w:pPr>
        <w:spacing w:after="100" w:before="280"/>
      </w:pPr>
      <w:r>
        <w:rPr>
          <w:rFonts w:ascii="Calibri" w:cs="Calibri" w:eastAsia="Calibri" w:hAnsi="Calibri"/>
          <w:b/>
          <w:bCs/>
          <w:color w:val="1F3B57"/>
          <w:sz w:val="23"/>
          <w:szCs w:val="23"/>
        </w:rPr>
        <w:t xml:space="preserve">F2  </w:t>
      </w:r>
      <w:r>
        <w:rPr>
          <w:rFonts w:ascii="Calibri" w:cs="Calibri" w:eastAsia="Calibri" w:hAnsi="Calibri"/>
          <w:b/>
          <w:bCs/>
          <w:color w:val="1A1A1A"/>
          <w:sz w:val="23"/>
          <w:szCs w:val="23"/>
        </w:rPr>
        <w:t xml:space="preserve">No privacy notice anywhere in the product</w:t>
      </w:r>
      <w:r>
        <w:t xml:space="preserve">   </w:t>
      </w:r>
      <w:r>
        <w:rPr>
          <w:rFonts w:ascii="Calibri" w:cs="Calibri" w:eastAsia="Calibri" w:hAnsi="Calibri"/>
          <w:b/>
          <w:bCs/>
          <w:color w:val="FFFFFF"/>
          <w:sz w:val="19"/>
          <w:szCs w:val="19"/>
          <w:shd w:fill="B15C00" w:val="clear"/>
        </w:rPr>
        <w:t xml:space="preserve">  HIGH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A repository-wide filename search for "privacy" returns no results. USER_GUIDE.md and the in-app Help tab describe how to add a provider and paste a key, but not what happens to the data sent once a key is added. SECURITY.md's new Data Protection section (added 2026-08-31) is developer/repo-facing, not something an end user sees inside the plugin.</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Articles 12-14 require the controller to give data subjects (and, as a matter of good practice, the staff acting on their behalf) clear information about processing. While the primary transparency obligation sits with the deploying organization toward its beneficiaries, the organization's own staff -- the plugin's direct users -- currently get no in-product signal of which provider each processing action goes to, making it harder for the organization to build its own downstream notice accurately.</w:t>
      </w:r>
    </w:p>
    <w:p>
      <w:pPr>
        <w:spacing w:after="160"/>
      </w:pPr>
      <w:r>
        <w:rPr>
          <w:rFonts w:ascii="Calibri" w:cs="Calibri" w:eastAsia="Calibri" w:hAnsi="Calibri"/>
          <w:b/>
          <w:bCs/>
          <w:color w:val="444444"/>
          <w:sz w:val="20"/>
          <w:szCs w:val="20"/>
        </w:rPr>
        <w:t xml:space="preserve">Evidence: </w:t>
      </w:r>
      <w:r>
        <w:rPr>
          <w:rFonts w:ascii="Consolas" w:cs="Consolas" w:eastAsia="Consolas" w:hAnsi="Consolas"/>
          <w:color w:val="5B2AA3"/>
          <w:sz w:val="19"/>
          <w:szCs w:val="19"/>
        </w:rPr>
        <w:t xml:space="preserve">repo-wide search for *privacy* -- zero matches  |  docs/USER_GUIDE.md (provider setup section, no data-use disclosure)</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A short, static in-app notice -- in the Settings dialog next to the provider dropdown, and a paragraph in USER_GUIDE.md -- stating plainly what data reaches the selected provider and that Ollama is the zero-transfer option. This is a small addition; a draft is offered in Section 7.</w:t>
      </w:r>
    </w:p>
    <w:p>
      <w:pPr>
        <w:spacing w:after="100" w:before="280"/>
      </w:pPr>
      <w:r>
        <w:rPr>
          <w:rFonts w:ascii="Calibri" w:cs="Calibri" w:eastAsia="Calibri" w:hAnsi="Calibri"/>
          <w:b/>
          <w:bCs/>
          <w:color w:val="1F3B57"/>
          <w:sz w:val="23"/>
          <w:szCs w:val="23"/>
        </w:rPr>
        <w:t xml:space="preserve">F3  </w:t>
      </w:r>
      <w:r>
        <w:rPr>
          <w:rFonts w:ascii="Calibri" w:cs="Calibri" w:eastAsia="Calibri" w:hAnsi="Calibri"/>
          <w:b/>
          <w:bCs/>
          <w:color w:val="1A1A1A"/>
          <w:sz w:val="23"/>
          <w:szCs w:val="23"/>
        </w:rPr>
        <w:t xml:space="preserve">International transfer mechanism undocumented</w:t>
      </w:r>
      <w:r>
        <w:t xml:space="preserve">   </w:t>
      </w:r>
      <w:r>
        <w:rPr>
          <w:rFonts w:ascii="Calibri" w:cs="Calibri" w:eastAsia="Calibri" w:hAnsi="Calibri"/>
          <w:b/>
          <w:bCs/>
          <w:color w:val="FFFFFF"/>
          <w:sz w:val="19"/>
          <w:szCs w:val="19"/>
          <w:shd w:fill="B15C00" w:val="clear"/>
        </w:rPr>
        <w:t xml:space="preserve">  HIGH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OpenRouter, Google (Gemini), OpenAI, and Anthropic are all US-headquartered; OpenRouter additionally routes to a variable set of upstream model providers depending on the model selected. Nothing in this repository documents which transfer mechanism (an EU-US Data Privacy Framework certification, or Standard Contractual Clauses) applies to each, or confirms it is current.</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Chapter V (Art. 44-49) requires a valid transfer mechanism for any personal data leaving the EEA. This is a fast-moving area -- DPF certification status and SCC terms change -- so it needs verification against each provider's current published position, not a one-time check.</w:t>
      </w:r>
    </w:p>
    <w:p>
      <w:pPr>
        <w:spacing w:after="160"/>
      </w:pPr>
      <w:r>
        <w:rPr>
          <w:rFonts w:ascii="Calibri" w:cs="Calibri" w:eastAsia="Calibri" w:hAnsi="Calibri"/>
          <w:b/>
          <w:bCs/>
          <w:color w:val="444444"/>
          <w:sz w:val="20"/>
          <w:szCs w:val="20"/>
        </w:rPr>
        <w:t xml:space="preserve">Evidence: </w:t>
      </w:r>
      <w:r>
        <w:rPr>
          <w:rFonts w:ascii="Consolas" w:cs="Consolas" w:eastAsia="Consolas" w:hAnsi="Consolas"/>
          <w:color w:val="5B2AA3"/>
          <w:sz w:val="19"/>
          <w:szCs w:val="19"/>
        </w:rPr>
        <w:t xml:space="preserve">src/cartogen_ai/core/agent/providers/{openrouter,gemini,openai,claude}.py -- base_url constants confirm all four are external, non-EU-controlled endpoints</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For each enabled provider, record (in an organizational register, not necessarily in this codebase) the current transfer mechanism and re-check it periodically -- provider DPF status is not static.</w:t>
      </w:r>
    </w:p>
    <w:p>
      <w:pPr>
        <w:spacing w:after="100" w:before="280"/>
      </w:pPr>
      <w:r>
        <w:rPr>
          <w:rFonts w:ascii="Calibri" w:cs="Calibri" w:eastAsia="Calibri" w:hAnsi="Calibri"/>
          <w:b/>
          <w:bCs/>
          <w:color w:val="1F3B57"/>
          <w:sz w:val="23"/>
          <w:szCs w:val="23"/>
        </w:rPr>
        <w:t xml:space="preserve">F4  </w:t>
      </w:r>
      <w:r>
        <w:rPr>
          <w:rFonts w:ascii="Calibri" w:cs="Calibri" w:eastAsia="Calibri" w:hAnsi="Calibri"/>
          <w:b/>
          <w:bCs/>
          <w:color w:val="1A1A1A"/>
          <w:sz w:val="23"/>
          <w:szCs w:val="23"/>
        </w:rPr>
        <w:t xml:space="preserve">No Data Processing Agreement visibility</w:t>
      </w:r>
      <w:r>
        <w:t xml:space="preserve">   </w:t>
      </w:r>
      <w:r>
        <w:rPr>
          <w:rFonts w:ascii="Calibri" w:cs="Calibri" w:eastAsia="Calibri" w:hAnsi="Calibri"/>
          <w:b/>
          <w:bCs/>
          <w:color w:val="FFFFFF"/>
          <w:sz w:val="19"/>
          <w:szCs w:val="19"/>
          <w:shd w:fill="B15C00" w:val="clear"/>
        </w:rPr>
        <w:t xml:space="preserve">  HIGH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The plugin links each provider's "get an API key" page (added this session, per Finding #14 of the earlier UX audit) but not its DPA, sub-processor list, or data-retention terms.</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Art. 28 requires a controller to have a written agreement with each processor. Since the organization -- not Cartogen AI -- signs up directly with each provider, the organization needs to locate and execute (or accept) that provider's DPA itself; today nothing in the product points them to it.</w:t>
      </w:r>
    </w:p>
    <w:p>
      <w:pPr>
        <w:spacing w:after="160"/>
      </w:pPr>
      <w:r>
        <w:rPr>
          <w:rFonts w:ascii="Calibri" w:cs="Calibri" w:eastAsia="Calibri" w:hAnsi="Calibri"/>
          <w:b/>
          <w:bCs/>
          <w:color w:val="444444"/>
          <w:sz w:val="20"/>
          <w:szCs w:val="20"/>
        </w:rPr>
        <w:t xml:space="preserve">Evidence: </w:t>
      </w:r>
      <w:r>
        <w:rPr>
          <w:rFonts w:ascii="Consolas" w:cs="Consolas" w:eastAsia="Consolas" w:hAnsi="Consolas"/>
          <w:color w:val="5B2AA3"/>
          <w:sz w:val="19"/>
          <w:szCs w:val="19"/>
        </w:rPr>
        <w:t xml:space="preserve">src/cartogen_ai/core/ui/settings_dialog.py PROVIDERS list -- key_help_url present, no DPA/subprocessor link field</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Add a dpa_url (or equivalent) field alongside each provider's existing key_help_url, surfaced the same way, so the step is not left to the organization to discover unprompted.</w:t>
      </w:r>
    </w:p>
    <w:p>
      <w:pPr>
        <w:spacing w:after="100" w:before="280"/>
      </w:pPr>
      <w:r>
        <w:rPr>
          <w:rFonts w:ascii="Calibri" w:cs="Calibri" w:eastAsia="Calibri" w:hAnsi="Calibri"/>
          <w:b/>
          <w:bCs/>
          <w:color w:val="1F3B57"/>
          <w:sz w:val="23"/>
          <w:szCs w:val="23"/>
        </w:rPr>
        <w:t xml:space="preserve">F5  </w:t>
      </w:r>
      <w:r>
        <w:rPr>
          <w:rFonts w:ascii="Calibri" w:cs="Calibri" w:eastAsia="Calibri" w:hAnsi="Calibri"/>
          <w:b/>
          <w:bCs/>
          <w:color w:val="1A1A1A"/>
          <w:sz w:val="23"/>
          <w:szCs w:val="23"/>
        </w:rPr>
        <w:t xml:space="preserve">DPIA likely required, not performed</w:t>
      </w:r>
      <w:r>
        <w:t xml:space="preserve">   </w:t>
      </w:r>
      <w:r>
        <w:rPr>
          <w:rFonts w:ascii="Calibri" w:cs="Calibri" w:eastAsia="Calibri" w:hAnsi="Calibri"/>
          <w:b/>
          <w:bCs/>
          <w:color w:val="FFFFFF"/>
          <w:sz w:val="19"/>
          <w:szCs w:val="19"/>
          <w:shd w:fill="B15C00" w:val="clear"/>
        </w:rPr>
        <w:t xml:space="preserve">  HIGH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No Data Protection Impact Assessment exists in this repository or, so far as this code review can determine, anywhere in the project's documentation.</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Art. 35(1) requires a DPIA where processing is "likely to result in a high risk." The EDPB's WP248 criteria include several that plausibly apply here depending on deployment: special-category or highly sensitive data (security-incident, protection, and vulnerability indicators are core to several of the plugin's own tools -- analyze_incident_trend, score_route_incident_risk, calculate_damage_exposure_severity), systematic monitoring, use of new/innovative technology (an LLM agent with tool-calling access to project data), and, depending on beneficiary counts, large scale. Meeting two or more of these criteria is the EDPB's own rule of thumb for "likely high risk." This is a judgment call for the organization's DPO to make formally -- this review is not a substitute for that determination -- but the preconditions for needing one are visibly present in how the tool is built and used.</w:t>
      </w:r>
    </w:p>
    <w:p>
      <w:pPr>
        <w:spacing w:after="160"/>
      </w:pPr>
      <w:r>
        <w:rPr>
          <w:rFonts w:ascii="Calibri" w:cs="Calibri" w:eastAsia="Calibri" w:hAnsi="Calibri"/>
          <w:b/>
          <w:bCs/>
          <w:color w:val="444444"/>
          <w:sz w:val="20"/>
          <w:szCs w:val="20"/>
        </w:rPr>
        <w:t xml:space="preserve">Evidence: </w:t>
      </w:r>
      <w:r>
        <w:rPr>
          <w:rFonts w:ascii="Consolas" w:cs="Consolas" w:eastAsia="Consolas" w:hAnsi="Consolas"/>
          <w:color w:val="5B2AA3"/>
          <w:sz w:val="19"/>
          <w:szCs w:val="19"/>
        </w:rPr>
        <w:t xml:space="preserve">docs/TOOLS_REFERENCE.md -- analyze_incident_trend, score_route_incident_risk, calculate_damage_exposure_severity, calculate_population_in_need tool descriptions</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The organization's DPO should formally assess DPIA necessity before deploying against real beneficiary data, using this review's data inventory (Section 4) as a starting input.</w:t>
      </w:r>
    </w:p>
    <w:p>
      <w:pPr>
        <w:spacing w:after="100" w:before="280"/>
      </w:pPr>
      <w:r>
        <w:rPr>
          <w:rFonts w:ascii="Calibri" w:cs="Calibri" w:eastAsia="Calibri" w:hAnsi="Calibri"/>
          <w:b/>
          <w:bCs/>
          <w:color w:val="1F3B57"/>
          <w:sz w:val="23"/>
          <w:szCs w:val="23"/>
        </w:rPr>
        <w:t xml:space="preserve">F6  </w:t>
      </w:r>
      <w:r>
        <w:rPr>
          <w:rFonts w:ascii="Calibri" w:cs="Calibri" w:eastAsia="Calibri" w:hAnsi="Calibri"/>
          <w:b/>
          <w:bCs/>
          <w:color w:val="1A1A1A"/>
          <w:sz w:val="23"/>
          <w:szCs w:val="23"/>
        </w:rPr>
        <w:t xml:space="preserve">Project memory: always-on, undisclosed, duplicated to a shareable sidecar file</w:t>
      </w:r>
      <w:r>
        <w:t xml:space="preserve">   </w:t>
      </w:r>
      <w:r>
        <w:rPr>
          <w:rFonts w:ascii="Calibri" w:cs="Calibri" w:eastAsia="Calibri" w:hAnsi="Calibri"/>
          <w:b/>
          <w:bCs/>
          <w:color w:val="FFFFFF"/>
          <w:sz w:val="19"/>
          <w:szCs w:val="19"/>
          <w:shd w:fill="8A6D00" w:val="clear"/>
        </w:rPr>
        <w:t xml:space="preserve">  MEDIUM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Unlike chat history (opt-in, default off, with an explicit code comment warning that a shared .qgz file can carry sensitive content), project-scoped memory notes are written unconditionally, to three places at once: an in-memory cache, a sidecar SQLite file named &lt;project&gt;_spatial_memory.sqlite that sits next to the .qgz file on disk, and a QgsProject custom property embedded inside the .qgz file itself.</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Data minimization and privacy-by-default (Art. 5(1)(c), Art. 25) favour making persistence opt-in and disclosed, matching the pattern already used for chat history. The sidecar file is a particular risk: a user who shares only the .qgz (e.g. by email) still shares the notes embedded in it; a user who copies the whole project folder additionally shares the separate .sqlite file, likely without realizing it is a second copy of the same data.</w:t>
      </w:r>
    </w:p>
    <w:p>
      <w:pPr>
        <w:spacing w:after="160"/>
      </w:pPr>
      <w:r>
        <w:rPr>
          <w:rFonts w:ascii="Calibri" w:cs="Calibri" w:eastAsia="Calibri" w:hAnsi="Calibri"/>
          <w:b/>
          <w:bCs/>
          <w:color w:val="444444"/>
          <w:sz w:val="20"/>
          <w:szCs w:val="20"/>
        </w:rPr>
        <w:t xml:space="preserve">Evidence: </w:t>
      </w:r>
      <w:r>
        <w:rPr>
          <w:rFonts w:ascii="Consolas" w:cs="Consolas" w:eastAsia="Consolas" w:hAnsi="Consolas"/>
          <w:color w:val="5B2AA3"/>
          <w:sz w:val="19"/>
          <w:szCs w:val="19"/>
        </w:rPr>
        <w:t xml:space="preserve">src/cartogen_ai/core/agent/memory.py:75-101 (store_project_note -- three write targets)  |  src/cartogen_ai/core/agent/chat_persistence.py:22-25 (the opt-in pattern this does not follow)</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Extend the existing "Save chat history in project file" opt-in pattern to project memory, or at minimum add the same explicit warning chat_persistence.py already carries in its own code comment, surfaced to the user.</w:t>
      </w:r>
    </w:p>
    <w:p>
      <w:pPr>
        <w:spacing w:after="100" w:before="280"/>
      </w:pPr>
      <w:r>
        <w:rPr>
          <w:rFonts w:ascii="Calibri" w:cs="Calibri" w:eastAsia="Calibri" w:hAnsi="Calibri"/>
          <w:b/>
          <w:bCs/>
          <w:color w:val="1F3B57"/>
          <w:sz w:val="23"/>
          <w:szCs w:val="23"/>
        </w:rPr>
        <w:t xml:space="preserve">F7  </w:t>
      </w:r>
      <w:r>
        <w:rPr>
          <w:rFonts w:ascii="Calibri" w:cs="Calibri" w:eastAsia="Calibri" w:hAnsi="Calibri"/>
          <w:b/>
          <w:bCs/>
          <w:color w:val="1A1A1A"/>
          <w:sz w:val="23"/>
          <w:szCs w:val="23"/>
        </w:rPr>
        <w:t xml:space="preserve">No structured data export (portability)</w:t>
      </w:r>
      <w:r>
        <w:t xml:space="preserve">   </w:t>
      </w:r>
      <w:r>
        <w:rPr>
          <w:rFonts w:ascii="Calibri" w:cs="Calibri" w:eastAsia="Calibri" w:hAnsi="Calibri"/>
          <w:b/>
          <w:bCs/>
          <w:color w:val="FFFFFF"/>
          <w:sz w:val="19"/>
          <w:szCs w:val="19"/>
          <w:shd w:fill="8A6D00" w:val="clear"/>
        </w:rPr>
        <w:t xml:space="preserve">  MEDIUM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export_tools.py exports map layers and generated outputs, not chat history or memory notes. A user (or the organization, on a data subject's behalf) can read memory content in the Tasks &amp; Notes panel but cannot export it as a structured file.</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Art. 20 gives data subjects a right to receive their data in a structured, commonly used, machine-readable format. This is a minor gap relative to F1-F5 since chat/memory content is JSON-serializable already (both chat_persistence.py and memory.py store it as JSON internally).</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A simple "Export chat &amp; memory as JSON" action would close this cheaply, reusing the existing JSON serialization already used for storage.</w:t>
      </w:r>
    </w:p>
    <w:p>
      <w:pPr>
        <w:spacing w:after="100" w:before="280"/>
      </w:pPr>
      <w:r>
        <w:rPr>
          <w:rFonts w:ascii="Calibri" w:cs="Calibri" w:eastAsia="Calibri" w:hAnsi="Calibri"/>
          <w:b/>
          <w:bCs/>
          <w:color w:val="1F3B57"/>
          <w:sz w:val="23"/>
          <w:szCs w:val="23"/>
        </w:rPr>
        <w:t xml:space="preserve">F8  </w:t>
      </w:r>
      <w:r>
        <w:rPr>
          <w:rFonts w:ascii="Calibri" w:cs="Calibri" w:eastAsia="Calibri" w:hAnsi="Calibri"/>
          <w:b/>
          <w:bCs/>
          <w:color w:val="1A1A1A"/>
          <w:sz w:val="23"/>
          <w:szCs w:val="23"/>
        </w:rPr>
        <w:t xml:space="preserve">Right of access is informal, not a workflow</w:t>
      </w:r>
      <w:r>
        <w:t xml:space="preserve">   </w:t>
      </w:r>
      <w:r>
        <w:rPr>
          <w:rFonts w:ascii="Calibri" w:cs="Calibri" w:eastAsia="Calibri" w:hAnsi="Calibri"/>
          <w:b/>
          <w:bCs/>
          <w:color w:val="FFFFFF"/>
          <w:sz w:val="19"/>
          <w:szCs w:val="19"/>
          <w:shd w:fill="8A6D00" w:val="clear"/>
        </w:rPr>
        <w:t xml:space="preserve">  MEDIUM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Project and global memory are both visible in the Tasks &amp; Notes panel's memory browser, and chat history is visible in the Chat tab -- so access is technically possible today. There is no formal "show me everything Cartogen AI has stored" view that consolidates all three storage locations (project memory, global memory, chat history) in one place.</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Art. 15 access requests are the organization's obligation to fulfil; the plugin does not need to build a subject-access-request workflow itself, but a single consolidated view would materially reduce the organization's effort to answer "what does this tool know" for any given project or machine.</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Low priority relative to F1-F5; worth doing alongside the F7 export feature since both touch the same three data sources.</w:t>
      </w:r>
    </w:p>
    <w:p>
      <w:pPr>
        <w:spacing w:after="100" w:before="280"/>
      </w:pPr>
      <w:r>
        <w:rPr>
          <w:rFonts w:ascii="Calibri" w:cs="Calibri" w:eastAsia="Calibri" w:hAnsi="Calibri"/>
          <w:b/>
          <w:bCs/>
          <w:color w:val="1F3B57"/>
          <w:sz w:val="23"/>
          <w:szCs w:val="23"/>
        </w:rPr>
        <w:t xml:space="preserve">F9  </w:t>
      </w:r>
      <w:r>
        <w:rPr>
          <w:rFonts w:ascii="Calibri" w:cs="Calibri" w:eastAsia="Calibri" w:hAnsi="Calibri"/>
          <w:b/>
          <w:bCs/>
          <w:color w:val="1A1A1A"/>
          <w:sz w:val="23"/>
          <w:szCs w:val="23"/>
        </w:rPr>
        <w:t xml:space="preserve">Erasure cannot reach previously distributed copies</w:t>
      </w:r>
      <w:r>
        <w:t xml:space="preserve">   </w:t>
      </w:r>
      <w:r>
        <w:rPr>
          <w:rFonts w:ascii="Calibri" w:cs="Calibri" w:eastAsia="Calibri" w:hAnsi="Calibri"/>
          <w:b/>
          <w:bCs/>
          <w:color w:val="FFFFFF"/>
          <w:sz w:val="19"/>
          <w:szCs w:val="19"/>
          <w:shd w:fill="8A6D00" w:val="clear"/>
        </w:rPr>
        <w:t xml:space="preserve">  MEDIUM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"Clear Project Memory" and the chat-history opt-out both act on the live project state going forward. Neither can reach a copy of the .qgz file (or the sidecar .sqlite) already saved, emailed, or committed to version control before the clear action was taken.</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This is an inherent property of local-file architecture, not a code defect to fix -- but it is a genuine practical limit on Art. 17 fulfilment that the organization needs to know about (e.g. when responding to an erasure request, it must also account for any distributed copies of the project file, not just the live one).</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Document this limitation explicitly (in USER_GUIDE.md or SECURITY.md) so the organization's erasure process accounts for file-distribution history, not just the live project.</w:t>
      </w:r>
    </w:p>
    <w:p>
      <w:pPr>
        <w:spacing w:after="100" w:before="280"/>
      </w:pPr>
      <w:r>
        <w:rPr>
          <w:rFonts w:ascii="Calibri" w:cs="Calibri" w:eastAsia="Calibri" w:hAnsi="Calibri"/>
          <w:b/>
          <w:bCs/>
          <w:color w:val="1F3B57"/>
          <w:sz w:val="23"/>
          <w:szCs w:val="23"/>
        </w:rPr>
        <w:t xml:space="preserve">F10  </w:t>
      </w:r>
      <w:r>
        <w:rPr>
          <w:rFonts w:ascii="Calibri" w:cs="Calibri" w:eastAsia="Calibri" w:hAnsi="Calibri"/>
          <w:b/>
          <w:bCs/>
          <w:color w:val="1A1A1A"/>
          <w:sz w:val="23"/>
          <w:szCs w:val="23"/>
        </w:rPr>
        <w:t xml:space="preserve">Plaintext credential-storage fallback</w:t>
      </w:r>
      <w:r>
        <w:t xml:space="preserve">   </w:t>
      </w:r>
      <w:r>
        <w:rPr>
          <w:rFonts w:ascii="Calibri" w:cs="Calibri" w:eastAsia="Calibri" w:hAnsi="Calibri"/>
          <w:b/>
          <w:bCs/>
          <w:color w:val="FFFFFF"/>
          <w:sz w:val="19"/>
          <w:szCs w:val="19"/>
          <w:shd w:fill="1E6B3C" w:val="clear"/>
        </w:rPr>
        <w:t xml:space="preserve">  LOW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auth.py falls back to plaintext QgsSettings storage for API keys when QgsAuthManager is disabled or unavailable, and flags this to the user via used_plaintext_fallback() (already tested: test_auth_and_deps.py's A4 test).</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API keys are the organization's credential, not a data subject's personal data, so this is an Art. 32 security hygiene item rather than a personal-data risk directly -- included for completeness since a leaked key is how a third party could access whatever data later flows through it.</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Already mitigated to a reasonable standard (explicit warning, tested); no further action needed beyond what SECURITY.md §4 already documents.</w:t>
      </w:r>
    </w:p>
    <w:p>
      <w:pPr>
        <w:spacing w:after="100" w:before="280"/>
      </w:pPr>
      <w:r>
        <w:rPr>
          <w:rFonts w:ascii="Calibri" w:cs="Calibri" w:eastAsia="Calibri" w:hAnsi="Calibri"/>
          <w:b/>
          <w:bCs/>
          <w:color w:val="1F3B57"/>
          <w:sz w:val="23"/>
          <w:szCs w:val="23"/>
        </w:rPr>
        <w:t xml:space="preserve">F11  </w:t>
      </w:r>
      <w:r>
        <w:rPr>
          <w:rFonts w:ascii="Calibri" w:cs="Calibri" w:eastAsia="Calibri" w:hAnsi="Calibri"/>
          <w:b/>
          <w:bCs/>
          <w:color w:val="1A1A1A"/>
          <w:sz w:val="23"/>
          <w:szCs w:val="23"/>
        </w:rPr>
        <w:t xml:space="preserve">Lawful basis and special-category justification are organizational, not code, questions</w:t>
      </w:r>
      <w:r>
        <w:t xml:space="preserve">   </w:t>
      </w:r>
      <w:r>
        <w:rPr>
          <w:rFonts w:ascii="Calibri" w:cs="Calibri" w:eastAsia="Calibri" w:hAnsi="Calibri"/>
          <w:b/>
          <w:bCs/>
          <w:color w:val="FFFFFF"/>
          <w:sz w:val="19"/>
          <w:szCs w:val="19"/>
          <w:shd w:fill="5B5B5B" w:val="clear"/>
        </w:rPr>
        <w:t xml:space="preserve">  INFORMATIONAL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The plugin does not collect data directly from data subjects -- it processes data the organization already holds. Art. 6 lawful basis and, where JIAF/CVA/protection-related tools are used, Art. 9 special-category justification (commonly Art. 9(2)(c) vital interests or Art. 9(2)(g) substantial public interest in humanitarian emergencies) depend entirely on how and why the organization collected that data in the first place.</w:t>
      </w:r>
    </w:p>
    <w:p>
      <w:pPr>
        <w:spacing w:after="120"/>
      </w:pPr>
      <w:r>
        <w:rPr>
          <w:rFonts w:ascii="Calibri" w:cs="Calibri" w:eastAsia="Calibri" w:hAnsi="Calibri"/>
          <w:b/>
          <w:bCs/>
          <w:sz w:val="21"/>
          <w:szCs w:val="21"/>
        </w:rPr>
        <w:t xml:space="preserve">Why it is flagged this way: </w:t>
      </w:r>
      <w:r>
        <w:rPr>
          <w:rFonts w:ascii="Calibri" w:cs="Calibri" w:eastAsia="Calibri" w:hAnsi="Calibri"/>
          <w:sz w:val="21"/>
          <w:szCs w:val="21"/>
        </w:rPr>
        <w:t xml:space="preserve">Included so this review is not misread as implying the plugin needs its own consent-collection flow -- it does not; that would be a category error given the tool's role.</w:t>
      </w:r>
    </w:p>
    <w:p>
      <w:pPr>
        <w:spacing w:after="100" w:before="280"/>
      </w:pPr>
      <w:r>
        <w:rPr>
          <w:rFonts w:ascii="Calibri" w:cs="Calibri" w:eastAsia="Calibri" w:hAnsi="Calibri"/>
          <w:b/>
          <w:bCs/>
          <w:color w:val="1F3B57"/>
          <w:sz w:val="23"/>
          <w:szCs w:val="23"/>
        </w:rPr>
        <w:t xml:space="preserve">F12  </w:t>
      </w:r>
      <w:r>
        <w:rPr>
          <w:rFonts w:ascii="Calibri" w:cs="Calibri" w:eastAsia="Calibri" w:hAnsi="Calibri"/>
          <w:b/>
          <w:bCs/>
          <w:color w:val="1A1A1A"/>
          <w:sz w:val="23"/>
          <w:szCs w:val="23"/>
        </w:rPr>
        <w:t xml:space="preserve">Records of Processing (ROPA) is an organizational obligation</w:t>
      </w:r>
      <w:r>
        <w:t xml:space="preserve">   </w:t>
      </w:r>
      <w:r>
        <w:rPr>
          <w:rFonts w:ascii="Calibri" w:cs="Calibri" w:eastAsia="Calibri" w:hAnsi="Calibri"/>
          <w:b/>
          <w:bCs/>
          <w:color w:val="FFFFFF"/>
          <w:sz w:val="19"/>
          <w:szCs w:val="19"/>
          <w:shd w:fill="5B5B5B" w:val="clear"/>
        </w:rPr>
        <w:t xml:space="preserve">  INFORMATIONAL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Art. 30 requires the controller (and, separately, any processor) to maintain a record of processing activities. This is a governance artifact the organization maintains, not something expressed in the plugin's code.</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This review's Section 4 data inventory is offered as a starting input for that record, not a replacement for it.</w:t>
      </w:r>
    </w:p>
    <w:p>
      <w:pPr>
        <w:spacing w:after="100" w:before="280"/>
      </w:pPr>
      <w:r>
        <w:rPr>
          <w:rFonts w:ascii="Calibri" w:cs="Calibri" w:eastAsia="Calibri" w:hAnsi="Calibri"/>
          <w:b/>
          <w:bCs/>
          <w:color w:val="1F3B57"/>
          <w:sz w:val="23"/>
          <w:szCs w:val="23"/>
        </w:rPr>
        <w:t xml:space="preserve">F13  </w:t>
      </w:r>
      <w:r>
        <w:rPr>
          <w:rFonts w:ascii="Calibri" w:cs="Calibri" w:eastAsia="Calibri" w:hAnsi="Calibri"/>
          <w:b/>
          <w:bCs/>
          <w:color w:val="1A1A1A"/>
          <w:sz w:val="23"/>
          <w:szCs w:val="23"/>
        </w:rPr>
        <w:t xml:space="preserve">Existing Article 32 security measures are a genuine strength</w:t>
      </w:r>
      <w:r>
        <w:t xml:space="preserve">   </w:t>
      </w:r>
      <w:r>
        <w:rPr>
          <w:rFonts w:ascii="Calibri" w:cs="Calibri" w:eastAsia="Calibri" w:hAnsi="Calibri"/>
          <w:b/>
          <w:bCs/>
          <w:color w:val="FFFFFF"/>
          <w:sz w:val="19"/>
          <w:szCs w:val="19"/>
          <w:shd w:fill="5B5B5B" w:val="clear"/>
        </w:rPr>
        <w:t xml:space="preserve">  POSITIVE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SECURITY.md documents, with file:line references and passing tests, an SSRF guard on fetched URLs, read-only SQL enforcement, a sandboxed PyQGIS script-execution path (with a documented, adversarially-tested threat model -- not just a stated intention), a destructive-action confirmation gate on layer-mutating tools, and encrypted-by-default credential storage with an explicit fallback warning.</w:t>
      </w:r>
    </w:p>
    <w:p>
      <w:pPr>
        <w:spacing w:after="120"/>
      </w:pPr>
      <w:r>
        <w:rPr>
          <w:rFonts w:ascii="Calibri" w:cs="Calibri" w:eastAsia="Calibri" w:hAnsi="Calibri"/>
          <w:b/>
          <w:bCs/>
          <w:sz w:val="21"/>
          <w:szCs w:val="21"/>
        </w:rPr>
        <w:t xml:space="preserve">Why it is included: </w:t>
      </w:r>
      <w:r>
        <w:rPr>
          <w:rFonts w:ascii="Calibri" w:cs="Calibri" w:eastAsia="Calibri" w:hAnsi="Calibri"/>
          <w:sz w:val="21"/>
          <w:szCs w:val="21"/>
        </w:rPr>
        <w:t xml:space="preserve">A GDPR review should credit real security work, not just list gaps -- these measures materially reduce the risk of unauthorized access to whatever data the tool touches, which is itself an Art. 32 obligation, and they are unusually well-documented and tested for a project at this stage.</w:t>
      </w:r>
    </w:p>
    <w:p>
      <w:pPr>
        <w:spacing w:after="100" w:before="280"/>
      </w:pPr>
      <w:r>
        <w:rPr>
          <w:rFonts w:ascii="Calibri" w:cs="Calibri" w:eastAsia="Calibri" w:hAnsi="Calibri"/>
          <w:b/>
          <w:bCs/>
          <w:color w:val="1F3B57"/>
          <w:sz w:val="23"/>
          <w:szCs w:val="23"/>
        </w:rPr>
        <w:t xml:space="preserve">F14  </w:t>
      </w:r>
      <w:r>
        <w:rPr>
          <w:rFonts w:ascii="Calibri" w:cs="Calibri" w:eastAsia="Calibri" w:hAnsi="Calibri"/>
          <w:b/>
          <w:bCs/>
          <w:color w:val="1A1A1A"/>
          <w:sz w:val="23"/>
          <w:szCs w:val="23"/>
        </w:rPr>
        <w:t xml:space="preserve">Hosted-Account feature: privacy notice and encrypted transport now in place, deletion/export and retention gaps remain</w:t>
      </w:r>
      <w:r>
        <w:t xml:space="preserve">   </w:t>
      </w:r>
      <w:r>
        <w:rPr>
          <w:rFonts w:ascii="Calibri" w:cs="Calibri" w:eastAsia="Calibri" w:hAnsi="Calibri"/>
          <w:b/>
          <w:bCs/>
          <w:color w:val="FFFFFF"/>
          <w:sz w:val="19"/>
          <w:szCs w:val="19"/>
          <w:shd w:fill="8A6D00" w:val="clear"/>
        </w:rPr>
        <w:t xml:space="preserve">  MEDIUM  </w:t>
      </w:r>
    </w:p>
    <w:p>
      <w:pPr>
        <w:spacing w:after="120"/>
      </w:pPr>
      <w:r>
        <w:rPr>
          <w:rFonts w:ascii="Calibri" w:cs="Calibri" w:eastAsia="Calibri" w:hAnsi="Calibri"/>
          <w:b/>
          <w:bCs/>
          <w:sz w:val="21"/>
          <w:szCs w:val="21"/>
        </w:rPr>
        <w:t xml:space="preserve">What it is: </w:t>
      </w:r>
      <w:r>
        <w:rPr>
          <w:rFonts w:ascii="Calibri" w:cs="Calibri" w:eastAsia="Calibri" w:hAnsi="Calibri"/>
          <w:sz w:val="21"/>
          <w:szCs w:val="21"/>
        </w:rPr>
        <w:t xml:space="preserve">agent/account.py (added 2026-08-28, commit e045cb2) is a thin HTTP client (CartogenAccountClient) letting a user create or sign in to a Cartogen-hosted account from inside the QGIS plugin (ui/account_dialog.py), so the plugin can call a hosted Cartogen API under that account's identity. It collects email and password (register, login) and optional first/last name (register only), sent to a configurable base_url (Settings -&gt; Cartogen AI account URL). This feature predates this review's 2026-09-01 date but was outside its original file list (Section 8) -- see the Extension note in Section 1 and docs/GDPR_HOSTED_ACCOUNT_ADDENDUM_2026-09-08.md for the full verified inventory.</w:t>
      </w:r>
    </w:p>
    <w:p>
      <w:pPr>
        <w:spacing w:after="120"/>
      </w:pPr>
      <w:r>
        <w:rPr>
          <w:rFonts w:ascii="Calibri" w:cs="Calibri" w:eastAsia="Calibri" w:hAnsi="Calibri"/>
          <w:b/>
          <w:bCs/>
          <w:sz w:val="21"/>
          <w:szCs w:val="21"/>
        </w:rPr>
        <w:t xml:space="preserve">GDPR relevance: </w:t>
      </w:r>
      <w:r>
        <w:rPr>
          <w:rFonts w:ascii="Calibri" w:cs="Calibri" w:eastAsia="Calibri" w:hAnsi="Calibri"/>
          <w:sz w:val="21"/>
          <w:szCs w:val="21"/>
        </w:rPr>
        <w:t xml:space="preserve">Articles 12-14 (transparency) are addressed as of 2026-09-08: the dialog now shows a privacy notice before registration or login (BUG-2026-09-08-2), and plain HTTP is rejected for any non-loopback host (BUG-2026-09-08-1), closing the transport gap this finding would otherwise have to flag on its own. What remains open: Art. 17 (erasure) and Art. 20 (portability) have no in-app path for this feature's own data -- "Sign out" only clears the local session token, and any erasure or export request for the registered email/name/password would have to be handled server-side, by whoever operates base_url. Whether that is Section 3's controller (the deploying organization's own infrastructure) or a separate processor is a deployment fact this code review cannot determine from the code alone.</w:t>
      </w:r>
    </w:p>
    <w:p>
      <w:pPr>
        <w:spacing w:after="160"/>
      </w:pPr>
      <w:r>
        <w:rPr>
          <w:rFonts w:ascii="Calibri" w:cs="Calibri" w:eastAsia="Calibri" w:hAnsi="Calibri"/>
          <w:b/>
          <w:bCs/>
          <w:color w:val="444444"/>
          <w:sz w:val="20"/>
          <w:szCs w:val="20"/>
        </w:rPr>
        <w:t xml:space="preserve">Evidence: </w:t>
      </w:r>
      <w:r>
        <w:rPr>
          <w:rFonts w:ascii="Consolas" w:cs="Consolas" w:eastAsia="Consolas" w:hAnsi="Consolas"/>
          <w:color w:val="5B2AA3"/>
          <w:sz w:val="19"/>
          <w:szCs w:val="19"/>
        </w:rPr>
        <w:t xml:space="preserve">src/cartogen_ai/core/agent/account.py (CartogenAccountClient, base_url, register/login, HTTPS enforcement)  |  src/cartogen_ai/core/agent/auth.py (CredentialManager.get_account_session / _save_auth_secret, no plaintext fallback)  |  src/cartogen_ai/core/ui/account_dialog.py (privacy_notice_label, added 2026-09-08)  |  docs/GDPR_HOSTED_ACCOUNT_ADDENDUM_2026-09-08.md</w:t>
      </w:r>
    </w:p>
    <w:p>
      <w:pPr>
        <w:spacing w:after="120"/>
      </w:pPr>
      <w:r>
        <w:rPr>
          <w:rFonts w:ascii="Calibri" w:cs="Calibri" w:eastAsia="Calibri" w:hAnsi="Calibri"/>
          <w:b/>
          <w:bCs/>
          <w:sz w:val="21"/>
          <w:szCs w:val="21"/>
        </w:rPr>
        <w:t xml:space="preserve">Recommendation: </w:t>
      </w:r>
      <w:r>
        <w:rPr>
          <w:rFonts w:ascii="Calibri" w:cs="Calibri" w:eastAsia="Calibri" w:hAnsi="Calibri"/>
          <w:sz w:val="21"/>
          <w:szCs w:val="21"/>
        </w:rPr>
        <w:t xml:space="preserve">R11 -- add a self-service account-deletion/export path for this feature's data, or document the server-side process and retention policy for it; if base_url will ever point to infrastructure outside the deploying organization's own control, put a DPA in place first, the same as R10 for the hosted LLM gateway (Section 3.3).</w:t>
      </w:r>
    </w:p>
    <w:p>
      <w:r>
        <w:br w:type="page"/>
      </w:r>
    </w:p>
    <w:p>
      <w:pPr>
        <w:pStyle w:val="Heading1"/>
        <w:spacing w:after="200" w:before="360"/>
      </w:pPr>
      <w:r>
        <w:rPr>
          <w:rFonts w:ascii="Calibri" w:cs="Calibri" w:eastAsia="Calibri" w:hAnsi="Calibri"/>
          <w:b/>
          <w:bCs/>
          <w:color w:val="1F3B57"/>
          <w:sz w:val="30"/>
          <w:szCs w:val="30"/>
        </w:rPr>
        <w:t xml:space="preserve">7. Recommendations and Remediation Roadmap</w:t>
      </w:r>
    </w:p>
    <w:p>
      <w:pPr>
        <w:pStyle w:val="Heading3"/>
        <w:spacing w:after="120" w:before="220"/>
      </w:pPr>
      <w:r>
        <w:rPr>
          <w:rFonts w:ascii="Calibri" w:cs="Calibri" w:eastAsia="Calibri" w:hAnsi="Calibri"/>
          <w:b/>
          <w:bCs/>
          <w:color w:val="333333"/>
          <w:sz w:val="22"/>
          <w:szCs w:val="22"/>
        </w:rPr>
        <w:t xml:space="preserve">Immediate (before any deployment against real beneficiary data)</w:t>
      </w:r>
    </w:p>
    <w:p>
      <w:pPr>
        <w:pStyle w:val="ListParagraph"/>
        <w:numPr>
          <w:ilvl w:val="0"/>
          <w:numId w:val="2"/>
        </w:numPr>
        <w:spacing w:after="100"/>
      </w:pPr>
      <w:r>
        <w:rPr>
          <w:rFonts w:ascii="Calibri" w:cs="Calibri" w:eastAsia="Calibri" w:hAnsi="Calibri"/>
          <w:sz w:val="21"/>
          <w:szCs w:val="21"/>
        </w:rPr>
        <w:t xml:space="preserve">R1 -- DPO/legal review of DPIA necessity (F5), using Section 4's data inventory as a starting input.</w:t>
      </w:r>
    </w:p>
    <w:p>
      <w:pPr>
        <w:pStyle w:val="ListParagraph"/>
        <w:numPr>
          <w:ilvl w:val="0"/>
          <w:numId w:val="2"/>
        </w:numPr>
        <w:spacing w:after="100"/>
      </w:pPr>
      <w:r>
        <w:rPr>
          <w:rFonts w:ascii="Calibri" w:cs="Calibri" w:eastAsia="Calibri" w:hAnsi="Calibri"/>
          <w:sz w:val="21"/>
          <w:szCs w:val="21"/>
        </w:rPr>
        <w:t xml:space="preserve">R2 -- Confirm and record the transfer mechanism for each cloud provider the organization intends to enable (F3), and execute/accept each provider's DPA (F4).</w:t>
      </w:r>
    </w:p>
    <w:p>
      <w:pPr>
        <w:pStyle w:val="ListParagraph"/>
        <w:numPr>
          <w:ilvl w:val="0"/>
          <w:numId w:val="2"/>
        </w:numPr>
        <w:spacing w:after="100"/>
      </w:pPr>
      <w:r>
        <w:rPr>
          <w:rFonts w:ascii="Calibri" w:cs="Calibri" w:eastAsia="Calibri" w:hAnsi="Calibri"/>
          <w:sz w:val="21"/>
          <w:szCs w:val="21"/>
        </w:rPr>
        <w:t xml:space="preserve">R3 -- Decide organizational policy on global memory (F1) until it is fixed in code: either avoid enabling any tool/workflow likely to write personal data into a "remember this" note, or restrict deployment to Ollama-only until F1 is closed.</w:t>
      </w:r>
    </w:p>
    <w:p>
      <w:pPr>
        <w:pStyle w:val="Heading3"/>
        <w:spacing w:after="120" w:before="220"/>
      </w:pPr>
      <w:r>
        <w:rPr>
          <w:rFonts w:ascii="Calibri" w:cs="Calibri" w:eastAsia="Calibri" w:hAnsi="Calibri"/>
          <w:b/>
          <w:bCs/>
          <w:color w:val="333333"/>
          <w:sz w:val="22"/>
          <w:szCs w:val="22"/>
        </w:rPr>
        <w:t xml:space="preserve">Short-term (product changes, small and mechanical)</w:t>
      </w:r>
    </w:p>
    <w:p>
      <w:pPr>
        <w:pStyle w:val="ListParagraph"/>
        <w:numPr>
          <w:ilvl w:val="0"/>
          <w:numId w:val="2"/>
        </w:numPr>
        <w:spacing w:after="100"/>
      </w:pPr>
      <w:r>
        <w:rPr>
          <w:rFonts w:ascii="Calibri" w:cs="Calibri" w:eastAsia="Calibri" w:hAnsi="Calibri"/>
          <w:sz w:val="21"/>
          <w:szCs w:val="21"/>
        </w:rPr>
        <w:t xml:space="preserve">R4 -- Add clear_global_notes() and a "Clear Global Memory" UI control (closes F1).</w:t>
      </w:r>
    </w:p>
    <w:p>
      <w:pPr>
        <w:pStyle w:val="ListParagraph"/>
        <w:numPr>
          <w:ilvl w:val="0"/>
          <w:numId w:val="2"/>
        </w:numPr>
        <w:spacing w:after="100"/>
      </w:pPr>
      <w:r>
        <w:rPr>
          <w:rFonts w:ascii="Calibri" w:cs="Calibri" w:eastAsia="Calibri" w:hAnsi="Calibri"/>
          <w:sz w:val="21"/>
          <w:szCs w:val="21"/>
        </w:rPr>
        <w:t xml:space="preserve">R5 -- Add a short in-app data-use notice in Settings, plus a paragraph in USER_GUIDE.md (closes F2).</w:t>
      </w:r>
    </w:p>
    <w:p>
      <w:pPr>
        <w:pStyle w:val="ListParagraph"/>
        <w:numPr>
          <w:ilvl w:val="0"/>
          <w:numId w:val="2"/>
        </w:numPr>
        <w:spacing w:after="100"/>
      </w:pPr>
      <w:r>
        <w:rPr>
          <w:rFonts w:ascii="Calibri" w:cs="Calibri" w:eastAsia="Calibri" w:hAnsi="Calibri"/>
          <w:sz w:val="21"/>
          <w:szCs w:val="21"/>
        </w:rPr>
        <w:t xml:space="preserve">R6 -- Add a DPA/sub-processor link per provider next to the existing "get a key" link (closes F4).</w:t>
      </w:r>
    </w:p>
    <w:p>
      <w:pPr>
        <w:pStyle w:val="ListParagraph"/>
        <w:numPr>
          <w:ilvl w:val="0"/>
          <w:numId w:val="2"/>
        </w:numPr>
        <w:spacing w:after="100"/>
      </w:pPr>
      <w:r>
        <w:rPr>
          <w:rFonts w:ascii="Calibri" w:cs="Calibri" w:eastAsia="Calibri" w:hAnsi="Calibri"/>
          <w:sz w:val="21"/>
          <w:szCs w:val="21"/>
        </w:rPr>
        <w:t xml:space="preserve">R7 -- Extend the chat-history opt-in pattern (or at least its warning) to project memory (closes F6).</w:t>
      </w:r>
    </w:p>
    <w:p>
      <w:pPr>
        <w:pStyle w:val="ListParagraph"/>
        <w:numPr>
          <w:ilvl w:val="0"/>
          <w:numId w:val="2"/>
        </w:numPr>
        <w:spacing w:after="100"/>
      </w:pPr>
      <w:r>
        <w:rPr>
          <w:rFonts w:ascii="Calibri" w:cs="Calibri" w:eastAsia="Calibri" w:hAnsi="Calibri"/>
          <w:sz w:val="21"/>
          <w:szCs w:val="21"/>
        </w:rPr>
        <w:t xml:space="preserve">R8 -- Document the "erasure can't reach already-distributed copies" limitation explicitly (closes F9).</w:t>
      </w:r>
    </w:p>
    <w:p>
      <w:pPr>
        <w:pStyle w:val="Heading3"/>
        <w:spacing w:after="120" w:before="220"/>
      </w:pPr>
      <w:r>
        <w:rPr>
          <w:rFonts w:ascii="Calibri" w:cs="Calibri" w:eastAsia="Calibri" w:hAnsi="Calibri"/>
          <w:b/>
          <w:bCs/>
          <w:color w:val="333333"/>
          <w:sz w:val="22"/>
          <w:szCs w:val="22"/>
        </w:rPr>
        <w:t xml:space="preserve">Medium-term</w:t>
      </w:r>
    </w:p>
    <w:p>
      <w:pPr>
        <w:pStyle w:val="ListParagraph"/>
        <w:numPr>
          <w:ilvl w:val="0"/>
          <w:numId w:val="2"/>
        </w:numPr>
        <w:spacing w:after="100"/>
      </w:pPr>
      <w:r>
        <w:rPr>
          <w:rFonts w:ascii="Calibri" w:cs="Calibri" w:eastAsia="Calibri" w:hAnsi="Calibri"/>
          <w:sz w:val="21"/>
          <w:szCs w:val="21"/>
        </w:rPr>
        <w:t xml:space="preserve">R9 -- Add a JSON export action for chat history and memory notes (closes F7, materially helps F8).</w:t>
      </w:r>
    </w:p>
    <w:p>
      <w:pPr>
        <w:pStyle w:val="ListParagraph"/>
        <w:numPr>
          <w:ilvl w:val="0"/>
          <w:numId w:val="2"/>
        </w:numPr>
        <w:spacing w:after="100"/>
      </w:pPr>
      <w:r>
        <w:rPr>
          <w:rFonts w:ascii="Calibri" w:cs="Calibri" w:eastAsia="Calibri" w:hAnsi="Calibri"/>
          <w:sz w:val="21"/>
          <w:szCs w:val="21"/>
        </w:rPr>
        <w:t xml:space="preserve">R10 -- Before the hosted "Cartogen AI (Hosted)" gateway (Section 3.3) goes live, put a DPA in place between Cartogen AI and each deploying organization, and extend this review to cover Cartogen AI's own processor obligations at that point.</w:t>
      </w:r>
    </w:p>
    <w:p>
      <w:pPr>
        <w:pStyle w:val="ListParagraph"/>
        <w:numPr>
          <w:ilvl w:val="0"/>
          <w:numId w:val="2"/>
        </w:numPr>
        <w:spacing w:after="100"/>
      </w:pPr>
      <w:r>
        <w:rPr>
          <w:rFonts w:ascii="Calibri" w:cs="Calibri" w:eastAsia="Calibri" w:hAnsi="Calibri"/>
          <w:sz w:val="21"/>
          <w:szCs w:val="21"/>
        </w:rPr>
        <w:t xml:space="preserve">R11 -- Add a self-service account-deletion/export path for Hosted-Account data (agent/account.py), or document the server-side process and retention policy for it; if the configured base_url will ever point to infrastructure outside the deploying organization's own control, put a DPA in place first (closes F14).</w:t>
      </w:r>
    </w:p>
    <w:p>
      <w:pPr>
        <w:spacing w:after="160" w:before="200"/>
      </w:pPr>
      <w:r>
        <w:rPr>
          <w:rFonts w:ascii="Calibri" w:cs="Calibri" w:eastAsia="Calibri" w:hAnsi="Calibri"/>
          <w:sz w:val="21"/>
          <w:szCs w:val="21"/>
        </w:rPr>
        <w:t xml:space="preserve">None of these require re-architecting the plugin. R4, R5, R6, R7, and R9 are the kind of small, mechanical, well-scoped changes this project has consistently made throughout its documentation and UX hardening work to date (see IMPLEMENTATION_TRACKER.md's resolved-items history) -- they fit the same pattern.</w:t>
      </w:r>
    </w:p>
    <w:p>
      <w:pPr>
        <w:pStyle w:val="Heading1"/>
        <w:spacing w:after="200" w:before="360"/>
      </w:pPr>
      <w:r>
        <w:rPr>
          <w:rFonts w:ascii="Calibri" w:cs="Calibri" w:eastAsia="Calibri" w:hAnsi="Calibri"/>
          <w:b/>
          <w:bCs/>
          <w:color w:val="1F3B57"/>
          <w:sz w:val="30"/>
          <w:szCs w:val="30"/>
        </w:rPr>
        <w:t xml:space="preserve">8. Appendix -- Files Reviewed</w:t>
      </w:r>
    </w:p>
    <w:p>
      <w:pPr>
        <w:spacing w:after="160" w:before="0"/>
      </w:pPr>
      <w:r>
        <w:rPr>
          <w:rFonts w:ascii="Calibri" w:cs="Calibri" w:eastAsia="Calibri" w:hAnsi="Calibri"/>
          <w:sz w:val="21"/>
          <w:szCs w:val="21"/>
        </w:rPr>
        <w:t xml:space="preserve">Primary files read in full or in relevant part during this review, for independent verification:</w:t>
      </w:r>
    </w:p>
    <w:p>
      <w:pPr>
        <w:pStyle w:val="ListParagraph"/>
        <w:numPr>
          <w:ilvl w:val="0"/>
          <w:numId w:val="2"/>
        </w:numPr>
        <w:spacing w:after="100"/>
      </w:pPr>
      <w:r>
        <w:rPr>
          <w:rFonts w:ascii="Consolas" w:cs="Consolas" w:eastAsia="Consolas" w:hAnsi="Consolas"/>
          <w:color w:val="5B2AA3"/>
          <w:sz w:val="19"/>
          <w:szCs w:val="19"/>
        </w:rPr>
        <w:t xml:space="preserve">src/cartogen_ai/core/agent/memory.py</w:t>
      </w:r>
      <w:r>
        <w:rPr>
          <w:rFonts w:ascii="Calibri" w:cs="Calibri" w:eastAsia="Calibri" w:hAnsi="Calibri"/>
          <w:sz w:val="20"/>
          <w:szCs w:val="20"/>
        </w:rPr>
        <w:t xml:space="preserve"> -- project/global memory storage, no clear_global_notes()</w:t>
      </w:r>
    </w:p>
    <w:p>
      <w:pPr>
        <w:pStyle w:val="ListParagraph"/>
        <w:numPr>
          <w:ilvl w:val="0"/>
          <w:numId w:val="2"/>
        </w:numPr>
        <w:spacing w:after="100"/>
      </w:pPr>
      <w:r>
        <w:rPr>
          <w:rFonts w:ascii="Consolas" w:cs="Consolas" w:eastAsia="Consolas" w:hAnsi="Consolas"/>
          <w:color w:val="5B2AA3"/>
          <w:sz w:val="19"/>
          <w:szCs w:val="19"/>
        </w:rPr>
        <w:t xml:space="preserve">src/cartogen_ai/core/agent/chat_persistence.py</w:t>
      </w:r>
      <w:r>
        <w:rPr>
          <w:rFonts w:ascii="Calibri" w:cs="Calibri" w:eastAsia="Calibri" w:hAnsi="Calibri"/>
          <w:sz w:val="20"/>
          <w:szCs w:val="20"/>
        </w:rPr>
        <w:t xml:space="preserve"> -- chat history opt-in pattern</w:t>
      </w:r>
    </w:p>
    <w:p>
      <w:pPr>
        <w:pStyle w:val="ListParagraph"/>
        <w:numPr>
          <w:ilvl w:val="0"/>
          <w:numId w:val="2"/>
        </w:numPr>
        <w:spacing w:after="100"/>
      </w:pPr>
      <w:r>
        <w:rPr>
          <w:rFonts w:ascii="Consolas" w:cs="Consolas" w:eastAsia="Consolas" w:hAnsi="Consolas"/>
          <w:color w:val="5B2AA3"/>
          <w:sz w:val="19"/>
          <w:szCs w:val="19"/>
        </w:rPr>
        <w:t xml:space="preserve">src/cartogen_ai/core/agent/auth.py</w:t>
      </w:r>
      <w:r>
        <w:rPr>
          <w:rFonts w:ascii="Calibri" w:cs="Calibri" w:eastAsia="Calibri" w:hAnsi="Calibri"/>
          <w:sz w:val="20"/>
          <w:szCs w:val="20"/>
        </w:rPr>
        <w:t xml:space="preserve"> -- credential storage and plaintext-fallback flag</w:t>
      </w:r>
    </w:p>
    <w:p>
      <w:pPr>
        <w:pStyle w:val="ListParagraph"/>
        <w:numPr>
          <w:ilvl w:val="0"/>
          <w:numId w:val="2"/>
        </w:numPr>
        <w:spacing w:after="100"/>
      </w:pPr>
      <w:r>
        <w:rPr>
          <w:rFonts w:ascii="Consolas" w:cs="Consolas" w:eastAsia="Consolas" w:hAnsi="Consolas"/>
          <w:color w:val="5B2AA3"/>
          <w:sz w:val="19"/>
          <w:szCs w:val="19"/>
        </w:rPr>
        <w:t xml:space="preserve">src/cartogen_ai/core/agent/providers/{openrouter,gemini,openai,claude,cartogen,ollama}.py</w:t>
      </w:r>
      <w:r>
        <w:rPr>
          <w:rFonts w:ascii="Calibri" w:cs="Calibri" w:eastAsia="Calibri" w:hAnsi="Calibri"/>
          <w:sz w:val="20"/>
          <w:szCs w:val="20"/>
        </w:rPr>
        <w:t xml:space="preserve"> -- provider endpoints, gateway stub status</w:t>
      </w:r>
    </w:p>
    <w:p>
      <w:pPr>
        <w:pStyle w:val="ListParagraph"/>
        <w:numPr>
          <w:ilvl w:val="0"/>
          <w:numId w:val="2"/>
        </w:numPr>
        <w:spacing w:after="100"/>
      </w:pPr>
      <w:r>
        <w:rPr>
          <w:rFonts w:ascii="Consolas" w:cs="Consolas" w:eastAsia="Consolas" w:hAnsi="Consolas"/>
          <w:color w:val="5B2AA3"/>
          <w:sz w:val="19"/>
          <w:szCs w:val="19"/>
        </w:rPr>
        <w:t xml:space="preserve">src/cartogen_ai/core/ui/settings_dialog.py</w:t>
      </w:r>
      <w:r>
        <w:rPr>
          <w:rFonts w:ascii="Calibri" w:cs="Calibri" w:eastAsia="Calibri" w:hAnsi="Calibri"/>
          <w:sz w:val="20"/>
          <w:szCs w:val="20"/>
        </w:rPr>
        <w:t xml:space="preserve"> -- provider list, key-help links, Cartogen (Hosted) entry and tooltip</w:t>
      </w:r>
    </w:p>
    <w:p>
      <w:pPr>
        <w:pStyle w:val="ListParagraph"/>
        <w:numPr>
          <w:ilvl w:val="0"/>
          <w:numId w:val="2"/>
        </w:numPr>
        <w:spacing w:after="100"/>
      </w:pPr>
      <w:r>
        <w:rPr>
          <w:rFonts w:ascii="Consolas" w:cs="Consolas" w:eastAsia="Consolas" w:hAnsi="Consolas"/>
          <w:color w:val="5B2AA3"/>
          <w:sz w:val="19"/>
          <w:szCs w:val="19"/>
        </w:rPr>
        <w:t xml:space="preserve">src/cartogen_ai/core/ui/tasks_tab_widget.py</w:t>
      </w:r>
      <w:r>
        <w:rPr>
          <w:rFonts w:ascii="Calibri" w:cs="Calibri" w:eastAsia="Calibri" w:hAnsi="Calibri"/>
          <w:sz w:val="20"/>
          <w:szCs w:val="20"/>
        </w:rPr>
        <w:t xml:space="preserve"> -- memory panel and Clear Project Memory control</w:t>
      </w:r>
    </w:p>
    <w:p>
      <w:pPr>
        <w:pStyle w:val="ListParagraph"/>
        <w:numPr>
          <w:ilvl w:val="0"/>
          <w:numId w:val="2"/>
        </w:numPr>
        <w:spacing w:after="100"/>
      </w:pPr>
      <w:r>
        <w:rPr>
          <w:rFonts w:ascii="Consolas" w:cs="Consolas" w:eastAsia="Consolas" w:hAnsi="Consolas"/>
          <w:color w:val="5B2AA3"/>
          <w:sz w:val="19"/>
          <w:szCs w:val="19"/>
        </w:rPr>
        <w:t xml:space="preserve">src/cartogen_ai/core/ui/attachments.py</w:t>
      </w:r>
      <w:r>
        <w:rPr>
          <w:rFonts w:ascii="Calibri" w:cs="Calibri" w:eastAsia="Calibri" w:hAnsi="Calibri"/>
          <w:sz w:val="20"/>
          <w:szCs w:val="20"/>
        </w:rPr>
        <w:t xml:space="preserve"> -- file-attachment reading path</w:t>
      </w:r>
    </w:p>
    <w:p>
      <w:pPr>
        <w:pStyle w:val="ListParagraph"/>
        <w:numPr>
          <w:ilvl w:val="0"/>
          <w:numId w:val="2"/>
        </w:numPr>
        <w:spacing w:after="100"/>
      </w:pPr>
      <w:r>
        <w:rPr>
          <w:rFonts w:ascii="Consolas" w:cs="Consolas" w:eastAsia="Consolas" w:hAnsi="Consolas"/>
          <w:color w:val="5B2AA3"/>
          <w:sz w:val="19"/>
          <w:szCs w:val="19"/>
        </w:rPr>
        <w:t xml:space="preserve">SECURITY.md</w:t>
      </w:r>
      <w:r>
        <w:rPr>
          <w:rFonts w:ascii="Calibri" w:cs="Calibri" w:eastAsia="Calibri" w:hAnsi="Calibri"/>
          <w:sz w:val="20"/>
          <w:szCs w:val="20"/>
        </w:rPr>
        <w:t xml:space="preserve"> -- existing threat model, protections, and (as of 2026-08-31) Data Protection section</w:t>
      </w:r>
    </w:p>
    <w:p>
      <w:pPr>
        <w:pStyle w:val="ListParagraph"/>
        <w:numPr>
          <w:ilvl w:val="0"/>
          <w:numId w:val="2"/>
        </w:numPr>
        <w:spacing w:after="100"/>
      </w:pPr>
      <w:r>
        <w:rPr>
          <w:rFonts w:ascii="Consolas" w:cs="Consolas" w:eastAsia="Consolas" w:hAnsi="Consolas"/>
          <w:color w:val="5B2AA3"/>
          <w:sz w:val="19"/>
          <w:szCs w:val="19"/>
        </w:rPr>
        <w:t xml:space="preserve">docs/IMPLEMENTATION_TRACKER.md, docs/TOOLS_REFERENCE.md</w:t>
      </w:r>
      <w:r>
        <w:rPr>
          <w:rFonts w:ascii="Calibri" w:cs="Calibri" w:eastAsia="Calibri" w:hAnsi="Calibri"/>
          <w:sz w:val="20"/>
          <w:szCs w:val="20"/>
        </w:rPr>
        <w:t xml:space="preserve"> -- open items and full tool catalog referenced for F5's DPIA-trigger analysis</w:t>
      </w:r>
    </w:p>
    <w:p>
      <w:pPr>
        <w:pStyle w:val="ListParagraph"/>
        <w:numPr>
          <w:ilvl w:val="0"/>
          <w:numId w:val="2"/>
        </w:numPr>
        <w:spacing w:after="100"/>
      </w:pPr>
      <w:r>
        <w:rPr>
          <w:rFonts w:ascii="Consolas" w:cs="Consolas" w:eastAsia="Consolas" w:hAnsi="Consolas"/>
          <w:color w:val="5B2AA3"/>
          <w:sz w:val="19"/>
          <w:szCs w:val="19"/>
        </w:rPr>
        <w:t xml:space="preserve">src/cartogen_ai/core/agent/account.py</w:t>
      </w:r>
      <w:r>
        <w:rPr>
          <w:rFonts w:ascii="Calibri" w:cs="Calibri" w:eastAsia="Calibri" w:hAnsi="Calibri"/>
          <w:sz w:val="20"/>
          <w:szCs w:val="20"/>
        </w:rPr>
        <w:t xml:space="preserve"> -- Hosted-Account HTTP client; personal-data fields and HTTPS enforcement added 2026-09-08 (BUG-2026-09-08-1)</w:t>
      </w:r>
    </w:p>
    <w:p>
      <w:pPr>
        <w:pStyle w:val="ListParagraph"/>
        <w:numPr>
          <w:ilvl w:val="0"/>
          <w:numId w:val="2"/>
        </w:numPr>
        <w:spacing w:after="100"/>
      </w:pPr>
      <w:r>
        <w:rPr>
          <w:rFonts w:ascii="Consolas" w:cs="Consolas" w:eastAsia="Consolas" w:hAnsi="Consolas"/>
          <w:color w:val="5B2AA3"/>
          <w:sz w:val="19"/>
          <w:szCs w:val="19"/>
        </w:rPr>
        <w:t xml:space="preserve">src/cartogen_ai/core/ui/account_dialog.py</w:t>
      </w:r>
      <w:r>
        <w:rPr>
          <w:rFonts w:ascii="Calibri" w:cs="Calibri" w:eastAsia="Calibri" w:hAnsi="Calibri"/>
          <w:sz w:val="20"/>
          <w:szCs w:val="20"/>
        </w:rPr>
        <w:t xml:space="preserve"> -- Hosted-Account dialog; in-app privacy notice added 2026-09-08 (BUG-2026-09-08-2)</w:t>
      </w:r>
    </w:p>
    <w:p>
      <w:pPr>
        <w:pStyle w:val="ListParagraph"/>
        <w:numPr>
          <w:ilvl w:val="0"/>
          <w:numId w:val="2"/>
        </w:numPr>
        <w:spacing w:after="100"/>
      </w:pPr>
      <w:r>
        <w:rPr>
          <w:rFonts w:ascii="Consolas" w:cs="Consolas" w:eastAsia="Consolas" w:hAnsi="Consolas"/>
          <w:color w:val="5B2AA3"/>
          <w:sz w:val="19"/>
          <w:szCs w:val="19"/>
        </w:rPr>
        <w:t xml:space="preserve">docs/GDPR_HOSTED_ACCOUNT_ADDENDUM_2026-09-08.md</w:t>
      </w:r>
      <w:r>
        <w:rPr>
          <w:rFonts w:ascii="Calibri" w:cs="Calibri" w:eastAsia="Calibri" w:hAnsi="Calibri"/>
          <w:sz w:val="20"/>
          <w:szCs w:val="20"/>
        </w:rPr>
        <w:t xml:space="preserve"> -- underlying verified personal-data inventory for this extension (Finding F14)</w:t>
      </w:r>
    </w:p>
    <w:p>
      <w:pPr>
        <w:spacing w:after="160" w:before="160"/>
      </w:pPr>
      <w:r>
        <w:rPr>
          <w:rFonts w:ascii="Calibri" w:cs="Calibri" w:eastAsia="Calibri" w:hAnsi="Calibri"/>
          <w:sz w:val="21"/>
          <w:szCs w:val="21"/>
        </w:rPr>
        <w:t xml:space="preserve">A repository-wide, case-insensitive search for "privacy", "gdpr", "telemetry", and "analytics" was also run to confirm the absence of a privacy notice and of any telemetry code (Findings F2 and the Section 4 inventory note).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Cartogen AI -- GDPR Compliance Review -- 2026-09-01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2026-09-01T05:03:06.432Z</dcterms:created>
  <dcterms:modified xsi:type="dcterms:W3CDTF">2026-09-01T05:03:06.447Z</dcterms:modified>
</cp:coreProperties>
</file>

<file path=docProps/custom.xml><?xml version="1.0" encoding="utf-8"?>
<Properties xmlns="http://schemas.openxmlformats.org/officeDocument/2006/custom-properties" xmlns:vt="http://schemas.openxmlformats.org/officeDocument/2006/docPropsVTypes"/>
</file>