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3B57"/>
          <w:sz w:val="56"/>
          <w:szCs w:val="56"/>
        </w:rPr>
        <w:t xml:space="preserve">Cartogen AI</w:t>
      </w:r>
    </w:p>
    <w:p>
      <w:pPr>
        <w:spacing w:after="100"/>
        <w:jc w:val="center"/>
      </w:pPr>
      <w:r>
        <w:rPr>
          <w:rFonts w:ascii="Calibri" w:cs="Calibri" w:eastAsia="Calibri" w:hAnsi="Calibri"/>
          <w:b/>
          <w:bCs/>
          <w:color w:val="333333"/>
          <w:sz w:val="36"/>
          <w:szCs w:val="36"/>
        </w:rPr>
        <w:t xml:space="preserve">DPIA Screening Worksheet</w:t>
      </w:r>
    </w:p>
    <w:p>
      <w:pPr>
        <w:spacing w:after="500"/>
        <w:jc w:val="center"/>
      </w:pPr>
      <w:r>
        <w:rPr>
          <w:rFonts w:ascii="Calibri" w:cs="Calibri" w:eastAsia="Calibri" w:hAnsi="Calibri"/>
          <w:i/>
          <w:iCs/>
          <w:color w:val="5B5B5B"/>
          <w:sz w:val="22"/>
          <w:szCs w:val="22"/>
        </w:rPr>
        <w:t xml:space="preserve">A pre-filled screening aid against the EDPB's WP248 high-risk criteria (Art. 35 GDPR)</w:t>
      </w:r>
    </w:p>
    <w:p>
      <w:pPr>
        <w:spacing w:after="60"/>
        <w:jc w:val="center"/>
      </w:pPr>
      <w:r>
        <w:rPr>
          <w:rFonts w:ascii="Calibri" w:cs="Calibri" w:eastAsia="Calibri" w:hAnsi="Calibri"/>
          <w:sz w:val="21"/>
          <w:szCs w:val="21"/>
        </w:rPr>
        <w:t xml:space="preserve">Prepared for: Alaa Alshoubaki</w:t>
      </w:r>
    </w:p>
    <w:p>
      <w:pPr>
        <w:spacing w:after="60"/>
        <w:jc w:val="center"/>
      </w:pPr>
      <w:r>
        <w:rPr>
          <w:rFonts w:ascii="Calibri" w:cs="Calibri" w:eastAsia="Calibri" w:hAnsi="Calibri"/>
          <w:sz w:val="21"/>
          <w:szCs w:val="21"/>
        </w:rPr>
        <w:t xml:space="preserve">Companion to: docs/GDPR_COMPLIANCE_REVIEW.docx (Finding F5)</w:t>
      </w:r>
    </w:p>
    <w:p>
      <w:pPr>
        <w:spacing w:after="500"/>
        <w:jc w:val="center"/>
      </w:pPr>
      <w:r>
        <w:rPr>
          <w:rFonts w:ascii="Calibri" w:cs="Calibri" w:eastAsia="Calibri" w:hAnsi="Calibri"/>
          <w:sz w:val="21"/>
          <w:szCs w:val="21"/>
        </w:rPr>
        <w:t xml:space="preserve">Date: 2026-09-01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E0B341" w:sz="4"/>
              <w:left w:val="single" w:color="E0B341" w:sz="4"/>
              <w:bottom w:val="single" w:color="E0B341" w:sz="4"/>
              <w:right w:val="single" w:color="E0B341" w:sz="4"/>
            </w:tcBorders>
            <w:shd w:fill="FFF6E5" w:val="clear"/>
            <w:tcMar>
              <w:top w:type="dxa" w:w="200"/>
              <w:left w:type="dxa" w:w="260"/>
              <w:bottom w:type="dxa" w:w="200"/>
              <w:right w:type="dxa" w:w="260"/>
            </w:tcMar>
          </w:tcPr>
          <w:p>
            <w:pPr>
              <w:spacing w:after="100"/>
            </w:pPr>
            <w:r>
              <w:rPr>
                <w:rFonts w:ascii="Calibri" w:cs="Calibri" w:eastAsia="Calibri" w:hAnsi="Calibri"/>
                <w:b/>
                <w:bCs/>
                <w:color w:val="5C4300"/>
                <w:sz w:val="22"/>
                <w:szCs w:val="22"/>
              </w:rPr>
              <w:t xml:space="preserve">This is a screening aid, not a completed DPIA</w:t>
            </w:r>
          </w:p>
          <w:p>
            <w:pPr>
              <w:spacing w:after="0"/>
            </w:pPr>
            <w:r>
              <w:rPr>
                <w:rFonts w:ascii="Calibri" w:cs="Calibri" w:eastAsia="Calibri" w:hAnsi="Calibri"/>
                <w:color w:val="5C4300"/>
                <w:sz w:val="20"/>
                <w:szCs w:val="20"/>
              </w:rPr>
              <w:t xml:space="preserve">This worksheet was produced by an AI system, not a qualified data protection lawyer or Data Protection Officer, and is not legal advice or a completed Data Protection Impact Assessment. It pre-fills the parts that are verifiable from the plugin's own source code -- which EDPB WP248 criteria the tool's design and data flows plausibly trigger, and what evidence supports that -- so a DPIA does not start from a blank page. It deliberately stops short of the risk determination itself: whether a DPIA is actually mandatory, what the residual risk is after the organization's own mitigations, and whether processing should proceed are judgment calls that belong to the deploying organization's DPO and/or qualified EU counsel, not to this document.</w:t>
            </w:r>
          </w:p>
        </w:tc>
      </w:tr>
    </w:tbl>
    <w:p>
      <w:r>
        <w:br w:type="page"/>
      </w:r>
    </w:p>
    <w:p>
      <w:pPr>
        <w:pStyle w:val="Heading1"/>
        <w:spacing w:after="200" w:before="360"/>
      </w:pPr>
      <w:r>
        <w:rPr>
          <w:rFonts w:ascii="Calibri" w:cs="Calibri" w:eastAsia="Calibri" w:hAnsi="Calibri"/>
          <w:b/>
          <w:bCs/>
          <w:color w:val="1F3B57"/>
          <w:sz w:val="30"/>
          <w:szCs w:val="30"/>
        </w:rPr>
        <w:t xml:space="preserve">1. Purpose and How to Use This Worksheet</w:t>
      </w:r>
    </w:p>
    <w:p>
      <w:pPr>
        <w:spacing w:after="160" w:before="0"/>
      </w:pPr>
      <w:r>
        <w:rPr>
          <w:rFonts w:ascii="Calibri" w:cs="Calibri" w:eastAsia="Calibri" w:hAnsi="Calibri"/>
          <w:sz w:val="21"/>
          <w:szCs w:val="21"/>
        </w:rPr>
        <w:t xml:space="preserve">Article 35(1) GDPR requires a Data Protection Impact Assessment where processing is "likely to result in a high risk to the rights and freedoms of natural persons." The EDPB's WP248 guidelines give nine criteria as a practical proxy for that judgment: meeting two or more is the EDPB's own rule of thumb for "likely high risk," though a single criterion can be enough on its own in a clear case.</w:t>
      </w:r>
    </w:p>
    <w:p>
      <w:pPr>
        <w:spacing w:after="160" w:before="0"/>
      </w:pPr>
      <w:r>
        <w:rPr>
          <w:rFonts w:ascii="Calibri" w:cs="Calibri" w:eastAsia="Calibri" w:hAnsi="Calibri"/>
          <w:sz w:val="21"/>
          <w:szCs w:val="21"/>
        </w:rPr>
        <w:t xml:space="preserve">Section 3 below screens Cartogen AI's actual tools and data flows against all nine criteria, using only facts verifiable from the source code (mirroring docs/GDPR_COMPLIANCE_REVIEW.docx's evidence-based approach) -- not assumptions about how any particular organization will deploy it. Section 5 leaves the necessity/proportionality and risk-mitigation analysis as open questions for the assessing team to answer using their own deployment's specifics. Section 6 is a blank sign-off block: nothing in this document should be treated as a completed assessment until that section is filled in and signed by the organization's DPO.</w:t>
      </w:r>
    </w:p>
    <w:p>
      <w:pPr>
        <w:pStyle w:val="Heading1"/>
        <w:spacing w:after="200" w:before="360"/>
      </w:pPr>
      <w:r>
        <w:rPr>
          <w:rFonts w:ascii="Calibri" w:cs="Calibri" w:eastAsia="Calibri" w:hAnsi="Calibri"/>
          <w:b/>
          <w:bCs/>
          <w:color w:val="1F3B57"/>
          <w:sz w:val="30"/>
          <w:szCs w:val="30"/>
        </w:rPr>
        <w:t xml:space="preserve">2. Processing Description (summary)</w:t>
      </w:r>
    </w:p>
    <w:p>
      <w:pPr>
        <w:spacing w:after="160" w:before="0"/>
      </w:pPr>
      <w:r>
        <w:rPr>
          <w:rFonts w:ascii="Calibri" w:cs="Calibri" w:eastAsia="Calibri" w:hAnsi="Calibri"/>
          <w:sz w:val="21"/>
          <w:szCs w:val="21"/>
        </w:rPr>
        <w:t xml:space="preserve">Cartogen AI is a QGIS plugin that runs on the user's own machine inside their own QGIS installation. When a user sends a chat request, the agent may call tools that read project layers, attribute tables, and attached files, and may send that content -- together with the conversation -- to a cloud LLM provider the organization has configured with its own API key (OpenRouter, Gemini, OpenAI, or Claude), or process it entirely locally via Ollama. The deploying organization is the GDPR controller for the humanitarian data it processes through the tool; each connected cloud provider is a sub-processor via the organization's own direct account. Full detail: docs/GDPR_COMPLIANCE_REVIEW.docx §3-4.</w:t>
      </w:r>
    </w:p>
    <w:p>
      <w:r>
        <w:br w:type="page"/>
      </w:r>
    </w:p>
    <w:p>
      <w:pPr>
        <w:pStyle w:val="Heading1"/>
        <w:spacing w:after="200" w:before="360"/>
      </w:pPr>
      <w:r>
        <w:rPr>
          <w:rFonts w:ascii="Calibri" w:cs="Calibri" w:eastAsia="Calibri" w:hAnsi="Calibri"/>
          <w:b/>
          <w:bCs/>
          <w:color w:val="1F3B57"/>
          <w:sz w:val="30"/>
          <w:szCs w:val="30"/>
        </w:rPr>
        <w:t xml:space="preserve">3. EDPB WP248 Nine-Criteria Screening</w:t>
      </w:r>
    </w:p>
    <w:p>
      <w:pPr>
        <w:spacing w:after="200" w:before="0"/>
      </w:pPr>
      <w:r>
        <w:rPr>
          <w:rFonts w:ascii="Calibri" w:cs="Calibri" w:eastAsia="Calibri" w:hAnsi="Calibri"/>
          <w:b/>
          <w:bCs/>
          <w:sz w:val="21"/>
          <w:szCs w:val="21"/>
        </w:rPr>
        <w:t xml:space="preserve">Verdicts: </w:t>
      </w:r>
      <w:r>
        <w:rPr>
          <w:rFonts w:ascii="Calibri" w:cs="Calibri" w:eastAsia="Calibri" w:hAnsi="Calibri"/>
          <w:b/>
          <w:bCs/>
          <w:color w:val="B3261E"/>
          <w:sz w:val="21"/>
          <w:szCs w:val="21"/>
        </w:rPr>
        <w:t xml:space="preserve">YES</w:t>
      </w:r>
      <w:r>
        <w:rPr>
          <w:rFonts w:ascii="Calibri" w:cs="Calibri" w:eastAsia="Calibri" w:hAnsi="Calibri"/>
          <w:sz w:val="21"/>
          <w:szCs w:val="21"/>
        </w:rPr>
        <w:t xml:space="preserve"> = the code shows this criterion is triggered by design.  </w:t>
      </w:r>
      <w:r>
        <w:rPr>
          <w:rFonts w:ascii="Calibri" w:cs="Calibri" w:eastAsia="Calibri" w:hAnsi="Calibri"/>
          <w:b/>
          <w:bCs/>
          <w:color w:val="B15C00"/>
          <w:sz w:val="21"/>
          <w:szCs w:val="21"/>
        </w:rPr>
        <w:t xml:space="preserve">LIKELY</w:t>
      </w:r>
      <w:r>
        <w:rPr>
          <w:rFonts w:ascii="Calibri" w:cs="Calibri" w:eastAsia="Calibri" w:hAnsi="Calibri"/>
          <w:sz w:val="21"/>
          <w:szCs w:val="21"/>
        </w:rPr>
        <w:t xml:space="preserve"> = strongly indicated by the stated use case, not fully code-verifiable.  </w:t>
      </w:r>
      <w:r>
        <w:rPr>
          <w:rFonts w:ascii="Calibri" w:cs="Calibri" w:eastAsia="Calibri" w:hAnsi="Calibri"/>
          <w:b/>
          <w:bCs/>
          <w:color w:val="8A6D00"/>
          <w:sz w:val="21"/>
          <w:szCs w:val="21"/>
        </w:rPr>
        <w:t xml:space="preserve">DEPENDS</w:t>
      </w:r>
      <w:r>
        <w:rPr>
          <w:rFonts w:ascii="Calibri" w:cs="Calibri" w:eastAsia="Calibri" w:hAnsi="Calibri"/>
          <w:sz w:val="21"/>
          <w:szCs w:val="21"/>
        </w:rPr>
        <w:t xml:space="preserve"> = the code enables it but whether it applies turns on the org's own deployment.  </w:t>
      </w:r>
      <w:r>
        <w:rPr>
          <w:rFonts w:ascii="Calibri" w:cs="Calibri" w:eastAsia="Calibri" w:hAnsi="Calibri"/>
          <w:b/>
          <w:bCs/>
          <w:color w:val="1E6B3C"/>
          <w:sz w:val="21"/>
          <w:szCs w:val="21"/>
        </w:rPr>
        <w:t xml:space="preserve">NO</w:t>
      </w:r>
      <w:r>
        <w:rPr>
          <w:rFonts w:ascii="Calibri" w:cs="Calibri" w:eastAsia="Calibri" w:hAnsi="Calibri"/>
          <w:sz w:val="21"/>
          <w:szCs w:val="21"/>
        </w:rPr>
        <w:t xml:space="preserve"> = not applicable.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5700"/>
      </w:tblGrid>
      <w:tr>
        <w:trPr>
          <w:tblHeader/>
        </w:trPr>
        <w:tc>
          <w:tcPr>
            <w:tcW w:type="dxa" w:w="34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EDPB WP248 criterion</w:t>
            </w:r>
          </w:p>
        </w:tc>
        <w:tc>
          <w:tcPr>
            <w:tcW w:type="dxa" w:w="13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Applies?</w:t>
            </w:r>
          </w:p>
        </w:tc>
        <w:tc>
          <w:tcPr>
            <w:tcW w:type="dxa" w:w="57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Basis (code-verifiable facts only)</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1. Evaluation or scoring (incl. profiling)</w:t>
            </w:r>
          </w:p>
        </w:tc>
        <w:tc>
          <w:tcPr>
            <w:tcW w:type="dxa" w:w="1300"/>
            <w:shd w:fill="B3261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YES</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The tool catalog includes explicit scoring/severity tools -- score_route_incident_risk, calculate_damage_exposure_severity, calculate_population_in_need -- that evaluate locations, routes, or populations. Evidence: docs/TOOLS_REFERENCE.md.</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2. Automated decision-making with legal or similarly significant effect</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DEPENDS</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The plugin produces maps, scores, and reports for a human to act on; it does not itself make or execute a decision. Whether a downstream automated (or effectively automated) decision with legal/significant effect on a beneficiary is built on top of that output is the deploying organization's process, not something this code review can see.</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3. Systematic monitoring</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DEPENDS</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analyze_incident_trend implies tracking incidents over time, which becomes systematic monitoring if the organization runs it on a recurring basis against the same population/area. A one-off analysis of historical data is a weaker case. Depends on how the org actually uses it.</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4. Sensitive data or data of a highly personal nature</w:t>
            </w:r>
          </w:p>
        </w:tc>
        <w:tc>
          <w:tcPr>
            <w:tcW w:type="dxa" w:w="1300"/>
            <w:shd w:fill="B15C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LIKELY</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Security-incident, protection, and vulnerability-indicator data are core inputs to several tools; humanitarian household/population data can carry Art. 9 special-category signal (health, ethnicity proxies) depending on the org's own datasets, which this review cannot inspect.</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5. Data processed on a large scale</w:t>
            </w:r>
          </w:p>
        </w:tc>
        <w:tc>
          <w:tcPr>
            <w:tcW w:type="dxa" w:w="1300"/>
            <w:shd w:fill="8A6D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DEPENDS</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Scale (subject count, geographic extent, duration, volume) is set entirely by the org's own project data and deployment footprint -- not observable from the code. The org must assess this against its actual usage.</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6. Matching or combining datasets</w:t>
            </w:r>
          </w:p>
        </w:tc>
        <w:tc>
          <w:tcPr>
            <w:tcW w:type="dxa" w:w="1300"/>
            <w:shd w:fill="B3261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YES</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The plugin explicitly joins/combines data from multiple sources -- e.g. CSV/Excel 3W files become "organisational presence per admin unit", and multiple layers/attribute tables can be cross-referenced in a single chat request. Evidence: docs/USER_GUIDE.md attachment table.</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7. Data concerning vulnerable data subjects</w:t>
            </w:r>
          </w:p>
        </w:tc>
        <w:tc>
          <w:tcPr>
            <w:tcW w:type="dxa" w:w="1300"/>
            <w:shd w:fill="B15C00"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LIKELY</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The stated context is humanitarian GIS work (DG ECHO) -- populations affected by disaster, conflict, or displacement are EDPB-recognized vulnerable data subjects by the nature of the context, independent of what the code does.</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8. Innovative use or new technological/organisational solution</w:t>
            </w:r>
          </w:p>
        </w:tc>
        <w:tc>
          <w:tcPr>
            <w:tcW w:type="dxa" w:w="1300"/>
            <w:shd w:fill="B3261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YES</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An LLM-based tool-calling agent applied to humanitarian GIS data is the kind of "innovative use of new technology" WP248 gives as its own example (citing AI/machine-learning applications specifically).</w:t>
            </w:r>
          </w:p>
        </w:tc>
      </w:tr>
      <w:tr>
        <w:tc>
          <w:tcPr>
            <w:tcW w:type="dxa" w:w="3400"/>
            <w:tcMar>
              <w:top w:type="dxa" w:w="80"/>
              <w:left w:type="dxa" w:w="100"/>
              <w:bottom w:type="dxa" w:w="80"/>
              <w:right w:type="dxa" w:w="100"/>
            </w:tcMar>
            <w:vAlign w:val="center"/>
          </w:tcPr>
          <w:p>
            <w:pPr>
              <w:jc w:val="left"/>
            </w:pPr>
            <w:r>
              <w:rPr>
                <w:rFonts w:ascii="Calibri" w:cs="Calibri" w:eastAsia="Calibri" w:hAnsi="Calibri"/>
                <w:sz w:val="19"/>
                <w:szCs w:val="19"/>
              </w:rPr>
              <w:t xml:space="preserve">9. Data transfer outside the EU / preventing exercise of a right</w:t>
            </w:r>
          </w:p>
        </w:tc>
        <w:tc>
          <w:tcPr>
            <w:tcW w:type="dxa" w:w="1300"/>
            <w:shd w:fill="B3261E"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YES</w:t>
            </w:r>
          </w:p>
        </w:tc>
        <w:tc>
          <w:tcPr>
            <w:tcW w:type="dxa" w:w="5700"/>
            <w:tcMar>
              <w:top w:type="dxa" w:w="80"/>
              <w:left w:type="dxa" w:w="100"/>
              <w:bottom w:type="dxa" w:w="80"/>
              <w:right w:type="dxa" w:w="100"/>
            </w:tcMar>
            <w:vAlign w:val="center"/>
          </w:tcPr>
          <w:p>
            <w:pPr>
              <w:jc w:val="left"/>
            </w:pPr>
            <w:r>
              <w:rPr>
                <w:rFonts w:ascii="Calibri" w:cs="Calibri" w:eastAsia="Calibri" w:hAnsi="Calibri"/>
                <w:sz w:val="19"/>
                <w:szCs w:val="19"/>
              </w:rPr>
              <w:t xml:space="preserve">Chat content and any layer/attribute data a tool surfaces is sent to whichever cloud provider is selected -- all four (OpenRouter, Gemini, OpenAI, Claude) are US-headquartered. See SECURITY.md's "International transfer mechanisms" subsection for the mechanism each currently publishes.</w:t>
            </w:r>
          </w:p>
        </w:tc>
      </w:tr>
    </w:tbl>
    <w:p>
      <w:pPr>
        <w:spacing w:after="160" w:before="200"/>
      </w:pPr>
      <w:r>
        <w:rPr>
          <w:rFonts w:ascii="Calibri" w:cs="Calibri" w:eastAsia="Calibri" w:hAnsi="Calibri"/>
          <w:sz w:val="21"/>
          <w:szCs w:val="21"/>
        </w:rPr>
        <w:t xml:space="preserve">Count of criteria triggered YES or LIKELY: 5 of 9 (criteria 1, 4, 6, 7, 8), with a further 3 (criteria 2, 3, 5) plausible depending on deployment. This is well above the EDPB's "two or more" rule-of-thumb threshold for likely-high-risk processing, which is why docs/GDPR_COMPLIANCE_REVIEW.docx's F5 finding states a DPIA is plausibly mandatory. That conclusion is a screening signal, not a substitute for the DPO's own formal determination in Section 6.</w:t>
      </w:r>
    </w:p>
    <w:p>
      <w:r>
        <w:br w:type="page"/>
      </w:r>
    </w:p>
    <w:p>
      <w:pPr>
        <w:pStyle w:val="Heading1"/>
        <w:spacing w:after="200" w:before="360"/>
      </w:pPr>
      <w:r>
        <w:rPr>
          <w:rFonts w:ascii="Calibri" w:cs="Calibri" w:eastAsia="Calibri" w:hAnsi="Calibri"/>
          <w:b/>
          <w:bCs/>
          <w:color w:val="1F3B57"/>
          <w:sz w:val="30"/>
          <w:szCs w:val="30"/>
        </w:rPr>
        <w:t xml:space="preserve">4. Data Inventory (condensed)</w:t>
      </w:r>
    </w:p>
    <w:p>
      <w:pPr>
        <w:spacing w:after="160" w:before="0"/>
      </w:pPr>
      <w:r>
        <w:rPr>
          <w:rFonts w:ascii="Calibri" w:cs="Calibri" w:eastAsia="Calibri" w:hAnsi="Calibri"/>
          <w:sz w:val="21"/>
          <w:szCs w:val="21"/>
        </w:rPr>
        <w:t xml:space="preserve">Full inventory with all eight rows and sourcing detail: docs/GDPR_COMPLIANCE_REVIEW.docx §4. Condensed here for DPIA-drafting convenience.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600"/>
        <w:gridCol w:w="2200"/>
      </w:tblGrid>
      <w:tr>
        <w:trPr>
          <w:tblHeader/>
        </w:trPr>
        <w:tc>
          <w:tcPr>
            <w:tcW w:type="dxa" w:w="24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Data element</w:t>
            </w:r>
          </w:p>
        </w:tc>
        <w:tc>
          <w:tcPr>
            <w:tcW w:type="dxa" w:w="32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Where it lives</w:t>
            </w:r>
          </w:p>
        </w:tc>
        <w:tc>
          <w:tcPr>
            <w:tcW w:type="dxa" w:w="26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Leaves the machine?</w:t>
            </w:r>
          </w:p>
        </w:tc>
        <w:tc>
          <w:tcPr>
            <w:tcW w:type="dxa" w:w="2200"/>
            <w:shd w:fill="1F3B57"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User erasable?</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19"/>
                <w:szCs w:val="19"/>
              </w:rPr>
              <w:t xml:space="preserve">Chat messages (session)</w:t>
            </w:r>
          </w:p>
        </w:tc>
        <w:tc>
          <w:tcPr>
            <w:tcW w:type="dxa" w:w="3200"/>
            <w:tcMar>
              <w:top w:type="dxa" w:w="80"/>
              <w:left w:type="dxa" w:w="100"/>
              <w:bottom w:type="dxa" w:w="80"/>
              <w:right w:type="dxa" w:w="100"/>
            </w:tcMar>
            <w:vAlign w:val="center"/>
          </w:tcPr>
          <w:p>
            <w:pPr>
              <w:jc w:val="left"/>
            </w:pPr>
            <w:r>
              <w:rPr>
                <w:rFonts w:ascii="Calibri" w:cs="Calibri" w:eastAsia="Calibri" w:hAnsi="Calibri"/>
                <w:sz w:val="19"/>
                <w:szCs w:val="19"/>
              </w:rPr>
              <w:t xml:space="preserve">In-memory only, per session</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Yes -- to selected LLM provider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 (not persisted)</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19"/>
                <w:szCs w:val="19"/>
              </w:rPr>
              <w:t xml:space="preserve">Chat history</w:t>
            </w:r>
          </w:p>
        </w:tc>
        <w:tc>
          <w:tcPr>
            <w:tcW w:type="dxa" w:w="3200"/>
            <w:tcMar>
              <w:top w:type="dxa" w:w="80"/>
              <w:left w:type="dxa" w:w="100"/>
              <w:bottom w:type="dxa" w:w="80"/>
              <w:right w:type="dxa" w:w="100"/>
            </w:tcMar>
            <w:vAlign w:val="center"/>
          </w:tcPr>
          <w:p>
            <w:pPr>
              <w:jc w:val="left"/>
            </w:pPr>
            <w:r>
              <w:rPr>
                <w:rFonts w:ascii="Calibri" w:cs="Calibri" w:eastAsia="Calibri" w:hAnsi="Calibri"/>
                <w:sz w:val="19"/>
                <w:szCs w:val="19"/>
              </w:rPr>
              <w:t xml:space="preserve">QgsProject property, inside .qgz</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Only if re-sent later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Yes -- opt-in toggle</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19"/>
                <w:szCs w:val="19"/>
              </w:rPr>
              <w:t xml:space="preserve">Project-scoped memory</w:t>
            </w:r>
          </w:p>
        </w:tc>
        <w:tc>
          <w:tcPr>
            <w:tcW w:type="dxa" w:w="3200"/>
            <w:tcMar>
              <w:top w:type="dxa" w:w="80"/>
              <w:left w:type="dxa" w:w="100"/>
              <w:bottom w:type="dxa" w:w="80"/>
              <w:right w:type="dxa" w:w="100"/>
            </w:tcMar>
            <w:vAlign w:val="center"/>
          </w:tcPr>
          <w:p>
            <w:pPr>
              <w:jc w:val="left"/>
            </w:pPr>
            <w:r>
              <w:rPr>
                <w:rFonts w:ascii="Calibri" w:cs="Calibri" w:eastAsia="Calibri" w:hAnsi="Calibri"/>
                <w:sz w:val="19"/>
                <w:szCs w:val="19"/>
              </w:rPr>
              <w:t xml:space="preserve">Sidecar SQLite + QgsProject property</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Only if referenced later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Yes -- "Clear Project Memory"</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19"/>
                <w:szCs w:val="19"/>
              </w:rPr>
              <w:t xml:space="preserve">Global memory notes</w:t>
            </w:r>
          </w:p>
        </w:tc>
        <w:tc>
          <w:tcPr>
            <w:tcW w:type="dxa" w:w="3200"/>
            <w:tcMar>
              <w:top w:type="dxa" w:w="80"/>
              <w:left w:type="dxa" w:w="100"/>
              <w:bottom w:type="dxa" w:w="80"/>
              <w:right w:type="dxa" w:w="100"/>
            </w:tcMar>
            <w:vAlign w:val="center"/>
          </w:tcPr>
          <w:p>
            <w:pPr>
              <w:jc w:val="left"/>
            </w:pPr>
            <w:r>
              <w:rPr>
                <w:rFonts w:ascii="Calibri" w:cs="Calibri" w:eastAsia="Calibri" w:hAnsi="Calibri"/>
                <w:sz w:val="19"/>
                <w:szCs w:val="19"/>
              </w:rPr>
              <w:t xml:space="preserve">QgsSettings, machine-wide, all projects</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Only if referenced later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No -- no deletion path (F1)</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19"/>
                <w:szCs w:val="19"/>
              </w:rPr>
              <w:t xml:space="preserve">Layer / attribute data</w:t>
            </w:r>
          </w:p>
        </w:tc>
        <w:tc>
          <w:tcPr>
            <w:tcW w:type="dxa" w:w="3200"/>
            <w:tcMar>
              <w:top w:type="dxa" w:w="80"/>
              <w:left w:type="dxa" w:w="100"/>
              <w:bottom w:type="dxa" w:w="80"/>
              <w:right w:type="dxa" w:w="100"/>
            </w:tcMar>
            <w:vAlign w:val="center"/>
          </w:tcPr>
          <w:p>
            <w:pPr>
              <w:jc w:val="left"/>
            </w:pPr>
            <w:r>
              <w:rPr>
                <w:rFonts w:ascii="Calibri" w:cs="Calibri" w:eastAsia="Calibri" w:hAnsi="Calibri"/>
                <w:sz w:val="19"/>
                <w:szCs w:val="19"/>
              </w:rPr>
              <w:t xml:space="preserve">QGIS project (org-controlled)</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Yes -- when a tool surfaces it</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 -- org's own data</w:t>
            </w:r>
          </w:p>
        </w:tc>
      </w:tr>
      <w:tr>
        <w:tc>
          <w:tcPr>
            <w:tcW w:type="dxa" w:w="2400"/>
            <w:tcMar>
              <w:top w:type="dxa" w:w="80"/>
              <w:left w:type="dxa" w:w="100"/>
              <w:bottom w:type="dxa" w:w="80"/>
              <w:right w:type="dxa" w:w="100"/>
            </w:tcMar>
            <w:vAlign w:val="center"/>
          </w:tcPr>
          <w:p>
            <w:pPr>
              <w:jc w:val="left"/>
            </w:pPr>
            <w:r>
              <w:rPr>
                <w:rFonts w:ascii="Calibri" w:cs="Calibri" w:eastAsia="Calibri" w:hAnsi="Calibri"/>
                <w:sz w:val="19"/>
                <w:szCs w:val="19"/>
              </w:rPr>
              <w:t xml:space="preserve">Attached files</w:t>
            </w:r>
          </w:p>
        </w:tc>
        <w:tc>
          <w:tcPr>
            <w:tcW w:type="dxa" w:w="3200"/>
            <w:tcMar>
              <w:top w:type="dxa" w:w="80"/>
              <w:left w:type="dxa" w:w="100"/>
              <w:bottom w:type="dxa" w:w="80"/>
              <w:right w:type="dxa" w:w="100"/>
            </w:tcMar>
            <w:vAlign w:val="center"/>
          </w:tcPr>
          <w:p>
            <w:pPr>
              <w:jc w:val="left"/>
            </w:pPr>
            <w:r>
              <w:rPr>
                <w:rFonts w:ascii="Calibri" w:cs="Calibri" w:eastAsia="Calibri" w:hAnsi="Calibri"/>
                <w:sz w:val="19"/>
                <w:szCs w:val="19"/>
              </w:rPr>
              <w:t xml:space="preserve">Read transiently, passed to model</w:t>
            </w:r>
          </w:p>
        </w:tc>
        <w:tc>
          <w:tcPr>
            <w:tcW w:type="dxa" w:w="2600"/>
            <w:tcMar>
              <w:top w:type="dxa" w:w="80"/>
              <w:left w:type="dxa" w:w="100"/>
              <w:bottom w:type="dxa" w:w="80"/>
              <w:right w:type="dxa" w:w="100"/>
            </w:tcMar>
            <w:vAlign w:val="center"/>
          </w:tcPr>
          <w:p>
            <w:pPr>
              <w:jc w:val="left"/>
            </w:pPr>
            <w:r>
              <w:rPr>
                <w:rFonts w:ascii="Calibri" w:cs="Calibri" w:eastAsia="Calibri" w:hAnsi="Calibri"/>
                <w:sz w:val="19"/>
                <w:szCs w:val="19"/>
              </w:rPr>
              <w:t xml:space="preserve">Yes -- content reaches provider</w:t>
            </w:r>
          </w:p>
        </w:tc>
        <w:tc>
          <w:tcPr>
            <w:tcW w:type="dxa" w:w="2200"/>
            <w:tcMar>
              <w:top w:type="dxa" w:w="80"/>
              <w:left w:type="dxa" w:w="100"/>
              <w:bottom w:type="dxa" w:w="80"/>
              <w:right w:type="dxa" w:w="100"/>
            </w:tcMar>
            <w:vAlign w:val="center"/>
          </w:tcPr>
          <w:p>
            <w:pPr>
              <w:jc w:val="left"/>
            </w:pPr>
            <w:r>
              <w:rPr>
                <w:rFonts w:ascii="Calibri" w:cs="Calibri" w:eastAsia="Calibri" w:hAnsi="Calibri"/>
                <w:sz w:val="19"/>
                <w:szCs w:val="19"/>
              </w:rPr>
              <w:t xml:space="preserve">N/A -- not persisted</w:t>
            </w:r>
          </w:p>
        </w:tc>
      </w:tr>
    </w:tbl>
    <w:p>
      <w:r>
        <w:br w:type="page"/>
      </w:r>
    </w:p>
    <w:p>
      <w:pPr>
        <w:pStyle w:val="Heading1"/>
        <w:spacing w:after="200" w:before="360"/>
      </w:pPr>
      <w:r>
        <w:rPr>
          <w:rFonts w:ascii="Calibri" w:cs="Calibri" w:eastAsia="Calibri" w:hAnsi="Calibri"/>
          <w:b/>
          <w:bCs/>
          <w:color w:val="1F3B57"/>
          <w:sz w:val="30"/>
          <w:szCs w:val="30"/>
        </w:rPr>
        <w:t xml:space="preserve">5. Necessity, Proportionality, and Risk -- Open Questions</w:t>
      </w:r>
    </w:p>
    <w:p>
      <w:pPr>
        <w:spacing w:after="160" w:before="0"/>
      </w:pPr>
      <w:r>
        <w:rPr>
          <w:rFonts w:ascii="Calibri" w:cs="Calibri" w:eastAsia="Calibri" w:hAnsi="Calibri"/>
          <w:sz w:val="21"/>
          <w:szCs w:val="21"/>
        </w:rPr>
        <w:t xml:space="preserve">These cannot be answered from source code alone; they depend on the organization's specific deployment, data, and beneficiary population. Listed here so the assessing team has a concrete starting checklist rather than a blank page.</w:t>
      </w:r>
    </w:p>
    <w:p>
      <w:pPr>
        <w:pStyle w:val="Heading3"/>
        <w:spacing w:after="120" w:before="220"/>
      </w:pPr>
      <w:r>
        <w:rPr>
          <w:rFonts w:ascii="Calibri" w:cs="Calibri" w:eastAsia="Calibri" w:hAnsi="Calibri"/>
          <w:b/>
          <w:bCs/>
          <w:color w:val="333333"/>
          <w:sz w:val="22"/>
          <w:szCs w:val="22"/>
        </w:rPr>
        <w:t xml:space="preserve">Necessity and proportionality</w:t>
      </w:r>
    </w:p>
    <w:p>
      <w:pPr>
        <w:pStyle w:val="ListParagraph"/>
        <w:numPr>
          <w:ilvl w:val="0"/>
          <w:numId w:val="2"/>
        </w:numPr>
        <w:spacing w:after="100"/>
      </w:pPr>
      <w:r>
        <w:rPr>
          <w:rFonts w:ascii="Calibri" w:cs="Calibri" w:eastAsia="Calibri" w:hAnsi="Calibri"/>
          <w:sz w:val="21"/>
          <w:szCs w:val="21"/>
        </w:rPr>
        <w:t xml:space="preserve">Is sending the specific data in question to a cloud LLM provider necessary for the task, or would a local-only (Ollama) deployment achieve the same operational goal without third-country transfer?</w:t>
      </w:r>
    </w:p>
    <w:p>
      <w:pPr>
        <w:pStyle w:val="ListParagraph"/>
        <w:numPr>
          <w:ilvl w:val="0"/>
          <w:numId w:val="2"/>
        </w:numPr>
        <w:spacing w:after="100"/>
      </w:pPr>
      <w:r>
        <w:rPr>
          <w:rFonts w:ascii="Calibri" w:cs="Calibri" w:eastAsia="Calibri" w:hAnsi="Calibri"/>
          <w:sz w:val="21"/>
          <w:szCs w:val="21"/>
        </w:rPr>
        <w:t xml:space="preserve">Can the data be minimized, aggregated, or redacted (e.g. removing names/identifiers, using admin-unit aggregates instead of household-level points) before it reaches a chat request, for the specific workflows this organization plans to use?</w:t>
      </w:r>
    </w:p>
    <w:p>
      <w:pPr>
        <w:pStyle w:val="ListParagraph"/>
        <w:numPr>
          <w:ilvl w:val="0"/>
          <w:numId w:val="2"/>
        </w:numPr>
        <w:spacing w:after="100"/>
      </w:pPr>
      <w:r>
        <w:rPr>
          <w:rFonts w:ascii="Calibri" w:cs="Calibri" w:eastAsia="Calibri" w:hAnsi="Calibri"/>
          <w:sz w:val="21"/>
          <w:szCs w:val="21"/>
        </w:rPr>
        <w:t xml:space="preserve">Is the lawful basis for the underlying humanitarian data processing (Art. 6, and Art. 9 where special-category data is involved) already established in the organization's existing data-protection programme, independent of this tool?</w:t>
      </w:r>
    </w:p>
    <w:p>
      <w:pPr>
        <w:pStyle w:val="Heading3"/>
        <w:spacing w:after="120" w:before="220"/>
      </w:pPr>
      <w:r>
        <w:rPr>
          <w:rFonts w:ascii="Calibri" w:cs="Calibri" w:eastAsia="Calibri" w:hAnsi="Calibri"/>
          <w:b/>
          <w:bCs/>
          <w:color w:val="333333"/>
          <w:sz w:val="22"/>
          <w:szCs w:val="22"/>
        </w:rPr>
        <w:t xml:space="preserve">Risk to data subjects</w:t>
      </w:r>
    </w:p>
    <w:p>
      <w:pPr>
        <w:pStyle w:val="ListParagraph"/>
        <w:numPr>
          <w:ilvl w:val="0"/>
          <w:numId w:val="2"/>
        </w:numPr>
        <w:spacing w:after="100"/>
      </w:pPr>
      <w:r>
        <w:rPr>
          <w:rFonts w:ascii="Calibri" w:cs="Calibri" w:eastAsia="Calibri" w:hAnsi="Calibri"/>
          <w:sz w:val="21"/>
          <w:szCs w:val="21"/>
        </w:rPr>
        <w:t xml:space="preserve">What is the realistic worst-case impact on a beneficiary if a chat message or attached file containing their data were exposed at the provider side (e.g. via a provider security incident) -- physical safety, protection risk, discrimination, or lower-severity inconvenience?</w:t>
      </w:r>
    </w:p>
    <w:p>
      <w:pPr>
        <w:pStyle w:val="ListParagraph"/>
        <w:numPr>
          <w:ilvl w:val="0"/>
          <w:numId w:val="2"/>
        </w:numPr>
        <w:spacing w:after="100"/>
      </w:pPr>
      <w:r>
        <w:rPr>
          <w:rFonts w:ascii="Calibri" w:cs="Calibri" w:eastAsia="Calibri" w:hAnsi="Calibri"/>
          <w:sz w:val="21"/>
          <w:szCs w:val="21"/>
        </w:rPr>
        <w:t xml:space="preserve">Does the population being mapped or scored include groups facing elevated risk from data exposure specifically (e.g. protection caseloads, conflict-affected or displaced populations, minors) beyond the general vulnerability already noted in criterion 7?</w:t>
      </w:r>
    </w:p>
    <w:p>
      <w:pPr>
        <w:pStyle w:val="ListParagraph"/>
        <w:numPr>
          <w:ilvl w:val="0"/>
          <w:numId w:val="2"/>
        </w:numPr>
        <w:spacing w:after="100"/>
      </w:pPr>
      <w:r>
        <w:rPr>
          <w:rFonts w:ascii="Calibri" w:cs="Calibri" w:eastAsia="Calibri" w:hAnsi="Calibri"/>
          <w:sz w:val="21"/>
          <w:szCs w:val="21"/>
        </w:rPr>
        <w:t xml:space="preserve">Are there existing organizational safeguards (data-sharing agreements, beneficiary consent/notice processes, need-to-know access controls on who can use the plugin) that reduce the residual risk from what Section 3's criteria alone would suggest?</w:t>
      </w:r>
    </w:p>
    <w:p>
      <w:pPr>
        <w:pStyle w:val="Heading3"/>
        <w:spacing w:after="120" w:before="220"/>
      </w:pPr>
      <w:r>
        <w:rPr>
          <w:rFonts w:ascii="Calibri" w:cs="Calibri" w:eastAsia="Calibri" w:hAnsi="Calibri"/>
          <w:b/>
          <w:bCs/>
          <w:color w:val="333333"/>
          <w:sz w:val="22"/>
          <w:szCs w:val="22"/>
        </w:rPr>
        <w:t xml:space="preserve">Mitigations already present in the software (Art. 32), for the DPO's residual-risk calculation</w:t>
      </w:r>
    </w:p>
    <w:p>
      <w:pPr>
        <w:pStyle w:val="ListParagraph"/>
        <w:numPr>
          <w:ilvl w:val="0"/>
          <w:numId w:val="2"/>
        </w:numPr>
        <w:spacing w:after="100"/>
      </w:pPr>
      <w:r>
        <w:rPr>
          <w:rFonts w:ascii="Calibri" w:cs="Calibri" w:eastAsia="Calibri" w:hAnsi="Calibri"/>
          <w:sz w:val="21"/>
          <w:szCs w:val="21"/>
        </w:rPr>
        <w:t xml:space="preserve">Encrypted-by-default credential storage with an explicit warning on plaintext fallback (SECURITY.md §4).</w:t>
      </w:r>
    </w:p>
    <w:p>
      <w:pPr>
        <w:pStyle w:val="ListParagraph"/>
        <w:numPr>
          <w:ilvl w:val="0"/>
          <w:numId w:val="2"/>
        </w:numPr>
        <w:spacing w:after="100"/>
      </w:pPr>
      <w:r>
        <w:rPr>
          <w:rFonts w:ascii="Calibri" w:cs="Calibri" w:eastAsia="Calibri" w:hAnsi="Calibri"/>
          <w:sz w:val="21"/>
          <w:szCs w:val="21"/>
        </w:rPr>
        <w:t xml:space="preserve">SSRF guard on fetched URLs, read-only SQL enforcement, and a sandboxed script-execution path (SECURITY.md §2-3, §1).</w:t>
      </w:r>
    </w:p>
    <w:p>
      <w:pPr>
        <w:pStyle w:val="ListParagraph"/>
        <w:numPr>
          <w:ilvl w:val="0"/>
          <w:numId w:val="2"/>
        </w:numPr>
        <w:spacing w:after="100"/>
      </w:pPr>
      <w:r>
        <w:rPr>
          <w:rFonts w:ascii="Calibri" w:cs="Calibri" w:eastAsia="Calibri" w:hAnsi="Calibri"/>
          <w:sz w:val="21"/>
          <w:szCs w:val="21"/>
        </w:rPr>
        <w:t xml:space="preserve">Destructive-action confirmation gates on layer-mutating tools (SECURITY.md §5).</w:t>
      </w:r>
    </w:p>
    <w:p>
      <w:pPr>
        <w:pStyle w:val="ListParagraph"/>
        <w:numPr>
          <w:ilvl w:val="0"/>
          <w:numId w:val="2"/>
        </w:numPr>
        <w:spacing w:after="100"/>
      </w:pPr>
      <w:r>
        <w:rPr>
          <w:rFonts w:ascii="Calibri" w:cs="Calibri" w:eastAsia="Calibri" w:hAnsi="Calibri"/>
          <w:sz w:val="21"/>
          <w:szCs w:val="21"/>
        </w:rPr>
        <w:t xml:space="preserve">Opt-in, default-off chat history persistence with an explicit sharing warning (SECURITY.md §7).</w:t>
      </w:r>
    </w:p>
    <w:p>
      <w:pPr>
        <w:pStyle w:val="ListParagraph"/>
        <w:numPr>
          <w:ilvl w:val="0"/>
          <w:numId w:val="2"/>
        </w:numPr>
        <w:spacing w:after="100"/>
      </w:pPr>
      <w:r>
        <w:rPr>
          <w:rFonts w:ascii="Calibri" w:cs="Calibri" w:eastAsia="Calibri" w:hAnsi="Calibri"/>
          <w:sz w:val="21"/>
          <w:szCs w:val="21"/>
        </w:rPr>
        <w:t xml:space="preserve">As of 2026-09-01: an in-app privacy notice, per-provider DPA links, and documented transfer mechanisms (SECURITY.md's "International transfer mechanisms" subsection) -- see docs/IMPLEMENTATION_TRACKER.md §1.4 for what remains open, notably F1's global-memory erasure gap.</w:t>
      </w:r>
    </w:p>
    <w:p>
      <w:r>
        <w:br w:type="page"/>
      </w:r>
    </w:p>
    <w:p>
      <w:pPr>
        <w:pStyle w:val="Heading1"/>
        <w:spacing w:after="200" w:before="360"/>
      </w:pPr>
      <w:r>
        <w:rPr>
          <w:rFonts w:ascii="Calibri" w:cs="Calibri" w:eastAsia="Calibri" w:hAnsi="Calibri"/>
          <w:b/>
          <w:bCs/>
          <w:color w:val="1F3B57"/>
          <w:sz w:val="30"/>
          <w:szCs w:val="30"/>
        </w:rPr>
        <w:t xml:space="preserve">6. Sign-off (to be completed by the organization's DPO)</w:t>
      </w:r>
    </w:p>
    <w:p>
      <w:pPr>
        <w:spacing w:after="160" w:before="0"/>
      </w:pPr>
      <w:r>
        <w:rPr>
          <w:rFonts w:ascii="Calibri" w:cs="Calibri" w:eastAsia="Calibri" w:hAnsi="Calibri"/>
          <w:sz w:val="21"/>
          <w:szCs w:val="21"/>
        </w:rPr>
        <w:t xml:space="preserve">Nothing above this line constitutes a completed DPIA or a determination that one is or is not required. That determination, and the DPIA itself if one is triggered, must be completed and signed below before this worksheet can be treated as closed.</w:t>
      </w:r>
    </w:p>
    <w:p>
      <w:pPr>
        <w:spacing w:after="80" w:before="200"/>
      </w:pPr>
      <w:r>
        <w:rPr>
          <w:rFonts w:ascii="Calibri" w:cs="Calibri" w:eastAsia="Calibri" w:hAnsi="Calibri"/>
          <w:b/>
          <w:bCs/>
          <w:sz w:val="21"/>
          <w:szCs w:val="21"/>
        </w:rPr>
        <w:t xml:space="preserve">Is a full DPIA required for this deployment?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400"/>
            <w:tcBorders>
              <w:top w:val="single" w:color="AAAAAA" w:sz="3"/>
              <w:left w:val="single" w:color="AAAAAA" w:sz="3"/>
              <w:bottom w:val="single" w:color="AAAAAA" w:sz="3"/>
              <w:right w:val="single" w:color="AAAAAA" w:sz="3"/>
            </w:tcBorders>
            <w:tcMar>
              <w:top w:type="dxa" w:w="120"/>
              <w:left w:type="dxa" w:w="140"/>
              <w:bottom w:type="dxa" w:w="700"/>
              <w:right w:type="dxa" w:w="140"/>
            </w:tcMar>
          </w:tcPr>
          <w:p>
            <w:r>
              <w:rPr>
                <w:rFonts w:ascii="Calibri" w:cs="Calibri" w:eastAsia="Calibri" w:hAnsi="Calibri"/>
                <w:b/>
                <w:bCs/>
                <w:color w:val="666666"/>
                <w:sz w:val="19"/>
                <w:szCs w:val="19"/>
              </w:rPr>
              <w:t xml:space="preserve">YES / NO / PARTIAL (specify) -- reasoning:</w:t>
            </w:r>
          </w:p>
        </w:tc>
      </w:tr>
    </w:tbl>
    <w:p>
      <w:pPr>
        <w:spacing w:after="80" w:before="200"/>
      </w:pPr>
      <w:r>
        <w:rPr>
          <w:rFonts w:ascii="Calibri" w:cs="Calibri" w:eastAsia="Calibri" w:hAnsi="Calibri"/>
          <w:b/>
          <w:bCs/>
          <w:sz w:val="21"/>
          <w:szCs w:val="21"/>
        </w:rPr>
        <w:t xml:space="preserve">If yes, DPIA reference / location: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400"/>
            <w:tcBorders>
              <w:top w:val="single" w:color="AAAAAA" w:sz="3"/>
              <w:left w:val="single" w:color="AAAAAA" w:sz="3"/>
              <w:bottom w:val="single" w:color="AAAAAA" w:sz="3"/>
              <w:right w:val="single" w:color="AAAAAA" w:sz="3"/>
            </w:tcBorders>
            <w:tcMar>
              <w:top w:type="dxa" w:w="120"/>
              <w:left w:type="dxa" w:w="140"/>
              <w:bottom w:type="dxa" w:w="300"/>
              <w:right w:type="dxa" w:w="140"/>
            </w:tcMar>
          </w:tcPr>
          <w:p>
            <w:r>
              <w:rPr>
                <w:rFonts w:ascii="Calibri" w:cs="Calibri" w:eastAsia="Calibri" w:hAnsi="Calibri"/>
                <w:b/>
                <w:bCs/>
                <w:color w:val="666666"/>
                <w:sz w:val="19"/>
                <w:szCs w:val="19"/>
              </w:rPr>
              <w:t xml:space="preserve"/>
            </w:r>
          </w:p>
        </w:tc>
      </w:tr>
    </w:tbl>
    <w:p>
      <w:pPr>
        <w:spacing w:after="80" w:before="200"/>
      </w:pPr>
      <w:r>
        <w:rPr>
          <w:rFonts w:ascii="Calibri" w:cs="Calibri" w:eastAsia="Calibri" w:hAnsi="Calibri"/>
          <w:b/>
          <w:bCs/>
          <w:sz w:val="21"/>
          <w:szCs w:val="21"/>
        </w:rPr>
        <w:t xml:space="preserve">Residual risk determination and any conditions on deployment: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400"/>
            <w:tcBorders>
              <w:top w:val="single" w:color="AAAAAA" w:sz="3"/>
              <w:left w:val="single" w:color="AAAAAA" w:sz="3"/>
              <w:bottom w:val="single" w:color="AAAAAA" w:sz="3"/>
              <w:right w:val="single" w:color="AAAAAA" w:sz="3"/>
            </w:tcBorders>
            <w:tcMar>
              <w:top w:type="dxa" w:w="120"/>
              <w:left w:type="dxa" w:w="140"/>
              <w:bottom w:type="dxa" w:w="700"/>
              <w:right w:type="dxa" w:w="140"/>
            </w:tcMar>
          </w:tcPr>
          <w:p>
            <w:r>
              <w:rPr>
                <w:rFonts w:ascii="Calibri" w:cs="Calibri" w:eastAsia="Calibri" w:hAnsi="Calibri"/>
                <w:b/>
                <w:bCs/>
                <w:color w:val="666666"/>
                <w:sz w:val="19"/>
                <w:szCs w:val="19"/>
              </w:rPr>
              <w:t xml:space="preserve"/>
            </w:r>
          </w:p>
        </w:tc>
      </w:tr>
    </w:tbl>
    <w:p>
      <w:pPr>
        <w:spacing w:after="80" w:before="200"/>
      </w:pPr>
      <w:r>
        <w:rPr>
          <w:rFonts w:ascii="Calibri" w:cs="Calibri" w:eastAsia="Calibri" w:hAnsi="Calibri"/>
          <w:b/>
          <w:bCs/>
          <w:sz w:val="21"/>
          <w:szCs w:val="21"/>
        </w:rPr>
        <w:t xml:space="preserve">Assessed by (name, role):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400"/>
            <w:tcBorders>
              <w:top w:val="single" w:color="AAAAAA" w:sz="3"/>
              <w:left w:val="single" w:color="AAAAAA" w:sz="3"/>
              <w:bottom w:val="single" w:color="AAAAAA" w:sz="3"/>
              <w:right w:val="single" w:color="AAAAAA" w:sz="3"/>
            </w:tcBorders>
            <w:tcMar>
              <w:top w:type="dxa" w:w="120"/>
              <w:left w:type="dxa" w:w="140"/>
              <w:bottom w:type="dxa" w:w="300"/>
              <w:right w:type="dxa" w:w="140"/>
            </w:tcMar>
          </w:tcPr>
          <w:p>
            <w:r>
              <w:rPr>
                <w:rFonts w:ascii="Calibri" w:cs="Calibri" w:eastAsia="Calibri" w:hAnsi="Calibri"/>
                <w:b/>
                <w:bCs/>
                <w:color w:val="666666"/>
                <w:sz w:val="19"/>
                <w:szCs w:val="19"/>
              </w:rPr>
              <w:t xml:space="preserve"/>
            </w:r>
          </w:p>
        </w:tc>
      </w:tr>
    </w:tbl>
    <w:p>
      <w:pPr>
        <w:spacing w:after="80" w:before="200"/>
      </w:pPr>
      <w:r>
        <w:rPr>
          <w:rFonts w:ascii="Calibri" w:cs="Calibri" w:eastAsia="Calibri" w:hAnsi="Calibri"/>
          <w:b/>
          <w:bCs/>
          <w:sz w:val="21"/>
          <w:szCs w:val="21"/>
        </w:rPr>
        <w:t xml:space="preserve">Date: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400"/>
            <w:tcBorders>
              <w:top w:val="single" w:color="AAAAAA" w:sz="3"/>
              <w:left w:val="single" w:color="AAAAAA" w:sz="3"/>
              <w:bottom w:val="single" w:color="AAAAAA" w:sz="3"/>
              <w:right w:val="single" w:color="AAAAAA" w:sz="3"/>
            </w:tcBorders>
            <w:tcMar>
              <w:top w:type="dxa" w:w="120"/>
              <w:left w:type="dxa" w:w="140"/>
              <w:bottom w:type="dxa" w:w="300"/>
              <w:right w:type="dxa" w:w="140"/>
            </w:tcMar>
          </w:tcPr>
          <w:p>
            <w:r>
              <w:rPr>
                <w:rFonts w:ascii="Calibri" w:cs="Calibri" w:eastAsia="Calibri" w:hAnsi="Calibri"/>
                <w:b/>
                <w:bCs/>
                <w:color w:val="666666"/>
                <w:sz w:val="19"/>
                <w:szCs w:val="19"/>
              </w:rPr>
              <w:t xml:space="preserve"/>
            </w:r>
          </w:p>
        </w:tc>
      </w:tr>
    </w:tbl>
    <w:p>
      <w:r>
        <w:br w:type="page"/>
      </w:r>
    </w:p>
    <w:p>
      <w:pPr>
        <w:pStyle w:val="Heading1"/>
        <w:spacing w:after="200" w:before="360"/>
      </w:pPr>
      <w:r>
        <w:rPr>
          <w:rFonts w:ascii="Calibri" w:cs="Calibri" w:eastAsia="Calibri" w:hAnsi="Calibri"/>
          <w:b/>
          <w:bCs/>
          <w:color w:val="1F3B57"/>
          <w:sz w:val="30"/>
          <w:szCs w:val="30"/>
        </w:rPr>
        <w:t xml:space="preserve">7. Sources</w:t>
      </w:r>
    </w:p>
    <w:p>
      <w:pPr>
        <w:pStyle w:val="ListParagraph"/>
        <w:numPr>
          <w:ilvl w:val="0"/>
          <w:numId w:val="2"/>
        </w:numPr>
        <w:spacing w:after="100"/>
      </w:pPr>
      <w:r>
        <w:rPr>
          <w:rFonts w:ascii="Calibri" w:cs="Calibri" w:eastAsia="Calibri" w:hAnsi="Calibri"/>
          <w:sz w:val="21"/>
          <w:szCs w:val="21"/>
        </w:rPr>
        <w:t xml:space="preserve">EDPB, "Guidelines on Data Protection Impact Assessment (DPIA)" (WP248 rev.01) -- the nine screening criteria used in Section 3.</w:t>
      </w:r>
    </w:p>
    <w:p>
      <w:pPr>
        <w:pStyle w:val="ListParagraph"/>
        <w:numPr>
          <w:ilvl w:val="0"/>
          <w:numId w:val="2"/>
        </w:numPr>
        <w:spacing w:after="100"/>
      </w:pPr>
      <w:r>
        <w:rPr>
          <w:rFonts w:ascii="Consolas" w:cs="Consolas" w:eastAsia="Consolas" w:hAnsi="Consolas"/>
          <w:color w:val="5B2AA3"/>
          <w:sz w:val="19"/>
          <w:szCs w:val="19"/>
        </w:rPr>
        <w:t xml:space="preserve">docs/GDPR_COMPLIANCE_REVIEW.docx</w:t>
      </w:r>
      <w:r>
        <w:rPr>
          <w:rFonts w:ascii="Calibri" w:cs="Calibri" w:eastAsia="Calibri" w:hAnsi="Calibri"/>
          <w:sz w:val="20"/>
          <w:szCs w:val="20"/>
        </w:rPr>
        <w:t xml:space="preserve"> -- the full 13-finding review this worksheet's Section 2-4 content is drawn from (F5, §3, §4).</w:t>
      </w:r>
    </w:p>
    <w:p>
      <w:pPr>
        <w:pStyle w:val="ListParagraph"/>
        <w:numPr>
          <w:ilvl w:val="0"/>
          <w:numId w:val="2"/>
        </w:numPr>
        <w:spacing w:after="100"/>
      </w:pPr>
      <w:r>
        <w:rPr>
          <w:rFonts w:ascii="Consolas" w:cs="Consolas" w:eastAsia="Consolas" w:hAnsi="Consolas"/>
          <w:color w:val="5B2AA3"/>
          <w:sz w:val="19"/>
          <w:szCs w:val="19"/>
        </w:rPr>
        <w:t xml:space="preserve">SECURITY.md</w:t>
      </w:r>
      <w:r>
        <w:rPr>
          <w:rFonts w:ascii="Calibri" w:cs="Calibri" w:eastAsia="Calibri" w:hAnsi="Calibri"/>
          <w:sz w:val="20"/>
          <w:szCs w:val="20"/>
        </w:rPr>
        <w:t xml:space="preserve"> -- "Data protection" section, including the 2026-09-01 "International transfer mechanisms" subsection.</w:t>
      </w:r>
    </w:p>
    <w:p>
      <w:pPr>
        <w:pStyle w:val="ListParagraph"/>
        <w:numPr>
          <w:ilvl w:val="0"/>
          <w:numId w:val="2"/>
        </w:numPr>
        <w:spacing w:after="100"/>
      </w:pPr>
      <w:r>
        <w:rPr>
          <w:rFonts w:ascii="Consolas" w:cs="Consolas" w:eastAsia="Consolas" w:hAnsi="Consolas"/>
          <w:color w:val="5B2AA3"/>
          <w:sz w:val="19"/>
          <w:szCs w:val="19"/>
        </w:rPr>
        <w:t xml:space="preserve">docs/TOOLS_REFERENCE.md</w:t>
      </w:r>
      <w:r>
        <w:rPr>
          <w:rFonts w:ascii="Calibri" w:cs="Calibri" w:eastAsia="Calibri" w:hAnsi="Calibri"/>
          <w:sz w:val="20"/>
          <w:szCs w:val="20"/>
        </w:rPr>
        <w:t xml:space="preserve"> -- tool descriptions cited as evidence for criteria 1 and 6.</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Cartogen AI -- DPIA Screening Worksheet -- 2026-09-01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2026-09-01T07:07:29.069Z</dcterms:created>
  <dcterms:modified xsi:type="dcterms:W3CDTF">2026-09-01T07:07:29.087Z</dcterms:modified>
</cp:coreProperties>
</file>

<file path=docProps/custom.xml><?xml version="1.0" encoding="utf-8"?>
<Properties xmlns="http://schemas.openxmlformats.org/officeDocument/2006/custom-properties" xmlns:vt="http://schemas.openxmlformats.org/officeDocument/2006/docPropsVTypes"/>
</file>