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/>
      </w:pPr>
      <w:r>
        <w:rPr/>
        <w:t>Manual do Colaborador</w:t>
      </w:r>
    </w:p>
    <w:tbl>
      <w:tblPr>
        <w:tblW w:w="28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26"/>
        <w:gridCol w:w="1463"/>
      </w:tblGrid>
      <w:tr>
        <w:trPr/>
        <w:tc>
          <w:tcPr>
            <w:tcW w:w="142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Benefício</w:t>
            </w:r>
          </w:p>
        </w:tc>
        <w:tc>
          <w:tcPr>
            <w:tcW w:w="1463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Valor</w:t>
            </w:r>
          </w:p>
        </w:tc>
      </w:tr>
      <w:tr>
        <w:trPr/>
        <w:tc>
          <w:tcPr>
            <w:tcW w:w="142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Vale-refeição</w:t>
            </w:r>
          </w:p>
        </w:tc>
        <w:tc>
          <w:tcPr>
            <w:tcW w:w="1463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R$ 40 por dia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  <w:t>O plano de saúde cobre dependentes diretos.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LibreOffice/26.2.6.3$Linux_X86_64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