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A9EDE35">
      <w:pPr>
        <w:pStyle w:val="000002"/>
        <w:keepNext w:val="1"/>
        <w:keepLines w:val="1"/>
        <w:pBdr>
          <w:bottom w:val="single" w:color="12395b" w:sz="12" w:space="8"/>
        </w:pBdr>
        <w:spacing w:before="100" w:beforeAutospacing="1" w:after="100" w:afterAutospacing="1" w:line="403"/>
        <w:outlineLvl w:val="0"/>
        <w:rPr>
          <w:color w:val="12395b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38"/>
        </w:rPr>
        <w:t>AI 数智化交付报价单</w:t>
      </w:r>
    </w:p>
    <w:p w14:paraId="24D96A2E">
      <w:pPr>
        <w:spacing w:line="403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报价编号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：FSG-AI-2026-1023-01　|　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报价日期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：2026-10-23　|　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有效期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：30 个自然日</w:t>
      </w:r>
    </w:p>
    <w:p w14:paraId="532E4309">
      <w:pPr>
        <w:pStyle w:val="000003"/>
        <w:keepNext w:val="1"/>
        <w:keepLines w:val="1"/>
        <w:pBdr>
          <w:left w:val="single" w:color="12395b" w:sz="24" w:space="8"/>
        </w:pBdr>
        <w:spacing w:before="360" w:beforeAutospacing="1" w:after="360" w:afterAutospacing="1" w:line="403"/>
        <w:ind w:left="360" w:right="36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28"/>
        </w:rPr>
        <w:t>一、客户与项目信息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F3D0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F990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864A9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客户名称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F12EE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上海外服（集团）有限公司 · 人才派遣业务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29257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项目名称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BC978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岗位服务需求单版本交接与人工复核 · AI 数智化（试点）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F7F18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试点范围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7A583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 个批次、30 个岗位；脱敏只读导出；不含写回与外部消息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B2C83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交付周期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55979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合同生效后 4 周（试点交付）+ 90 天（运维与优化）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9C9C9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覆盖断点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53E34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口头变更无留痕、版本靠猜、交接单引用旧技能、交接信息不完整、审计只留摘要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9B25C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计价方式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349C3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试点期固定总价（整包）；算力按量计量并设封顶；运营期转基础费 + 效果浮动</w:t>
            </w:r>
          </w:p>
        </w:tc>
      </w:tr>
    </w:tbl>
    <w:p w14:paraId="23801DA1">
      <w:pPr>
        <w:pStyle w:val="000003"/>
        <w:keepNext w:val="1"/>
        <w:keepLines w:val="1"/>
        <w:pBdr>
          <w:left w:val="single" w:color="12395b" w:sz="24" w:space="8"/>
        </w:pBdr>
        <w:spacing w:before="360" w:beforeAutospacing="1" w:after="360" w:afterAutospacing="1" w:line="403"/>
        <w:ind w:left="360" w:right="36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28"/>
        </w:rPr>
        <w:t>二、报价说明：为什么按九个科目报，而不是只报"开发 XX 人天"</w:t>
      </w:r>
    </w:p>
    <w:p w14:paraId="465DBE30">
      <w:pPr>
        <w:spacing w:line="403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行业内常见做法是报价单只写一行"开发 XX 人天"。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但开发只是九个成本科目里的一个——只报了九分之一。</w:t>
      </w:r>
    </w:p>
    <w:p w14:paraId="57002A34">
      <w:pPr>
        <w:spacing w:line="403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把其余八个科目摊到桌面上，价格才有锚；客户也才有机会判断哪些是他真正需要买的。本报价因此逐项列示九大科目，并在其后单列三项要件（公司管理分摊、风险准备、利润）。</w:t>
      </w:r>
    </w:p>
    <w:p w14:paraId="020036EA">
      <w:pPr>
        <w:pBdr>
          <w:left w:val="single" w:color="7a9bb8" w:sz="18"/>
        </w:pBdr>
        <w:shd w:val="clear" w:fill="f5f7f9"/>
        <w:spacing w:before="160" w:after="160" w:line="403"/>
        <w:ind w:left="240" w:right="160"/>
        <w:jc w:val="both"/>
        <w:rPr>
          <w:color w:val="33475b"/>
        </w:rPr>
      </w:pPr>
      <w:r>
        <w:rPr>
          <w:rFonts w:hint="eastAsia" w:ascii="Microsoft YaHei" w:hAnsi="Microsoft YaHei" w:eastAsia="Microsoft YaHei" w:cs="Microsoft YaHei"/>
          <w:b w:val="1"/>
          <w:color w:val="33475b"/>
          <w:sz w:val="21"/>
        </w:rPr>
        <w:t>需要特别注意第 04 项。</w:t>
      </w:r>
      <w:r>
        <w:rPr>
          <w:rFonts w:hint="eastAsia" w:ascii="Microsoft YaHei" w:hAnsi="Microsoft YaHei" w:eastAsia="Microsoft YaHei" w:cs="Microsoft YaHei"/>
          <w:color w:val="33475b"/>
          <w:sz w:val="21"/>
        </w:rPr>
        <w:t xml:space="preserve"> 2026 年最大的变量是 AI 数据资产建设成本。随着「加大模型、智能体、Token 等新兴服务采购力度」成为政策方向，客户的关注点会从"你写了几行代码"转向"我的数据准备好了吗、Token 够不够用"。先把知识资产建设这一笔算清楚、写成客户看得懂的条目，反而更容易拿到定价权。</w:t>
      </w:r>
    </w:p>
    <w:p w14:paraId="22EDE712">
      <w:pPr>
        <w:pStyle w:val="000003"/>
        <w:keepNext w:val="1"/>
        <w:keepLines w:val="1"/>
        <w:pBdr>
          <w:left w:val="single" w:color="12395b" w:sz="24" w:space="8"/>
        </w:pBdr>
        <w:spacing w:before="360" w:beforeAutospacing="1" w:after="360" w:afterAutospacing="1" w:line="403"/>
        <w:ind w:left="360" w:right="36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28"/>
        </w:rPr>
        <w:t>三、计价方式选择：为什么不用纯人天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D467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计价方式</w:t>
            </w:r>
          </w:p>
        </w:tc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68E8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客户买的是什么</w:t>
            </w:r>
          </w:p>
        </w:tc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7DE9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最大风险</w:t>
            </w:r>
          </w:p>
        </w:tc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EA5E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本项目是否采用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BE539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人天 / T&amp;M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E1232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你的时间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2DBAB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变更失控吃利润；客户无价格锚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99282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否（无法自证"省了多少"）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56E31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功能点 / 规模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33E84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可度量的功能范围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CF19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功能点认定争议大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A645E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7B67C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固定总价 / 整包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7AC57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一个确定的结果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35B1E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范围蔓延直接吃毛利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36B31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采用（试点期）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13AA5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订阅 / 年费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2B9FC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持续可用的能力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CECD3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客户不续费即归零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2AF8B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转运营后可选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6378B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用量计量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7F6E8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用得多付得多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265B2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成本不可控，须设封顶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9320D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采用（仅科目 07）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7804E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效果付费 / 分成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1ED5F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可验证的业务结果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20047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基线不稳、归因扯皮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B4F9F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采用（运营期浮动部分）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39695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基础费 + 效果浮动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8FDC8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交付能力 + 结果红利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A80FC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事前须把公式写死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A9203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推荐用于运营期</w:t>
            </w:r>
          </w:p>
        </w:tc>
      </w:tr>
    </w:tbl>
    <w:p w14:paraId="5F247D89">
      <w:pPr>
        <w:spacing w:line="403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本项目组合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：试点期用固定总价锁定范围（30 岗位 / 只读 / 4 周已冻结）；科目 07 算力按实际用量结算并设封顶，避免 Token 空耗转嫁；运营期转为「基础费 + 效果浮动」，浮动部分与确认完整率、返工次数挂钩。</w:t>
      </w:r>
    </w:p>
    <w:p w14:paraId="2B4F7318">
      <w:pPr>
        <w:pStyle w:val="000003"/>
        <w:keepNext w:val="1"/>
        <w:keepLines w:val="1"/>
        <w:pBdr>
          <w:left w:val="single" w:color="12395b" w:sz="24" w:space="8"/>
        </w:pBdr>
        <w:spacing w:before="360" w:beforeAutospacing="1" w:after="360" w:afterAutospacing="1" w:line="403"/>
        <w:ind w:left="360" w:right="36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28"/>
        </w:rPr>
        <w:t>四、九大成本科目明细</w:t>
      </w:r>
    </w:p>
    <w:p w14:paraId="00A4EC91">
      <w:pPr>
        <w:spacing w:line="403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单价口径：高级 FDE 3,600 元/人天；中级 FDE 2,800 元/人天；交付助理 1,800 元/人天。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0AE9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编号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9808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成本科目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56F9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交付内容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62F9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人天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E772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金额（元）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B87EF6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01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BBE34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售前与机会成本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F3A8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需求澄清、方案交流、POC 演示、诊断工作坊。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没中标也照花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E4BC4A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D722B9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12,800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680A3F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02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671F8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诊断与场景梳理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2956E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六视角访谈、现状流程还原（13 步 / 5 断点）、失败方式与影响面分析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F79C0C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D32647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17,600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600EE2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03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613E7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方案与架构设计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7AFDC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技术选型、数据流设计、评测集（Golden Set）设计、安全与权限架构、验收标准定义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CD75AB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21623B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20,000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B019BC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04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7E45A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数据与知识资产建设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35FDF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字段契约（岗位代号/地点/班次/技能条件/版本/确认人）、清洗、脱敏、索引与切片；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Token 空耗的真正源头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A3FBC5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8FEF8C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28,800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10076C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05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11229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集成与工程实施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43633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服务台 / 业务台账 / 文件库三类工具只读对接、私有化部署、编排与人工回路实现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3D69B7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1809AE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36,000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AFFC03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06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A8089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评测与安全合规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3E428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幻觉测试、越权与注入测试、审计留痕、数据分级、脱敏与留存评审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9038FE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F58AF8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20,000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07AA00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07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049F8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算力与模型调用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E0180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推理 Token、向量库、第三方 API（OCR/ASR）。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按量计量，可随规模波动，单独结算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52412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按量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C8382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6,000（封顶 9,000）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B92D5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08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B81BD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部署上线与培训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2AFC7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生产环境发布、操作手册、应急演练、用户培训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517CFD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6D6EE4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11,000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E2C174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09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DC9BD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运维与持续优化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95B6A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监控、Prompt 迭代、故障响应（90 天）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C4ADD0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D819B1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20,400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6EDFB1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2641B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九科目小计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F009C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人天合计 57 人天（不含 07 按量部分）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0643A3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57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049D1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172,600</w:t>
            </w:r>
          </w:p>
        </w:tc>
      </w:tr>
    </w:tbl>
    <w:p w14:paraId="38932F17">
      <w:pPr>
        <w:pStyle w:val="000003"/>
        <w:keepNext w:val="1"/>
        <w:keepLines w:val="1"/>
        <w:pBdr>
          <w:left w:val="single" w:color="12395b" w:sz="24" w:space="8"/>
        </w:pBdr>
        <w:spacing w:before="360" w:beforeAutospacing="1" w:after="360" w:afterAutospacing="1" w:line="403"/>
        <w:ind w:left="360" w:right="36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28"/>
        </w:rPr>
        <w:t>五、三项要件与合计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24F1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项目</w:t>
            </w:r>
          </w:p>
        </w:tc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BBE0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计提口径</w:t>
            </w:r>
          </w:p>
        </w:tc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8979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金额（元）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41246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九科目小计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F6DEF3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F80B0A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172,600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E7E59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公司管理分摊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56403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小计 × 12%（销售、行政、房租、设备）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735632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20,712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39323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风险准备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8C891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小计 × 6%（需求变更、排他性、验收争议）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A91D5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10,356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18099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利润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7DF6E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小计 × 15%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1DC0E4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25,890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C6407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未税合计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780BF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7F1D72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229,558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C5896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增值税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7FBC0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6%（信息技术服务）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003643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13,773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C80AC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价税合计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7ED711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6152B6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243,331</w:t>
            </w:r>
          </w:p>
        </w:tc>
      </w:tr>
    </w:tbl>
    <w:p w14:paraId="0E83A60B">
      <w:pPr>
        <w:pBdr>
          <w:left w:val="single" w:color="7a9bb8" w:sz="18"/>
        </w:pBdr>
        <w:shd w:val="clear" w:fill="f5f7f9"/>
        <w:spacing w:before="160" w:after="160" w:line="403"/>
        <w:ind w:left="240" w:right="160"/>
        <w:jc w:val="both"/>
        <w:rPr>
          <w:color w:val="33475b"/>
        </w:rPr>
      </w:pPr>
      <w:r>
        <w:rPr>
          <w:rFonts w:hint="eastAsia" w:ascii="Microsoft YaHei" w:hAnsi="Microsoft YaHei" w:eastAsia="Microsoft YaHei" w:cs="Microsoft YaHei"/>
          <w:color w:val="33475b"/>
          <w:sz w:val="21"/>
        </w:rPr>
        <w:t>这三项不属于"可砍的服务项"，而是任何交付都必须覆盖的成本结构。把它们隐去只会在项目后期以变更单的形式回来。</w:t>
      </w:r>
    </w:p>
    <w:p w14:paraId="5A035E86">
      <w:pPr>
        <w:pStyle w:val="000003"/>
        <w:keepNext w:val="1"/>
        <w:keepLines w:val="1"/>
        <w:pBdr>
          <w:left w:val="single" w:color="12395b" w:sz="24" w:space="8"/>
        </w:pBdr>
        <w:spacing w:before="360" w:beforeAutospacing="1" w:after="360" w:afterAutospacing="1" w:line="403"/>
        <w:ind w:left="360" w:right="36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28"/>
        </w:rPr>
        <w:t>六、付款节点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43F8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节点</w:t>
            </w:r>
          </w:p>
        </w:tc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89F9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比例</w:t>
            </w:r>
          </w:p>
        </w:tc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5EE6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金额（含税，元）</w:t>
            </w:r>
          </w:p>
        </w:tc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55EA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触发条件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CB6AC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首付款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58FA57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30%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74F81C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73,000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0EDDA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合同生效、试点范围确认书签署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2AC1B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试点验收款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B92E3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50%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BE3EBB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121,666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23AC4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第九节验收标准全部达成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FA5CD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运维尾款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7598A2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20%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69EE6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48,665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0171E4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90 天运维期满、复盘记录归档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9EEC7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合计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4B1A7E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100%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4A47C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243,331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900B6A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</w:tbl>
    <w:p w14:paraId="5DA42D02">
      <w:pPr>
        <w:pStyle w:val="000003"/>
        <w:keepNext w:val="1"/>
        <w:keepLines w:val="1"/>
        <w:pBdr>
          <w:left w:val="single" w:color="12395b" w:sz="24" w:space="8"/>
        </w:pBdr>
        <w:spacing w:before="360" w:beforeAutospacing="1" w:after="360" w:afterAutospacing="1" w:line="403"/>
        <w:ind w:left="360" w:right="36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28"/>
        </w:rPr>
        <w:t>七、交付物清单</w:t>
      </w:r>
    </w:p>
    <w:p w14:paraId="09967AED">
      <w:pPr>
        <w:numPr>
          <w:ilvl w:val="0"/>
          <w:numId w:val="1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现状与目标流程图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：As-Is 13 步 / 5 断点；To-Be 含 5 个判断点与分支（含 JPG 与可编辑源文件）。</w:t>
      </w:r>
    </w:p>
    <w:p w14:paraId="574A7CFD">
      <w:pPr>
        <w:numPr>
          <w:ilvl w:val="0"/>
          <w:numId w:val="1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字段契约文档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：六项关键字段的定义、缺失值与未确认值的区分口径。</w:t>
      </w:r>
    </w:p>
    <w:p w14:paraId="0E6C3948">
      <w:pPr>
        <w:numPr>
          <w:ilvl w:val="0"/>
          <w:numId w:val="1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一页缺项清单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：30 个岗位的硬条件、待确认项及对应来源位置（可点击回溯原文）。</w:t>
      </w:r>
    </w:p>
    <w:p w14:paraId="6C4A2301">
      <w:pPr>
        <w:numPr>
          <w:ilvl w:val="0"/>
          <w:numId w:val="1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版本与时效规则书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：双时间轴字段定义、版本双条件判定逻辑、作废与覆盖规则。</w:t>
      </w:r>
    </w:p>
    <w:p w14:paraId="71D87A72">
      <w:pPr>
        <w:numPr>
          <w:ilvl w:val="0"/>
          <w:numId w:val="1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人工回路配置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：审批节点、具名确认人清单接口、超时升级规则。</w:t>
      </w:r>
    </w:p>
    <w:p w14:paraId="766DEFA8">
      <w:pPr>
        <w:numPr>
          <w:ilvl w:val="0"/>
          <w:numId w:val="1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审计留痕方案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：谁查过 / 用哪版 / 提了什么建议 / 谁确认的查询口径。</w:t>
      </w:r>
    </w:p>
    <w:p w14:paraId="265B5612">
      <w:pPr>
        <w:numPr>
          <w:ilvl w:val="0"/>
          <w:numId w:val="1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评测报告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：幻觉率、锚定失败率、返工次数、确认完整率。</w:t>
      </w:r>
    </w:p>
    <w:p w14:paraId="1580CAC8">
      <w:pPr>
        <w:numPr>
          <w:ilvl w:val="0"/>
          <w:numId w:val="1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操作手册与培训材料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：面向一线专员与复核人各一份。</w:t>
      </w:r>
    </w:p>
    <w:p w14:paraId="663FF458">
      <w:pPr>
        <w:pStyle w:val="000003"/>
        <w:keepNext w:val="1"/>
        <w:keepLines w:val="1"/>
        <w:pBdr>
          <w:left w:val="single" w:color="12395b" w:sz="24" w:space="8"/>
        </w:pBdr>
        <w:spacing w:before="360" w:beforeAutospacing="1" w:after="360" w:afterAutospacing="1" w:line="403"/>
        <w:ind w:left="360" w:right="36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28"/>
        </w:rPr>
        <w:t>八、不含项与责任边界</w:t>
      </w:r>
    </w:p>
    <w:p w14:paraId="45BE6C63">
      <w:pPr>
        <w:spacing w:line="403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以下内容明确不在本报价范围内：</w:t>
      </w:r>
    </w:p>
    <w:p w14:paraId="7A64C8FE">
      <w:pPr>
        <w:numPr>
          <w:ilvl w:val="0"/>
          <w:numId w:val="2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写回、外部消息与执行接口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——试点仅开放脱敏只读导出。若后续需要写回，另行评估。</w:t>
      </w:r>
    </w:p>
    <w:p w14:paraId="3BD9D5B7">
      <w:pPr>
        <w:numPr>
          <w:ilvl w:val="0"/>
          <w:numId w:val="2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自动决定录用或派遣资格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——系统不自动决定录用/派遣资格，不向真实人员发送安排；对外承诺仍由业务人员确认。</w:t>
      </w:r>
    </w:p>
    <w:p w14:paraId="1D3D6469">
      <w:pPr>
        <w:numPr>
          <w:ilvl w:val="0"/>
          <w:numId w:val="2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客户侧工具改造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——服务台、台账、文件库的接口开发与字段扩展由客户方负责。</w:t>
      </w:r>
    </w:p>
    <w:p w14:paraId="30813D22">
      <w:pPr>
        <w:numPr>
          <w:ilvl w:val="0"/>
          <w:numId w:val="2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超出 30 岗位的批量处理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——扩面需另行报价，并按第 07 项重新核算用量。</w:t>
      </w:r>
    </w:p>
    <w:p w14:paraId="6112917E">
      <w:pPr>
        <w:numPr>
          <w:ilvl w:val="0"/>
          <w:numId w:val="2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真实个人字段的长期留存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——按项目约定在练习结束后删除虚构个人字段，不留存原始个人数据。</w:t>
      </w:r>
    </w:p>
    <w:p w14:paraId="6DD84A69">
      <w:pPr>
        <w:numPr>
          <w:ilvl w:val="0"/>
          <w:numId w:val="2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硬件与网络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——服务器、GPU、专线等基础设施由客户提供或另行采购。</w:t>
      </w:r>
    </w:p>
    <w:p w14:paraId="3848CBE4">
      <w:pPr>
        <w:pStyle w:val="000003"/>
        <w:keepNext w:val="1"/>
        <w:keepLines w:val="1"/>
        <w:pBdr>
          <w:left w:val="single" w:color="12395b" w:sz="24" w:space="8"/>
        </w:pBdr>
        <w:spacing w:before="360" w:beforeAutospacing="1" w:after="360" w:afterAutospacing="1" w:line="403"/>
        <w:ind w:left="360" w:right="36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28"/>
        </w:rPr>
        <w:t>九、验收标准</w:t>
      </w:r>
    </w:p>
    <w:p w14:paraId="24EAB30C">
      <w:pPr>
        <w:spacing w:line="403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验收同时满足以下三项方为通过：</w:t>
      </w:r>
    </w:p>
    <w:p w14:paraId="4565F6D2">
      <w:pPr>
        <w:numPr>
          <w:ilvl w:val="0"/>
          <w:numId w:val="3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完整性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：30 个岗位全部列出硬条件与待确认项，且每项变更有影响清单。</w:t>
      </w:r>
    </w:p>
    <w:p w14:paraId="48D8418B">
      <w:pPr>
        <w:numPr>
          <w:ilvl w:val="0"/>
          <w:numId w:val="3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可追溯性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：每条结果关联来源位置与人工复核记录，无法锚定的条目全部进入人工队列且有具名接收人。</w:t>
      </w:r>
    </w:p>
    <w:p w14:paraId="43C84247">
      <w:pPr>
        <w:numPr>
          <w:ilvl w:val="0"/>
          <w:numId w:val="3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效果口径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：处理工时、返工次数、确认完整率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三项同时评估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，不使用单一效率指标解释效果。</w:t>
      </w:r>
    </w:p>
    <w:p w14:paraId="6801361D">
      <w:pPr>
        <w:pBdr>
          <w:left w:val="single" w:color="7a9bb8" w:sz="18"/>
        </w:pBdr>
        <w:shd w:val="clear" w:fill="f5f7f9"/>
        <w:spacing w:before="160" w:after="160" w:line="403"/>
        <w:ind w:left="240" w:right="160"/>
        <w:jc w:val="both"/>
        <w:rPr>
          <w:color w:val="33475b"/>
        </w:rPr>
      </w:pPr>
      <w:r>
        <w:rPr>
          <w:rFonts w:hint="eastAsia" w:ascii="Microsoft YaHei" w:hAnsi="Microsoft YaHei" w:eastAsia="Microsoft YaHei" w:cs="Microsoft YaHei"/>
          <w:color w:val="33475b"/>
          <w:sz w:val="21"/>
        </w:rPr>
        <w:t>注：效果浮动部分须在合同签署前冻结基线值。基线未冻结前，浮动比例按 0 计，避免事后归因争议。</w:t>
      </w:r>
    </w:p>
    <w:p w14:paraId="45836F8D">
      <w:pPr>
        <w:pStyle w:val="000003"/>
        <w:keepNext w:val="1"/>
        <w:keepLines w:val="1"/>
        <w:pBdr>
          <w:left w:val="single" w:color="12395b" w:sz="24" w:space="8"/>
        </w:pBdr>
        <w:spacing w:before="360" w:beforeAutospacing="1" w:after="360" w:afterAutospacing="1" w:line="403"/>
        <w:ind w:left="360" w:right="36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28"/>
        </w:rPr>
        <w:t>十、生效条件</w:t>
      </w:r>
    </w:p>
    <w:p w14:paraId="315DA64D">
      <w:pPr>
        <w:numPr>
          <w:ilvl w:val="0"/>
          <w:numId w:val="4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本报价有效期为 30 个自然日，逾期需重新核价。</w:t>
      </w:r>
    </w:p>
    <w:p w14:paraId="3EEE8299">
      <w:pPr>
        <w:numPr>
          <w:ilvl w:val="0"/>
          <w:numId w:val="4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试点范围以双方签署的《试点范围确认书》为准；范围变更按变更单处理。</w:t>
      </w:r>
    </w:p>
    <w:p w14:paraId="17F2A9DE">
      <w:pPr>
        <w:numPr>
          <w:ilvl w:val="0"/>
          <w:numId w:val="4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报价基于当前已知的三类工具接口能力；若接口不可用需改用人工上传，工期与费用另议。</w:t>
      </w:r>
    </w:p>
    <w:p w14:paraId="2EDE86CB">
      <w:pPr>
        <w:numPr>
          <w:ilvl w:val="0"/>
          <w:numId w:val="4"/>
        </w:numPr>
        <w:pBdr>
          <w:left w:space="20"/>
        </w:pBdr>
        <w:spacing w:before="100" w:after="100" w:line="403"/>
        <w:ind w:left="100" w:right="10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本报价不含因客户方决策延迟导致的等待成本。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F344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供方</w:t>
            </w:r>
          </w:p>
        </w:tc>
        <w:tc>
          <w:tcPr>
            <w:tcW w:w="4153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C67A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需方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5ACE7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签字：＿＿＿＿＿＿＿＿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D6599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签字：＿＿＿＿＿＿＿＿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65A8A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日期：＿＿＿＿＿＿＿＿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D7350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日期：＿＿＿＿＿＿＿＿</w:t>
            </w:r>
          </w:p>
        </w:tc>
      </w:tr>
    </w:tbl>
    <w:p w14:paraId="3BCE6189">
      <w:pPr>
        <w:spacing w:line="403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i w:val="1"/>
          <w:color w:val="666666"/>
          <w:sz w:val="21"/>
        </w:rPr>
        <w:t>本报价单依据 FDE 交付九大成本科目与六种计价方式框架编制。金额为试点范围估算，最终以合同为准。</w:t>
      </w:r>
    </w:p>
    <w:p w14:paraId="5D810D38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0"/>
  </w:num>
  <w:num w:numId="4">
    <w:abstractNumId w:val="1"/>
  </w:num>
  <w:num w:numId="2">
    <w:abstractNumId w:val="3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rmal Indent" w:semiHidden="1" w:unhideWhenUsed="1"/>
    <w:lsdException w:name="index 5" w:semiHidden="1" w:unhideWhenUsed="1"/>
    <w:lsdException w:name="Body Text" w:semiHidden="1" w:unhideWhenUsed="1"/>
    <w:lsdException w:name="page number" w:semiHidden="1" w:unhideWhenUsed="1"/>
    <w:lsdException w:name="List Number 2" w:semiHidden="1" w:unhideWhenUsed="1"/>
    <w:lsdException w:name="toc 2" w:uiPriority="39" w:semiHidden="1" w:unhideWhenUsed="1"/>
    <w:lsdException w:name="toc 4" w:uiPriority="39" w:semiHidden="1" w:unhideWhenUsed="1"/>
    <w:lsdException w:name="annotation reference" w:semiHidden="1" w:unhideWhenUsed="1"/>
    <w:lsdException w:name="heading 6" w:uiPriority="9" w:semiHidden="1" w:unhideWhenUsed="1" w:qFormat="1"/>
    <w:lsdException w:name="heading 8" w:uiPriority="9" w:semiHidden="1" w:unhideWhenUsed="1" w:qFormat="1"/>
    <w:lsdException w:name="footnote reference" w:semiHidden="1" w:unhideWhenUsed="1"/>
    <w:lsdException w:name="List 4" w:semiHidden="1" w:unhideWhenUsed="1"/>
    <w:lsdException w:name="index 9" w:semiHidden="1" w:unhideWhenUsed="1"/>
    <w:lsdException w:name="heading 9" w:uiPriority="9" w:semiHidden="1" w:unhideWhenUsed="1" w:qFormat="1"/>
    <w:lsdException w:name="Subtitle" w:uiPriority="11" w:qFormat="1"/>
    <w:lsdException w:name="toc 9" w:uiPriority="39" w:semiHidden="1" w:unhideWhenUsed="1"/>
    <w:lsdException w:name="Hyperlink" w:semiHidden="1" w:unhideWhenUsed="1"/>
    <w:lsdException w:name="index 3" w:semiHidden="1" w:unhideWhenUsed="1"/>
    <w:lsdException w:name="index 1" w:semiHidden="1" w:unhideWhenUsed="1"/>
    <w:lsdException w:name="List Continue 2" w:semiHidden="1" w:unhideWhenUsed="1"/>
    <w:lsdException w:name="heading 1" w:uiPriority="9" w:qFormat="1"/>
    <w:lsdException w:name="heading 3" w:uiPriority="9" w:semiHidden="1" w:unhideWhenUsed="1" w:qFormat="1"/>
    <w:lsdException w:name="Block Text" w:semiHidden="1" w:unhideWhenUsed="1"/>
    <w:lsdException w:name="Body Text Indent 2" w:semiHidden="1" w:unhideWhenUsed="1"/>
    <w:lsdException w:name="List Continue 4" w:semiHidden="1" w:unhideWhenUsed="1"/>
    <w:lsdException w:name="endnote reference" w:semiHidden="1" w:unhideWhenUsed="1"/>
    <w:lsdException w:name="Note Heading" w:semiHidden="1" w:unhideWhenUsed="1"/>
    <w:lsdException w:name="envelope address" w:semiHidden="1" w:unhideWhenUsed="1"/>
    <w:lsdException w:name="heading 4" w:uiPriority="9" w:semiHidden="1" w:unhideWhenUsed="1" w:qFormat="1"/>
    <w:lsdException w:name="heading 2" w:uiPriority="9" w:semiHidden="1" w:unhideWhenUsed="1" w:qFormat="1"/>
    <w:lsdException w:name="index 4" w:semiHidden="1" w:unhideWhenUsed="1"/>
    <w:lsdException w:name="index 2" w:semiHidden="1" w:unhideWhenUsed="1"/>
    <w:lsdException w:name="index 6" w:semiHidden="1" w:unhideWhenUsed="1"/>
    <w:lsdException w:name="index 8" w:semiHidden="1" w:unhideWhenUsed="1"/>
    <w:lsdException w:name="List Continue" w:semiHidden="1" w:unhideWhenUsed="1"/>
    <w:lsdException w:name="Salutation" w:semiHidden="1" w:unhideWhenUsed="1"/>
    <w:lsdException w:name="List Number 5" w:semiHidden="1" w:unhideWhenUsed="1"/>
    <w:lsdException w:name="List Number 3" w:semiHidden="1" w:unhideWhenUsed="1"/>
    <w:lsdException w:name="Message Header" w:semiHidden="1" w:unhideWhenUsed="1"/>
    <w:lsdException w:name="Closing" w:semiHidden="1" w:unhideWhenUsed="1"/>
    <w:lsdException w:name="Body Text Indent 3" w:semiHidden="1" w:unhideWhenUsed="1"/>
    <w:lsdException w:name="List Number 4" w:semiHidden="1" w:unhideWhenUsed="1"/>
    <w:lsdException w:name="Normal" w:uiPriority="0" w:qFormat="1"/>
    <w:lsdException w:name="toa heading" w:semiHidden="1" w:unhideWhenUsed="1"/>
    <w:lsdException w:name="List Bullet 3" w:semiHidden="1" w:unhideWhenUsed="1"/>
    <w:lsdException w:name="List 3" w:semiHidden="1" w:unhideWhenUsed="1"/>
    <w:lsdException w:name="Title" w:uiPriority="10" w:qFormat="1"/>
    <w:lsdException w:name="List" w:semiHidden="1" w:unhideWhenUsed="1"/>
    <w:lsdException w:name="footer" w:semiHidden="1" w:unhideWhenUsed="1"/>
    <w:lsdException w:name="Body Text 2" w:semiHidden="1" w:unhideWhenUsed="1"/>
    <w:lsdException w:name="List Continue 5" w:semiHidden="1" w:unhideWhenUsed="1"/>
    <w:lsdException w:name="List Continue 3" w:semiHidden="1" w:unhideWhenUsed="1"/>
    <w:lsdException w:name="Body Text First Indent" w:semiHidden="1" w:unhideWhenUsed="1"/>
    <w:lsdException w:name="Date" w:semiHidden="1" w:unhideWhenUsed="1"/>
    <w:lsdException w:name="annotation text" w:semiHidden="1" w:unhideWhenUsed="1"/>
    <w:lsdException w:name="index 7" w:semiHidden="1" w:unhideWhenUsed="1"/>
    <w:lsdException w:name="List Number" w:semiHidden="1" w:unhideWhenUsed="1"/>
    <w:lsdException w:name="caption" w:uiPriority="35" w:semiHidden="1" w:unhideWhenUsed="1" w:qFormat="1"/>
    <w:lsdException w:name="Signature" w:semiHidden="1" w:unhideWhenUsed="1"/>
    <w:lsdException w:name="header" w:semiHidden="1" w:unhideWhenUsed="1"/>
    <w:lsdException w:name="List Bullet 5" w:semiHidden="1" w:unhideWhenUsed="1"/>
    <w:lsdException w:name="List 5" w:semiHidden="1" w:unhideWhenUsed="1"/>
    <w:lsdException w:name="endnote text" w:semiHidden="1" w:unhideWhenUsed="1"/>
    <w:lsdException w:name="table of figures" w:semiHidden="1" w:unhideWhenUsed="1"/>
    <w:lsdException w:name="Body Text Indent" w:semiHidden="1" w:unhideWhenUsed="1"/>
    <w:lsdException w:name="line number" w:semiHidden="1" w:unhideWhenUsed="1"/>
    <w:lsdException w:name="Default Paragraph Font" w:uiPriority="1" w:semiHidden="1" w:unhideWhenUsed="1"/>
    <w:lsdException w:name="macro" w:semiHidden="1" w:unhideWhenUsed="1"/>
    <w:lsdException w:name="List Bullet 2" w:semiHidden="1" w:unhideWhenUsed="1"/>
    <w:lsdException w:name="List Bullet 4" w:semiHidden="1" w:unhideWhenUsed="1"/>
    <w:lsdException w:name="heading 7" w:uiPriority="9" w:semiHidden="1" w:unhideWhenUsed="1" w:qFormat="1"/>
    <w:lsdException w:name="toc 7" w:uiPriority="39" w:semiHidden="1" w:unhideWhenUsed="1"/>
    <w:lsdException w:name="toc 1" w:uiPriority="39" w:semiHidden="1" w:unhideWhenUsed="1"/>
    <w:lsdException w:name="List 2" w:semiHidden="1" w:unhideWhenUsed="1"/>
    <w:lsdException w:name="toc 3" w:uiPriority="39" w:semiHidden="1" w:unhideWhenUsed="1"/>
    <w:lsdException w:name="heading 5" w:uiPriority="9" w:semiHidden="1" w:unhideWhenUsed="1" w:qFormat="1"/>
    <w:lsdException w:name="Body Text 3" w:semiHidden="1" w:unhideWhenUsed="1"/>
    <w:lsdException w:name="toc 5" w:uiPriority="39" w:semiHidden="1" w:unhideWhenUsed="1"/>
    <w:lsdException w:name="FollowedHyperlink" w:semiHidden="1" w:unhideWhenUsed="1"/>
    <w:lsdException w:name="table of authorities" w:semiHidden="1" w:unhideWhenUsed="1"/>
    <w:lsdException w:name="toc 6" w:uiPriority="39" w:semiHidden="1" w:unhideWhenUsed="1"/>
    <w:lsdException w:name="toc 8" w:uiPriority="39" w:semiHidden="1" w:unhideWhenUsed="1"/>
    <w:lsdException w:name="index heading" w:semiHidden="1" w:unhideWhenUsed="1"/>
    <w:lsdException w:name="List Bullet" w:semiHidden="1" w:unhideWhenUsed="1"/>
    <w:lsdException w:name="Strong" w:uiPriority="22" w:qFormat="1"/>
    <w:lsdException w:name="Body Text First Indent 2" w:semiHidden="1" w:unhideWhenUsed="1"/>
    <w:lsdException w:name="envelope return" w:semiHidden="1" w:unhideWhenUsed="1"/>
    <w:lsdException w:name="footnote text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2026-10-23T10:56:55Z</dcterms:created>
  <dcterms:modified xsi:type="dcterms:W3CDTF">2026-10-23T10:56:55Z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"01a166ad483e77308a26c1b6a0b97e03", "ReservedCode1": "", "ContentPropagator": "00119111010856365494821B355", "PropagateID": "01a166ad483e77308a26c1b6a0b97e03", "ReservedCode2": ""}}</vt:lpwstr>
  </property>
</Properties>
</file>