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" w:hAnsi="Arial"/>
          <w:b/>
          <w:sz w:val="28"/>
        </w:rPr>
        <w:t>DETAILED MONTHLY REPORT</w:t>
      </w:r>
    </w:p>
    <w:p>
      <w:pPr>
        <w:spacing w:before="0" w:after="480"/>
        <w:jc w:val="center"/>
      </w:pPr>
      <w:r/>
      <w:r>
        <w:rPr>
          <w:rFonts w:ascii="Arial" w:hAnsi="Arial"/>
          <w:b/>
          <w:sz w:val="24"/>
        </w:rPr>
        <w:t>For the month of June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Date</w:t>
            </w:r>
          </w:p>
        </w:tc>
        <w:tc>
          <w:tcPr>
            <w:tcW w:type="dxa" w:w="53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Activities / Tasks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Learnings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June 1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Refined Xplore Nexus user roles (Admin, Organizer, Instructor, Participant) and updated UI navigation filters to restrict unauthorized views.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role scope isolation and how data security works in multi-role applications.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June 2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Built the RoleGuard wrapper component in React for page-level routing restrictions and gated sensitive administrator-only pages.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how to enforce client-side page-level route gating using higher-order components in Next.js.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June 3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Implemented server-side data filtering by user role and userId for meetings and events API endpoints to prevent horizontal privilege escalation.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query-level data isolation techniques using Prisma ORM.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June 4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Refactored the notification API endpoints and user dashboard metrics queries to return strictly user-specific records.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database data privacy standards for multi-tenant SaaS platforms.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June 5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Encoded the remaining batch of company reimbursement receipts (Receipts 61 to 67) and compiled the final Excel sheet XPI NATHAN LIQUIDATION SUMMARY 2026.xlsx.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precise financial tracking and reconciliation processes under supervisor guidance.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June 8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Redesigned the training dashboard with a unified corporate blue theme and renamed training card actions (e.g., 'view course') for better user experience.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the value of branding consistency and subtle microcopy adjustments in frontend development.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June 9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Studied Skillsoft Percipio course structures and implemented a Percipio-inspired lesson player layout containing tabbed widgets for overview, transcript, and resources.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how to replicate enterprise learning platform layouts and manage tab selection state transitions in React.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June 10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Debugged meeting persistence across Next.js routing transitions by replacing window.location with Next.js Router to prevent React context loss.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how client-side routing methods affect state preservation in React applications.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June 11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Optimized the programs page by replacing static image tags with optimized Next.js Image components and resolved unescaped apostrophe ESLint build warnings.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how Next.js optimizes image loading and standard HTML-entities escaping guidelines.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June 12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Generated comprehensive turnover documentation templates, verified Vercel production deployment build checks, and synced reference documents.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the importance of systematic code turnover procedures and final QA checklists before system handovers.</w:t>
            </w:r>
          </w:p>
        </w:tc>
      </w:tr>
    </w:tbl>
    <w:p>
      <w:pPr>
        <w:spacing w:before="480" w:after="120"/>
      </w:pPr>
    </w:p>
    <w:p>
      <w:pPr>
        <w:spacing w:after="120" w:before="120"/>
        <w:jc w:val="left"/>
      </w:pPr>
      <w:r/>
      <w:r>
        <w:rPr>
          <w:rFonts w:ascii="Arial" w:hAnsi="Arial"/>
          <w:sz w:val="22"/>
        </w:rPr>
        <w:t>Total Hours Completed: 80 hours</w:t>
      </w:r>
    </w:p>
    <w:p>
      <w:pPr>
        <w:spacing w:after="480"/>
      </w:pPr>
      <w:r>
        <w:rPr>
          <w:rFonts w:ascii="Arial" w:hAnsi="Arial"/>
          <w:sz w:val="22"/>
        </w:rPr>
        <w:t>Prepared by:</w:t>
        <w:br/>
        <w:br/>
        <w:br/>
      </w:r>
      <w:r>
        <w:rPr>
          <w:rFonts w:ascii="Arial" w:hAnsi="Arial"/>
          <w:b/>
          <w:sz w:val="22"/>
        </w:rPr>
        <w:t>Jose Louis D. Rosales</w:t>
      </w:r>
    </w:p>
    <w:p>
      <w:pPr>
        <w:spacing w:after="480"/>
      </w:pPr>
      <w:r>
        <w:rPr>
          <w:rFonts w:ascii="Arial" w:hAnsi="Arial"/>
          <w:sz w:val="22"/>
        </w:rPr>
        <w:t>Noted by:</w:t>
        <w:br/>
        <w:br/>
        <w:br/>
      </w:r>
      <w:r>
        <w:rPr>
          <w:rFonts w:ascii="Arial" w:hAnsi="Arial"/>
          <w:b/>
          <w:sz w:val="22"/>
        </w:rPr>
        <w:t>Nathan Samiley</w:t>
      </w:r>
    </w:p>
    <w:p>
      <w:r>
        <w:rPr>
          <w:rFonts w:ascii="Arial" w:hAnsi="Arial"/>
          <w:sz w:val="22"/>
        </w:rPr>
        <w:t>Acknowledge by:</w:t>
        <w:br/>
        <w:br/>
        <w:br/>
      </w:r>
      <w:r>
        <w:rPr>
          <w:rFonts w:ascii="Arial" w:hAnsi="Arial"/>
          <w:b/>
          <w:sz w:val="22"/>
        </w:rPr>
        <w:t>SUSANA C. DE CASTRO</w:t>
      </w:r>
    </w:p>
    <w:p>
      <w:pPr>
        <w:spacing w:before="0" w:after="0"/>
      </w:pPr>
      <w:r>
        <w:rPr>
          <w:rFonts w:ascii="Arial" w:hAnsi="Arial"/>
          <w:sz w:val="22"/>
        </w:rPr>
        <w:t>Adviser/OJT Coordinator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