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m07ecze0afbh" w:id="0"/>
      <w:bookmarkEnd w:id="0"/>
      <w:r w:rsidDel="00000000" w:rsidR="00000000" w:rsidRPr="00000000">
        <w:rPr>
          <w:rFonts w:ascii="Georgia" w:cs="Georgia" w:eastAsia="Georgia" w:hAnsi="Georgia"/>
          <w:i w:val="1"/>
          <w:color w:val="c27ba0"/>
          <w:sz w:val="48"/>
          <w:szCs w:val="48"/>
          <w:rtl w:val="0"/>
        </w:rPr>
        <w:t xml:space="preserve">Her Royal Majesty Queen Elizardbeth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2627 Washington Ave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Phoenix, AZ 85012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T 602.555.5108  |  M 865.123.4567 </w:t>
      </w:r>
    </w:p>
    <w:p w:rsidR="00000000" w:rsidDel="00000000" w:rsidP="00000000" w:rsidRDefault="00000000" w:rsidRPr="00000000">
      <w:pPr>
        <w:contextualSpacing w:val="0"/>
        <w:jc w:val="center"/>
      </w:pPr>
      <w:hyperlink r:id="rId5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highlight w:val="white"/>
            <w:u w:val="single"/>
            <w:rtl w:val="0"/>
          </w:rPr>
          <w:t xml:space="preserve">hrmqueenlizzy@example.com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666666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Senior Organizational Mascot, American Women’s Fencing League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(Phoenix, AZ)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October 2010 - Present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Increased AWFL membership rates by 300% and AWFL social media followers (Facebook, Twitter, Tumblr, etc.) by 500%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Launched a highly successful clothing line of T-shirts, sweatpants, and athletic shoes featuring my face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Vice Mascot of Marketing and Growth, Cordiala Car Insurance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(Knoxville, TN)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September 2007 - Aug 2010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Composed humorous weekly newsletter for the company, boosting morale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Lead role in 2009 nationwide television ad campaign (“Yet Another Auto Insurance Commercial with a Lizard”)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Supporting role in 2008 nationwide television ad campaign (“Relax, It’s Cordiala”)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Junior Mascot Intern, Our Lady of the Perpetual Frown High School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(Montclair, NJ)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June 2006 - Aug 2007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Cheered for OLPFHS’ fencing team, the #1-ranked women’s high school fencing team in the country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Taught after-school elective public speaking 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666666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Vanderbilt University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(Nashville, TN)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September 2002 - May 2006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B.A. in Mascot Studies; B.A. in Economics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GPA: 3.67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666666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Olympic bronze medalist in Women’s Team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Épée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Fencing (Mascot Division), 2000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Certified in CPR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Microsoft Office – Word, Excel, PowerPoint, Outlook and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color w:val="666666"/>
          <w:sz w:val="24"/>
          <w:szCs w:val="24"/>
          <w:rtl w:val="0"/>
        </w:rPr>
        <w:t xml:space="preserve">References Available Upon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sz w:val="18"/>
          <w:szCs w:val="18"/>
          <w:rtl w:val="0"/>
        </w:rPr>
        <w:t xml:space="preserve">Headshot of me attributed to the Australian Paralympic Committee and licensed un</w:t>
      </w:r>
      <w:r w:rsidDel="00000000" w:rsidR="00000000" w:rsidRPr="00000000">
        <w:rPr>
          <w:rFonts w:ascii="Georgia" w:cs="Georgia" w:eastAsia="Georgia" w:hAnsi="Georgia"/>
          <w:i w:val="1"/>
          <w:sz w:val="18"/>
          <w:szCs w:val="18"/>
          <w:rtl w:val="0"/>
        </w:rPr>
        <w:t xml:space="preserve">der </w:t>
      </w:r>
      <w:r w:rsidDel="00000000" w:rsidR="00000000" w:rsidRPr="00000000">
        <w:rPr>
          <w:rFonts w:ascii="Georgia" w:cs="Georgia" w:eastAsia="Georgia" w:hAnsi="Georgia"/>
          <w:i w:val="1"/>
          <w:sz w:val="18"/>
          <w:szCs w:val="18"/>
          <w:rtl w:val="0"/>
        </w:rPr>
        <w:t xml:space="preserve">Creative Commons</w:t>
      </w:r>
      <w:r w:rsidDel="00000000" w:rsidR="00000000" w:rsidRPr="00000000">
        <w:rPr>
          <w:rFonts w:ascii="Georgia" w:cs="Georgia" w:eastAsia="Georgia" w:hAnsi="Georgia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sz w:val="18"/>
          <w:szCs w:val="18"/>
          <w:rtl w:val="0"/>
        </w:rPr>
        <w:t xml:space="preserve">Attribution-Share Alike 3.0: </w:t>
      </w:r>
      <w:hyperlink r:id="rId6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18"/>
            <w:szCs w:val="18"/>
            <w:u w:val="single"/>
            <w:rtl w:val="0"/>
          </w:rPr>
          <w:t xml:space="preserve">https://upload.wikimedia.org/wikipedia/commons/7/71/141100_-_Australian_mascot_Lizzie_Lizard_-_3b_-_2000_Sydney_mascot_photo.jpg</w:t>
        </w:r>
      </w:hyperlink>
      <w:r w:rsidDel="00000000" w:rsidR="00000000" w:rsidRPr="00000000">
        <w:rPr>
          <w:rFonts w:ascii="Georgia" w:cs="Georgia" w:eastAsia="Georgia" w:hAnsi="Georgia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hrmqueenlizzy@example.com" TargetMode="External"/><Relationship Id="rId6" Type="http://schemas.openxmlformats.org/officeDocument/2006/relationships/hyperlink" Target="https://upload.wikimedia.org/wikipedia/commons/7/71/141100_-_Australian_mascot_Lizzie_Lizard_-_3b_-_2000_Sydney_mascot_photo.jpg" TargetMode="External"/></Relationships>
</file>