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Retail Sales Time Series Analysis</w:t>
      </w:r>
    </w:p>
    <w:p>
      <w:pPr>
        <w:spacing w:after="400"/>
        <w:jc w:val="center"/>
      </w:pPr>
      <w:r>
        <w:rPr>
          <w:color w:val="666666"/>
          <w:sz w:val="28"/>
          <w:szCs w:val="28"/>
        </w:rPr>
        <w:t xml:space="preserve">Comprehensive Diagnostic Report</w:t>
      </w:r>
    </w:p>
    <w:p>
      <w:pPr>
        <w:pStyle w:val="Heading1"/>
      </w:pPr>
      <w:r>
        <w:t xml:space="preserve">Executive Summary</w:t>
      </w:r>
    </w:p>
    <w:p>
      <w:pPr>
        <w:spacing w:after="120"/>
      </w:pPr>
      <w:r>
        <w:t xml:space="preserve">This report presents a comprehensive time series analysis of retail sales data spanning 120 months from January 2015 to December 2024. The analysis evaluates key characteristics including stationarity, seasonality, trend patterns, and forecastability to inform predictive modeling decisions.</w:t>
      </w:r>
    </w:p>
    <w:p>
      <w:pPr>
        <w:pStyle w:val="Emphasis"/>
      </w:pPr>
      <w:r>
        <w:t xml:space="preserve">Key Findings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4472C4" w:sz="1"/>
              <w:left w:val="single" w:color="CCCCCC" w:sz="1"/>
              <w:bottom w:val="single" w:color="4472C4" w:sz="1"/>
              <w:right w:val="single" w:color="CCCCCC" w:sz="1"/>
            </w:tcBorders>
            <w:shd w:fill="D5E8F0" w:val="clear"/>
            <w:vAlign w:val="center"/>
          </w:tcPr>
          <w:p>
            <w:pPr>
              <w:jc w:val="center"/>
            </w:pPr>
            <w:r>
              <w:rPr>
                <w:b/>
                <w:bCs/>
              </w:rPr>
              <w:t xml:space="preserve">Characteristic</w:t>
            </w:r>
          </w:p>
        </w:tc>
        <w:tc>
          <w:tcPr>
            <w:tcW w:type="dxa" w:w="6240"/>
            <w:tcBorders>
              <w:top w:val="single" w:color="4472C4" w:sz="1"/>
              <w:left w:val="single" w:color="CCCCCC" w:sz="1"/>
              <w:bottom w:val="single" w:color="4472C4" w:sz="1"/>
              <w:right w:val="single" w:color="CCCCCC" w:sz="1"/>
            </w:tcBorders>
            <w:shd w:fill="D5E8F0" w:val="clear"/>
            <w:vAlign w:val="center"/>
          </w:tcPr>
          <w:p>
            <w:pPr>
              <w:jc w:val="center"/>
            </w:pPr>
            <w:r>
              <w:rPr>
                <w:b/>
                <w:bCs/>
              </w:rPr>
              <w:t xml:space="preserve">Finding</w:t>
            </w:r>
          </w:p>
        </w:tc>
      </w:tr>
      <w:tr>
        <w:tc>
          <w:tcPr>
            <w:tcW w:type="dxa" w:w="3120"/>
            <w:tcBorders>
              <w:top w:val="single" w:color="CCCCCC" w:sz="1"/>
              <w:left w:val="single" w:color="CCCCCC" w:sz="1"/>
              <w:bottom w:val="single" w:color="CCCCCC" w:sz="1"/>
              <w:right w:val="single" w:color="CCCCCC" w:sz="1"/>
            </w:tcBorders>
          </w:tcPr>
          <w:p>
            <w:r>
              <w:rPr>
                <w:b/>
                <w:bCs/>
              </w:rPr>
              <w:t xml:space="preserve">Forecastable</w:t>
            </w:r>
          </w:p>
        </w:tc>
        <w:tc>
          <w:tcPr>
            <w:tcW w:type="dxa" w:w="6240"/>
            <w:tcBorders>
              <w:top w:val="single" w:color="CCCCCC" w:sz="1"/>
              <w:left w:val="single" w:color="CCCCCC" w:sz="1"/>
              <w:bottom w:val="single" w:color="CCCCCC" w:sz="1"/>
              <w:right w:val="single" w:color="CCCCCC" w:sz="1"/>
            </w:tcBorders>
          </w:tcPr>
          <w:p>
            <w:r>
              <w:rPr>
                <w:b/>
                <w:bCs/>
                <w:color w:val="008000"/>
              </w:rPr>
              <w:t xml:space="preserve">YES - Significant predictable structure detected</w:t>
            </w:r>
          </w:p>
        </w:tc>
      </w:tr>
      <w:tr>
        <w:tc>
          <w:tcPr>
            <w:tcW w:type="dxa" w:w="3120"/>
            <w:tcBorders>
              <w:top w:val="single" w:color="CCCCCC" w:sz="1"/>
              <w:left w:val="single" w:color="CCCCCC" w:sz="1"/>
              <w:bottom w:val="single" w:color="CCCCCC" w:sz="1"/>
              <w:right w:val="single" w:color="CCCCCC" w:sz="1"/>
            </w:tcBorders>
          </w:tcPr>
          <w:p>
            <w:r>
              <w:rPr>
                <w:b/>
                <w:bCs/>
              </w:rPr>
              <w:t xml:space="preserve">Stationarity</w:t>
            </w:r>
          </w:p>
        </w:tc>
        <w:tc>
          <w:tcPr>
            <w:tcW w:type="dxa" w:w="6240"/>
            <w:tcBorders>
              <w:top w:val="single" w:color="CCCCCC" w:sz="1"/>
              <w:left w:val="single" w:color="CCCCCC" w:sz="1"/>
              <w:bottom w:val="single" w:color="CCCCCC" w:sz="1"/>
              <w:right w:val="single" w:color="CCCCCC" w:sz="1"/>
            </w:tcBorders>
          </w:tcPr>
          <w:p>
            <w:r>
              <w:t xml:space="preserve">Non-stationary (d=1 differencing required)</w:t>
            </w:r>
          </w:p>
        </w:tc>
      </w:tr>
      <w:tr>
        <w:tc>
          <w:tcPr>
            <w:tcW w:type="dxa" w:w="3120"/>
            <w:tcBorders>
              <w:top w:val="single" w:color="CCCCCC" w:sz="1"/>
              <w:left w:val="single" w:color="CCCCCC" w:sz="1"/>
              <w:bottom w:val="single" w:color="CCCCCC" w:sz="1"/>
              <w:right w:val="single" w:color="CCCCCC" w:sz="1"/>
            </w:tcBorders>
          </w:tcPr>
          <w:p>
            <w:r>
              <w:rPr>
                <w:b/>
                <w:bCs/>
              </w:rPr>
              <w:t xml:space="preserve">Seasonality</w:t>
            </w:r>
          </w:p>
        </w:tc>
        <w:tc>
          <w:tcPr>
            <w:tcW w:type="dxa" w:w="6240"/>
            <w:tcBorders>
              <w:top w:val="single" w:color="CCCCCC" w:sz="1"/>
              <w:left w:val="single" w:color="CCCCCC" w:sz="1"/>
              <w:bottom w:val="single" w:color="CCCCCC" w:sz="1"/>
              <w:right w:val="single" w:color="CCCCCC" w:sz="1"/>
            </w:tcBorders>
          </w:tcPr>
          <w:p>
            <w:r>
              <w:t xml:space="preserve">Strong seasonal pattern (period=12 months, strength=0.95)</w:t>
            </w:r>
          </w:p>
        </w:tc>
      </w:tr>
      <w:tr>
        <w:tc>
          <w:tcPr>
            <w:tcW w:type="dxa" w:w="3120"/>
            <w:tcBorders>
              <w:top w:val="single" w:color="CCCCCC" w:sz="1"/>
              <w:left w:val="single" w:color="CCCCCC" w:sz="1"/>
              <w:bottom w:val="single" w:color="CCCCCC" w:sz="1"/>
              <w:right w:val="single" w:color="CCCCCC" w:sz="1"/>
            </w:tcBorders>
          </w:tcPr>
          <w:p>
            <w:r>
              <w:rPr>
                <w:b/>
                <w:bCs/>
              </w:rPr>
              <w:t xml:space="preserve">Trend</w:t>
            </w:r>
          </w:p>
        </w:tc>
        <w:tc>
          <w:tcPr>
            <w:tcW w:type="dxa" w:w="6240"/>
            <w:tcBorders>
              <w:top w:val="single" w:color="CCCCCC" w:sz="1"/>
              <w:left w:val="single" w:color="CCCCCC" w:sz="1"/>
              <w:bottom w:val="single" w:color="CCCCCC" w:sz="1"/>
              <w:right w:val="single" w:color="CCCCCC" w:sz="1"/>
            </w:tcBorders>
          </w:tcPr>
          <w:p>
            <w:r>
              <w:t xml:space="preserve">Strong increasing trend (strength=0.98)</w:t>
            </w:r>
          </w:p>
        </w:tc>
      </w:tr>
      <w:tr>
        <w:tc>
          <w:tcPr>
            <w:tcW w:type="dxa" w:w="3120"/>
            <w:tcBorders>
              <w:top w:val="single" w:color="CCCCCC" w:sz="1"/>
              <w:left w:val="single" w:color="CCCCCC" w:sz="1"/>
              <w:bottom w:val="single" w:color="CCCCCC" w:sz="1"/>
              <w:right w:val="single" w:color="CCCCCC" w:sz="1"/>
            </w:tcBorders>
          </w:tcPr>
          <w:p>
            <w:r>
              <w:rPr>
                <w:b/>
                <w:bCs/>
              </w:rPr>
              <w:t xml:space="preserve">Transformation</w:t>
            </w:r>
          </w:p>
        </w:tc>
        <w:tc>
          <w:tcPr>
            <w:tcW w:type="dxa" w:w="6240"/>
            <w:tcBorders>
              <w:top w:val="single" w:color="CCCCCC" w:sz="1"/>
              <w:left w:val="single" w:color="CCCCCC" w:sz="1"/>
              <w:bottom w:val="single" w:color="CCCCCC" w:sz="1"/>
              <w:right w:val="single" w:color="CCCCCC" w:sz="1"/>
            </w:tcBorders>
          </w:tcPr>
          <w:p>
            <w:r>
              <w:t xml:space="preserve">None required (Box-Cox λ ≈ 1.03)</w:t>
            </w:r>
          </w:p>
        </w:tc>
      </w:tr>
    </w:tbl>
    <w:p>
      <w:pPr>
        <w:spacing w:before="200" w:after="200"/>
      </w:pPr>
      <w:r>
        <w:t xml:space="preserve"/>
      </w:r>
    </w:p>
    <w:p>
      <w:pPr>
        <w:pStyle w:val="Heading1"/>
      </w:pPr>
      <w:r>
        <w:t xml:space="preserve">1. Data Overview</w:t>
      </w:r>
    </w:p>
    <w:p>
      <w:pPr>
        <w:pStyle w:val="Heading2"/>
      </w:pPr>
      <w:r>
        <w:t xml:space="preserve">1.1 Dataset Characteristics</w:t>
      </w:r>
    </w:p>
    <w:p>
      <w:pPr>
        <w:pStyle w:val="ListParagraph"/>
        <w:numPr>
          <w:ilvl w:val="0"/>
          <w:numId w:val="2"/>
        </w:numPr>
      </w:pPr>
      <w:r>
        <w:rPr>
          <w:b/>
          <w:bCs/>
        </w:rPr>
        <w:t xml:space="preserve">Total Observations: </w:t>
      </w:r>
      <w:r>
        <w:t xml:space="preserve">120 monthly records</w:t>
      </w:r>
    </w:p>
    <w:p>
      <w:pPr>
        <w:pStyle w:val="ListParagraph"/>
        <w:numPr>
          <w:ilvl w:val="0"/>
          <w:numId w:val="2"/>
        </w:numPr>
      </w:pPr>
      <w:r>
        <w:rPr>
          <w:b/>
          <w:bCs/>
        </w:rPr>
        <w:t xml:space="preserve">Time Period: </w:t>
      </w:r>
      <w:r>
        <w:t xml:space="preserve">January 2015 to December 2024</w:t>
      </w:r>
    </w:p>
    <w:p>
      <w:pPr>
        <w:pStyle w:val="ListParagraph"/>
        <w:numPr>
          <w:ilvl w:val="0"/>
          <w:numId w:val="2"/>
        </w:numPr>
      </w:pPr>
      <w:r>
        <w:rPr>
          <w:b/>
          <w:bCs/>
        </w:rPr>
        <w:t xml:space="preserve">Frequency: </w:t>
      </w:r>
      <w:r>
        <w:t xml:space="preserve">Monthly</w:t>
      </w:r>
    </w:p>
    <w:p>
      <w:pPr>
        <w:pStyle w:val="ListParagraph"/>
        <w:numPr>
          <w:ilvl w:val="0"/>
          <w:numId w:val="2"/>
        </w:numPr>
      </w:pPr>
      <w:r>
        <w:rPr>
          <w:b/>
          <w:bCs/>
        </w:rPr>
        <w:t xml:space="preserve">Missing Values: </w:t>
      </w:r>
      <w:r>
        <w:t xml:space="preserve">0 (0.0%)</w:t>
      </w:r>
    </w:p>
    <w:p>
      <w:pPr>
        <w:pStyle w:val="ListParagraph"/>
        <w:numPr>
          <w:ilvl w:val="0"/>
          <w:numId w:val="2"/>
        </w:numPr>
      </w:pPr>
      <w:r>
        <w:rPr>
          <w:b/>
          <w:bCs/>
        </w:rPr>
        <w:t xml:space="preserve">Data Quality: </w:t>
      </w:r>
      <w:r>
        <w:rPr>
          <w:color w:val="008000"/>
        </w:rPr>
        <w:t xml:space="preserve">Excellent - Complete dataset with no gaps</w:t>
      </w:r>
    </w:p>
    <w:p>
      <w:pPr>
        <w:pStyle w:val="Heading2"/>
        <w:spacing w:before="200"/>
      </w:pPr>
      <w:r>
        <w:t xml:space="preserve">1.2 Descriptive Statistics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2F2" w:val="clear"/>
          </w:tcPr>
          <w:p>
            <w:pPr>
              <w:jc w:val="center"/>
            </w:pPr>
            <w:r>
              <w:rPr>
                <w:b/>
                <w:bCs/>
              </w:rPr>
              <w:t xml:space="preserve">Mean</w:t>
            </w:r>
          </w:p>
        </w:tc>
        <w:tc>
          <w:tcPr>
            <w:tcW w:type="dxa" w:w="3120"/>
            <w:tcBorders>
              <w:top w:val="single" w:color="CCCCCC" w:sz="1"/>
              <w:left w:val="single" w:color="CCCCCC" w:sz="1"/>
              <w:bottom w:val="single" w:color="CCCCCC" w:sz="1"/>
              <w:right w:val="single" w:color="CCCCCC" w:sz="1"/>
            </w:tcBorders>
            <w:shd w:fill="F2F2F2" w:val="clear"/>
          </w:tcPr>
          <w:p>
            <w:pPr>
              <w:jc w:val="center"/>
            </w:pPr>
            <w:r>
              <w:rPr>
                <w:b/>
                <w:bCs/>
              </w:rPr>
              <w:t xml:space="preserve">Median</w:t>
            </w:r>
          </w:p>
        </w:tc>
        <w:tc>
          <w:tcPr>
            <w:tcW w:type="dxa" w:w="3120"/>
            <w:tcBorders>
              <w:top w:val="single" w:color="CCCCCC" w:sz="1"/>
              <w:left w:val="single" w:color="CCCCCC" w:sz="1"/>
              <w:bottom w:val="single" w:color="CCCCCC" w:sz="1"/>
              <w:right w:val="single" w:color="CCCCCC" w:sz="1"/>
            </w:tcBorders>
            <w:shd w:fill="F2F2F2" w:val="clear"/>
          </w:tcPr>
          <w:p>
            <w:pPr>
              <w:jc w:val="center"/>
            </w:pPr>
            <w:r>
              <w:rPr>
                <w:b/>
                <w:bCs/>
              </w:rPr>
              <w:t xml:space="preserve">Std Dev</w:t>
            </w:r>
          </w:p>
        </w:tc>
      </w:tr>
      <w:tr>
        <w:tc>
          <w:tcPr>
            <w:tcW w:type="dxa" w:w="3120"/>
            <w:tcBorders>
              <w:top w:val="single" w:color="CCCCCC" w:sz="1"/>
              <w:left w:val="single" w:color="CCCCCC" w:sz="1"/>
              <w:bottom w:val="single" w:color="CCCCCC" w:sz="1"/>
              <w:right w:val="single" w:color="CCCCCC" w:sz="1"/>
            </w:tcBorders>
          </w:tcPr>
          <w:p>
            <w:pPr>
              <w:jc w:val="center"/>
            </w:pPr>
            <w:r>
              <w:t xml:space="preserve">87,131</w:t>
            </w:r>
          </w:p>
        </w:tc>
        <w:tc>
          <w:tcPr>
            <w:tcW w:type="dxa" w:w="3120"/>
            <w:tcBorders>
              <w:top w:val="single" w:color="CCCCCC" w:sz="1"/>
              <w:left w:val="single" w:color="CCCCCC" w:sz="1"/>
              <w:bottom w:val="single" w:color="CCCCCC" w:sz="1"/>
              <w:right w:val="single" w:color="CCCCCC" w:sz="1"/>
            </w:tcBorders>
          </w:tcPr>
          <w:p>
            <w:pPr>
              <w:jc w:val="center"/>
            </w:pPr>
            <w:r>
              <w:t xml:space="preserve">88,525</w:t>
            </w:r>
          </w:p>
        </w:tc>
        <w:tc>
          <w:tcPr>
            <w:tcW w:type="dxa" w:w="3120"/>
            <w:tcBorders>
              <w:top w:val="single" w:color="CCCCCC" w:sz="1"/>
              <w:left w:val="single" w:color="CCCCCC" w:sz="1"/>
              <w:bottom w:val="single" w:color="CCCCCC" w:sz="1"/>
              <w:right w:val="single" w:color="CCCCCC" w:sz="1"/>
            </w:tcBorders>
          </w:tcPr>
          <w:p>
            <w:pPr>
              <w:jc w:val="center"/>
            </w:pPr>
            <w:r>
              <w:t xml:space="preserve">22,759</w:t>
            </w:r>
          </w:p>
        </w:tc>
      </w:tr>
      <w:tr>
        <w:tc>
          <w:tcPr>
            <w:tcW w:type="dxa" w:w="3120"/>
            <w:tcBorders>
              <w:top w:val="single" w:color="CCCCCC" w:sz="1"/>
              <w:left w:val="single" w:color="CCCCCC" w:sz="1"/>
              <w:bottom w:val="single" w:color="CCCCCC" w:sz="1"/>
              <w:right w:val="single" w:color="CCCCCC" w:sz="1"/>
            </w:tcBorders>
            <w:shd w:fill="F2F2F2" w:val="clear"/>
          </w:tcPr>
          <w:p>
            <w:pPr>
              <w:jc w:val="center"/>
            </w:pPr>
            <w:r>
              <w:rPr>
                <w:b/>
                <w:bCs/>
              </w:rPr>
              <w:t xml:space="preserve">Min</w:t>
            </w:r>
          </w:p>
        </w:tc>
        <w:tc>
          <w:tcPr>
            <w:tcW w:type="dxa" w:w="3120"/>
            <w:tcBorders>
              <w:top w:val="single" w:color="CCCCCC" w:sz="1"/>
              <w:left w:val="single" w:color="CCCCCC" w:sz="1"/>
              <w:bottom w:val="single" w:color="CCCCCC" w:sz="1"/>
              <w:right w:val="single" w:color="CCCCCC" w:sz="1"/>
            </w:tcBorders>
            <w:shd w:fill="F2F2F2" w:val="clear"/>
          </w:tcPr>
          <w:p>
            <w:pPr>
              <w:jc w:val="center"/>
            </w:pPr>
            <w:r>
              <w:rPr>
                <w:b/>
                <w:bCs/>
              </w:rPr>
              <w:t xml:space="preserve">Max</w:t>
            </w:r>
          </w:p>
        </w:tc>
        <w:tc>
          <w:tcPr>
            <w:tcW w:type="dxa" w:w="3120"/>
            <w:tcBorders>
              <w:top w:val="single" w:color="CCCCCC" w:sz="1"/>
              <w:left w:val="single" w:color="CCCCCC" w:sz="1"/>
              <w:bottom w:val="single" w:color="CCCCCC" w:sz="1"/>
              <w:right w:val="single" w:color="CCCCCC" w:sz="1"/>
            </w:tcBorders>
            <w:shd w:fill="F2F2F2" w:val="clear"/>
          </w:tcPr>
          <w:p>
            <w:pPr>
              <w:jc w:val="center"/>
            </w:pPr>
            <w:r>
              <w:rPr>
                <w:b/>
                <w:bCs/>
              </w:rPr>
              <w:t xml:space="preserve">Range</w:t>
            </w:r>
          </w:p>
        </w:tc>
      </w:tr>
      <w:tr>
        <w:tc>
          <w:tcPr>
            <w:tcW w:type="dxa" w:w="3120"/>
            <w:tcBorders>
              <w:top w:val="single" w:color="CCCCCC" w:sz="1"/>
              <w:left w:val="single" w:color="CCCCCC" w:sz="1"/>
              <w:bottom w:val="single" w:color="CCCCCC" w:sz="1"/>
              <w:right w:val="single" w:color="CCCCCC" w:sz="1"/>
            </w:tcBorders>
          </w:tcPr>
          <w:p>
            <w:pPr>
              <w:jc w:val="center"/>
            </w:pPr>
            <w:r>
              <w:t xml:space="preserve">33,927</w:t>
            </w:r>
          </w:p>
        </w:tc>
        <w:tc>
          <w:tcPr>
            <w:tcW w:type="dxa" w:w="3120"/>
            <w:tcBorders>
              <w:top w:val="single" w:color="CCCCCC" w:sz="1"/>
              <w:left w:val="single" w:color="CCCCCC" w:sz="1"/>
              <w:bottom w:val="single" w:color="CCCCCC" w:sz="1"/>
              <w:right w:val="single" w:color="CCCCCC" w:sz="1"/>
            </w:tcBorders>
          </w:tcPr>
          <w:p>
            <w:pPr>
              <w:jc w:val="center"/>
            </w:pPr>
            <w:r>
              <w:t xml:space="preserve">134,022</w:t>
            </w:r>
          </w:p>
        </w:tc>
        <w:tc>
          <w:tcPr>
            <w:tcW w:type="dxa" w:w="3120"/>
            <w:tcBorders>
              <w:top w:val="single" w:color="CCCCCC" w:sz="1"/>
              <w:left w:val="single" w:color="CCCCCC" w:sz="1"/>
              <w:bottom w:val="single" w:color="CCCCCC" w:sz="1"/>
              <w:right w:val="single" w:color="CCCCCC" w:sz="1"/>
            </w:tcBorders>
          </w:tcPr>
          <w:p>
            <w:pPr>
              <w:jc w:val="center"/>
            </w:pPr>
            <w:r>
              <w:t xml:space="preserve">100,095</w:t>
            </w:r>
          </w:p>
        </w:tc>
      </w:tr>
    </w:tbl>
    <w:p>
      <w:pPr>
        <w:pStyle w:val="Heading2"/>
        <w:spacing w:before="200"/>
      </w:pPr>
      <w:r>
        <w:t xml:space="preserve">1.3 Time Series Visualization</w:t>
      </w:r>
    </w:p>
    <w:p>
      <w:pPr>
        <w:spacing w:after="120"/>
      </w:pPr>
      <w:r>
        <w:t xml:space="preserve">Figure 1 shows the complete time series with clear upward trend and recurring seasonal patterns.</w:t>
      </w:r>
    </w:p>
    <w:p>
      <w:pPr>
        <w:spacing w:after="200"/>
        <w:jc w:val="center"/>
      </w:pPr>
      <w:r>
        <w:drawing>
          <wp:inline distT="0" distB="0" distL="0" distR="0">
            <wp:extent cx="5238750" cy="2857500"/>
            <wp:effectExtent t="0" r="0" b="0" l="0"/>
            <wp:docPr id="1" name="TimeSeries" descr="Retail sales time series plot" title="Tim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238750" cy="2857500"/>
                    </a:xfrm>
                    <a:prstGeom prst="rect">
                      <a:avLst/>
                    </a:prstGeom>
                  </pic:spPr>
                </pic:pic>
              </a:graphicData>
            </a:graphic>
          </wp:inline>
        </w:drawing>
      </w:r>
    </w:p>
    <w:p>
      <w:r>
        <w:br w:type="page"/>
      </w:r>
    </w:p>
    <w:p>
      <w:pPr>
        <w:pStyle w:val="Heading1"/>
      </w:pPr>
      <w:r>
        <w:t xml:space="preserve">2. Statistical Analysis</w:t>
      </w:r>
    </w:p>
    <w:p>
      <w:pPr>
        <w:pStyle w:val="Heading2"/>
      </w:pPr>
      <w:r>
        <w:t xml:space="preserve">2.1 Distribution Analysis</w:t>
      </w:r>
    </w:p>
    <w:p>
      <w:pPr>
        <w:spacing w:after="120"/>
      </w:pPr>
      <w:r>
        <w:t xml:space="preserve">The distribution of sales values shows near-normal characteristics with slight negative skewness (-0.09) and moderate kurtosis (-0.72), indicating a relatively symmetric distribution without extreme outliers.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2F2" w:val="clear"/>
          </w:tcPr>
          <w:p>
            <w:pPr>
              <w:jc w:val="center"/>
            </w:pPr>
            <w:r>
              <w:rPr>
                <w:b/>
                <w:bCs/>
              </w:rPr>
              <w:t xml:space="preserve">Metric</w:t>
            </w:r>
          </w:p>
        </w:tc>
        <w:tc>
          <w:tcPr>
            <w:tcW w:type="dxa" w:w="3120"/>
            <w:tcBorders>
              <w:top w:val="single" w:color="CCCCCC" w:sz="1"/>
              <w:left w:val="single" w:color="CCCCCC" w:sz="1"/>
              <w:bottom w:val="single" w:color="CCCCCC" w:sz="1"/>
              <w:right w:val="single" w:color="CCCCCC" w:sz="1"/>
            </w:tcBorders>
            <w:shd w:fill="F2F2F2" w:val="clear"/>
          </w:tcPr>
          <w:p>
            <w:pPr>
              <w:jc w:val="center"/>
            </w:pPr>
            <w:r>
              <w:rPr>
                <w:b/>
                <w:bCs/>
              </w:rPr>
              <w:t xml:space="preserve">Value</w:t>
            </w:r>
          </w:p>
        </w:tc>
        <w:tc>
          <w:tcPr>
            <w:tcW w:type="dxa" w:w="3120"/>
            <w:tcBorders>
              <w:top w:val="single" w:color="CCCCCC" w:sz="1"/>
              <w:left w:val="single" w:color="CCCCCC" w:sz="1"/>
              <w:bottom w:val="single" w:color="CCCCCC" w:sz="1"/>
              <w:right w:val="single" w:color="CCCCCC" w:sz="1"/>
            </w:tcBorders>
            <w:shd w:fill="F2F2F2" w:val="clear"/>
          </w:tcPr>
          <w:p>
            <w:pPr>
              <w:jc w:val="center"/>
            </w:pPr>
            <w:r>
              <w:rPr>
                <w:b/>
                <w:bCs/>
              </w:rPr>
              <w:t xml:space="preserve">Interpretation</w:t>
            </w:r>
          </w:p>
        </w:tc>
      </w:tr>
      <w:tr>
        <w:tc>
          <w:tcPr>
            <w:tcW w:type="dxa" w:w="3120"/>
            <w:tcBorders>
              <w:top w:val="single" w:color="CCCCCC" w:sz="1"/>
              <w:left w:val="single" w:color="CCCCCC" w:sz="1"/>
              <w:bottom w:val="single" w:color="CCCCCC" w:sz="1"/>
              <w:right w:val="single" w:color="CCCCCC" w:sz="1"/>
            </w:tcBorders>
          </w:tcPr>
          <w:p>
            <w:r>
              <w:t xml:space="preserve">Skewness</w:t>
            </w:r>
          </w:p>
        </w:tc>
        <w:tc>
          <w:tcPr>
            <w:tcW w:type="dxa" w:w="3120"/>
            <w:tcBorders>
              <w:top w:val="single" w:color="CCCCCC" w:sz="1"/>
              <w:left w:val="single" w:color="CCCCCC" w:sz="1"/>
              <w:bottom w:val="single" w:color="CCCCCC" w:sz="1"/>
              <w:right w:val="single" w:color="CCCCCC" w:sz="1"/>
            </w:tcBorders>
          </w:tcPr>
          <w:p>
            <w:pPr>
              <w:jc w:val="center"/>
            </w:pPr>
            <w:r>
              <w:t xml:space="preserve">-0.09</w:t>
            </w:r>
          </w:p>
        </w:tc>
        <w:tc>
          <w:tcPr>
            <w:tcW w:type="dxa" w:w="3120"/>
            <w:tcBorders>
              <w:top w:val="single" w:color="CCCCCC" w:sz="1"/>
              <w:left w:val="single" w:color="CCCCCC" w:sz="1"/>
              <w:bottom w:val="single" w:color="CCCCCC" w:sz="1"/>
              <w:right w:val="single" w:color="CCCCCC" w:sz="1"/>
            </w:tcBorders>
          </w:tcPr>
          <w:p>
            <w:r>
              <w:t xml:space="preserve">Nearly symmetric</w:t>
            </w:r>
          </w:p>
        </w:tc>
      </w:tr>
      <w:tr>
        <w:tc>
          <w:tcPr>
            <w:tcW w:type="dxa" w:w="3120"/>
            <w:tcBorders>
              <w:top w:val="single" w:color="CCCCCC" w:sz="1"/>
              <w:left w:val="single" w:color="CCCCCC" w:sz="1"/>
              <w:bottom w:val="single" w:color="CCCCCC" w:sz="1"/>
              <w:right w:val="single" w:color="CCCCCC" w:sz="1"/>
            </w:tcBorders>
          </w:tcPr>
          <w:p>
            <w:r>
              <w:t xml:space="preserve">Kurtosis</w:t>
            </w:r>
          </w:p>
        </w:tc>
        <w:tc>
          <w:tcPr>
            <w:tcW w:type="dxa" w:w="3120"/>
            <w:tcBorders>
              <w:top w:val="single" w:color="CCCCCC" w:sz="1"/>
              <w:left w:val="single" w:color="CCCCCC" w:sz="1"/>
              <w:bottom w:val="single" w:color="CCCCCC" w:sz="1"/>
              <w:right w:val="single" w:color="CCCCCC" w:sz="1"/>
            </w:tcBorders>
          </w:tcPr>
          <w:p>
            <w:pPr>
              <w:jc w:val="center"/>
            </w:pPr>
            <w:r>
              <w:t xml:space="preserve">-0.72</w:t>
            </w:r>
          </w:p>
        </w:tc>
        <w:tc>
          <w:tcPr>
            <w:tcW w:type="dxa" w:w="3120"/>
            <w:tcBorders>
              <w:top w:val="single" w:color="CCCCCC" w:sz="1"/>
              <w:left w:val="single" w:color="CCCCCC" w:sz="1"/>
              <w:bottom w:val="single" w:color="CCCCCC" w:sz="1"/>
              <w:right w:val="single" w:color="CCCCCC" w:sz="1"/>
            </w:tcBorders>
          </w:tcPr>
          <w:p>
            <w:r>
              <w:t xml:space="preserve">Light-tailed</w:t>
            </w:r>
          </w:p>
        </w:tc>
      </w:tr>
    </w:tbl>
    <w:p>
      <w:pPr>
        <w:spacing w:before="200" w:after="200"/>
        <w:jc w:val="center"/>
      </w:pPr>
      <w:r>
        <w:drawing>
          <wp:inline distT="0" distB="0" distL="0" distR="0">
            <wp:extent cx="4286250" cy="2857500"/>
            <wp:effectExtent t="0" r="0" b="0" l="0"/>
            <wp:docPr id="1" name="Histogram" descr="Distribution histogram" title="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857500"/>
                    </a:xfrm>
                    <a:prstGeom prst="rect">
                      <a:avLst/>
                    </a:prstGeom>
                  </pic:spPr>
                </pic:pic>
              </a:graphicData>
            </a:graphic>
          </wp:inline>
        </w:drawing>
      </w:r>
    </w:p>
    <w:p>
      <w:pPr>
        <w:pStyle w:val="Heading2"/>
      </w:pPr>
      <w:r>
        <w:t xml:space="preserve">2.2 Stationarity Tests</w:t>
      </w:r>
    </w:p>
    <w:p>
      <w:pPr>
        <w:spacing w:after="120"/>
      </w:pPr>
      <w:r>
        <w:t xml:space="preserve">Both the Augmented Dickey-Fuller (ADF) and KPSS tests confirm that the series is non-stationary, requiring first-order differencing (d=1) to achieve stationarity.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2F2" w:val="clear"/>
          </w:tcPr>
          <w:p>
            <w:pPr>
              <w:jc w:val="center"/>
            </w:pPr>
            <w:r>
              <w:rPr>
                <w:b/>
                <w:bCs/>
              </w:rPr>
              <w:t xml:space="preserve">Test</w:t>
            </w:r>
          </w:p>
        </w:tc>
        <w:tc>
          <w:tcPr>
            <w:tcW w:type="dxa" w:w="3120"/>
            <w:tcBorders>
              <w:top w:val="single" w:color="CCCCCC" w:sz="1"/>
              <w:left w:val="single" w:color="CCCCCC" w:sz="1"/>
              <w:bottom w:val="single" w:color="CCCCCC" w:sz="1"/>
              <w:right w:val="single" w:color="CCCCCC" w:sz="1"/>
            </w:tcBorders>
            <w:shd w:fill="F2F2F2" w:val="clear"/>
          </w:tcPr>
          <w:p>
            <w:pPr>
              <w:jc w:val="center"/>
            </w:pPr>
            <w:r>
              <w:rPr>
                <w:b/>
                <w:bCs/>
              </w:rPr>
              <w:t xml:space="preserve">Statistic (p-value)</w:t>
            </w:r>
          </w:p>
        </w:tc>
        <w:tc>
          <w:tcPr>
            <w:tcW w:type="dxa" w:w="3120"/>
            <w:tcBorders>
              <w:top w:val="single" w:color="CCCCCC" w:sz="1"/>
              <w:left w:val="single" w:color="CCCCCC" w:sz="1"/>
              <w:bottom w:val="single" w:color="CCCCCC" w:sz="1"/>
              <w:right w:val="single" w:color="CCCCCC" w:sz="1"/>
            </w:tcBorders>
            <w:shd w:fill="F2F2F2" w:val="clear"/>
          </w:tcPr>
          <w:p>
            <w:pPr>
              <w:jc w:val="center"/>
            </w:pPr>
            <w:r>
              <w:rPr>
                <w:b/>
                <w:bCs/>
              </w:rPr>
              <w:t xml:space="preserve">Result</w:t>
            </w:r>
          </w:p>
        </w:tc>
      </w:tr>
      <w:tr>
        <w:tc>
          <w:tcPr>
            <w:tcW w:type="dxa" w:w="3120"/>
            <w:tcBorders>
              <w:top w:val="single" w:color="CCCCCC" w:sz="1"/>
              <w:left w:val="single" w:color="CCCCCC" w:sz="1"/>
              <w:bottom w:val="single" w:color="CCCCCC" w:sz="1"/>
              <w:right w:val="single" w:color="CCCCCC" w:sz="1"/>
            </w:tcBorders>
          </w:tcPr>
          <w:p>
            <w:r>
              <w:t xml:space="preserve">ADF Test</w:t>
            </w:r>
          </w:p>
        </w:tc>
        <w:tc>
          <w:tcPr>
            <w:tcW w:type="dxa" w:w="3120"/>
            <w:tcBorders>
              <w:top w:val="single" w:color="CCCCCC" w:sz="1"/>
              <w:left w:val="single" w:color="CCCCCC" w:sz="1"/>
              <w:bottom w:val="single" w:color="CCCCCC" w:sz="1"/>
              <w:right w:val="single" w:color="CCCCCC" w:sz="1"/>
            </w:tcBorders>
          </w:tcPr>
          <w:p>
            <w:pPr>
              <w:jc w:val="center"/>
            </w:pPr>
            <w:r>
              <w:t xml:space="preserve">-0.64 (p=0.86)</w:t>
            </w:r>
          </w:p>
        </w:tc>
        <w:tc>
          <w:tcPr>
            <w:tcW w:type="dxa" w:w="3120"/>
            <w:tcBorders>
              <w:top w:val="single" w:color="CCCCCC" w:sz="1"/>
              <w:left w:val="single" w:color="CCCCCC" w:sz="1"/>
              <w:bottom w:val="single" w:color="CCCCCC" w:sz="1"/>
              <w:right w:val="single" w:color="CCCCCC" w:sz="1"/>
            </w:tcBorders>
          </w:tcPr>
          <w:p>
            <w:r>
              <w:rPr>
                <w:color w:val="CC0000"/>
              </w:rPr>
              <w:t xml:space="preserve">Non-stationary</w:t>
            </w:r>
          </w:p>
        </w:tc>
      </w:tr>
      <w:tr>
        <w:tc>
          <w:tcPr>
            <w:tcW w:type="dxa" w:w="3120"/>
            <w:tcBorders>
              <w:top w:val="single" w:color="CCCCCC" w:sz="1"/>
              <w:left w:val="single" w:color="CCCCCC" w:sz="1"/>
              <w:bottom w:val="single" w:color="CCCCCC" w:sz="1"/>
              <w:right w:val="single" w:color="CCCCCC" w:sz="1"/>
            </w:tcBorders>
          </w:tcPr>
          <w:p>
            <w:r>
              <w:t xml:space="preserve">KPSS Test</w:t>
            </w:r>
          </w:p>
        </w:tc>
        <w:tc>
          <w:tcPr>
            <w:tcW w:type="dxa" w:w="3120"/>
            <w:tcBorders>
              <w:top w:val="single" w:color="CCCCCC" w:sz="1"/>
              <w:left w:val="single" w:color="CCCCCC" w:sz="1"/>
              <w:bottom w:val="single" w:color="CCCCCC" w:sz="1"/>
              <w:right w:val="single" w:color="CCCCCC" w:sz="1"/>
            </w:tcBorders>
          </w:tcPr>
          <w:p>
            <w:pPr>
              <w:jc w:val="center"/>
            </w:pPr>
            <w:r>
              <w:t xml:space="preserve">1.68 (p=0.01)</w:t>
            </w:r>
          </w:p>
        </w:tc>
        <w:tc>
          <w:tcPr>
            <w:tcW w:type="dxa" w:w="3120"/>
            <w:tcBorders>
              <w:top w:val="single" w:color="CCCCCC" w:sz="1"/>
              <w:left w:val="single" w:color="CCCCCC" w:sz="1"/>
              <w:bottom w:val="single" w:color="CCCCCC" w:sz="1"/>
              <w:right w:val="single" w:color="CCCCCC" w:sz="1"/>
            </w:tcBorders>
          </w:tcPr>
          <w:p>
            <w:r>
              <w:rPr>
                <w:color w:val="CC0000"/>
              </w:rPr>
              <w:t xml:space="preserve">Non-stationary</w:t>
            </w:r>
          </w:p>
        </w:tc>
      </w:tr>
    </w:tbl>
    <w:p>
      <w:pPr>
        <w:spacing w:before="200" w:after="120"/>
      </w:pPr>
      <w:r>
        <w:rPr>
          <w:b/>
          <w:bCs/>
        </w:rPr>
        <w:t xml:space="preserve">Rolling Statistics:</w:t>
      </w:r>
      <w:r>
        <w:t xml:space="preserve"> Figure below shows rolling mean and standard deviation, confirming increasing trend and variance stability.</w:t>
      </w:r>
    </w:p>
    <w:p>
      <w:pPr>
        <w:spacing w:after="200"/>
        <w:jc w:val="center"/>
      </w:pPr>
      <w:r>
        <w:drawing>
          <wp:inline distT="0" distB="0" distL="0" distR="0">
            <wp:extent cx="5238750" cy="2857500"/>
            <wp:effectExtent t="0" r="0" b="0" l="0"/>
            <wp:docPr id="1" name="RollingStats" descr="Rolling mean and standard deviation" title="Rolling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857500"/>
                    </a:xfrm>
                    <a:prstGeom prst="rect">
                      <a:avLst/>
                    </a:prstGeom>
                  </pic:spPr>
                </pic:pic>
              </a:graphicData>
            </a:graphic>
          </wp:inline>
        </w:drawing>
      </w:r>
    </w:p>
    <w:p>
      <w:r>
        <w:br w:type="page"/>
      </w:r>
    </w:p>
    <w:p>
      <w:pPr>
        <w:pStyle w:val="Heading1"/>
      </w:pPr>
      <w:r>
        <w:t xml:space="preserve">3. Seasonality Analysis</w:t>
      </w:r>
    </w:p>
    <w:p>
      <w:pPr>
        <w:pStyle w:val="Heading2"/>
      </w:pPr>
      <w:r>
        <w:t xml:space="preserve">3.1 Seasonal Patterns</w:t>
      </w:r>
    </w:p>
    <w:p>
      <w:pPr>
        <w:spacing w:after="120"/>
      </w:pPr>
      <w:r>
        <w:t xml:space="preserve">STL decomposition reveals a strong seasonal component with period of 12 months (annual cycle). The seasonal strength of 0.95 indicates highly consistent recurring patterns throughout the year.</w:t>
      </w:r>
    </w:p>
    <w:p>
      <w:pPr>
        <w:pStyle w:val="ListParagraph"/>
        <w:numPr>
          <w:ilvl w:val="0"/>
          <w:numId w:val="2"/>
        </w:numPr>
      </w:pPr>
      <w:r>
        <w:rPr>
          <w:b/>
          <w:bCs/>
        </w:rPr>
        <w:t xml:space="preserve">Seasonal Period: </w:t>
      </w:r>
      <w:r>
        <w:t xml:space="preserve">12 months</w:t>
      </w:r>
    </w:p>
    <w:p>
      <w:pPr>
        <w:pStyle w:val="ListParagraph"/>
        <w:numPr>
          <w:ilvl w:val="0"/>
          <w:numId w:val="2"/>
        </w:numPr>
      </w:pPr>
      <w:r>
        <w:rPr>
          <w:b/>
          <w:bCs/>
        </w:rPr>
        <w:t xml:space="preserve">Seasonal Strength: </w:t>
      </w:r>
      <w:r>
        <w:rPr>
          <w:color w:val="008000"/>
        </w:rPr>
        <w:t xml:space="preserve">0.95 (Strong)</w:t>
      </w:r>
    </w:p>
    <w:p>
      <w:pPr>
        <w:pStyle w:val="ListParagraph"/>
        <w:numPr>
          <w:ilvl w:val="0"/>
          <w:numId w:val="2"/>
        </w:numPr>
      </w:pPr>
      <w:r>
        <w:rPr>
          <w:b/>
          <w:bCs/>
        </w:rPr>
        <w:t xml:space="preserve">Interpretation: </w:t>
      </w:r>
      <w:r>
        <w:t xml:space="preserve">Predictable annual patterns in sales behavior</w:t>
      </w:r>
    </w:p>
    <w:p>
      <w:pPr>
        <w:spacing w:before="200" w:after="120"/>
      </w:pPr>
      <w:r>
        <w:rPr>
          <w:b/>
          <w:bCs/>
        </w:rPr>
        <w:t xml:space="preserve">Time Series Decomposition:</w:t>
      </w:r>
    </w:p>
    <w:p>
      <w:pPr>
        <w:spacing w:after="200"/>
        <w:jc w:val="center"/>
      </w:pPr>
      <w:r>
        <w:drawing>
          <wp:inline distT="0" distB="0" distL="0" distR="0">
            <wp:extent cx="5238750" cy="3810000"/>
            <wp:effectExtent t="0" r="0" b="0" l="0"/>
            <wp:docPr id="1" name="Decomposition" descr="STL decomposition" title="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810000"/>
                    </a:xfrm>
                    <a:prstGeom prst="rect">
                      <a:avLst/>
                    </a:prstGeom>
                  </pic:spPr>
                </pic:pic>
              </a:graphicData>
            </a:graphic>
          </wp:inline>
        </w:drawing>
      </w:r>
    </w:p>
    <w:p>
      <w:pPr>
        <w:pStyle w:val="Heading2"/>
      </w:pPr>
      <w:r>
        <w:t xml:space="preserve">3.2 Seasonal Patterns by Period</w:t>
      </w:r>
    </w:p>
    <w:p>
      <w:pPr>
        <w:spacing w:after="120"/>
      </w:pPr>
      <w:r>
        <w:t xml:space="preserve">Box plots reveal distinct seasonal patterns with higher sales in certain months and quarters throughout the year.</w:t>
      </w:r>
    </w:p>
    <w:p>
      <w:pPr>
        <w:spacing w:after="100"/>
        <w:jc w:val="center"/>
      </w:pPr>
      <w:r>
        <w:drawing>
          <wp:inline distT="0" distB="0" distL="0" distR="0">
            <wp:extent cx="5238750" cy="2857500"/>
            <wp:effectExtent t="0" r="0" b="0" l="0"/>
            <wp:docPr id="1" name="MonthlyBox" descr="Sales by month" title="Monthly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857500"/>
                    </a:xfrm>
                    <a:prstGeom prst="rect">
                      <a:avLst/>
                    </a:prstGeom>
                  </pic:spPr>
                </pic:pic>
              </a:graphicData>
            </a:graphic>
          </wp:inline>
        </w:drawing>
      </w:r>
    </w:p>
    <w:p>
      <w:pPr>
        <w:spacing w:after="200"/>
        <w:jc w:val="center"/>
      </w:pPr>
      <w:r>
        <w:drawing>
          <wp:inline distT="0" distB="0" distL="0" distR="0">
            <wp:extent cx="5238750" cy="2857500"/>
            <wp:effectExtent t="0" r="0" b="0" l="0"/>
            <wp:docPr id="1" name="QuarterlyBox" descr="Sales by quarter" title="Quarterly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857500"/>
                    </a:xfrm>
                    <a:prstGeom prst="rect">
                      <a:avLst/>
                    </a:prstGeom>
                  </pic:spPr>
                </pic:pic>
              </a:graphicData>
            </a:graphic>
          </wp:inline>
        </w:drawing>
      </w:r>
    </w:p>
    <w:p>
      <w:r>
        <w:br w:type="page"/>
      </w:r>
    </w:p>
    <w:p>
      <w:pPr>
        <w:pStyle w:val="Heading1"/>
      </w:pPr>
      <w:r>
        <w:t xml:space="preserve">4. Autocorrelation Analysis</w:t>
      </w:r>
    </w:p>
    <w:p>
      <w:pPr>
        <w:pStyle w:val="Heading2"/>
      </w:pPr>
      <w:r>
        <w:t xml:space="preserve">4.1 ACF and PACF Analysis</w:t>
      </w:r>
    </w:p>
    <w:p>
      <w:pPr>
        <w:spacing w:after="120"/>
      </w:pPr>
      <w:r>
        <w:t xml:space="preserve">Autocorrelation function (ACF) and partial autocorrelation function (PACF) plots are computed on the first-differenced series (d=1) to identify temporal dependencies and inform model selection.</w:t>
      </w:r>
    </w:p>
    <w:p>
      <w:pPr>
        <w:pStyle w:val="ListParagraph"/>
        <w:numPr>
          <w:ilvl w:val="0"/>
          <w:numId w:val="2"/>
        </w:numPr>
      </w:pPr>
      <w:r>
        <w:rPr>
          <w:b/>
          <w:bCs/>
        </w:rPr>
        <w:t xml:space="preserve">Significant ACF Lags: </w:t>
      </w:r>
      <w:r>
        <w:t xml:space="preserve">1, 6, 11, 12, 24, 30, 36</w:t>
      </w:r>
    </w:p>
    <w:p>
      <w:pPr>
        <w:pStyle w:val="ListParagraph"/>
        <w:numPr>
          <w:ilvl w:val="0"/>
          <w:numId w:val="2"/>
        </w:numPr>
      </w:pPr>
      <w:r>
        <w:rPr>
          <w:b/>
          <w:bCs/>
        </w:rPr>
        <w:t xml:space="preserve">Significant PACF Lags: </w:t>
      </w:r>
      <w:r>
        <w:t xml:space="preserve">1, 6, 7, 8, 9, 10, 11, 12, 13, 14</w:t>
      </w:r>
    </w:p>
    <w:p>
      <w:pPr>
        <w:pStyle w:val="ListParagraph"/>
        <w:numPr>
          <w:ilvl w:val="0"/>
          <w:numId w:val="2"/>
        </w:numPr>
      </w:pPr>
      <w:r>
        <w:rPr>
          <w:b/>
          <w:bCs/>
        </w:rPr>
        <w:t xml:space="preserve">Interpretation: </w:t>
      </w:r>
      <w:r>
        <w:t xml:space="preserve">Clear seasonal lags at multiples of 12, suggesting SARIMA model components</w:t>
      </w:r>
    </w:p>
    <w:p>
      <w:pPr>
        <w:spacing w:before="200" w:after="200"/>
        <w:jc w:val="center"/>
      </w:pPr>
      <w:r>
        <w:drawing>
          <wp:inline distT="0" distB="0" distL="0" distR="0">
            <wp:extent cx="5238750" cy="2857500"/>
            <wp:effectExtent t="0" r="0" b="0" l="0"/>
            <wp:docPr id="1" name="ACFPACF" descr="Autocorrelation plots" title="ACF P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857500"/>
                    </a:xfrm>
                    <a:prstGeom prst="rect">
                      <a:avLst/>
                    </a:prstGeom>
                  </pic:spPr>
                </pic:pic>
              </a:graphicData>
            </a:graphic>
          </wp:inline>
        </w:drawing>
      </w:r>
    </w:p>
    <w:p>
      <w:pPr>
        <w:pStyle w:val="Heading2"/>
      </w:pPr>
      <w:r>
        <w:t xml:space="preserve">4.2 Lag Scatter Analysis</w:t>
      </w:r>
    </w:p>
    <w:p>
      <w:pPr>
        <w:spacing w:after="120"/>
      </w:pPr>
      <w:r>
        <w:t xml:space="preserve">Lag scatter plots demonstrate the relationship between observations at different time lags, confirming temporal dependencies.</w:t>
      </w:r>
    </w:p>
    <w:p>
      <w:pPr>
        <w:spacing w:after="200"/>
        <w:jc w:val="center"/>
      </w:pPr>
      <w:r>
        <w:drawing>
          <wp:inline distT="0" distB="0" distL="0" distR="0">
            <wp:extent cx="5238750" cy="3810000"/>
            <wp:effectExtent t="0" r="0" b="0" l="0"/>
            <wp:docPr id="1" name="LagScatter" descr="Lag scatter plots" title="Lag 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810000"/>
                    </a:xfrm>
                    <a:prstGeom prst="rect">
                      <a:avLst/>
                    </a:prstGeom>
                  </pic:spPr>
                </pic:pic>
              </a:graphicData>
            </a:graphic>
          </wp:inline>
        </w:drawing>
      </w:r>
    </w:p>
    <w:p>
      <w:r>
        <w:br w:type="page"/>
      </w:r>
    </w:p>
    <w:p>
      <w:pPr>
        <w:pStyle w:val="Heading1"/>
      </w:pPr>
      <w:r>
        <w:t xml:space="preserve">5. Forecastability Assessment</w:t>
      </w:r>
    </w:p>
    <w:p>
      <w:pPr>
        <w:pStyle w:val="Heading2"/>
      </w:pPr>
      <w:r>
        <w:t xml:space="preserve">5.1 Ljung-Box Test Results</w:t>
      </w:r>
    </w:p>
    <w:p>
      <w:pPr>
        <w:spacing w:after="120"/>
      </w:pPr>
      <w:r>
        <w:t xml:space="preserve">The Ljung-Box test evaluates whether the time series exhibits significant autocorrelation structure that can be exploited for forecasting.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2F2" w:val="clear"/>
          </w:tcPr>
          <w:p>
            <w:pPr>
              <w:jc w:val="center"/>
            </w:pPr>
            <w:r>
              <w:rPr>
                <w:b/>
                <w:bCs/>
              </w:rPr>
              <w:t xml:space="preserve">Test</w:t>
            </w:r>
          </w:p>
        </w:tc>
        <w:tc>
          <w:tcPr>
            <w:tcW w:type="dxa" w:w="3120"/>
            <w:tcBorders>
              <w:top w:val="single" w:color="CCCCCC" w:sz="1"/>
              <w:left w:val="single" w:color="CCCCCC" w:sz="1"/>
              <w:bottom w:val="single" w:color="CCCCCC" w:sz="1"/>
              <w:right w:val="single" w:color="CCCCCC" w:sz="1"/>
            </w:tcBorders>
            <w:shd w:fill="F2F2F2" w:val="clear"/>
          </w:tcPr>
          <w:p>
            <w:pPr>
              <w:jc w:val="center"/>
            </w:pPr>
            <w:r>
              <w:rPr>
                <w:b/>
                <w:bCs/>
              </w:rPr>
              <w:t xml:space="preserve">Statistic (p-value)</w:t>
            </w:r>
          </w:p>
        </w:tc>
        <w:tc>
          <w:tcPr>
            <w:tcW w:type="dxa" w:w="3120"/>
            <w:tcBorders>
              <w:top w:val="single" w:color="CCCCCC" w:sz="1"/>
              <w:left w:val="single" w:color="CCCCCC" w:sz="1"/>
              <w:bottom w:val="single" w:color="CCCCCC" w:sz="1"/>
              <w:right w:val="single" w:color="CCCCCC" w:sz="1"/>
            </w:tcBorders>
            <w:shd w:fill="F2F2F2" w:val="clear"/>
          </w:tcPr>
          <w:p>
            <w:pPr>
              <w:jc w:val="center"/>
            </w:pPr>
            <w:r>
              <w:rPr>
                <w:b/>
                <w:bCs/>
              </w:rPr>
              <w:t xml:space="preserve">Conclusion</w:t>
            </w:r>
          </w:p>
        </w:tc>
      </w:tr>
      <w:tr>
        <w:tc>
          <w:tcPr>
            <w:tcW w:type="dxa" w:w="3120"/>
            <w:tcBorders>
              <w:top w:val="single" w:color="CCCCCC" w:sz="1"/>
              <w:left w:val="single" w:color="CCCCCC" w:sz="1"/>
              <w:bottom w:val="single" w:color="CCCCCC" w:sz="1"/>
              <w:right w:val="single" w:color="CCCCCC" w:sz="1"/>
            </w:tcBorders>
          </w:tcPr>
          <w:p>
            <w:r>
              <w:t xml:space="preserve">Lag 10</w:t>
            </w:r>
          </w:p>
        </w:tc>
        <w:tc>
          <w:tcPr>
            <w:tcW w:type="dxa" w:w="3120"/>
            <w:tcBorders>
              <w:top w:val="single" w:color="CCCCCC" w:sz="1"/>
              <w:left w:val="single" w:color="CCCCCC" w:sz="1"/>
              <w:bottom w:val="single" w:color="CCCCCC" w:sz="1"/>
              <w:right w:val="single" w:color="CCCCCC" w:sz="1"/>
            </w:tcBorders>
          </w:tcPr>
          <w:p>
            <w:pPr>
              <w:jc w:val="center"/>
            </w:pPr>
            <w:r>
              <w:t xml:space="preserve">25.12 (p&lt;0.01)</w:t>
            </w:r>
          </w:p>
        </w:tc>
        <w:tc>
          <w:tcPr>
            <w:tcW w:type="dxa" w:w="3120"/>
            <w:tcBorders>
              <w:top w:val="single" w:color="CCCCCC" w:sz="1"/>
              <w:left w:val="single" w:color="CCCCCC" w:sz="1"/>
              <w:bottom w:val="single" w:color="CCCCCC" w:sz="1"/>
              <w:right w:val="single" w:color="CCCCCC" w:sz="1"/>
            </w:tcBorders>
          </w:tcPr>
          <w:p>
            <w:r>
              <w:rPr>
                <w:color w:val="008000"/>
              </w:rPr>
              <w:t xml:space="preserve">Significant</w:t>
            </w:r>
          </w:p>
        </w:tc>
      </w:tr>
      <w:tr>
        <w:tc>
          <w:tcPr>
            <w:tcW w:type="dxa" w:w="3120"/>
            <w:tcBorders>
              <w:top w:val="single" w:color="CCCCCC" w:sz="1"/>
              <w:left w:val="single" w:color="CCCCCC" w:sz="1"/>
              <w:bottom w:val="single" w:color="CCCCCC" w:sz="1"/>
              <w:right w:val="single" w:color="CCCCCC" w:sz="1"/>
            </w:tcBorders>
          </w:tcPr>
          <w:p>
            <w:r>
              <w:t xml:space="preserve">Lag 20</w:t>
            </w:r>
          </w:p>
        </w:tc>
        <w:tc>
          <w:tcPr>
            <w:tcW w:type="dxa" w:w="3120"/>
            <w:tcBorders>
              <w:top w:val="single" w:color="CCCCCC" w:sz="1"/>
              <w:left w:val="single" w:color="CCCCCC" w:sz="1"/>
              <w:bottom w:val="single" w:color="CCCCCC" w:sz="1"/>
              <w:right w:val="single" w:color="CCCCCC" w:sz="1"/>
            </w:tcBorders>
          </w:tcPr>
          <w:p>
            <w:pPr>
              <w:jc w:val="center"/>
            </w:pPr>
            <w:r>
              <w:t xml:space="preserve">118.81 (p&lt;0.001)</w:t>
            </w:r>
          </w:p>
        </w:tc>
        <w:tc>
          <w:tcPr>
            <w:tcW w:type="dxa" w:w="3120"/>
            <w:tcBorders>
              <w:top w:val="single" w:color="CCCCCC" w:sz="1"/>
              <w:left w:val="single" w:color="CCCCCC" w:sz="1"/>
              <w:bottom w:val="single" w:color="CCCCCC" w:sz="1"/>
              <w:right w:val="single" w:color="CCCCCC" w:sz="1"/>
            </w:tcBorders>
          </w:tcPr>
          <w:p>
            <w:r>
              <w:rPr>
                <w:color w:val="008000"/>
              </w:rPr>
              <w:t xml:space="preserve">Significant</w:t>
            </w:r>
          </w:p>
        </w:tc>
      </w:tr>
      <w:tr>
        <w:tc>
          <w:tcPr>
            <w:tcW w:type="dxa" w:w="3120"/>
            <w:tcBorders>
              <w:top w:val="single" w:color="CCCCCC" w:sz="1"/>
              <w:left w:val="single" w:color="CCCCCC" w:sz="1"/>
              <w:bottom w:val="single" w:color="CCCCCC" w:sz="1"/>
              <w:right w:val="single" w:color="CCCCCC" w:sz="1"/>
            </w:tcBorders>
          </w:tcPr>
          <w:p>
            <w:r>
              <w:t xml:space="preserve">Lag 23</w:t>
            </w:r>
          </w:p>
        </w:tc>
        <w:tc>
          <w:tcPr>
            <w:tcW w:type="dxa" w:w="3120"/>
            <w:tcBorders>
              <w:top w:val="single" w:color="CCCCCC" w:sz="1"/>
              <w:left w:val="single" w:color="CCCCCC" w:sz="1"/>
              <w:bottom w:val="single" w:color="CCCCCC" w:sz="1"/>
              <w:right w:val="single" w:color="CCCCCC" w:sz="1"/>
            </w:tcBorders>
          </w:tcPr>
          <w:p>
            <w:pPr>
              <w:jc w:val="center"/>
            </w:pPr>
            <w:r>
              <w:t xml:space="preserve">122.60 (p&lt;0.001)</w:t>
            </w:r>
          </w:p>
        </w:tc>
        <w:tc>
          <w:tcPr>
            <w:tcW w:type="dxa" w:w="3120"/>
            <w:tcBorders>
              <w:top w:val="single" w:color="CCCCCC" w:sz="1"/>
              <w:left w:val="single" w:color="CCCCCC" w:sz="1"/>
              <w:bottom w:val="single" w:color="CCCCCC" w:sz="1"/>
              <w:right w:val="single" w:color="CCCCCC" w:sz="1"/>
            </w:tcBorders>
          </w:tcPr>
          <w:p>
            <w:r>
              <w:rPr>
                <w:color w:val="008000"/>
              </w:rPr>
              <w:t xml:space="preserve">Significant</w:t>
            </w:r>
          </w:p>
        </w:tc>
      </w:tr>
    </w:tbl>
    <w:p>
      <w:pPr>
        <w:spacing w:before="200" w:after="120"/>
      </w:pPr>
      <w:r>
        <w:rPr>
          <w:b/>
          <w:bCs/>
          <w:color w:val="1F4E78"/>
        </w:rPr>
        <w:t xml:space="preserve">Conclusion: </w:t>
      </w:r>
      <w:r>
        <w:rPr>
          <w:b/>
          <w:bCs/>
          <w:color w:val="008000"/>
        </w:rPr>
        <w:t xml:space="preserve">The series exhibits highly significant predictable structure suitable for forecasting.</w:t>
      </w:r>
    </w:p>
    <w:p>
      <w:pPr>
        <w:pStyle w:val="Heading1"/>
      </w:pPr>
      <w:r>
        <w:t xml:space="preserve">6. Modeling Recommendations</w:t>
      </w:r>
    </w:p>
    <w:p>
      <w:pPr>
        <w:pStyle w:val="Heading2"/>
      </w:pPr>
      <w:r>
        <w:t xml:space="preserve">6.1 Model Selection Guidance</w:t>
      </w:r>
    </w:p>
    <w:p>
      <w:pPr>
        <w:spacing w:after="120"/>
      </w:pPr>
      <w:r>
        <w:t xml:space="preserve">Based on the diagnostic findings, the following modeling approaches are recommended:</w:t>
      </w:r>
    </w:p>
    <w:p>
      <w:pPr>
        <w:pStyle w:val="ListParagraph"/>
        <w:numPr>
          <w:ilvl w:val="0"/>
          <w:numId w:val="2"/>
        </w:numPr>
      </w:pPr>
      <w:r>
        <w:rPr>
          <w:b/>
          <w:bCs/>
        </w:rPr>
        <w:t xml:space="preserve">SARIMA Models: </w:t>
      </w:r>
      <w:r>
        <w:t xml:space="preserve">Seasonal ARIMA (p,d,q)(P,D,Q)[12] given strong seasonality, non-stationarity, and autocorrelation structure. Consider d=1 for differencing.</w:t>
      </w:r>
    </w:p>
    <w:p>
      <w:pPr>
        <w:pStyle w:val="ListParagraph"/>
        <w:numPr>
          <w:ilvl w:val="0"/>
          <w:numId w:val="2"/>
        </w:numPr>
      </w:pPr>
      <w:r>
        <w:rPr>
          <w:b/>
          <w:bCs/>
        </w:rPr>
        <w:t xml:space="preserve">Exponential Smoothing: </w:t>
      </w:r>
      <w:r>
        <w:t xml:space="preserve">Holt-Winters method with multiplicative or additive seasonality to capture trend and seasonal components.</w:t>
      </w:r>
    </w:p>
    <w:p>
      <w:pPr>
        <w:pStyle w:val="ListParagraph"/>
        <w:numPr>
          <w:ilvl w:val="0"/>
          <w:numId w:val="2"/>
        </w:numPr>
      </w:pPr>
      <w:r>
        <w:rPr>
          <w:b/>
          <w:bCs/>
        </w:rPr>
        <w:t xml:space="preserve">Prophet: </w:t>
      </w:r>
      <w:r>
        <w:t xml:space="preserve">Facebook Prophet well-suited for data with strong seasonal patterns and missing values tolerance.</w:t>
      </w:r>
    </w:p>
    <w:p>
      <w:pPr>
        <w:pStyle w:val="ListParagraph"/>
        <w:numPr>
          <w:ilvl w:val="0"/>
          <w:numId w:val="2"/>
        </w:numPr>
      </w:pPr>
      <w:r>
        <w:rPr>
          <w:b/>
          <w:bCs/>
        </w:rPr>
        <w:t xml:space="preserve">Machine Learning: </w:t>
      </w:r>
      <w:r>
        <w:t xml:space="preserve">LSTM or XGBoost with lag features and seasonal encoding for capturing complex patterns.</w:t>
      </w:r>
    </w:p>
    <w:p>
      <w:pPr>
        <w:pStyle w:val="Heading2"/>
        <w:spacing w:before="200"/>
      </w:pPr>
      <w:r>
        <w:t xml:space="preserve">6.2 Data Transformation</w:t>
      </w:r>
    </w:p>
    <w:p>
      <w:pPr>
        <w:pStyle w:val="ListParagraph"/>
        <w:numPr>
          <w:ilvl w:val="0"/>
          <w:numId w:val="2"/>
        </w:numPr>
      </w:pPr>
      <w:r>
        <w:rPr>
          <w:b/>
          <w:bCs/>
        </w:rPr>
        <w:t xml:space="preserve">Box-Cox Lambda: </w:t>
      </w:r>
      <w:r>
        <w:t xml:space="preserve">1.03 (≈1)</w:t>
      </w:r>
    </w:p>
    <w:p>
      <w:pPr>
        <w:pStyle w:val="ListParagraph"/>
        <w:numPr>
          <w:ilvl w:val="0"/>
          <w:numId w:val="2"/>
        </w:numPr>
      </w:pPr>
      <w:r>
        <w:rPr>
          <w:b/>
          <w:bCs/>
        </w:rPr>
        <w:t xml:space="preserve">Recommendation: </w:t>
      </w:r>
      <w:r>
        <w:rPr>
          <w:color w:val="008000"/>
        </w:rPr>
        <w:t xml:space="preserve">No transformation needed</w:t>
      </w:r>
      <w:r>
        <w:t xml:space="preserve"> - variance is already stable</w:t>
      </w:r>
    </w:p>
    <w:p>
      <w:pPr>
        <w:pStyle w:val="ListParagraph"/>
        <w:numPr>
          <w:ilvl w:val="0"/>
          <w:numId w:val="2"/>
        </w:numPr>
      </w:pPr>
      <w:r>
        <w:rPr>
          <w:b/>
          <w:bCs/>
        </w:rPr>
        <w:t xml:space="preserve">Differencing: </w:t>
      </w:r>
      <w:r>
        <w:t xml:space="preserve">Apply first-order differencing (d=1) to achieve stationarity</w:t>
      </w:r>
    </w:p>
    <w:p>
      <w:pPr>
        <w:pStyle w:val="Heading2"/>
        <w:spacing w:before="200"/>
      </w:pPr>
      <w:r>
        <w:t xml:space="preserve">6.3 Key Considerations</w:t>
      </w:r>
    </w:p>
    <w:p>
      <w:pPr>
        <w:pStyle w:val="ListParagraph"/>
        <w:numPr>
          <w:ilvl w:val="0"/>
          <w:numId w:val="2"/>
        </w:numPr>
      </w:pPr>
      <w:r>
        <w:t xml:space="preserve">Strong trend component (0.98) requires trend modeling or differencing</w:t>
      </w:r>
    </w:p>
    <w:p>
      <w:pPr>
        <w:pStyle w:val="ListParagraph"/>
        <w:numPr>
          <w:ilvl w:val="0"/>
          <w:numId w:val="2"/>
        </w:numPr>
      </w:pPr>
      <w:r>
        <w:t xml:space="preserve">Strong seasonality (0.95) necessitates seasonal components in forecasting models</w:t>
      </w:r>
    </w:p>
    <w:p>
      <w:pPr>
        <w:pStyle w:val="ListParagraph"/>
        <w:numPr>
          <w:ilvl w:val="0"/>
          <w:numId w:val="2"/>
        </w:numPr>
      </w:pPr>
      <w:r>
        <w:t xml:space="preserve">Data quality is excellent with no missing values</w:t>
      </w:r>
    </w:p>
    <w:p>
      <w:pPr>
        <w:pStyle w:val="ListParagraph"/>
        <w:numPr>
          <w:ilvl w:val="0"/>
          <w:numId w:val="2"/>
        </w:numPr>
      </w:pPr>
      <w:r>
        <w:t xml:space="preserve">10 years of monthly data provides sufficient history for robust seasonal modeling</w:t>
      </w:r>
    </w:p>
    <w:p>
      <w:pPr>
        <w:pStyle w:val="Heading1"/>
        <w:spacing w:before="300"/>
      </w:pPr>
      <w:r>
        <w:t xml:space="preserve">7. Conclusion</w:t>
      </w:r>
    </w:p>
    <w:p>
      <w:pPr>
        <w:spacing w:after="120"/>
      </w:pPr>
      <w:r>
        <w:t xml:space="preserve">The retail sales time series demonstrates excellent forecastability characteristics with clear seasonal patterns, strong increasing trend, and significant autocorrelation structure. The data is non-stationary but can be stabilized through first-order differencing. No variance transformation is required. The strong seasonal component (period=12) and trend suggest that SARIMA or Holt-Winters methods would be particularly effective for this dataset. The 120-month observation period provides substantial history for developing accurate forecasting models.</w:t>
      </w:r>
    </w:p>
    <w:p>
      <w:pPr>
        <w:spacing w:before="200" w:after="100"/>
      </w:pPr>
      <w:r>
        <w:rPr>
          <w:b/>
          <w:bCs/>
          <w:color w:val="1F4E78"/>
          <w:sz w:val="26"/>
          <w:szCs w:val="26"/>
        </w:rPr>
        <w:t xml:space="preserve">Summary of Diagnostics:</w:t>
      </w:r>
    </w:p>
    <w:p>
      <w:pPr>
        <w:pStyle w:val="ListParagraph"/>
        <w:numPr>
          <w:ilvl w:val="0"/>
          <w:numId w:val="2"/>
        </w:numPr>
      </w:pPr>
      <w:r>
        <w:rPr>
          <w:b/>
          <w:bCs/>
          <w:color w:val="008000"/>
        </w:rPr>
        <w:t xml:space="preserve">Forecastability: </w:t>
      </w:r>
      <w:r>
        <w:rPr>
          <w:b/>
          <w:bCs/>
          <w:color w:val="008000"/>
        </w:rPr>
        <w:t xml:space="preserve">YES</w:t>
      </w:r>
    </w:p>
    <w:p>
      <w:pPr>
        <w:pStyle w:val="ListParagraph"/>
        <w:numPr>
          <w:ilvl w:val="0"/>
          <w:numId w:val="2"/>
        </w:numPr>
      </w:pPr>
      <w:r>
        <w:rPr>
          <w:b/>
          <w:bCs/>
        </w:rPr>
        <w:t xml:space="preserve">Data Quality: </w:t>
      </w:r>
      <w:r>
        <w:t xml:space="preserve">Excellent (no missing values)</w:t>
      </w:r>
    </w:p>
    <w:p>
      <w:pPr>
        <w:pStyle w:val="ListParagraph"/>
        <w:numPr>
          <w:ilvl w:val="0"/>
          <w:numId w:val="2"/>
        </w:numPr>
      </w:pPr>
      <w:r>
        <w:rPr>
          <w:b/>
          <w:bCs/>
        </w:rPr>
        <w:t xml:space="preserve">Stationarity: </w:t>
      </w:r>
      <w:r>
        <w:t xml:space="preserve">Non-stationary (requires d=1 differencing)</w:t>
      </w:r>
    </w:p>
    <w:p>
      <w:pPr>
        <w:pStyle w:val="ListParagraph"/>
        <w:numPr>
          <w:ilvl w:val="0"/>
          <w:numId w:val="2"/>
        </w:numPr>
      </w:pPr>
      <w:r>
        <w:rPr>
          <w:b/>
          <w:bCs/>
        </w:rPr>
        <w:t xml:space="preserve">Seasonality: </w:t>
      </w:r>
      <w:r>
        <w:t xml:space="preserve">Strong annual pattern (12-month cycle)</w:t>
      </w:r>
    </w:p>
    <w:p>
      <w:pPr>
        <w:pStyle w:val="ListParagraph"/>
        <w:numPr>
          <w:ilvl w:val="0"/>
          <w:numId w:val="2"/>
        </w:numPr>
      </w:pPr>
      <w:r>
        <w:rPr>
          <w:b/>
          <w:bCs/>
        </w:rPr>
        <w:t xml:space="preserve">Trend: </w:t>
      </w:r>
      <w:r>
        <w:t xml:space="preserve">Strong increasing trend</w:t>
      </w:r>
    </w:p>
    <w:p>
      <w:pPr>
        <w:pStyle w:val="ListParagraph"/>
        <w:numPr>
          <w:ilvl w:val="0"/>
          <w:numId w:val="2"/>
        </w:numPr>
      </w:pPr>
      <w:r>
        <w:rPr>
          <w:b/>
          <w:bCs/>
        </w:rPr>
        <w:t xml:space="preserve">Transformation: </w:t>
      </w:r>
      <w:r>
        <w:t xml:space="preserve">Not needed</w:t>
      </w:r>
    </w:p>
    <w:p>
      <w:pPr>
        <w:spacing w:before="300" w:after="100"/>
        <w:jc w:val="center"/>
      </w:pPr>
      <w:r>
        <w:rPr>
          <w:i/>
          <w:iCs/>
          <w:color w:val="999999"/>
        </w:rPr>
        <w:t xml:space="preserve">— End of Report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2E5090"/>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4472C4"/>
      <w:sz w:val="28"/>
      <w:szCs w:val="28"/>
    </w:rPr>
  </w:style>
  <w:style w:type="paragraph" w:styleId="Emphasis">
    <w:name w:val="Emphasis"/>
    <w:basedOn w:val="Normal"/>
    <w:pPr>
      <w:spacing w:after="80"/>
    </w:pPr>
    <w:rPr>
      <w:rFonts w:ascii="Arial" w:cs="Arial" w:eastAsia="Arial" w:hAnsi="Arial"/>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73eb6587dafb5e4e6656552bb4d24fbc62e0682.png"/><Relationship Id="rId7" Type="http://schemas.openxmlformats.org/officeDocument/2006/relationships/image" Target="media/22d338d86c6f79aa6111054794171bc253b27249.png"/><Relationship Id="rId8" Type="http://schemas.openxmlformats.org/officeDocument/2006/relationships/image" Target="media/99962aa33f25282f8694449ee45968980f06de0a.png"/><Relationship Id="rId9" Type="http://schemas.openxmlformats.org/officeDocument/2006/relationships/image" Target="media/a4fe5f94894a928500832fe75dfa87f26a8c667e.png"/><Relationship Id="rId10" Type="http://schemas.openxmlformats.org/officeDocument/2006/relationships/image" Target="media/66b8a216be297a224f140686929f3dcf3bdae1a0.png"/><Relationship Id="rId11" Type="http://schemas.openxmlformats.org/officeDocument/2006/relationships/image" Target="media/ba990311405c9525ef75e352a0f581a11c13fc0d.png"/><Relationship Id="rId12" Type="http://schemas.openxmlformats.org/officeDocument/2006/relationships/image" Target="media/1915042ef4eb2246ddeca02f1ccb18ee7bde036a.png"/><Relationship Id="rId13" Type="http://schemas.openxmlformats.org/officeDocument/2006/relationships/image" Target="media/4697f46e1786943c88ea50df1fe58185203d80f4.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2026-01-12T21:49:14.507Z</dcterms:created>
  <dcterms:modified xsi:type="dcterms:W3CDTF">2026-01-12T21:49:14.508Z</dcterms:modified>
</cp:coreProperties>
</file>

<file path=docProps/custom.xml><?xml version="1.0" encoding="utf-8"?>
<Properties xmlns="http://schemas.openxmlformats.org/officeDocument/2006/custom-properties" xmlns:vt="http://schemas.openxmlformats.org/officeDocument/2006/docPropsVTypes"/>
</file>