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rPr>
          <w:b/>
          <w:bCs/>
          <w:color w:val="0E6E78"/>
          <w:sz w:val="20"/>
          <w:szCs w:val="20"/>
        </w:rPr>
        <w:t xml:space="preserve">21st AAVISHKAR RESEARCH CONVENTION 2026–27</w:t>
      </w:r>
    </w:p>
    <w:p>
      <w:pPr>
        <w:pStyle w:val="Title"/>
      </w:pPr>
      <w:r>
        <w:t xml:space="preserve">Research Framework</w:t>
      </w:r>
    </w:p>
    <w:p>
      <w:pPr>
        <w:pStyle w:val="Sub"/>
      </w:pPr>
      <w:r>
        <w:t xml:space="preserve">Establishing the observability and reliability limits of low-cost plantar sensor arrays for wearable gait characterisation</w:t>
      </w:r>
    </w:p>
    <w:p>
      <w:pPr>
        <w:pBdr>
          <w:bottom w:val="single" w:color="C8D3D5" w:sz="6"/>
        </w:pBdr>
        <w:spacing w:after="180"/>
      </w:pPr>
    </w:p>
    <w:p>
      <w:pPr>
        <w:pStyle w:val="Small"/>
      </w:pPr>
      <w:r>
        <w:t xml:space="preserve">Category: Engineering &amp; Technology · Level: UG · Team of 3 · Prepared 5 September 2026</w:t>
      </w:r>
    </w:p>
    <w:p>
      <w:pPr>
        <w:pStyle w:val="Small"/>
      </w:pPr>
      <w:r>
        <w:t xml:space="preserve">Grounded in a 121-source literature review. Every claim below is traceable to a published source or to the team's own instrument.</w:t>
      </w:r>
    </w:p>
    <w:p>
      <w:pPr>
        <w:pStyle w:val="Heading2"/>
      </w:pPr>
      <w:r>
        <w:t xml:space="preserve">The one thing to understand before reading further</w:t>
      </w:r>
    </w:p>
    <w:p>
      <w:r>
        <w:t xml:space="preserve">This project is not “a smart insole for diabetic foot monitoring.” That project already exists, repeatedly, in the peer-reviewed literature and in student work worldwide, and a version of it built by three undergraduates in a semester will lose every comparison an evaluator draws.</w:t>
      </w:r>
    </w:p>
    <w:p>
      <w:r>
        <w:t xml:space="preserve">What does not exist is a rigorous answer to a question everyone building these devices quietly skips: how much of the foot can a cheap sparse sensor array actually see, and how would the device know when its sensors have stopped telling the truth?</w:t>
      </w:r>
    </w:p>
    <w:p>
      <w:pPr>
        <w:pBdr>
          <w:top w:val="single" w:color="BCD3D6" w:sz="2" w:space="10"/>
          <w:bottom w:val="single" w:color="BCD3D6" w:sz="2" w:space="10"/>
          <w:left w:val="single" w:color="BCD3D6" w:sz="2" w:space="10"/>
          <w:right w:val="single" w:color="BCD3D6" w:sz="2" w:space="10"/>
        </w:pBdr>
        <w:shd w:fill="E9F1F2" w:val="clear"/>
        <w:spacing w:after="180" w:before="140"/>
      </w:pPr>
      <w:r>
        <w:t xml:space="preserve">The prototype stops being the result and becomes the instrument. The result is the characterisation.</w:t>
      </w:r>
    </w:p>
    <w:p>
      <w:r>
        <w:t xml:space="preserve">That reframing is the whole project. It converts every weakness in the existing build — four sensors instead of fifteen, cheap FSRs that drift, no clinical dataset — from a liability into the subject matter. An evaluator who asks “why only four sensors?” is no longer attacking the project; they are asking the research question.</w:t>
      </w:r>
    </w:p>
    <w:p>
      <w:r>
        <w:br w:type="page"/>
      </w:r>
    </w:p>
    <w:p>
      <w:pPr>
        <w:pStyle w:val="Heading1"/>
      </w:pPr>
      <w:r>
        <w:t xml:space="preserve">1. Research problem</w:t>
      </w:r>
    </w:p>
    <w:p>
      <w:r>
        <w:t xml:space="preserve">Low-cost wearable plantar sensing is proliferating rapidly, in research groups, in start-ups and in student projects. Almost all of these systems share an unexamined assumption: that the numbers their sensors produce mean what the system says they mean.</w:t>
      </w:r>
    </w:p>
    <w:p>
      <w:r>
        <w:t xml:space="preserve">Two facts from the literature make that assumption unsafe.</w:t>
      </w:r>
    </w:p>
    <w:p>
      <w:pPr>
        <w:pStyle w:val="ListParagraph"/>
        <w:numPr>
          <w:ilvl w:val="0"/>
          <w:numId w:val="2"/>
        </w:numPr>
      </w:pPr>
      <w:r>
        <w:t xml:space="preserve">Sparse arrays observe very little of the foot. A 12.7 mm sensor covers roughly 127 mm² of a plantar surface exceeding 10,000 mm². Four such sensors observe a single-digit percentage of the loaded contact area, and any pressure outside that area is invisible to the device regardless of how good its firmware is.</w:t>
      </w:r>
    </w:p>
    <w:p>
      <w:pPr>
        <w:pStyle w:val="ListParagraph"/>
        <w:numPr>
          <w:ilvl w:val="0"/>
          <w:numId w:val="2"/>
        </w:numPr>
      </w:pPr>
      <w:r>
        <w:t xml:space="preserve">Low-cost force sensors degrade quickly and silently. A 2025 characterisation found the FSR402 saturating within 2–3 seconds under loads above its 0.2–20 N nominal range, with measurable degradation by the second loading trial and complete saturation by the third, attributed to irreversible microstructural change. Plantar loads at heel strike are 300–800 N.</w:t>
      </w:r>
    </w:p>
    <w:p>
      <w:r>
        <w:t xml:space="preserve">Neither fact stops these devices being built. What is missing is any means for such a device to know, and report, when it has crossed from measuring into guessing.</w:t>
      </w:r>
    </w:p>
    <w:p>
      <w:pPr>
        <w:pStyle w:val="Heading2"/>
      </w:pPr>
      <w:r>
        <w:t xml:space="preserve">Problem statement</w:t>
      </w:r>
    </w:p>
    <w:p>
      <w:pPr>
        <w:pBdr>
          <w:top w:val="single" w:color="BCD3D6" w:sz="2" w:space="10"/>
          <w:bottom w:val="single" w:color="BCD3D6" w:sz="2" w:space="10"/>
          <w:left w:val="single" w:color="BCD3D6" w:sz="2" w:space="10"/>
          <w:right w:val="single" w:color="BCD3D6" w:sz="2" w:space="10"/>
        </w:pBdr>
        <w:shd w:fill="E9F1F2" w:val="clear"/>
        <w:spacing w:after="180" w:before="140"/>
      </w:pPr>
      <w:r>
        <w:t xml:space="preserve">Low-cost sparse plantar sensor arrays are widely deployed in wearable gait systems, but the fraction of plantar loading they can physically observe is unquantified in the 4–8 sensor regime such systems actually use, their degradation under realistic cyclic loading is uncharacterised, and no published low-cost system assesses or reports the validity of its own measurements. Devices therefore continue producing confident output after their sensors have ceased to be trustworthy.</w:t>
      </w:r>
    </w:p>
    <w:p>
      <w:r>
        <w:t xml:space="preserve">This matters beyond instrumentation. In the largest real-world study of a commercial foot-monitoring device, 37.6% of 1,137 patients had abandoned it within a year, with the sickest patients abandoning it most. In the largest randomised trial of the competing sensing modality, only 24 of 83 alerted patients changed their behaviour. A device that cries wolf is a device that gets left in a drawer — and silent sensor drift is one mechanism by which a device starts crying wolf.</w:t>
      </w:r>
    </w:p>
    <w:p>
      <w:r>
        <w:br w:type="page"/>
      </w:r>
    </w:p>
    <w:p>
      <w:pPr>
        <w:pStyle w:val="Heading1"/>
      </w:pPr>
      <w:r>
        <w:t xml:space="preserve">2. Research gap</w:t>
      </w:r>
    </w:p>
    <w:p>
      <w:r>
        <w:t xml:space="preserve">The gap was established by a structured review of 121 sources across sensor metrology, gait algorithms, clinical trials, public datasets and regulatory guidance. Three specific, defensible gaps emerged.</w:t>
      </w:r>
    </w:p>
    <w:p>
      <w:pPr>
        <w:pStyle w:val="Heading2"/>
      </w:pPr>
      <w:r>
        <w:t xml:space="preserve">Gap 1 — Prescriptions exist for sensor count; evidence for the low-cost regime does not</w:t>
      </w:r>
    </w:p>
    <w:p>
      <w:r>
        <w:t xml:space="preserve">Published guidance on how many sensors an insole needs is clear and consistent: layouts of nine or fewer produced 8–11 mm medial-lateral and 20–22 mm anterior-posterior centre-of-pressure error against a 99-sensor reference, with the authors advising caution below nine and recommending eleven to thirteen; a systematic review of 33 insole studies places the recommended minimum at fifteen.</w:t>
      </w:r>
    </w:p>
    <w:p>
      <w:r>
        <w:t xml:space="preserve">But that guidance was derived on laboratory-grade equipment, with healthy adults, in high-income research settings, and it effectively tells the low-cost builder only “do not.” It does not quantify what the four-to-eight sensor configurations that student projects and cost-constrained deployments actually use are capable of, nor where within that range the returns on an additional sensor are largest. The regime in which most low-cost devices are built is the regime the literature skips.</w:t>
      </w:r>
    </w:p>
    <w:p>
      <w:pPr>
        <w:pStyle w:val="Heading2"/>
      </w:pPr>
      <w:r>
        <w:t xml:space="preserve">Gap 2 — No dedicated endurance study for force-sensing resistors in an in-shoe application</w:t>
      </w:r>
    </w:p>
    <w:p>
      <w:r>
        <w:t xml:space="preserve">This is the clearest gap of the three. The most relevant degradation data comes from a study that was not designed as a fatigue study and reported only three loading trials. A textile alternative was validated to 1,000 cycles, which a walker reaches before lunch. A 2024 capacitive insole paper publishes no cycling endurance figure at all. A 1996 paper on time-dependent behaviour of an FSR plantar insole exists but is not accessible without institutional subscription and predates the current generation of sensors.</w:t>
      </w:r>
    </w:p>
    <w:p>
      <w:pPr>
        <w:pBdr>
          <w:left w:val="single" w:color="0E6E78" w:sz="12" w:space="12"/>
        </w:pBdr>
        <w:spacing w:after="160" w:before="120"/>
        <w:ind w:left="400" w:right="300"/>
      </w:pPr>
      <w:r>
        <w:rPr>
          <w:i/>
          <w:iCs/>
        </w:rPr>
        <w:t xml:space="preserve">There is no published curve of sensitivity against load cycles for an FSR in a plantar application. Producing one is a genuine, citable contribution that requires one sensor, one fixture and patience — which is precisely the kind of contribution an undergraduate team can actually make.</w:t>
      </w:r>
    </w:p>
    <w:p>
      <w:pPr>
        <w:pStyle w:val="Heading2"/>
      </w:pPr>
      <w:r>
        <w:t xml:space="preserve">Gap 3 — No low-cost wearable reports its own measurement validity</w:t>
      </w:r>
    </w:p>
    <w:p>
      <w:r>
        <w:t xml:space="preserve">Data quality frameworks for wearable-collected clinical data exist, and validation frameworks such as V3 define verification, analytical validation and clinical validation as distinct stages. But these are processes applied to a device by its developers, offline. Across the systems reviewed, none implements an on-device assessment of whether its own sensing is still within its validated envelope, and none surfaces that assessment alongside its measurements.</w:t>
      </w:r>
    </w:p>
    <w:p>
      <w:r>
        <w:t xml:space="preserve">The device outputs a number. The number looks identical whether the sensor is freshly calibrated or has drifted 20% since the shoe warmed up.</w:t>
      </w:r>
    </w:p>
    <w:p>
      <w:pPr>
        <w:pStyle w:val="Heading2"/>
      </w:pPr>
      <w:r>
        <w:t xml:space="preserve">What is already crowded, and must be avoided</w:t>
      </w:r>
    </w:p>
    <w:p>
      <w:r>
        <w:t xml:space="preserve">Being honest about this is what will protect the project under questioning. The following are not gaps and pursuing them would put the team in direct comparison with better-resourced published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5846"/>
      </w:tblGrid>
      <w:tr>
        <w:trPr>
          <w:tblHeader/>
        </w:trPr>
        <w:tc>
          <w:tcPr>
            <w:tcW w:type="dxa" w:w="2400"/>
            <w:shd w:fill="E7ECEE" w:val="clear"/>
            <w:tcMar>
              <w:top w:type="dxa" w:w="80"/>
              <w:left w:type="dxa" w:w="110"/>
              <w:bottom w:type="dxa" w:w="80"/>
              <w:right w:type="dxa" w:w="110"/>
            </w:tcMar>
          </w:tcPr>
          <w:p>
            <w:pPr>
              <w:spacing w:after="0"/>
            </w:pPr>
            <w:r>
              <w:rPr>
                <w:b/>
                <w:bCs/>
                <w:color w:val="1A2427"/>
                <w:sz w:val="16"/>
                <w:szCs w:val="16"/>
              </w:rPr>
              <w:t xml:space="preserve">Tempting direction</w:t>
            </w:r>
          </w:p>
        </w:tc>
        <w:tc>
          <w:tcPr>
            <w:tcW w:type="dxa" w:w="1500"/>
            <w:shd w:fill="E7ECEE" w:val="clear"/>
            <w:tcMar>
              <w:top w:type="dxa" w:w="80"/>
              <w:left w:type="dxa" w:w="110"/>
              <w:bottom w:type="dxa" w:w="80"/>
              <w:right w:type="dxa" w:w="110"/>
            </w:tcMar>
          </w:tcPr>
          <w:p>
            <w:pPr>
              <w:spacing w:after="0"/>
            </w:pPr>
            <w:r>
              <w:rPr>
                <w:b/>
                <w:bCs/>
                <w:color w:val="1A2427"/>
                <w:sz w:val="16"/>
                <w:szCs w:val="16"/>
              </w:rPr>
              <w:t xml:space="preserve">Status</w:t>
            </w:r>
          </w:p>
        </w:tc>
        <w:tc>
          <w:tcPr>
            <w:tcW w:type="dxa" w:w="5846"/>
            <w:shd w:fill="E7ECEE" w:val="clear"/>
            <w:tcMar>
              <w:top w:type="dxa" w:w="80"/>
              <w:left w:type="dxa" w:w="110"/>
              <w:bottom w:type="dxa" w:w="80"/>
              <w:right w:type="dxa" w:w="110"/>
            </w:tcMar>
          </w:tcPr>
          <w:p>
            <w:pPr>
              <w:spacing w:after="0"/>
            </w:pPr>
            <w:r>
              <w:rPr>
                <w:b/>
                <w:bCs/>
                <w:color w:val="1A2427"/>
                <w:sz w:val="16"/>
                <w:szCs w:val="16"/>
              </w:rPr>
              <w:t xml:space="preserve">Why it fails as a contribution</w:t>
            </w:r>
          </w:p>
        </w:tc>
      </w:tr>
      <w:tr>
        <w:tc>
          <w:tcPr>
            <w:tcW w:type="dxa" w:w="2400"/>
            <w:tcMar>
              <w:top w:type="dxa" w:w="80"/>
              <w:left w:type="dxa" w:w="110"/>
              <w:bottom w:type="dxa" w:w="80"/>
              <w:right w:type="dxa" w:w="110"/>
            </w:tcMar>
          </w:tcPr>
          <w:p>
            <w:pPr>
              <w:spacing w:after="0"/>
            </w:pPr>
            <w:r>
              <w:rPr>
                <w:b w:val="false"/>
                <w:bCs w:val="false"/>
                <w:color w:val="1A2427"/>
                <w:sz w:val="16"/>
                <w:szCs w:val="16"/>
              </w:rPr>
              <w:t xml:space="preserve">Build a smart insole measuring plantar pressure</w:t>
            </w:r>
          </w:p>
        </w:tc>
        <w:tc>
          <w:tcPr>
            <w:tcW w:type="dxa" w:w="1500"/>
            <w:tcMar>
              <w:top w:type="dxa" w:w="80"/>
              <w:left w:type="dxa" w:w="110"/>
              <w:bottom w:type="dxa" w:w="80"/>
              <w:right w:type="dxa" w:w="110"/>
            </w:tcMar>
          </w:tcPr>
          <w:p>
            <w:pPr>
              <w:spacing w:after="0"/>
            </w:pPr>
            <w:r>
              <w:rPr>
                <w:b/>
                <w:bCs/>
                <w:color w:val="A32017"/>
                <w:sz w:val="16"/>
                <w:szCs w:val="16"/>
              </w:rPr>
              <w:t xml:space="preserve">Saturated</w:t>
            </w:r>
          </w:p>
        </w:tc>
        <w:tc>
          <w:tcPr>
            <w:tcW w:type="dxa" w:w="5846"/>
            <w:tcMar>
              <w:top w:type="dxa" w:w="80"/>
              <w:left w:type="dxa" w:w="110"/>
              <w:bottom w:type="dxa" w:w="80"/>
              <w:right w:type="dxa" w:w="110"/>
            </w:tcMar>
          </w:tcPr>
          <w:p>
            <w:pPr>
              <w:spacing w:after="0"/>
            </w:pPr>
            <w:r>
              <w:rPr>
                <w:b w:val="false"/>
                <w:bCs w:val="false"/>
                <w:color w:val="1A2427"/>
                <w:sz w:val="16"/>
                <w:szCs w:val="16"/>
              </w:rPr>
              <w:t xml:space="preserve">Dozens of published systems, several systematic reviews, multiple commercial products</w:t>
            </w:r>
          </w:p>
        </w:tc>
      </w:tr>
      <w:tr>
        <w:tc>
          <w:tcPr>
            <w:tcW w:type="dxa" w:w="2400"/>
            <w:tcMar>
              <w:top w:type="dxa" w:w="80"/>
              <w:left w:type="dxa" w:w="110"/>
              <w:bottom w:type="dxa" w:w="80"/>
              <w:right w:type="dxa" w:w="110"/>
            </w:tcMar>
          </w:tcPr>
          <w:p>
            <w:pPr>
              <w:spacing w:after="0"/>
            </w:pPr>
            <w:r>
              <w:rPr>
                <w:b w:val="false"/>
                <w:bCs w:val="false"/>
                <w:color w:val="1A2427"/>
                <w:sz w:val="16"/>
                <w:szCs w:val="16"/>
              </w:rPr>
              <w:t xml:space="preserve">Add temperature sensing</w:t>
            </w:r>
          </w:p>
        </w:tc>
        <w:tc>
          <w:tcPr>
            <w:tcW w:type="dxa" w:w="1500"/>
            <w:tcMar>
              <w:top w:type="dxa" w:w="80"/>
              <w:left w:type="dxa" w:w="110"/>
              <w:bottom w:type="dxa" w:w="80"/>
              <w:right w:type="dxa" w:w="110"/>
            </w:tcMar>
          </w:tcPr>
          <w:p>
            <w:pPr>
              <w:spacing w:after="0"/>
            </w:pPr>
            <w:r>
              <w:rPr>
                <w:b/>
                <w:bCs/>
                <w:color w:val="A32017"/>
                <w:sz w:val="16"/>
                <w:szCs w:val="16"/>
              </w:rPr>
              <w:t xml:space="preserve">Saturated</w:t>
            </w:r>
          </w:p>
        </w:tc>
        <w:tc>
          <w:tcPr>
            <w:tcW w:type="dxa" w:w="5846"/>
            <w:tcMar>
              <w:top w:type="dxa" w:w="80"/>
              <w:left w:type="dxa" w:w="110"/>
              <w:bottom w:type="dxa" w:w="80"/>
              <w:right w:type="dxa" w:w="110"/>
            </w:tcMar>
          </w:tcPr>
          <w:p>
            <w:pPr>
              <w:spacing w:after="0"/>
            </w:pPr>
            <w:r>
              <w:rPr>
                <w:b w:val="false"/>
                <w:bCs w:val="false"/>
                <w:color w:val="1A2427"/>
                <w:sz w:val="16"/>
                <w:szCs w:val="16"/>
              </w:rPr>
              <w:t xml:space="preserve">Thermometry is the better-evidenced competing modality with multiple RCTs; entering it means competing on their ground with none of their evidence</w:t>
            </w:r>
          </w:p>
        </w:tc>
      </w:tr>
      <w:tr>
        <w:tc>
          <w:tcPr>
            <w:tcW w:type="dxa" w:w="2400"/>
            <w:tcMar>
              <w:top w:type="dxa" w:w="80"/>
              <w:left w:type="dxa" w:w="110"/>
              <w:bottom w:type="dxa" w:w="80"/>
              <w:right w:type="dxa" w:w="110"/>
            </w:tcMar>
          </w:tcPr>
          <w:p>
            <w:pPr>
              <w:spacing w:after="0"/>
            </w:pPr>
            <w:r>
              <w:rPr>
                <w:b w:val="false"/>
                <w:bCs w:val="false"/>
                <w:color w:val="1A2427"/>
                <w:sz w:val="16"/>
                <w:szCs w:val="16"/>
              </w:rPr>
              <w:t xml:space="preserve">Classify diabetic vs healthy feet with a CNN</w:t>
            </w:r>
          </w:p>
        </w:tc>
        <w:tc>
          <w:tcPr>
            <w:tcW w:type="dxa" w:w="1500"/>
            <w:tcMar>
              <w:top w:type="dxa" w:w="80"/>
              <w:left w:type="dxa" w:w="110"/>
              <w:bottom w:type="dxa" w:w="80"/>
              <w:right w:type="dxa" w:w="110"/>
            </w:tcMar>
          </w:tcPr>
          <w:p>
            <w:pPr>
              <w:spacing w:after="0"/>
            </w:pPr>
            <w:r>
              <w:rPr>
                <w:b/>
                <w:bCs/>
                <w:color w:val="A32017"/>
                <w:sz w:val="16"/>
                <w:szCs w:val="16"/>
              </w:rPr>
              <w:t xml:space="preserve">Already done</w:t>
            </w:r>
          </w:p>
        </w:tc>
        <w:tc>
          <w:tcPr>
            <w:tcW w:type="dxa" w:w="5846"/>
            <w:tcMar>
              <w:top w:type="dxa" w:w="80"/>
              <w:left w:type="dxa" w:w="110"/>
              <w:bottom w:type="dxa" w:w="80"/>
              <w:right w:type="dxa" w:w="110"/>
            </w:tcMar>
          </w:tcPr>
          <w:p>
            <w:pPr>
              <w:spacing w:after="0"/>
            </w:pPr>
            <w:r>
              <w:rPr>
                <w:b w:val="false"/>
                <w:bCs w:val="false"/>
                <w:color w:val="1A2427"/>
                <w:sz w:val="16"/>
                <w:szCs w:val="16"/>
              </w:rPr>
              <w:t xml:space="preserve">Published in 2026 using eight FSRs on an ESP32-C3 at 88% accuracy, and again in 2024 comparing statistical against machine-learning approaches</w:t>
            </w:r>
          </w:p>
        </w:tc>
      </w:tr>
      <w:tr>
        <w:tc>
          <w:tcPr>
            <w:tcW w:type="dxa" w:w="2400"/>
            <w:tcMar>
              <w:top w:type="dxa" w:w="80"/>
              <w:left w:type="dxa" w:w="110"/>
              <w:bottom w:type="dxa" w:w="80"/>
              <w:right w:type="dxa" w:w="110"/>
            </w:tcMar>
          </w:tcPr>
          <w:p>
            <w:pPr>
              <w:spacing w:after="0"/>
            </w:pPr>
            <w:r>
              <w:rPr>
                <w:b w:val="false"/>
                <w:bCs w:val="false"/>
                <w:color w:val="1A2427"/>
                <w:sz w:val="16"/>
                <w:szCs w:val="16"/>
              </w:rPr>
              <w:t xml:space="preserve">Predict ulceration risk</w:t>
            </w:r>
          </w:p>
        </w:tc>
        <w:tc>
          <w:tcPr>
            <w:tcW w:type="dxa" w:w="1500"/>
            <w:tcMar>
              <w:top w:type="dxa" w:w="80"/>
              <w:left w:type="dxa" w:w="110"/>
              <w:bottom w:type="dxa" w:w="80"/>
              <w:right w:type="dxa" w:w="110"/>
            </w:tcMar>
          </w:tcPr>
          <w:p>
            <w:pPr>
              <w:spacing w:after="0"/>
            </w:pPr>
            <w:r>
              <w:rPr>
                <w:b/>
                <w:bCs/>
                <w:color w:val="A32017"/>
                <w:sz w:val="16"/>
                <w:szCs w:val="16"/>
              </w:rPr>
              <w:t xml:space="preserve">Not achievable</w:t>
            </w:r>
          </w:p>
        </w:tc>
        <w:tc>
          <w:tcPr>
            <w:tcW w:type="dxa" w:w="5846"/>
            <w:tcMar>
              <w:top w:type="dxa" w:w="80"/>
              <w:left w:type="dxa" w:w="110"/>
              <w:bottom w:type="dxa" w:w="80"/>
              <w:right w:type="dxa" w:w="110"/>
            </w:tcMar>
          </w:tcPr>
          <w:p>
            <w:pPr>
              <w:spacing w:after="0"/>
            </w:pPr>
            <w:r>
              <w:rPr>
                <w:b w:val="false"/>
                <w:bCs w:val="false"/>
                <w:color w:val="1A2427"/>
                <w:sz w:val="16"/>
                <w:szCs w:val="16"/>
              </w:rPr>
              <w:t xml:space="preserve">A 250 Hz pressure plate with 155 subjects and prospective follow-up reached only AUC 0.639. Undergraduate scale cannot beat this and should not claim to</w:t>
            </w:r>
          </w:p>
        </w:tc>
      </w:tr>
      <w:tr>
        <w:tc>
          <w:tcPr>
            <w:tcW w:type="dxa" w:w="2400"/>
            <w:tcMar>
              <w:top w:type="dxa" w:w="80"/>
              <w:left w:type="dxa" w:w="110"/>
              <w:bottom w:type="dxa" w:w="80"/>
              <w:right w:type="dxa" w:w="110"/>
            </w:tcMar>
          </w:tcPr>
          <w:p>
            <w:pPr>
              <w:spacing w:after="0"/>
            </w:pPr>
            <w:r>
              <w:rPr>
                <w:b w:val="false"/>
                <w:bCs w:val="false"/>
                <w:color w:val="1A2427"/>
                <w:sz w:val="16"/>
                <w:szCs w:val="16"/>
              </w:rPr>
              <w:t xml:space="preserve">Detect Parkinsonian or stroke gait</w:t>
            </w:r>
          </w:p>
        </w:tc>
        <w:tc>
          <w:tcPr>
            <w:tcW w:type="dxa" w:w="1500"/>
            <w:tcMar>
              <w:top w:type="dxa" w:w="80"/>
              <w:left w:type="dxa" w:w="110"/>
              <w:bottom w:type="dxa" w:w="80"/>
              <w:right w:type="dxa" w:w="110"/>
            </w:tcMar>
          </w:tcPr>
          <w:p>
            <w:pPr>
              <w:spacing w:after="0"/>
            </w:pPr>
            <w:r>
              <w:rPr>
                <w:b/>
                <w:bCs/>
                <w:color w:val="A32017"/>
                <w:sz w:val="16"/>
                <w:szCs w:val="16"/>
              </w:rPr>
              <w:t xml:space="preserve">Not achievable</w:t>
            </w:r>
          </w:p>
        </w:tc>
        <w:tc>
          <w:tcPr>
            <w:tcW w:type="dxa" w:w="5846"/>
            <w:tcMar>
              <w:top w:type="dxa" w:w="80"/>
              <w:left w:type="dxa" w:w="110"/>
              <w:bottom w:type="dxa" w:w="80"/>
              <w:right w:type="dxa" w:w="110"/>
            </w:tcMar>
          </w:tcPr>
          <w:p>
            <w:pPr>
              <w:spacing w:after="0"/>
            </w:pPr>
            <w:r>
              <w:rPr>
                <w:b w:val="false"/>
                <w:bCs w:val="false"/>
                <w:color w:val="1A2427"/>
                <w:sz w:val="16"/>
                <w:szCs w:val="16"/>
              </w:rPr>
              <w:t xml:space="preserve">Requires patient cohorts, ethics approval and clinical ground truth the team does not have. Synthetic signatures are not evidence</w:t>
            </w:r>
          </w:p>
        </w:tc>
      </w:tr>
      <w:tr>
        <w:tc>
          <w:tcPr>
            <w:tcW w:type="dxa" w:w="2400"/>
            <w:tcMar>
              <w:top w:type="dxa" w:w="80"/>
              <w:left w:type="dxa" w:w="110"/>
              <w:bottom w:type="dxa" w:w="80"/>
              <w:right w:type="dxa" w:w="110"/>
            </w:tcMar>
          </w:tcPr>
          <w:p>
            <w:pPr>
              <w:spacing w:after="0"/>
            </w:pPr>
            <w:r>
              <w:rPr>
                <w:b w:val="false"/>
                <w:bCs w:val="false"/>
                <w:color w:val="1A2427"/>
                <w:sz w:val="16"/>
                <w:szCs w:val="16"/>
              </w:rPr>
              <w:t xml:space="preserve">Add more sensors to improve the device</w:t>
            </w:r>
          </w:p>
        </w:tc>
        <w:tc>
          <w:tcPr>
            <w:tcW w:type="dxa" w:w="1500"/>
            <w:tcMar>
              <w:top w:type="dxa" w:w="80"/>
              <w:left w:type="dxa" w:w="110"/>
              <w:bottom w:type="dxa" w:w="80"/>
              <w:right w:type="dxa" w:w="110"/>
            </w:tcMar>
          </w:tcPr>
          <w:p>
            <w:pPr>
              <w:spacing w:after="0"/>
            </w:pPr>
            <w:r>
              <w:rPr>
                <w:b/>
                <w:bCs/>
                <w:color w:val="A32017"/>
                <w:sz w:val="16"/>
                <w:szCs w:val="16"/>
              </w:rPr>
              <w:t xml:space="preserve">Confused</w:t>
            </w:r>
          </w:p>
        </w:tc>
        <w:tc>
          <w:tcPr>
            <w:tcW w:type="dxa" w:w="5846"/>
            <w:tcMar>
              <w:top w:type="dxa" w:w="80"/>
              <w:left w:type="dxa" w:w="110"/>
              <w:bottom w:type="dxa" w:w="80"/>
              <w:right w:type="dxa" w:w="110"/>
            </w:tcMar>
          </w:tcPr>
          <w:p>
            <w:pPr>
              <w:spacing w:after="0"/>
            </w:pPr>
            <w:r>
              <w:rPr>
                <w:b w:val="false"/>
                <w:bCs w:val="false"/>
                <w:color w:val="1A2427"/>
                <w:sz w:val="16"/>
                <w:szCs w:val="16"/>
              </w:rPr>
              <w:t xml:space="preserve">Sensor count is the independent variable of this study. Changing it silently destroys the research question</w:t>
            </w:r>
          </w:p>
        </w:tc>
      </w:tr>
    </w:tbl>
    <w:p>
      <w:r>
        <w:br w:type="page"/>
      </w:r>
    </w:p>
    <w:p>
      <w:pPr>
        <w:pStyle w:val="Heading1"/>
      </w:pPr>
      <w:r>
        <w:t xml:space="preserve">3. Objectives</w:t>
      </w:r>
    </w:p>
    <w:p>
      <w:r>
        <w:t xml:space="preserve">Six objectives, each measurable, each producing a specific artefact. O1–O3 are bench and computational work requiring no human participants. O4 is the engineering contribution. O5 involves healthy volunteers only. O6 is the synthesis.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2700"/>
        <w:gridCol w:w="3400"/>
        <w:gridCol w:w="3226"/>
      </w:tblGrid>
      <w:tr>
        <w:trPr>
          <w:tblHeader/>
        </w:trPr>
        <w:tc>
          <w:tcPr>
            <w:tcW w:type="dxa" w:w="420"/>
            <w:shd w:fill="E7ECEE" w:val="clear"/>
            <w:tcMar>
              <w:top w:type="dxa" w:w="80"/>
              <w:left w:type="dxa" w:w="110"/>
              <w:bottom w:type="dxa" w:w="80"/>
              <w:right w:type="dxa" w:w="110"/>
            </w:tcMar>
          </w:tcPr>
          <w:p>
            <w:pPr>
              <w:spacing w:after="0"/>
            </w:pPr>
            <w:r>
              <w:rPr>
                <w:b/>
                <w:bCs/>
                <w:color w:val="1A2427"/>
                <w:sz w:val="16"/>
                <w:szCs w:val="16"/>
              </w:rPr>
              <w:t xml:space="preserve">#</w:t>
            </w:r>
          </w:p>
        </w:tc>
        <w:tc>
          <w:tcPr>
            <w:tcW w:type="dxa" w:w="2700"/>
            <w:shd w:fill="E7ECEE" w:val="clear"/>
            <w:tcMar>
              <w:top w:type="dxa" w:w="80"/>
              <w:left w:type="dxa" w:w="110"/>
              <w:bottom w:type="dxa" w:w="80"/>
              <w:right w:type="dxa" w:w="110"/>
            </w:tcMar>
          </w:tcPr>
          <w:p>
            <w:pPr>
              <w:spacing w:after="0"/>
            </w:pPr>
            <w:r>
              <w:rPr>
                <w:b/>
                <w:bCs/>
                <w:color w:val="1A2427"/>
                <w:sz w:val="16"/>
                <w:szCs w:val="16"/>
              </w:rPr>
              <w:t xml:space="preserve">Objective</w:t>
            </w:r>
          </w:p>
        </w:tc>
        <w:tc>
          <w:tcPr>
            <w:tcW w:type="dxa" w:w="3400"/>
            <w:shd w:fill="E7ECEE" w:val="clear"/>
            <w:tcMar>
              <w:top w:type="dxa" w:w="80"/>
              <w:left w:type="dxa" w:w="110"/>
              <w:bottom w:type="dxa" w:w="80"/>
              <w:right w:type="dxa" w:w="110"/>
            </w:tcMar>
          </w:tcPr>
          <w:p>
            <w:pPr>
              <w:spacing w:after="0"/>
            </w:pPr>
            <w:r>
              <w:rPr>
                <w:b/>
                <w:bCs/>
                <w:color w:val="1A2427"/>
                <w:sz w:val="16"/>
                <w:szCs w:val="16"/>
              </w:rPr>
              <w:t xml:space="preserve">Measurable output</w:t>
            </w:r>
          </w:p>
        </w:tc>
        <w:tc>
          <w:tcPr>
            <w:tcW w:type="dxa" w:w="3226"/>
            <w:shd w:fill="E7ECEE" w:val="clear"/>
            <w:tcMar>
              <w:top w:type="dxa" w:w="80"/>
              <w:left w:type="dxa" w:w="110"/>
              <w:bottom w:type="dxa" w:w="80"/>
              <w:right w:type="dxa" w:w="110"/>
            </w:tcMar>
          </w:tcPr>
          <w:p>
            <w:pPr>
              <w:spacing w:after="0"/>
            </w:pPr>
            <w:r>
              <w:rPr>
                <w:b/>
                <w:bCs/>
                <w:color w:val="1A2427"/>
                <w:sz w:val="16"/>
                <w:szCs w:val="16"/>
              </w:rPr>
              <w:t xml:space="preserve">Feasibility</w:t>
            </w:r>
          </w:p>
        </w:tc>
      </w:tr>
      <w:tr>
        <w:tc>
          <w:tcPr>
            <w:tcW w:type="dxa" w:w="420"/>
            <w:tcMar>
              <w:top w:type="dxa" w:w="80"/>
              <w:left w:type="dxa" w:w="110"/>
              <w:bottom w:type="dxa" w:w="80"/>
              <w:right w:type="dxa" w:w="110"/>
            </w:tcMar>
          </w:tcPr>
          <w:p>
            <w:pPr>
              <w:spacing w:after="0"/>
            </w:pPr>
            <w:r>
              <w:rPr>
                <w:b w:val="false"/>
                <w:bCs w:val="false"/>
                <w:color w:val="1A2427"/>
                <w:sz w:val="16"/>
                <w:szCs w:val="16"/>
              </w:rPr>
              <w:t xml:space="preserve">O1</w:t>
            </w:r>
          </w:p>
        </w:tc>
        <w:tc>
          <w:tcPr>
            <w:tcW w:type="dxa" w:w="2700"/>
            <w:tcMar>
              <w:top w:type="dxa" w:w="80"/>
              <w:left w:type="dxa" w:w="110"/>
              <w:bottom w:type="dxa" w:w="80"/>
              <w:right w:type="dxa" w:w="110"/>
            </w:tcMar>
          </w:tcPr>
          <w:p>
            <w:pPr>
              <w:spacing w:after="0"/>
            </w:pPr>
            <w:r>
              <w:rPr>
                <w:b w:val="false"/>
                <w:bCs w:val="false"/>
                <w:color w:val="1A2427"/>
                <w:sz w:val="16"/>
                <w:szCs w:val="16"/>
              </w:rPr>
              <w:t xml:space="preserve">Quantify how much of the plantar loading map sensor configurations of 4, 6, 8 and 13 elements can physically observe, using a public high-resolution reference dataset</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Percentage of loaded contact area observed; percentage of total load observed; CoP error in mm; peak-capture rate — for each configuration</w:t>
            </w:r>
          </w:p>
        </w:tc>
        <w:tc>
          <w:tcPr>
            <w:tcW w:type="dxa" w:w="3226"/>
            <w:tcMar>
              <w:top w:type="dxa" w:w="80"/>
              <w:left w:type="dxa" w:w="110"/>
              <w:bottom w:type="dxa" w:w="80"/>
              <w:right w:type="dxa" w:w="110"/>
            </w:tcMar>
          </w:tcPr>
          <w:p>
            <w:pPr>
              <w:spacing w:after="0"/>
            </w:pPr>
            <w:r>
              <w:rPr>
                <w:b w:val="false"/>
                <w:bCs w:val="false"/>
                <w:color w:val="2A6640"/>
                <w:sz w:val="16"/>
                <w:szCs w:val="16"/>
              </w:rPr>
              <w:t xml:space="preserve">High — dataset is open and the analysis is computational</w:t>
            </w:r>
          </w:p>
        </w:tc>
      </w:tr>
      <w:tr>
        <w:tc>
          <w:tcPr>
            <w:tcW w:type="dxa" w:w="420"/>
            <w:tcMar>
              <w:top w:type="dxa" w:w="80"/>
              <w:left w:type="dxa" w:w="110"/>
              <w:bottom w:type="dxa" w:w="80"/>
              <w:right w:type="dxa" w:w="110"/>
            </w:tcMar>
          </w:tcPr>
          <w:p>
            <w:pPr>
              <w:spacing w:after="0"/>
            </w:pPr>
            <w:r>
              <w:rPr>
                <w:b w:val="false"/>
                <w:bCs w:val="false"/>
                <w:color w:val="1A2427"/>
                <w:sz w:val="16"/>
                <w:szCs w:val="16"/>
              </w:rPr>
              <w:t xml:space="preserve">O2</w:t>
            </w:r>
          </w:p>
        </w:tc>
        <w:tc>
          <w:tcPr>
            <w:tcW w:type="dxa" w:w="2700"/>
            <w:tcMar>
              <w:top w:type="dxa" w:w="80"/>
              <w:left w:type="dxa" w:w="110"/>
              <w:bottom w:type="dxa" w:w="80"/>
              <w:right w:type="dxa" w:w="110"/>
            </w:tcMar>
          </w:tcPr>
          <w:p>
            <w:pPr>
              <w:spacing w:after="0"/>
            </w:pPr>
            <w:r>
              <w:rPr>
                <w:b w:val="false"/>
                <w:bCs w:val="false"/>
                <w:color w:val="1A2427"/>
                <w:sz w:val="16"/>
                <w:szCs w:val="16"/>
              </w:rPr>
              <w:t xml:space="preserve">Characterise FSR402 degradation under cyclic plantar-magnitude loading to 10,000 cycles</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Sensitivity and null-offset as functions of cycle count, ≥3 specimens, sampled every 500 cycles; cycles to 10% and 25% sensitivity change</w:t>
            </w:r>
          </w:p>
        </w:tc>
        <w:tc>
          <w:tcPr>
            <w:tcW w:type="dxa" w:w="3226"/>
            <w:tcMar>
              <w:top w:type="dxa" w:w="80"/>
              <w:left w:type="dxa" w:w="110"/>
              <w:bottom w:type="dxa" w:w="80"/>
              <w:right w:type="dxa" w:w="110"/>
            </w:tcMar>
          </w:tcPr>
          <w:p>
            <w:pPr>
              <w:spacing w:after="0"/>
            </w:pPr>
            <w:r>
              <w:rPr>
                <w:b w:val="false"/>
                <w:bCs w:val="false"/>
                <w:color w:val="2A6640"/>
                <w:sz w:val="16"/>
                <w:szCs w:val="16"/>
              </w:rPr>
              <w:t xml:space="preserve">High — one fixture, patience</w:t>
            </w:r>
          </w:p>
        </w:tc>
      </w:tr>
      <w:tr>
        <w:tc>
          <w:tcPr>
            <w:tcW w:type="dxa" w:w="420"/>
            <w:tcMar>
              <w:top w:type="dxa" w:w="80"/>
              <w:left w:type="dxa" w:w="110"/>
              <w:bottom w:type="dxa" w:w="80"/>
              <w:right w:type="dxa" w:w="110"/>
            </w:tcMar>
          </w:tcPr>
          <w:p>
            <w:pPr>
              <w:spacing w:after="0"/>
            </w:pPr>
            <w:r>
              <w:rPr>
                <w:b w:val="false"/>
                <w:bCs w:val="false"/>
                <w:color w:val="1A2427"/>
                <w:sz w:val="16"/>
                <w:szCs w:val="16"/>
              </w:rPr>
              <w:t xml:space="preserve">O3</w:t>
            </w:r>
          </w:p>
        </w:tc>
        <w:tc>
          <w:tcPr>
            <w:tcW w:type="dxa" w:w="2700"/>
            <w:tcMar>
              <w:top w:type="dxa" w:w="80"/>
              <w:left w:type="dxa" w:w="110"/>
              <w:bottom w:type="dxa" w:w="80"/>
              <w:right w:type="dxa" w:w="110"/>
            </w:tcMar>
          </w:tcPr>
          <w:p>
            <w:pPr>
              <w:spacing w:after="0"/>
            </w:pPr>
            <w:r>
              <w:rPr>
                <w:b w:val="false"/>
                <w:bCs w:val="false"/>
                <w:color w:val="1A2427"/>
                <w:sz w:val="16"/>
                <w:szCs w:val="16"/>
              </w:rPr>
              <w:t xml:space="preserve">Establish per-sensor calibration for every sensor in the instrument</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Ten-point cubic fits using loading and unloading curves; RMSE, maximum error, hysteresis percentage, part-to-part coefficient of variation</w:t>
            </w:r>
          </w:p>
        </w:tc>
        <w:tc>
          <w:tcPr>
            <w:tcW w:type="dxa" w:w="3226"/>
            <w:tcMar>
              <w:top w:type="dxa" w:w="80"/>
              <w:left w:type="dxa" w:w="110"/>
              <w:bottom w:type="dxa" w:w="80"/>
              <w:right w:type="dxa" w:w="110"/>
            </w:tcMar>
          </w:tcPr>
          <w:p>
            <w:pPr>
              <w:spacing w:after="0"/>
            </w:pPr>
            <w:r>
              <w:rPr>
                <w:b w:val="false"/>
                <w:bCs w:val="false"/>
                <w:color w:val="2A6640"/>
                <w:sz w:val="16"/>
                <w:szCs w:val="16"/>
              </w:rPr>
              <w:t xml:space="preserve">High — mass set and a printed puck</w:t>
            </w:r>
          </w:p>
        </w:tc>
      </w:tr>
      <w:tr>
        <w:tc>
          <w:tcPr>
            <w:tcW w:type="dxa" w:w="420"/>
            <w:tcMar>
              <w:top w:type="dxa" w:w="80"/>
              <w:left w:type="dxa" w:w="110"/>
              <w:bottom w:type="dxa" w:w="80"/>
              <w:right w:type="dxa" w:w="110"/>
            </w:tcMar>
          </w:tcPr>
          <w:p>
            <w:pPr>
              <w:spacing w:after="0"/>
            </w:pPr>
            <w:r>
              <w:rPr>
                <w:b w:val="false"/>
                <w:bCs w:val="false"/>
                <w:color w:val="1A2427"/>
                <w:sz w:val="16"/>
                <w:szCs w:val="16"/>
              </w:rPr>
              <w:t xml:space="preserve">O4</w:t>
            </w:r>
          </w:p>
        </w:tc>
        <w:tc>
          <w:tcPr>
            <w:tcW w:type="dxa" w:w="2700"/>
            <w:tcMar>
              <w:top w:type="dxa" w:w="80"/>
              <w:left w:type="dxa" w:w="110"/>
              <w:bottom w:type="dxa" w:w="80"/>
              <w:right w:type="dxa" w:w="110"/>
            </w:tcMar>
          </w:tcPr>
          <w:p>
            <w:pPr>
              <w:spacing w:after="0"/>
            </w:pPr>
            <w:r>
              <w:rPr>
                <w:b w:val="false"/>
                <w:bCs w:val="false"/>
                <w:color w:val="1A2427"/>
                <w:sz w:val="16"/>
                <w:szCs w:val="16"/>
              </w:rPr>
              <w:t xml:space="preserve">Develop and validate an on-device self-validation layer that detects and reports degraded measurement validity</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Detection sensitivity and false-positive rate against deliberately induced drift; latency to detection; memory and CPU cost on the target microcontroller</w:t>
            </w:r>
          </w:p>
        </w:tc>
        <w:tc>
          <w:tcPr>
            <w:tcW w:type="dxa" w:w="3226"/>
            <w:tcMar>
              <w:top w:type="dxa" w:w="80"/>
              <w:left w:type="dxa" w:w="110"/>
              <w:bottom w:type="dxa" w:w="80"/>
              <w:right w:type="dxa" w:w="110"/>
            </w:tcMar>
          </w:tcPr>
          <w:p>
            <w:pPr>
              <w:spacing w:after="0"/>
            </w:pPr>
            <w:r>
              <w:rPr>
                <w:b w:val="false"/>
                <w:bCs w:val="false"/>
                <w:color w:val="2A6640"/>
                <w:sz w:val="16"/>
                <w:szCs w:val="16"/>
              </w:rPr>
              <w:t xml:space="preserve">Medium — the core engineering effort</w:t>
            </w:r>
          </w:p>
        </w:tc>
      </w:tr>
      <w:tr>
        <w:tc>
          <w:tcPr>
            <w:tcW w:type="dxa" w:w="420"/>
            <w:tcMar>
              <w:top w:type="dxa" w:w="80"/>
              <w:left w:type="dxa" w:w="110"/>
              <w:bottom w:type="dxa" w:w="80"/>
              <w:right w:type="dxa" w:w="110"/>
            </w:tcMar>
          </w:tcPr>
          <w:p>
            <w:pPr>
              <w:spacing w:after="0"/>
            </w:pPr>
            <w:r>
              <w:rPr>
                <w:b w:val="false"/>
                <w:bCs w:val="false"/>
                <w:color w:val="1A2427"/>
                <w:sz w:val="16"/>
                <w:szCs w:val="16"/>
              </w:rPr>
              <w:t xml:space="preserve">O5</w:t>
            </w:r>
          </w:p>
        </w:tc>
        <w:tc>
          <w:tcPr>
            <w:tcW w:type="dxa" w:w="2700"/>
            <w:tcMar>
              <w:top w:type="dxa" w:w="80"/>
              <w:left w:type="dxa" w:w="110"/>
              <w:bottom w:type="dxa" w:w="80"/>
              <w:right w:type="dxa" w:w="110"/>
            </w:tcMar>
          </w:tcPr>
          <w:p>
            <w:pPr>
              <w:spacing w:after="0"/>
            </w:pPr>
            <w:r>
              <w:rPr>
                <w:b w:val="false"/>
                <w:bCs w:val="false"/>
                <w:color w:val="1A2427"/>
                <w:sz w:val="16"/>
                <w:szCs w:val="16"/>
              </w:rPr>
              <w:t xml:space="preserve">Validate gait event timing and load-distribution repeatability in healthy volunteers against a video reference</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Event detection rate; timing error in ms; Bland-Altman bias and 95% limits of agreement; test-retest ICC</w:t>
            </w:r>
          </w:p>
        </w:tc>
        <w:tc>
          <w:tcPr>
            <w:tcW w:type="dxa" w:w="3226"/>
            <w:tcMar>
              <w:top w:type="dxa" w:w="80"/>
              <w:left w:type="dxa" w:w="110"/>
              <w:bottom w:type="dxa" w:w="80"/>
              <w:right w:type="dxa" w:w="110"/>
            </w:tcMar>
          </w:tcPr>
          <w:p>
            <w:pPr>
              <w:spacing w:after="0"/>
            </w:pPr>
            <w:r>
              <w:rPr>
                <w:b w:val="false"/>
                <w:bCs w:val="false"/>
                <w:color w:val="2A6640"/>
                <w:sz w:val="16"/>
                <w:szCs w:val="16"/>
              </w:rPr>
              <w:t xml:space="preserve">Medium — needs ethics clearance and volunteers</w:t>
            </w:r>
          </w:p>
        </w:tc>
      </w:tr>
      <w:tr>
        <w:tc>
          <w:tcPr>
            <w:tcW w:type="dxa" w:w="420"/>
            <w:tcMar>
              <w:top w:type="dxa" w:w="80"/>
              <w:left w:type="dxa" w:w="110"/>
              <w:bottom w:type="dxa" w:w="80"/>
              <w:right w:type="dxa" w:w="110"/>
            </w:tcMar>
          </w:tcPr>
          <w:p>
            <w:pPr>
              <w:spacing w:after="0"/>
            </w:pPr>
            <w:r>
              <w:rPr>
                <w:b w:val="false"/>
                <w:bCs w:val="false"/>
                <w:color w:val="1A2427"/>
                <w:sz w:val="16"/>
                <w:szCs w:val="16"/>
              </w:rPr>
              <w:t xml:space="preserve">O6</w:t>
            </w:r>
          </w:p>
        </w:tc>
        <w:tc>
          <w:tcPr>
            <w:tcW w:type="dxa" w:w="2700"/>
            <w:tcMar>
              <w:top w:type="dxa" w:w="80"/>
              <w:left w:type="dxa" w:w="110"/>
              <w:bottom w:type="dxa" w:w="80"/>
              <w:right w:type="dxa" w:w="110"/>
            </w:tcMar>
          </w:tcPr>
          <w:p>
            <w:pPr>
              <w:spacing w:after="0"/>
            </w:pPr>
            <w:r>
              <w:rPr>
                <w:b w:val="false"/>
                <w:bCs w:val="false"/>
                <w:color w:val="1A2427"/>
                <w:sz w:val="16"/>
                <w:szCs w:val="16"/>
              </w:rPr>
              <w:t xml:space="preserve">Derive an evidence-based minimum viable sensing configuration for low-cost plantar arrays</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A recommendation with stated error bounds and the conditions under which it holds</w:t>
            </w:r>
          </w:p>
        </w:tc>
        <w:tc>
          <w:tcPr>
            <w:tcW w:type="dxa" w:w="3226"/>
            <w:tcMar>
              <w:top w:type="dxa" w:w="80"/>
              <w:left w:type="dxa" w:w="110"/>
              <w:bottom w:type="dxa" w:w="80"/>
              <w:right w:type="dxa" w:w="110"/>
            </w:tcMar>
          </w:tcPr>
          <w:p>
            <w:pPr>
              <w:spacing w:after="0"/>
            </w:pPr>
            <w:r>
              <w:rPr>
                <w:b w:val="false"/>
                <w:bCs w:val="false"/>
                <w:color w:val="2A6640"/>
                <w:sz w:val="16"/>
                <w:szCs w:val="16"/>
              </w:rPr>
              <w:t xml:space="preserve">High — synthesis of O1–O5</w:t>
            </w:r>
          </w:p>
        </w:tc>
      </w:tr>
    </w:tbl>
    <w:p>
      <w:pPr>
        <w:pBdr>
          <w:top w:val="single" w:color="BCD3D6" w:sz="2" w:space="10"/>
          <w:bottom w:val="single" w:color="BCD3D6" w:sz="2" w:space="10"/>
          <w:left w:val="single" w:color="BCD3D6" w:sz="2" w:space="10"/>
          <w:right w:val="single" w:color="BCD3D6" w:sz="2" w:space="10"/>
        </w:pBdr>
        <w:shd w:fill="E9F1F2" w:val="clear"/>
        <w:spacing w:after="180" w:before="140"/>
      </w:pPr>
      <w:r>
        <w:t xml:space="preserve">Note what is absent. No objective claims to detect disease, predict risk, or classify pathology. Every objective is a measurement or a characterisation, which is why every one of them can actually be completed and defended.</w:t>
      </w:r>
    </w:p>
    <w:p>
      <w:r>
        <w:br w:type="page"/>
      </w:r>
    </w:p>
    <w:p>
      <w:pPr>
        <w:pStyle w:val="Heading1"/>
      </w:pPr>
      <w:r>
        <w:t xml:space="preserve">4. Research methodology</w:t>
      </w:r>
    </w:p>
    <w:p>
      <w:pPr>
        <w:pStyle w:val="Heading2"/>
      </w:pPr>
      <w:r>
        <w:t xml:space="preserve">Phase 1 — Instrument characterisation (bench)</w:t>
      </w:r>
    </w:p>
    <w:p>
      <w:pPr>
        <w:pStyle w:val="ListParagraph"/>
        <w:numPr>
          <w:ilvl w:val="0"/>
          <w:numId w:val="3"/>
        </w:numPr>
      </w:pPr>
      <w:r>
        <w:t xml:space="preserve">Sensor conditioning: ten load/unload cycles at 110% of intended maximum before any calibration data is taken. Unconditioned FSRs drift substantially during first use and a curve fitted before conditioning does not hold.</w:t>
      </w:r>
    </w:p>
    <w:p>
      <w:pPr>
        <w:pStyle w:val="ListParagraph"/>
        <w:numPr>
          <w:ilvl w:val="0"/>
          <w:numId w:val="3"/>
        </w:numPr>
      </w:pPr>
      <w:r>
        <w:t xml:space="preserve">Calibration: masses in 200 g increments to 8 kg through a 3D-printed puck matched to the sensor's 12.7 mm active diameter, 30 s dwell per step, recording both the loading and the unloading sequence. Three repeats, plus one repeat at in-shoe temperature (32–34 °C).</w:t>
      </w:r>
    </w:p>
    <w:p>
      <w:pPr>
        <w:pStyle w:val="ListParagraph"/>
        <w:numPr>
          <w:ilvl w:val="0"/>
          <w:numId w:val="3"/>
        </w:numPr>
      </w:pPr>
      <w:r>
        <w:t xml:space="preserve">Justification for method choice: on a comparable sensor, single-point linear calibration gave 24% of full-range error against 0.6% for a ten-point cubic, and including the unloading curve reduced force estimation error by a further 76% relative to loading-only regression. Method choice dominates accuracy here, and it costs nothing.</w:t>
      </w:r>
    </w:p>
    <w:p>
      <w:pPr>
        <w:pStyle w:val="Heading2"/>
      </w:pPr>
      <w:r>
        <w:t xml:space="preserve">Phase 2 — Observability analysis (computational)</w:t>
      </w:r>
    </w:p>
    <w:p>
      <w:pPr>
        <w:pStyle w:val="ListParagraph"/>
        <w:numPr>
          <w:ilvl w:val="0"/>
          <w:numId w:val="3"/>
        </w:numPr>
      </w:pPr>
      <w:r>
        <w:t xml:space="preserve">Reference data: UNB StepUP-P150 — 150 participants, over 200,000 footsteps, 240 × 720 sensels at 5 mm pitch, 100 Hz, across 16 footwear and speed conditions. Openly published.</w:t>
      </w:r>
    </w:p>
    <w:p>
      <w:pPr>
        <w:pStyle w:val="ListParagraph"/>
        <w:numPr>
          <w:ilvl w:val="0"/>
          <w:numId w:val="3"/>
        </w:numPr>
      </w:pPr>
      <w:r>
        <w:t xml:space="preserve">Method: subsample the high-resolution pressure field at each candidate sensor position, integrating over each sensor's real active area rather than sampling a point, and compare the reconstruction against the full-field ground truth.</w:t>
      </w:r>
    </w:p>
    <w:p>
      <w:pPr>
        <w:pStyle w:val="ListParagraph"/>
        <w:numPr>
          <w:ilvl w:val="0"/>
          <w:numId w:val="3"/>
        </w:numPr>
      </w:pPr>
      <w:r>
        <w:t xml:space="preserve">Outputs per configuration: area coverage, load coverage, peak-capture rate, CoP error in mm, and load agreement expressed as bias with 95% limits of agreement.</w:t>
      </w:r>
    </w:p>
    <w:p>
      <w:pPr>
        <w:pStyle w:val="ListParagraph"/>
        <w:numPr>
          <w:ilvl w:val="0"/>
          <w:numId w:val="3"/>
        </w:numPr>
      </w:pPr>
      <w:r>
        <w:t xml:space="preserve">Why this before hardware: it answers the sensor-count question on 200,000 real footsteps for the cost of a weekend of computation, instead of on a handful of participants for the cost of a board revision.</w:t>
      </w:r>
    </w:p>
    <w:p>
      <w:pPr>
        <w:pStyle w:val="Heading2"/>
      </w:pPr>
      <w:r>
        <w:t xml:space="preserve">Phase 3 — Endurance characterisation (bench)</w:t>
      </w:r>
    </w:p>
    <w:p>
      <w:pPr>
        <w:pStyle w:val="ListParagraph"/>
        <w:numPr>
          <w:ilvl w:val="0"/>
          <w:numId w:val="3"/>
        </w:numPr>
      </w:pPr>
      <w:r>
        <w:t xml:space="preserve">Cyclic loading at 1 Hz with a load-time profile approximating heel strike, at the highest load the fixture reliably achieves, to 10,000 cycles minimum.</w:t>
      </w:r>
    </w:p>
    <w:p>
      <w:pPr>
        <w:pStyle w:val="ListParagraph"/>
        <w:numPr>
          <w:ilvl w:val="0"/>
          <w:numId w:val="3"/>
        </w:numPr>
      </w:pPr>
      <w:r>
        <w:t xml:space="preserve">Abbreviated recalibration every 500 cycles: null output plus five loading points.</w:t>
      </w:r>
    </w:p>
    <w:p>
      <w:pPr>
        <w:pStyle w:val="ListParagraph"/>
        <w:numPr>
          <w:ilvl w:val="0"/>
          <w:numId w:val="3"/>
        </w:numPr>
      </w:pPr>
      <w:r>
        <w:t xml:space="preserve">Minimum three specimens so that between-specimen variation can be separated from the trend.</w:t>
      </w:r>
    </w:p>
    <w:p>
      <w:pPr>
        <w:pStyle w:val="ListParagraph"/>
        <w:numPr>
          <w:ilvl w:val="0"/>
          <w:numId w:val="3"/>
        </w:numPr>
      </w:pPr>
      <w:r>
        <w:t xml:space="preserve">Report the result whichever way it goes. A finding that the sensors degrade in a few thousand cycles is more valuable than a finding that they do not, because it is the answer nobody has published.</w:t>
      </w:r>
    </w:p>
    <w:p>
      <w:pPr>
        <w:pStyle w:val="Heading2"/>
      </w:pPr>
      <w:r>
        <w:t xml:space="preserve">Phase 4 — Self-validation layer (firmware)</w:t>
      </w:r>
    </w:p>
    <w:p>
      <w:r>
        <w:t xml:space="preserve">The engineering contribution. Three signals, combined:</w:t>
      </w:r>
    </w:p>
    <w:p>
      <w:pPr>
        <w:pStyle w:val="ListParagraph"/>
        <w:numPr>
          <w:ilvl w:val="0"/>
          <w:numId w:val="3"/>
        </w:numPr>
      </w:pPr>
      <w:r>
        <w:t xml:space="preserve">Baseline drift: the signed residual between current and calibrated zero, tracked continuously rather than clamped at zero as most implementations do. A persistently negative residual is the signature of upward baseline drift.</w:t>
      </w:r>
    </w:p>
    <w:p>
      <w:pPr>
        <w:pStyle w:val="ListParagraph"/>
        <w:numPr>
          <w:ilvl w:val="0"/>
          <w:numId w:val="3"/>
        </w:numPr>
      </w:pPr>
      <w:r>
        <w:t xml:space="preserve">Quiet-standing re-zero divergence: how far the zero has moved at each opportunity to re-estimate it, and how often those opportunities are being taken.</w:t>
      </w:r>
    </w:p>
    <w:p>
      <w:pPr>
        <w:pStyle w:val="ListParagraph"/>
        <w:numPr>
          <w:ilvl w:val="0"/>
          <w:numId w:val="3"/>
        </w:numPr>
      </w:pPr>
      <w:r>
        <w:t xml:space="preserve">Inter-channel consistency: whether the relationship between channels during identifiable gait phases still resembles the relationship established at calibration.</w:t>
      </w:r>
    </w:p>
    <w:p>
      <w:pPr>
        <w:pStyle w:val="ListParagraph"/>
        <w:numPr>
          <w:ilvl w:val="0"/>
          <w:numId w:val="3"/>
        </w:numPr>
      </w:pPr>
      <w:r>
        <w:t xml:space="preserve">Output: a declared validity state accompanying every measurement, and suppression of derived metrics when validity is lost — rather than continuing to output numbers of unknown quality.</w:t>
      </w:r>
    </w:p>
    <w:p>
      <w:r>
        <w:t xml:space="preserve">Validation of this layer is by deliberate degradation: sensors aged in Phase 3 are reinstalled at known points on their degradation curve, and the layer's detection sensitivity, false-positive rate and detection latency are measured against that known ground truth. This is the experiment that makes the contribution defensible rather than merely plausible.</w:t>
      </w:r>
    </w:p>
    <w:p>
      <w:pPr>
        <w:pStyle w:val="Heading2"/>
      </w:pPr>
      <w:r>
        <w:t xml:space="preserve">Phase 5 — Human validation (healthy volunteers)</w:t>
      </w:r>
    </w:p>
    <w:p>
      <w:pPr>
        <w:pStyle w:val="ListParagraph"/>
        <w:numPr>
          <w:ilvl w:val="0"/>
          <w:numId w:val="3"/>
        </w:numPr>
      </w:pPr>
      <w:r>
        <w:t xml:space="preserve">Design copied from a published protocol that validated a twelve-sensor insole in 17 chronic stroke patients against frame-by-frame video labelling at 120 fps with two independent raters, reporting 90.86% of 3,820 gait events correctly identified and test-retest ICC 0.928. No motion capture laboratory was involved.</w:t>
      </w:r>
    </w:p>
    <w:p>
      <w:pPr>
        <w:pStyle w:val="ListParagraph"/>
        <w:numPr>
          <w:ilvl w:val="0"/>
          <w:numId w:val="3"/>
        </w:numPr>
      </w:pPr>
      <w:r>
        <w:t xml:space="preserve">Participants: 15–20 healthy adults, presented as a pilot for feasibility and variance estimation, not as an agreement study.</w:t>
      </w:r>
    </w:p>
    <w:p>
      <w:pPr>
        <w:pStyle w:val="ListParagraph"/>
        <w:numPr>
          <w:ilvl w:val="0"/>
          <w:numId w:val="3"/>
        </w:numPr>
      </w:pPr>
      <w:r>
        <w:t xml:space="preserve">Protocol includes turning, not only straight-line walking — event detection error roughly doubles when walking stops being straight, and a corridor-only validation overstates accuracy.</w:t>
      </w:r>
    </w:p>
    <w:p>
      <w:pPr>
        <w:pStyle w:val="ListParagraph"/>
        <w:numPr>
          <w:ilvl w:val="0"/>
          <w:numId w:val="3"/>
        </w:numPr>
      </w:pPr>
      <w:r>
        <w:t xml:space="preserve">Minimum 12 steps per foot per condition, the canonical figure for valid in-shoe plantar pressure data. Variability metrics, which need 10–80 strides, are reported separately and not behind the same threshold.</w:t>
      </w:r>
    </w:p>
    <w:p>
      <w:pPr>
        <w:pStyle w:val="ListParagraph"/>
        <w:numPr>
          <w:ilvl w:val="0"/>
          <w:numId w:val="3"/>
        </w:numPr>
      </w:pPr>
      <w:r>
        <w:t xml:space="preserve">Ethics: institutional committee approval before any data collection, with the committee's registration status confirmed. Healthy-volunteer walking while wearing an insole is arguable as minimal risk, which is the claim that qualifies for expedited review.</w:t>
      </w:r>
    </w:p>
    <w:p>
      <w:pPr>
        <w:pStyle w:val="Heading2"/>
      </w:pPr>
      <w:r>
        <w:t xml:space="preserve">Phase 6 — Analysis</w:t>
      </w:r>
    </w:p>
    <w:p>
      <w:pPr>
        <w:pStyle w:val="ListParagraph"/>
        <w:numPr>
          <w:ilvl w:val="0"/>
          <w:numId w:val="3"/>
        </w:numPr>
      </w:pPr>
      <w:r>
        <w:t xml:space="preserve">Agreement reported as Bland-Altman bias and 95% limits, with a clinically acceptable difference declared before data collection. Correlation is not reported as evidence of agreement — it is the wrong statistic for method comparison and the most common error in student validation work.</w:t>
      </w:r>
    </w:p>
    <w:p>
      <w:pPr>
        <w:pStyle w:val="ListParagraph"/>
        <w:numPr>
          <w:ilvl w:val="0"/>
          <w:numId w:val="3"/>
        </w:numPr>
      </w:pPr>
      <w:r>
        <w:t xml:space="preserve">Bias reported alongside any ICC. High ICC with large bias is the normal case: a commercial insole with a hundred times the sensor count achieved ICC 0.82–0.98 while under-reading force by up to 37%.</w:t>
      </w:r>
    </w:p>
    <w:p>
      <w:pPr>
        <w:pStyle w:val="ListParagraph"/>
        <w:numPr>
          <w:ilvl w:val="0"/>
          <w:numId w:val="3"/>
        </w:numPr>
      </w:pPr>
      <w:r>
        <w:t xml:space="preserve">Degradation curves fitted and cycles-to-threshold reported with between-specimen spread.</w:t>
      </w:r>
    </w:p>
    <w:p>
      <w:r>
        <w:br w:type="page"/>
      </w:r>
    </w:p>
    <w:p>
      <w:pPr>
        <w:pStyle w:val="Heading1"/>
      </w:pPr>
      <w:r>
        <w:t xml:space="preserve">5. Hardware justification</w:t>
      </w:r>
    </w:p>
    <w:p>
      <w:r>
        <w:t xml:space="preserve">Applying the rule that every component must earn its place. This table is worth having on hand at the podium, because “why did you include X?” is a standard question and most teams cannot answer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500"/>
        <w:gridCol w:w="6546"/>
      </w:tblGrid>
      <w:tr>
        <w:trPr>
          <w:tblHeader/>
        </w:trPr>
        <w:tc>
          <w:tcPr>
            <w:tcW w:type="dxa" w:w="1700"/>
            <w:shd w:fill="E7ECEE" w:val="clear"/>
            <w:tcMar>
              <w:top w:type="dxa" w:w="80"/>
              <w:left w:type="dxa" w:w="110"/>
              <w:bottom w:type="dxa" w:w="80"/>
              <w:right w:type="dxa" w:w="110"/>
            </w:tcMar>
          </w:tcPr>
          <w:p>
            <w:pPr>
              <w:spacing w:after="0"/>
            </w:pPr>
            <w:r>
              <w:rPr>
                <w:b/>
                <w:bCs/>
                <w:color w:val="1A2427"/>
                <w:sz w:val="16"/>
                <w:szCs w:val="16"/>
              </w:rPr>
              <w:t xml:space="preserve">Component</w:t>
            </w:r>
          </w:p>
        </w:tc>
        <w:tc>
          <w:tcPr>
            <w:tcW w:type="dxa" w:w="1500"/>
            <w:shd w:fill="E7ECEE" w:val="clear"/>
            <w:tcMar>
              <w:top w:type="dxa" w:w="80"/>
              <w:left w:type="dxa" w:w="110"/>
              <w:bottom w:type="dxa" w:w="80"/>
              <w:right w:type="dxa" w:w="110"/>
            </w:tcMar>
          </w:tcPr>
          <w:p>
            <w:pPr>
              <w:spacing w:after="0"/>
            </w:pPr>
            <w:r>
              <w:rPr>
                <w:b/>
                <w:bCs/>
                <w:color w:val="1A2427"/>
                <w:sz w:val="16"/>
                <w:szCs w:val="16"/>
              </w:rPr>
              <w:t xml:space="preserve">Verdict</w:t>
            </w:r>
          </w:p>
        </w:tc>
        <w:tc>
          <w:tcPr>
            <w:tcW w:type="dxa" w:w="6546"/>
            <w:shd w:fill="E7ECEE" w:val="clear"/>
            <w:tcMar>
              <w:top w:type="dxa" w:w="80"/>
              <w:left w:type="dxa" w:w="110"/>
              <w:bottom w:type="dxa" w:w="80"/>
              <w:right w:type="dxa" w:w="110"/>
            </w:tcMar>
          </w:tcPr>
          <w:p>
            <w:pPr>
              <w:spacing w:after="0"/>
            </w:pPr>
            <w:r>
              <w:rPr>
                <w:b/>
                <w:bCs/>
                <w:color w:val="1A2427"/>
                <w:sz w:val="16"/>
                <w:szCs w:val="16"/>
              </w:rPr>
              <w:t xml:space="preserve">Research justification</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4 × FSR402</w:t>
            </w:r>
          </w:p>
        </w:tc>
        <w:tc>
          <w:tcPr>
            <w:tcW w:type="dxa" w:w="1500"/>
            <w:tcMar>
              <w:top w:type="dxa" w:w="80"/>
              <w:left w:type="dxa" w:w="110"/>
              <w:bottom w:type="dxa" w:w="80"/>
              <w:right w:type="dxa" w:w="110"/>
            </w:tcMar>
          </w:tcPr>
          <w:p>
            <w:pPr>
              <w:spacing w:after="0"/>
            </w:pPr>
            <w:r>
              <w:rPr>
                <w:b/>
                <w:bCs/>
                <w:color w:val="2A6640"/>
                <w:sz w:val="16"/>
                <w:szCs w:val="16"/>
              </w:rPr>
              <w:t xml:space="preserve">Keep</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The object of study. Their limitations are the research question, so replacing them would eliminate the project.</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Piezoelectric heel disc</w:t>
            </w:r>
          </w:p>
        </w:tc>
        <w:tc>
          <w:tcPr>
            <w:tcW w:type="dxa" w:w="1500"/>
            <w:tcMar>
              <w:top w:type="dxa" w:w="80"/>
              <w:left w:type="dxa" w:w="110"/>
              <w:bottom w:type="dxa" w:w="80"/>
              <w:right w:type="dxa" w:w="110"/>
            </w:tcMar>
          </w:tcPr>
          <w:p>
            <w:pPr>
              <w:spacing w:after="0"/>
            </w:pPr>
            <w:r>
              <w:rPr>
                <w:b/>
                <w:bCs/>
                <w:color w:val="2A6640"/>
                <w:sz w:val="16"/>
                <w:szCs w:val="16"/>
              </w:rPr>
              <w:t xml:space="preserve">Keep</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Independent timing reference against which FSR-derived events are checked. The FSR/piezo pairing is published as complementary: the piezo gives sharp reproducible transients but zero output under static load, the FSR the reverse.</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MPU6050 IMU</w:t>
            </w:r>
          </w:p>
        </w:tc>
        <w:tc>
          <w:tcPr>
            <w:tcW w:type="dxa" w:w="1500"/>
            <w:tcMar>
              <w:top w:type="dxa" w:w="80"/>
              <w:left w:type="dxa" w:w="110"/>
              <w:bottom w:type="dxa" w:w="80"/>
              <w:right w:type="dxa" w:w="110"/>
            </w:tcMar>
          </w:tcPr>
          <w:p>
            <w:pPr>
              <w:spacing w:after="0"/>
            </w:pPr>
            <w:r>
              <w:rPr>
                <w:b/>
                <w:bCs/>
                <w:color w:val="2A6640"/>
                <w:sz w:val="16"/>
                <w:szCs w:val="16"/>
              </w:rPr>
              <w:t xml:space="preserve">Keep</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Required by the self-validation layer to detect quiet standing, which is the condition under which re-zeroing is valid. Without it, O4 cannot be implemented.</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ESP32</w:t>
            </w:r>
          </w:p>
        </w:tc>
        <w:tc>
          <w:tcPr>
            <w:tcW w:type="dxa" w:w="1500"/>
            <w:tcMar>
              <w:top w:type="dxa" w:w="80"/>
              <w:left w:type="dxa" w:w="110"/>
              <w:bottom w:type="dxa" w:w="80"/>
              <w:right w:type="dxa" w:w="110"/>
            </w:tcMar>
          </w:tcPr>
          <w:p>
            <w:pPr>
              <w:spacing w:after="0"/>
            </w:pPr>
            <w:r>
              <w:rPr>
                <w:b/>
                <w:bCs/>
                <w:color w:val="2A6640"/>
                <w:sz w:val="16"/>
                <w:szCs w:val="16"/>
              </w:rPr>
              <w:t xml:space="preserve">Keep</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Adequate and already in hand. A published comparable system uses an ESP32-C3 for the same task.</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OLED display</w:t>
            </w:r>
          </w:p>
        </w:tc>
        <w:tc>
          <w:tcPr>
            <w:tcW w:type="dxa" w:w="1500"/>
            <w:tcMar>
              <w:top w:type="dxa" w:w="80"/>
              <w:left w:type="dxa" w:w="110"/>
              <w:bottom w:type="dxa" w:w="80"/>
              <w:right w:type="dxa" w:w="110"/>
            </w:tcMar>
          </w:tcPr>
          <w:p>
            <w:pPr>
              <w:spacing w:after="0"/>
            </w:pPr>
            <w:r>
              <w:rPr>
                <w:b/>
                <w:bCs/>
                <w:color w:val="5A6A70"/>
                <w:sz w:val="16"/>
                <w:szCs w:val="16"/>
              </w:rPr>
              <w:t xml:space="preserve">Keep, uncounted</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Useful during experiments for verifying state without a laptop. Not a research contribution and should not be presented as one.</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More FSRs (6, 8, 13)</w:t>
            </w:r>
          </w:p>
        </w:tc>
        <w:tc>
          <w:tcPr>
            <w:tcW w:type="dxa" w:w="1500"/>
            <w:tcMar>
              <w:top w:type="dxa" w:w="80"/>
              <w:left w:type="dxa" w:w="110"/>
              <w:bottom w:type="dxa" w:w="80"/>
              <w:right w:type="dxa" w:w="110"/>
            </w:tcMar>
          </w:tcPr>
          <w:p>
            <w:pPr>
              <w:spacing w:after="0"/>
            </w:pPr>
            <w:r>
              <w:rPr>
                <w:b/>
                <w:bCs/>
                <w:color w:val="A32017"/>
                <w:sz w:val="16"/>
                <w:szCs w:val="16"/>
              </w:rPr>
              <w:t xml:space="preserve">Do not add</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Sensor count is the independent variable. O1 answers the count question computationally on 200,000 real footsteps; adding sensors physically would answer it worse, later and more expensively.</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Temperature sensor</w:t>
            </w:r>
          </w:p>
        </w:tc>
        <w:tc>
          <w:tcPr>
            <w:tcW w:type="dxa" w:w="1500"/>
            <w:tcMar>
              <w:top w:type="dxa" w:w="80"/>
              <w:left w:type="dxa" w:w="110"/>
              <w:bottom w:type="dxa" w:w="80"/>
              <w:right w:type="dxa" w:w="110"/>
            </w:tcMar>
          </w:tcPr>
          <w:p>
            <w:pPr>
              <w:spacing w:after="0"/>
            </w:pPr>
            <w:r>
              <w:rPr>
                <w:b/>
                <w:bCs/>
                <w:color w:val="A32017"/>
                <w:sz w:val="16"/>
                <w:szCs w:val="16"/>
              </w:rPr>
              <w:t xml:space="preserve">Do not add</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Would move the project into the crowded, better-evidenced thermometry space and introduce a second research question the team cannot afford to answer properly.</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Flexible pressure matrix</w:t>
            </w:r>
          </w:p>
        </w:tc>
        <w:tc>
          <w:tcPr>
            <w:tcW w:type="dxa" w:w="1500"/>
            <w:tcMar>
              <w:top w:type="dxa" w:w="80"/>
              <w:left w:type="dxa" w:w="110"/>
              <w:bottom w:type="dxa" w:w="80"/>
              <w:right w:type="dxa" w:w="110"/>
            </w:tcMar>
          </w:tcPr>
          <w:p>
            <w:pPr>
              <w:spacing w:after="0"/>
            </w:pPr>
            <w:r>
              <w:rPr>
                <w:b/>
                <w:bCs/>
                <w:color w:val="A32017"/>
                <w:sz w:val="16"/>
                <w:szCs w:val="16"/>
              </w:rPr>
              <w:t xml:space="preserve">Do not add</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Correct long-term direction, wrong project. It answers the question this project exists to ask, before the question has been asked.</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Cloud dashboard</w:t>
            </w:r>
          </w:p>
        </w:tc>
        <w:tc>
          <w:tcPr>
            <w:tcW w:type="dxa" w:w="1500"/>
            <w:tcMar>
              <w:top w:type="dxa" w:w="80"/>
              <w:left w:type="dxa" w:w="110"/>
              <w:bottom w:type="dxa" w:w="80"/>
              <w:right w:type="dxa" w:w="110"/>
            </w:tcMar>
          </w:tcPr>
          <w:p>
            <w:pPr>
              <w:spacing w:after="0"/>
            </w:pPr>
            <w:r>
              <w:rPr>
                <w:b/>
                <w:bCs/>
                <w:color w:val="5A6A70"/>
                <w:sz w:val="16"/>
                <w:szCs w:val="16"/>
              </w:rPr>
              <w:t xml:space="preserve">Not a contribution</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A product feature. Build the minimum needed to run experiments and export data; present it as apparatus, not as a result.</w:t>
            </w:r>
          </w:p>
        </w:tc>
      </w:tr>
      <w:tr>
        <w:tc>
          <w:tcPr>
            <w:tcW w:type="dxa" w:w="1700"/>
            <w:tcMar>
              <w:top w:type="dxa" w:w="80"/>
              <w:left w:type="dxa" w:w="110"/>
              <w:bottom w:type="dxa" w:w="80"/>
              <w:right w:type="dxa" w:w="110"/>
            </w:tcMar>
          </w:tcPr>
          <w:p>
            <w:pPr>
              <w:spacing w:after="0"/>
            </w:pPr>
            <w:r>
              <w:rPr>
                <w:b w:val="false"/>
                <w:bCs w:val="false"/>
                <w:color w:val="1A2427"/>
                <w:sz w:val="16"/>
                <w:szCs w:val="16"/>
              </w:rPr>
              <w:t xml:space="preserve">Machine learning classifier</w:t>
            </w:r>
          </w:p>
        </w:tc>
        <w:tc>
          <w:tcPr>
            <w:tcW w:type="dxa" w:w="1500"/>
            <w:tcMar>
              <w:top w:type="dxa" w:w="80"/>
              <w:left w:type="dxa" w:w="110"/>
              <w:bottom w:type="dxa" w:w="80"/>
              <w:right w:type="dxa" w:w="110"/>
            </w:tcMar>
          </w:tcPr>
          <w:p>
            <w:pPr>
              <w:spacing w:after="0"/>
            </w:pPr>
            <w:r>
              <w:rPr>
                <w:b/>
                <w:bCs/>
                <w:color w:val="A32017"/>
                <w:sz w:val="16"/>
                <w:szCs w:val="16"/>
              </w:rPr>
              <w:t xml:space="preserve">Do not add</w:t>
            </w:r>
          </w:p>
        </w:tc>
        <w:tc>
          <w:tcPr>
            <w:tcW w:type="dxa" w:w="6546"/>
            <w:tcMar>
              <w:top w:type="dxa" w:w="80"/>
              <w:left w:type="dxa" w:w="110"/>
              <w:bottom w:type="dxa" w:w="80"/>
              <w:right w:type="dxa" w:w="110"/>
            </w:tcMar>
          </w:tcPr>
          <w:p>
            <w:pPr>
              <w:spacing w:after="0"/>
            </w:pPr>
            <w:r>
              <w:rPr>
                <w:b w:val="false"/>
                <w:bCs w:val="false"/>
                <w:color w:val="1A2427"/>
                <w:sz w:val="16"/>
                <w:szCs w:val="16"/>
              </w:rPr>
              <w:t xml:space="preserve">Published at 88% accuracy on eight FSRs in 2026. A weaker replication invites direct comparison. If a model is ever added, a 50-tree random forest matched a quantised CNN at ~91% F1 in under 1 ms and 15–20 kB on Cortex-M — so interpretability costs nothing here.</w:t>
            </w:r>
          </w:p>
        </w:tc>
      </w:tr>
    </w:tbl>
    <w:p>
      <w:r>
        <w:br w:type="page"/>
      </w:r>
    </w:p>
    <w:p>
      <w:pPr>
        <w:pStyle w:val="Heading1"/>
      </w:pPr>
      <w:r>
        <w:t xml:space="preserve">6. Expected results and evidence</w:t>
      </w:r>
    </w:p>
    <w:p>
      <w:r>
        <w:t xml:space="preserve">Aavishkar rewards visible, defensible evidence. Each item below is a concrete artefact for the poster or the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3400"/>
        <w:gridCol w:w="2946"/>
      </w:tblGrid>
      <w:tr>
        <w:trPr>
          <w:tblHeader/>
        </w:trPr>
        <w:tc>
          <w:tcPr>
            <w:tcW w:type="dxa" w:w="3400"/>
            <w:shd w:fill="E7ECEE" w:val="clear"/>
            <w:tcMar>
              <w:top w:type="dxa" w:w="80"/>
              <w:left w:type="dxa" w:w="110"/>
              <w:bottom w:type="dxa" w:w="80"/>
              <w:right w:type="dxa" w:w="110"/>
            </w:tcMar>
          </w:tcPr>
          <w:p>
            <w:pPr>
              <w:spacing w:after="0"/>
            </w:pPr>
            <w:r>
              <w:rPr>
                <w:b/>
                <w:bCs/>
                <w:color w:val="1A2427"/>
                <w:sz w:val="16"/>
                <w:szCs w:val="16"/>
              </w:rPr>
              <w:t xml:space="preserve">Evidence</w:t>
            </w:r>
          </w:p>
        </w:tc>
        <w:tc>
          <w:tcPr>
            <w:tcW w:type="dxa" w:w="3400"/>
            <w:shd w:fill="E7ECEE" w:val="clear"/>
            <w:tcMar>
              <w:top w:type="dxa" w:w="80"/>
              <w:left w:type="dxa" w:w="110"/>
              <w:bottom w:type="dxa" w:w="80"/>
              <w:right w:type="dxa" w:w="110"/>
            </w:tcMar>
          </w:tcPr>
          <w:p>
            <w:pPr>
              <w:spacing w:after="0"/>
            </w:pPr>
            <w:r>
              <w:rPr>
                <w:b/>
                <w:bCs/>
                <w:color w:val="1A2427"/>
                <w:sz w:val="16"/>
                <w:szCs w:val="16"/>
              </w:rPr>
              <w:t xml:space="preserve">Form</w:t>
            </w:r>
          </w:p>
        </w:tc>
        <w:tc>
          <w:tcPr>
            <w:tcW w:type="dxa" w:w="2946"/>
            <w:shd w:fill="E7ECEE" w:val="clear"/>
            <w:tcMar>
              <w:top w:type="dxa" w:w="80"/>
              <w:left w:type="dxa" w:w="110"/>
              <w:bottom w:type="dxa" w:w="80"/>
              <w:right w:type="dxa" w:w="110"/>
            </w:tcMar>
          </w:tcPr>
          <w:p>
            <w:pPr>
              <w:spacing w:after="0"/>
            </w:pPr>
            <w:r>
              <w:rPr>
                <w:b/>
                <w:bCs/>
                <w:color w:val="1A2427"/>
                <w:sz w:val="16"/>
                <w:szCs w:val="16"/>
              </w:rPr>
              <w:t xml:space="preserve">From</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Per-sensor calibration curves with fit statistics</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Graph set + table</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O3</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Part-to-part variation across the sensor batch</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Distribution plot</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O3</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Sensitivity and null-offset against load cycles</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The headline degradation curve</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O2</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Cycles to 10% and 25% sensitivity change</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Table with between-specimen spread</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O2</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Area and load coverage by sensor configuration</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Table + overlay figure on a mean pressure map</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O1</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CoP error against configuration, vs published values</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Comparison chart</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O1</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Self-validation detection performance</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Sensitivity / false-positive rate / latency table</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O4</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Gait event agreement against video reference</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Bland-Altman plot</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O5</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Test-retest repeatability</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ICC with confidence intervals</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O5</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Minimum viable configuration recommendation</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Stated with error bounds and conditions</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O6</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Experimental apparatus</w:t>
            </w:r>
          </w:p>
        </w:tc>
        <w:tc>
          <w:tcPr>
            <w:tcW w:type="dxa" w:w="3400"/>
            <w:tcMar>
              <w:top w:type="dxa" w:w="80"/>
              <w:left w:type="dxa" w:w="110"/>
              <w:bottom w:type="dxa" w:w="80"/>
              <w:right w:type="dxa" w:w="110"/>
            </w:tcMar>
          </w:tcPr>
          <w:p>
            <w:pPr>
              <w:spacing w:after="0"/>
            </w:pPr>
            <w:r>
              <w:rPr>
                <w:b w:val="false"/>
                <w:bCs w:val="false"/>
                <w:color w:val="1A2427"/>
                <w:sz w:val="16"/>
                <w:szCs w:val="16"/>
              </w:rPr>
              <w:t xml:space="preserve">Photographs of the fixture and calibration rig</w:t>
            </w:r>
          </w:p>
        </w:tc>
        <w:tc>
          <w:tcPr>
            <w:tcW w:type="dxa" w:w="2946"/>
            <w:tcMar>
              <w:top w:type="dxa" w:w="80"/>
              <w:left w:type="dxa" w:w="110"/>
              <w:bottom w:type="dxa" w:w="80"/>
              <w:right w:type="dxa" w:w="110"/>
            </w:tcMar>
          </w:tcPr>
          <w:p>
            <w:pPr>
              <w:spacing w:after="0"/>
            </w:pPr>
            <w:r>
              <w:rPr>
                <w:b w:val="false"/>
                <w:bCs w:val="false"/>
                <w:color w:val="1A2427"/>
                <w:sz w:val="16"/>
                <w:szCs w:val="16"/>
              </w:rPr>
              <w:t xml:space="preserve">O2, O3</w:t>
            </w:r>
          </w:p>
        </w:tc>
      </w:tr>
    </w:tbl>
    <w:p>
      <w:pPr>
        <w:pStyle w:val="Small"/>
      </w:pPr>
      <w:r>
        <w:t xml:space="preserve">A poster carrying the degradation curve and the coverage overlay figure will do more work than any amount of system-architecture diagram.</w:t>
      </w:r>
    </w:p>
    <w:p>
      <w:pPr>
        <w:pStyle w:val="Heading2"/>
      </w:pPr>
      <w:r>
        <w:t xml:space="preserve">What the results might say, and why either answer is fine</w:t>
      </w:r>
    </w:p>
    <w:p>
      <w:r>
        <w:t xml:space="preserve">If the sensors prove durable and four positions capture more load than expected, the finding is that low-cost sparse sensing is more viable than the literature's prescriptions imply — useful, and directly relevant to resource-constrained deployment.</w:t>
      </w:r>
    </w:p>
    <w:p>
      <w:r>
        <w:t xml:space="preserve">If the sensors degrade within a few thousand cycles and four positions observe under a tenth of the loaded area, the finding is that a large class of deployed and published low-cost devices are reporting numbers their hardware cannot support — which is more interesting, and is the argument for the self-validation layer as a necessary component rather than a nice one.</w:t>
      </w:r>
    </w:p>
    <w:p>
      <w:r>
        <w:t xml:space="preserve">A project that is publishable under either outcome is a project that cannot fail. That is the point of designing it this way.</w:t>
      </w:r>
    </w:p>
    <w:p>
      <w:r>
        <w:br w:type="page"/>
      </w:r>
    </w:p>
    <w:p>
      <w:pPr>
        <w:pStyle w:val="Heading1"/>
      </w:pPr>
      <w:r>
        <w:t xml:space="preserve">7. Innovation and impact</w:t>
      </w:r>
    </w:p>
    <w:p>
      <w:pPr>
        <w:pStyle w:val="Heading2"/>
      </w:pPr>
      <w:r>
        <w:t xml:space="preserve">What is genuinely novel</w:t>
      </w:r>
    </w:p>
    <w:p>
      <w:pPr>
        <w:pStyle w:val="ListParagraph"/>
        <w:numPr>
          <w:ilvl w:val="0"/>
          <w:numId w:val="2"/>
        </w:numPr>
      </w:pPr>
      <w:r>
        <w:t xml:space="preserve">The self-validation layer. A wearable that declares when it has stopped being able to measure reliably. Across the systems reviewed, none does this. It is a transferable engineering method, not specific to insoles — the same argument applies to any low-cost sensor deployed unsupervised for long periods.</w:t>
      </w:r>
    </w:p>
    <w:p>
      <w:pPr>
        <w:pStyle w:val="ListParagraph"/>
        <w:numPr>
          <w:ilvl w:val="0"/>
          <w:numId w:val="2"/>
        </w:numPr>
      </w:pPr>
      <w:r>
        <w:t xml:space="preserve">The endurance curve. No published sensitivity-versus-cycles data exists for an FSR in a plantar application. This is primary data that does not currently exist anywhere.</w:t>
      </w:r>
    </w:p>
    <w:p>
      <w:pPr>
        <w:pStyle w:val="ListParagraph"/>
        <w:numPr>
          <w:ilvl w:val="0"/>
          <w:numId w:val="2"/>
        </w:numPr>
      </w:pPr>
      <w:r>
        <w:t xml:space="preserve">Observability quantification in the 4–8 sensor regime. The literature prescribes counts from lab-grade evidence and skips the range low-cost builders actually occupy.</w:t>
      </w:r>
    </w:p>
    <w:p>
      <w:pPr>
        <w:pStyle w:val="Heading2"/>
      </w:pPr>
      <w:r>
        <w:t xml:space="preserve">What is not claimed as novel, and saying so is a strength</w:t>
      </w:r>
    </w:p>
    <w:p>
      <w:r>
        <w:t xml:space="preserve">The insole hardware is conventional. The sensing modalities are catalogued in a review of 98 articles. Gait event detection from plantar pressure is established. Stating this plainly, and then showing precisely where the contribution sits, is far stronger than claiming novelty an evaluator can puncture in one question.</w:t>
      </w:r>
    </w:p>
    <w:p>
      <w:pPr>
        <w:pStyle w:val="Heading2"/>
      </w:pPr>
      <w:r>
        <w:t xml:space="preserve">Impact</w:t>
      </w:r>
    </w:p>
    <w:p>
      <w:pPr>
        <w:pStyle w:val="ListParagraph"/>
        <w:numPr>
          <w:ilvl w:val="0"/>
          <w:numId w:val="3"/>
        </w:numPr>
      </w:pPr>
      <w:r>
        <w:t xml:space="preserve">Technological: design guidance others can apply — a minimum viable configuration with stated error bounds, and a self-validation method that is portable to other low-cost sensing.</w:t>
      </w:r>
    </w:p>
    <w:p>
      <w:pPr>
        <w:pStyle w:val="ListParagraph"/>
        <w:numPr>
          <w:ilvl w:val="0"/>
          <w:numId w:val="3"/>
        </w:numPr>
      </w:pPr>
      <w:r>
        <w:t xml:space="preserve">Methodological: a reproducible characterisation protocol for low-cost wearable sensors, of which endurance testing is the part the field currently omits.</w:t>
      </w:r>
    </w:p>
    <w:p>
      <w:pPr>
        <w:pStyle w:val="ListParagraph"/>
        <w:numPr>
          <w:ilvl w:val="0"/>
          <w:numId w:val="3"/>
        </w:numPr>
      </w:pPr>
      <w:r>
        <w:t xml:space="preserve">Societal and economic: trustworthy low-cost sensing matters most where lab-grade equipment is unavailable. A scoping review screened 1,925 papers on data-driven remote care in this application area and found no studies from India or any low- or middle-income setting. Work done in this context is, on the published record, first of its kind.</w:t>
      </w:r>
    </w:p>
    <w:p>
      <w:pPr>
        <w:pStyle w:val="ListParagraph"/>
        <w:numPr>
          <w:ilvl w:val="0"/>
          <w:numId w:val="3"/>
        </w:numPr>
      </w:pPr>
      <w:r>
        <w:t xml:space="preserve">Foundational: this characterisation is the prerequisite for any later clinical application. Doing it first is what makes subsequent claims defensible rather than asserted.</w:t>
      </w:r>
    </w:p>
    <w:p>
      <w:pPr>
        <w:pStyle w:val="Heading2"/>
      </w:pPr>
      <w:r>
        <w:t xml:space="preserve">Anticipated evaluator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346"/>
      </w:tblGrid>
      <w:tr>
        <w:trPr>
          <w:tblHeader/>
        </w:trPr>
        <w:tc>
          <w:tcPr>
            <w:tcW w:type="dxa" w:w="3400"/>
            <w:shd w:fill="E7ECEE" w:val="clear"/>
            <w:tcMar>
              <w:top w:type="dxa" w:w="80"/>
              <w:left w:type="dxa" w:w="110"/>
              <w:bottom w:type="dxa" w:w="80"/>
              <w:right w:type="dxa" w:w="110"/>
            </w:tcMar>
          </w:tcPr>
          <w:p>
            <w:pPr>
              <w:spacing w:after="0"/>
            </w:pPr>
            <w:r>
              <w:rPr>
                <w:b/>
                <w:bCs/>
                <w:color w:val="1A2427"/>
                <w:sz w:val="16"/>
                <w:szCs w:val="16"/>
              </w:rPr>
              <w:t xml:space="preserve">Question</w:t>
            </w:r>
          </w:p>
        </w:tc>
        <w:tc>
          <w:tcPr>
            <w:tcW w:type="dxa" w:w="6346"/>
            <w:shd w:fill="E7ECEE" w:val="clear"/>
            <w:tcMar>
              <w:top w:type="dxa" w:w="80"/>
              <w:left w:type="dxa" w:w="110"/>
              <w:bottom w:type="dxa" w:w="80"/>
              <w:right w:type="dxa" w:w="110"/>
            </w:tcMar>
          </w:tcPr>
          <w:p>
            <w:pPr>
              <w:spacing w:after="0"/>
            </w:pPr>
            <w:r>
              <w:rPr>
                <w:b/>
                <w:bCs/>
                <w:color w:val="1A2427"/>
                <w:sz w:val="16"/>
                <w:szCs w:val="16"/>
              </w:rPr>
              <w:t xml:space="preserve">Answer</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Why only four sensors when the literature says fifteen?</w:t>
            </w:r>
          </w:p>
        </w:tc>
        <w:tc>
          <w:tcPr>
            <w:tcW w:type="dxa" w:w="6346"/>
            <w:tcMar>
              <w:top w:type="dxa" w:w="80"/>
              <w:left w:type="dxa" w:w="110"/>
              <w:bottom w:type="dxa" w:w="80"/>
              <w:right w:type="dxa" w:w="110"/>
            </w:tcMar>
          </w:tcPr>
          <w:p>
            <w:pPr>
              <w:spacing w:after="0"/>
            </w:pPr>
            <w:r>
              <w:rPr>
                <w:b w:val="false"/>
                <w:bCs w:val="false"/>
                <w:color w:val="1A2427"/>
                <w:sz w:val="16"/>
                <w:szCs w:val="16"/>
              </w:rPr>
              <w:t xml:space="preserve">Because that is what we are testing. The prescription exists; the evidence for the low-cost regime does not. Our O1 result quantifies exactly what is lost.</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Isn't this just another smart insole?</w:t>
            </w:r>
          </w:p>
        </w:tc>
        <w:tc>
          <w:tcPr>
            <w:tcW w:type="dxa" w:w="6346"/>
            <w:tcMar>
              <w:top w:type="dxa" w:w="80"/>
              <w:left w:type="dxa" w:w="110"/>
              <w:bottom w:type="dxa" w:w="80"/>
              <w:right w:type="dxa" w:w="110"/>
            </w:tcMar>
          </w:tcPr>
          <w:p>
            <w:pPr>
              <w:spacing w:after="0"/>
            </w:pPr>
            <w:r>
              <w:rPr>
                <w:b w:val="false"/>
                <w:bCs w:val="false"/>
                <w:color w:val="1A2427"/>
                <w:sz w:val="16"/>
                <w:szCs w:val="16"/>
              </w:rPr>
              <w:t xml:space="preserve">No — the insole is the instrument, not the result. The result is the characterisation and the self-validation method. We are not claiming a better insole.</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Where is your clinical validation?</w:t>
            </w:r>
          </w:p>
        </w:tc>
        <w:tc>
          <w:tcPr>
            <w:tcW w:type="dxa" w:w="6346"/>
            <w:tcMar>
              <w:top w:type="dxa" w:w="80"/>
              <w:left w:type="dxa" w:w="110"/>
              <w:bottom w:type="dxa" w:w="80"/>
              <w:right w:type="dxa" w:w="110"/>
            </w:tcMar>
          </w:tcPr>
          <w:p>
            <w:pPr>
              <w:spacing w:after="0"/>
            </w:pPr>
            <w:r>
              <w:rPr>
                <w:b w:val="false"/>
                <w:bCs w:val="false"/>
                <w:color w:val="1A2427"/>
                <w:sz w:val="16"/>
                <w:szCs w:val="16"/>
              </w:rPr>
              <w:t xml:space="preserve">Deliberately absent. We are at the verification and analytical validation stages of the V3 framework. Claiming clinical validation at this scale would be indefensible and we say so.</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What is your novelty?</w:t>
            </w:r>
          </w:p>
        </w:tc>
        <w:tc>
          <w:tcPr>
            <w:tcW w:type="dxa" w:w="6346"/>
            <w:tcMar>
              <w:top w:type="dxa" w:w="80"/>
              <w:left w:type="dxa" w:w="110"/>
              <w:bottom w:type="dxa" w:w="80"/>
              <w:right w:type="dxa" w:w="110"/>
            </w:tcMar>
          </w:tcPr>
          <w:p>
            <w:pPr>
              <w:spacing w:after="0"/>
            </w:pPr>
            <w:r>
              <w:rPr>
                <w:b w:val="false"/>
                <w:bCs w:val="false"/>
                <w:color w:val="1A2427"/>
                <w:sz w:val="16"/>
                <w:szCs w:val="16"/>
              </w:rPr>
              <w:t xml:space="preserve">Three things, stated narrowly: the endurance curve, which does not exist in the literature; the observability quantification in the 4–8 regime; and the on-device self-validation layer.</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Why not use machine learning?</w:t>
            </w:r>
          </w:p>
        </w:tc>
        <w:tc>
          <w:tcPr>
            <w:tcW w:type="dxa" w:w="6346"/>
            <w:tcMar>
              <w:top w:type="dxa" w:w="80"/>
              <w:left w:type="dxa" w:w="110"/>
              <w:bottom w:type="dxa" w:w="80"/>
              <w:right w:type="dxa" w:w="110"/>
            </w:tcMar>
          </w:tcPr>
          <w:p>
            <w:pPr>
              <w:spacing w:after="0"/>
            </w:pPr>
            <w:r>
              <w:rPr>
                <w:b w:val="false"/>
                <w:bCs w:val="false"/>
                <w:color w:val="1A2427"/>
                <w:sz w:val="16"/>
                <w:szCs w:val="16"/>
              </w:rPr>
              <w:t xml:space="preserve">A published system already does this at 88% accuracy with eight sensors. Replicating it weakly adds nothing. Where a model is warranted, interpretable models match deep networks at a fraction of the cost on this class of hardware.</w:t>
            </w:r>
          </w:p>
        </w:tc>
      </w:tr>
      <w:tr>
        <w:tc>
          <w:tcPr>
            <w:tcW w:type="dxa" w:w="3400"/>
            <w:tcMar>
              <w:top w:type="dxa" w:w="80"/>
              <w:left w:type="dxa" w:w="110"/>
              <w:bottom w:type="dxa" w:w="80"/>
              <w:right w:type="dxa" w:w="110"/>
            </w:tcMar>
          </w:tcPr>
          <w:p>
            <w:pPr>
              <w:spacing w:after="0"/>
            </w:pPr>
            <w:r>
              <w:rPr>
                <w:b w:val="false"/>
                <w:bCs w:val="false"/>
                <w:color w:val="1A2427"/>
                <w:sz w:val="16"/>
                <w:szCs w:val="16"/>
              </w:rPr>
              <w:t xml:space="preserve">How do you know your own measurements are right?</w:t>
            </w:r>
          </w:p>
        </w:tc>
        <w:tc>
          <w:tcPr>
            <w:tcW w:type="dxa" w:w="6346"/>
            <w:tcMar>
              <w:top w:type="dxa" w:w="80"/>
              <w:left w:type="dxa" w:w="110"/>
              <w:bottom w:type="dxa" w:w="80"/>
              <w:right w:type="dxa" w:w="110"/>
            </w:tcMar>
          </w:tcPr>
          <w:p>
            <w:pPr>
              <w:spacing w:after="0"/>
            </w:pPr>
            <w:r>
              <w:rPr>
                <w:b w:val="false"/>
                <w:bCs w:val="false"/>
                <w:color w:val="1A2427"/>
                <w:sz w:val="16"/>
                <w:szCs w:val="16"/>
              </w:rPr>
              <w:t xml:space="preserve">That question is the project.</w:t>
            </w:r>
          </w:p>
        </w:tc>
      </w:tr>
    </w:tbl>
    <w:p>
      <w:pPr>
        <w:pBdr>
          <w:bottom w:val="single" w:color="C8D3D5" w:sz="6"/>
        </w:pBdr>
        <w:spacing w:after="180"/>
      </w:pPr>
    </w:p>
    <w:p>
      <w:pPr>
        <w:pStyle w:val="Small"/>
      </w:pPr>
      <w:r>
        <w:t xml:space="preserve">Prepared from a 121-source structured literature review, with firmware findings verified against the team's own repository. Sources are listed in the accompanying evidence base.</w:t>
      </w:r>
    </w:p>
    <w:sectPr>
      <w:footerReference w:type="default" r:id="rId7"/>
      <w:pgSz w:w="11906" w:h="16838" w:orient="portrait"/>
      <w:pgMar w:top="1080" w:right="1080" w:bottom="12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A70"/>
        <w:sz w:val="15"/>
        <w:szCs w:val="15"/>
      </w:rPr>
      <w:t xml:space="preserve">Aavishkar 2026-27 · Research framework · page </w:t>
    </w:r>
    <w:r>
      <w:rPr>
        <w:color w:val="5A6A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7"/>
        <w:sz w:val="21"/>
        <w:szCs w:val="21"/>
      </w:rPr>
    </w:rPrDefault>
    <w:pPrDefault>
      <w:pPr>
        <w:spacing w:after="13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A2427"/>
      <w:sz w:val="44"/>
      <w:szCs w:val="44"/>
    </w:rPr>
  </w:style>
  <w:style w:type="paragraph" w:styleId="Sub">
    <w:name w:val="Sub"/>
    <w:basedOn w:val="Normal"/>
    <w:next w:val="Normal"/>
    <w:pPr>
      <w:spacing w:after="200"/>
    </w:pPr>
    <w:rPr>
      <w:rFonts w:ascii="Calibri" w:cs="Calibri" w:eastAsia="Calibri" w:hAnsi="Calibri"/>
      <w:color w:val="5A6A70"/>
      <w:sz w:val="23"/>
      <w:szCs w:val="23"/>
    </w:rPr>
  </w:style>
  <w:style w:type="paragraph" w:styleId="Heading1">
    <w:name w:val="Heading 1"/>
    <w:basedOn w:val="Normal"/>
    <w:next w:val="Normal"/>
    <w:qFormat/>
    <w:pPr>
      <w:spacing w:after="150" w:before="420"/>
      <w:outlineLvl w:val="0"/>
    </w:pPr>
    <w:rPr>
      <w:rFonts w:ascii="Calibri" w:cs="Calibri" w:eastAsia="Calibri" w:hAnsi="Calibri"/>
      <w:b/>
      <w:bCs/>
      <w:color w:val="0E6E78"/>
      <w:sz w:val="30"/>
      <w:szCs w:val="30"/>
    </w:rPr>
  </w:style>
  <w:style w:type="paragraph" w:styleId="Heading2">
    <w:name w:val="Heading 2"/>
    <w:basedOn w:val="Normal"/>
    <w:next w:val="Normal"/>
    <w:qFormat/>
    <w:pPr>
      <w:spacing w:after="110" w:before="290"/>
      <w:outlineLvl w:val="1"/>
    </w:pPr>
    <w:rPr>
      <w:rFonts w:ascii="Calibri" w:cs="Calibri" w:eastAsia="Calibri" w:hAnsi="Calibri"/>
      <w:b/>
      <w:bCs/>
      <w:color w:val="1A2427"/>
      <w:sz w:val="24"/>
      <w:szCs w:val="24"/>
    </w:rPr>
  </w:style>
  <w:style w:type="paragraph" w:styleId="Heading3">
    <w:name w:val="Heading 3"/>
    <w:basedOn w:val="Normal"/>
    <w:next w:val="Normal"/>
    <w:qFormat/>
    <w:pPr>
      <w:spacing w:after="80" w:before="210"/>
      <w:outlineLvl w:val="2"/>
    </w:pPr>
    <w:rPr>
      <w:rFonts w:ascii="Calibri" w:cs="Calibri" w:eastAsia="Calibri" w:hAnsi="Calibri"/>
      <w:b/>
      <w:bCs/>
      <w:color w:val="5A6A70"/>
      <w:sz w:val="21"/>
      <w:szCs w:val="21"/>
    </w:rPr>
  </w:style>
  <w:style w:type="paragraph" w:styleId="Small">
    <w:name w:val="Small"/>
    <w:basedOn w:val="Normal"/>
    <w:next w:val="Normal"/>
    <w:rPr>
      <w:rFonts w:ascii="Calibri" w:cs="Calibri" w:eastAsia="Calibri" w:hAnsi="Calibri"/>
      <w:color w:val="5A6A70"/>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2026-09-05T06:29:40.380Z</dcterms:created>
  <dcterms:modified xsi:type="dcterms:W3CDTF">2026-09-05T06:29:40.394Z</dcterms:modified>
</cp:coreProperties>
</file>

<file path=docProps/custom.xml><?xml version="1.0" encoding="utf-8"?>
<Properties xmlns="http://schemas.openxmlformats.org/officeDocument/2006/custom-properties" xmlns:vt="http://schemas.openxmlformats.org/officeDocument/2006/docPropsVTypes"/>
</file>