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0E6E78"/>
          <w:sz w:val="30"/>
          <w:szCs w:val="30"/>
        </w:rPr>
        <w:t xml:space="preserve">NIVA</w:t>
      </w:r>
    </w:p>
    <w:p>
      <w:pPr>
        <w:spacing w:after="40"/>
      </w:pPr>
      <w:r>
        <w:rPr>
          <w:color w:val="5A6A70"/>
          <w:sz w:val="18"/>
          <w:szCs w:val="18"/>
        </w:rPr>
        <w:t xml:space="preserve">Medical Innovations</w:t>
      </w:r>
    </w:p>
    <w:p>
      <w:r>
        <w:rPr>
          <w:color w:val="5A6A70"/>
          <w:sz w:val="16"/>
          <w:szCs w:val="16"/>
        </w:rPr>
        <w:t xml:space="preserve">[Street address] · [City] · [PIN] · [email] · [phone]</w:t>
      </w:r>
    </w:p>
    <w:p>
      <w:pPr>
        <w:pBdr>
          <w:bottom w:val="single" w:color="C8D3D5" w:sz="6"/>
        </w:pBdr>
        <w:spacing w:after="160"/>
      </w:pPr>
    </w:p>
    <w:p>
      <w:pPr>
        <w:spacing w:after="240"/>
      </w:pPr>
      <w:r>
        <w:t xml:space="preserve">Date: ______________________</w:t>
      </w:r>
    </w:p>
    <w:p>
      <w:r>
        <w:t xml:space="preserve">To,</w:t>
      </w:r>
    </w:p>
    <w:p>
      <w:r>
        <w:rPr>
          <w:b/>
          <w:bCs/>
        </w:rPr>
        <w:t xml:space="preserve">The Central Licensing Authority</w:t>
      </w:r>
    </w:p>
    <w:p>
      <w:r>
        <w:t xml:space="preserve">Medical Devices &amp; In-Vitro Diagnostics Division</w:t>
      </w:r>
    </w:p>
    <w:p>
      <w:r>
        <w:t xml:space="preserve">Central Drugs Standard Control Organization (CDSCO)</w:t>
      </w:r>
    </w:p>
    <w:p>
      <w:r>
        <w:t xml:space="preserve">Directorate General of Health Services</w:t>
      </w:r>
    </w:p>
    <w:p>
      <w:r>
        <w:t xml:space="preserve">Ministry of Health and Family Welfare</w:t>
      </w:r>
    </w:p>
    <w:p>
      <w:pPr>
        <w:spacing w:after="280"/>
      </w:pPr>
      <w:r>
        <w:t xml:space="preserve">FDA Bhawan, Kotla Road, New Delhi – 110002</w:t>
      </w:r>
    </w:p>
    <w:p>
      <w:pPr>
        <w:spacing w:after="240"/>
      </w:pPr>
      <w:r>
        <w:rPr>
          <w:b/>
          <w:bCs/>
        </w:rPr>
        <w:t xml:space="preserve">Subject: </w:t>
      </w:r>
      <w:r>
        <w:rPr>
          <w:b/>
          <w:bCs/>
        </w:rPr>
        <w:t xml:space="preserve">Request for classification of an investigational sensor-based footwear insole under Rule 4 and the First Schedule, Medical Devices Rules, 2017</w:t>
      </w:r>
    </w:p>
    <w:p>
      <w:r>
        <w:t xml:space="preserve">Respectfully,</w:t>
      </w:r>
    </w:p>
    <w:p>
      <w:pPr>
        <w:spacing w:after="60"/>
      </w:pPr>
    </w:p>
    <w:p>
      <w:r>
        <w:t xml:space="preserve">We write under the provision set out at FAQ 78 of the CDSCO Frequently Asked Questions on the Medical Devices Rules, 2017 (Doc. No. CDSCO/FAQ/MD/01/2024), which provides that where a device does not appear on a published classification list, an applicant may request a classification determination from the Central Licensing Authority on submission of product documentation.</w:t>
      </w:r>
    </w:p>
    <w:p>
      <w:r>
        <w:t xml:space="preserve">We are an early-stage development team working on a sensorised footwear insole and would like a determination of its risk class, and of whether it falls within the scope of the Medical Devices Rules, 2017, before we commit to a validation programme. We set out below the information we believe relevant.</w:t>
      </w:r>
    </w:p>
    <w:p>
      <w:pPr>
        <w:pStyle w:val="Heading2"/>
      </w:pPr>
      <w:r>
        <w:t xml:space="preserve">1. Product description</w:t>
      </w:r>
    </w:p>
    <w:p>
      <w:r>
        <w:t xml:space="preserve">The product is a footwear insole containing four force-sensing resistors positioned beneath the heel, the first metatarsal head, the fifth metatarsal head and the hallux; a piezoelectric disc beneath the heel; and a six-axis inertial measurement unit. Sensor signals are acquired by a battery-powered microcontroller and transmitted to a companion application, which displays the recorded signals and derived walking parameters.</w:t>
      </w:r>
    </w:p>
    <w:p>
      <w:r>
        <w:t xml:space="preserve">The device is non-invasive, non-implantable, non-sterile, and is not intended for use in contact with broken skin or mucous membranes. It applies no energy to the body. It is powered by a 3.7 V rechargeable lithium-ion cell charged from a standard USB supply.</w:t>
      </w:r>
    </w:p>
    <w:p>
      <w:pPr>
        <w:pStyle w:val="Heading2"/>
      </w:pPr>
      <w:r>
        <w:t xml:space="preserve">2. Parameters currently derived</w:t>
      </w:r>
    </w:p>
    <w:p>
      <w:pPr>
        <w:pStyle w:val="ListParagraph"/>
        <w:numPr>
          <w:ilvl w:val="0"/>
          <w:numId w:val="2"/>
        </w:numPr>
      </w:pPr>
      <w:r>
        <w:t xml:space="preserve">Step count and cadence</w:t>
      </w:r>
    </w:p>
    <w:p>
      <w:pPr>
        <w:pStyle w:val="ListParagraph"/>
        <w:numPr>
          <w:ilvl w:val="0"/>
          <w:numId w:val="2"/>
        </w:numPr>
      </w:pPr>
      <w:r>
        <w:t xml:space="preserve">Timing of heel contact and toe-off, and the resulting stance and swing durations</w:t>
      </w:r>
    </w:p>
    <w:p>
      <w:pPr>
        <w:pStyle w:val="ListParagraph"/>
        <w:numPr>
          <w:ilvl w:val="0"/>
          <w:numId w:val="2"/>
        </w:numPr>
      </w:pPr>
      <w:r>
        <w:t xml:space="preserve">Relative distribution of load between the four sensing positions</w:t>
      </w:r>
    </w:p>
    <w:p>
      <w:pPr>
        <w:pStyle w:val="ListParagraph"/>
        <w:numPr>
          <w:ilvl w:val="0"/>
          <w:numId w:val="2"/>
        </w:numPr>
      </w:pPr>
      <w:r>
        <w:t xml:space="preserve">Left-right differences in the above timing and distribution parameters</w:t>
      </w:r>
    </w:p>
    <w:p>
      <w:pPr>
        <w:pStyle w:val="ListParagraph"/>
        <w:numPr>
          <w:ilvl w:val="0"/>
          <w:numId w:val="2"/>
        </w:numPr>
      </w:pPr>
      <w:r>
        <w:t xml:space="preserve">Orientation of the foot segment during walking (pitch and roll)</w:t>
      </w:r>
    </w:p>
    <w:p>
      <w:r>
        <w:t xml:space="preserve">The device does not currently report plantar pressure in absolute units, does not compute a tissue stress or injury risk score, and does not generate a patient-facing alert.</w:t>
      </w:r>
    </w:p>
    <w:p>
      <w:pPr>
        <w:pStyle w:val="Heading2"/>
      </w:pPr>
      <w:r>
        <w:t xml:space="preserve">3. Intended use, as presently framed</w:t>
      </w:r>
    </w:p>
    <w:p>
      <w:r>
        <w:t xml:space="preserve">We ask the Authority to consider the following intended use statement:</w:t>
      </w:r>
    </w:p>
    <w:p>
      <w:pPr>
        <w:spacing w:after="160" w:before="120"/>
        <w:ind w:left="400" w:right="400"/>
      </w:pPr>
      <w:r>
        <w:rPr>
          <w:i/>
          <w:iCs/>
        </w:rPr>
        <w:t xml:space="preserve">“The device records and displays walking parameters and the relative distribution of load beneath the foot. It is intended to support the objective observation of walking behaviour and footwear use. It is not intended to diagnose, predict, prevent or treat any disease or condition, and is not intended to be relied upon for any clinical decision.”</w:t>
      </w:r>
    </w:p>
    <w:p>
      <w:r>
        <w:t xml:space="preserve">We are aware that Section 5.2 of the Guidance Document on Medical Device Software under MDR 2017 (Doc. No. CDSCO/MD/GD/MDSW/01/2026, dated 21 July 2026) excludes general wellness software from regulation, but expressly provides that software intended to measure, estimate or report physiologic values for medical or clinical purposes — including screening, diagnosis, monitoring, alerting or the management of a disease, disorder or condition — shall not be treated as general wellness software. We are also aware that Section 6.0 of the same guidance lists screening and triage as medical purposes, and that software driving a hardware medical device is classified in the same risk class as that hardware.</w:t>
      </w:r>
    </w:p>
    <w:p>
      <w:pPr>
        <w:pStyle w:val="Heading2"/>
      </w:pPr>
      <w:r>
        <w:t xml:space="preserve">4. The determinations we request</w:t>
      </w:r>
    </w:p>
    <w:p>
      <w:pPr>
        <w:pStyle w:val="ListParagraph"/>
        <w:numPr>
          <w:ilvl w:val="0"/>
          <w:numId w:val="3"/>
        </w:numPr>
      </w:pPr>
      <w:r>
        <w:t xml:space="preserve">Whether the device, with the intended use at paragraph 3, falls within the definition of a medical device under notification S.O. 648(E) dated 11 February 2020 and the Medical Devices Rules, 2017.</w:t>
      </w:r>
    </w:p>
    <w:p>
      <w:pPr>
        <w:pStyle w:val="ListParagraph"/>
        <w:numPr>
          <w:ilvl w:val="0"/>
          <w:numId w:val="3"/>
        </w:numPr>
      </w:pPr>
      <w:r>
        <w:t xml:space="preserve">If it does, the risk class assigned under Rule 4 and the First Schedule, and in particular whether the Authority regards it as a device with a measuring function.</w:t>
      </w:r>
    </w:p>
    <w:p>
      <w:pPr>
        <w:pStyle w:val="ListParagraph"/>
        <w:numPr>
          <w:ilvl w:val="0"/>
          <w:numId w:val="3"/>
        </w:numPr>
      </w:pPr>
      <w:r>
        <w:t xml:space="preserve">Whether the accompanying application software is classified separately or takes the class of the hardware.</w:t>
      </w:r>
    </w:p>
    <w:p>
      <w:pPr>
        <w:pStyle w:val="ListParagraph"/>
        <w:numPr>
          <w:ilvl w:val="0"/>
          <w:numId w:val="3"/>
        </w:numPr>
      </w:pPr>
      <w:r>
        <w:t xml:space="preserve">Whether a supervised data-collection study in healthy adult volunteers, carried out solely to characterise sensor behaviour and with no clinical endpoint and no patient participants, constitutes a clinical investigation requiring permission in Form MD-23 under Rule 52, or falls outside Chapter VII.</w:t>
      </w:r>
    </w:p>
    <w:p>
      <w:pPr>
        <w:pStyle w:val="ListParagraph"/>
        <w:numPr>
          <w:ilvl w:val="0"/>
          <w:numId w:val="3"/>
        </w:numPr>
      </w:pPr>
      <w:r>
        <w:t xml:space="preserve">If the Authority considers that a different intended use statement would place the product in a lower class, we would welcome that indication.</w:t>
      </w:r>
    </w:p>
    <w:p>
      <w:pPr>
        <w:pStyle w:val="Heading2"/>
      </w:pPr>
      <w:r>
        <w:t xml:space="preserve">5. Enclosures</w:t>
      </w:r>
    </w:p>
    <w:p>
      <w:pPr>
        <w:pStyle w:val="ListParagraph"/>
        <w:numPr>
          <w:ilvl w:val="0"/>
          <w:numId w:val="2"/>
        </w:numPr>
      </w:pPr>
      <w:r>
        <w:t xml:space="preserve">Annexure A — Device technical description, bill of materials and block diagram</w:t>
      </w:r>
    </w:p>
    <w:p>
      <w:pPr>
        <w:pStyle w:val="ListParagraph"/>
        <w:numPr>
          <w:ilvl w:val="0"/>
          <w:numId w:val="2"/>
        </w:numPr>
      </w:pPr>
      <w:r>
        <w:t xml:space="preserve">Annexure B — Photographs of the current prototype</w:t>
      </w:r>
    </w:p>
    <w:p>
      <w:pPr>
        <w:pStyle w:val="ListParagraph"/>
        <w:numPr>
          <w:ilvl w:val="0"/>
          <w:numId w:val="2"/>
        </w:numPr>
      </w:pPr>
      <w:r>
        <w:t xml:space="preserve">Annexure C — Intended use statement and draft labelling</w:t>
      </w:r>
    </w:p>
    <w:p>
      <w:pPr>
        <w:pStyle w:val="ListParagraph"/>
        <w:numPr>
          <w:ilvl w:val="0"/>
          <w:numId w:val="2"/>
        </w:numPr>
      </w:pPr>
      <w:r>
        <w:t xml:space="preserve">Annexure D — Risk management summary prepared per ISO 14971:2019</w:t>
      </w:r>
    </w:p>
    <w:p>
      <w:pPr>
        <w:pStyle w:val="ListParagraph"/>
        <w:numPr>
          <w:ilvl w:val="0"/>
          <w:numId w:val="2"/>
        </w:numPr>
      </w:pPr>
      <w:r>
        <w:t xml:space="preserve">Annexure E — Details of the applicant organisation and its personnel</w:t>
      </w:r>
    </w:p>
    <w:p>
      <w:pPr>
        <w:spacing w:before="200"/>
      </w:pPr>
      <w:r>
        <w:t xml:space="preserve">We are a student-founded development team and this request is made in good faith and at an early stage, precisely so that our subsequent work is planned within the correct regulatory framework rather than corrected afterwards. We would be grateful for the Authority's guidance and are happy to provide any further information required.</w:t>
      </w:r>
    </w:p>
    <w:p>
      <w:pPr>
        <w:spacing w:before="320"/>
      </w:pPr>
      <w:r>
        <w:t xml:space="preserve">Yours faithfully,</w:t>
      </w:r>
    </w:p>
    <w:p>
      <w:pPr>
        <w:spacing w:after="60"/>
      </w:pPr>
    </w:p>
    <w:p>
      <w:pPr>
        <w:spacing w:after="60"/>
      </w:pPr>
    </w:p>
    <w:p>
      <w:r>
        <w:t xml:space="preserve">______________________________</w:t>
      </w:r>
    </w:p>
    <w:p>
      <w:r>
        <w:rPr>
          <w:b/>
          <w:bCs/>
        </w:rPr>
        <w:t xml:space="preserve">Shubham Sahu</w:t>
      </w:r>
    </w:p>
    <w:p>
      <w:r>
        <w:t xml:space="preserve">Technology Lead, Niva</w:t>
      </w:r>
    </w:p>
    <w:p>
      <w:pPr>
        <w:spacing w:after="240"/>
      </w:pPr>
      <w:r>
        <w:t xml:space="preserve">[email] · [phone]</w:t>
      </w:r>
    </w:p>
    <w:p>
      <w:pPr>
        <w:pBdr>
          <w:bottom w:val="single" w:color="C8D3D5" w:sz="6"/>
        </w:pBdr>
        <w:spacing w:after="160"/>
      </w:pPr>
    </w:p>
    <w:p>
      <w:pPr>
        <w:pStyle w:val="Small"/>
      </w:pPr>
      <w:r>
        <w:t xml:space="preserve">Notes before sending. Complete every bracketed field. Annexure D should be the risk management summary from the accompanying work package. Send by the route CDSCO currently specifies for correspondence to the Medical Devices Division and keep proof of dispatch — the date of this letter is the date from which you can show you sought a determination rather than assumed one. Retain the reply in the design history file whatever it says.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27"/>
        <w:sz w:val="21"/>
        <w:szCs w:val="21"/>
      </w:rPr>
    </w:rPrDefault>
    <w:pPrDefault>
      <w:pPr>
        <w:spacing w:after="12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A2427"/>
      <w:sz w:val="40"/>
      <w:szCs w:val="40"/>
    </w:rPr>
  </w:style>
  <w:style w:type="paragraph" w:styleId="Sub">
    <w:name w:val="Sub"/>
    <w:basedOn w:val="Normal"/>
    <w:next w:val="Normal"/>
    <w:pPr>
      <w:spacing w:after="320"/>
    </w:pPr>
    <w:rPr>
      <w:rFonts w:ascii="Calibri" w:cs="Calibri" w:eastAsia="Calibri" w:hAnsi="Calibri"/>
      <w:color w:val="5A6A70"/>
      <w:sz w:val="22"/>
      <w:szCs w:val="22"/>
    </w:rPr>
  </w:style>
  <w:style w:type="paragraph" w:styleId="Heading1">
    <w:name w:val="Heading 1"/>
    <w:basedOn w:val="Normal"/>
    <w:next w:val="Normal"/>
    <w:qFormat/>
    <w:pPr>
      <w:spacing w:after="140" w:before="400"/>
      <w:outlineLvl w:val="0"/>
    </w:pPr>
    <w:rPr>
      <w:rFonts w:ascii="Calibri" w:cs="Calibri" w:eastAsia="Calibri" w:hAnsi="Calibri"/>
      <w:b/>
      <w:bCs/>
      <w:color w:val="0E6E78"/>
      <w:sz w:val="28"/>
      <w:szCs w:val="28"/>
    </w:rPr>
  </w:style>
  <w:style w:type="paragraph" w:styleId="Heading2">
    <w:name w:val="Heading 2"/>
    <w:basedOn w:val="Normal"/>
    <w:next w:val="Normal"/>
    <w:qFormat/>
    <w:pPr>
      <w:spacing w:after="100" w:before="280"/>
      <w:outlineLvl w:val="1"/>
    </w:pPr>
    <w:rPr>
      <w:rFonts w:ascii="Calibri" w:cs="Calibri" w:eastAsia="Calibri" w:hAnsi="Calibri"/>
      <w:b/>
      <w:bCs/>
      <w:color w:val="1A2427"/>
      <w:sz w:val="23"/>
      <w:szCs w:val="23"/>
    </w:rPr>
  </w:style>
  <w:style w:type="paragraph" w:styleId="Heading3">
    <w:name w:val="Heading 3"/>
    <w:basedOn w:val="Normal"/>
    <w:next w:val="Normal"/>
    <w:qFormat/>
    <w:pPr>
      <w:spacing w:after="80" w:before="200"/>
      <w:outlineLvl w:val="2"/>
    </w:pPr>
    <w:rPr>
      <w:rFonts w:ascii="Calibri" w:cs="Calibri" w:eastAsia="Calibri" w:hAnsi="Calibri"/>
      <w:b/>
      <w:bCs/>
      <w:color w:val="5A6A70"/>
      <w:sz w:val="21"/>
      <w:szCs w:val="21"/>
    </w:rPr>
  </w:style>
  <w:style w:type="paragraph" w:styleId="Small">
    <w:name w:val="Small"/>
    <w:basedOn w:val="Normal"/>
    <w:next w:val="Normal"/>
    <w:rPr>
      <w:rFonts w:ascii="Calibri" w:cs="Calibri" w:eastAsia="Calibri" w:hAnsi="Calibri"/>
      <w:color w:val="5A6A70"/>
      <w:sz w:val="17"/>
      <w:szCs w:val="17"/>
    </w:rPr>
  </w:style>
  <w:style w:type="paragraph" w:styleId="Mono">
    <w:name w:val="Mono"/>
    <w:basedOn w:val="Normal"/>
    <w:next w:val="Normal"/>
    <w:rPr>
      <w:rFonts w:ascii="Consolas" w:cs="Consolas" w:eastAsia="Consolas" w:hAnsi="Consolas"/>
      <w:color w:val="1A2427"/>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2026-09-05T04:39:40.780Z</dcterms:created>
  <dcterms:modified xsi:type="dcterms:W3CDTF">2026-09-05T04:39:40.793Z</dcterms:modified>
</cp:coreProperties>
</file>

<file path=docProps/custom.xml><?xml version="1.0" encoding="utf-8"?>
<Properties xmlns="http://schemas.openxmlformats.org/officeDocument/2006/custom-properties" xmlns:vt="http://schemas.openxmlformats.org/officeDocument/2006/docPropsVTypes"/>
</file>