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color w:val="0E6E78"/>
          <w:sz w:val="26"/>
          <w:szCs w:val="26"/>
        </w:rPr>
        <w:t xml:space="preserve">NIVA</w:t>
      </w:r>
    </w:p>
    <w:p>
      <w:pPr>
        <w:pStyle w:val="Title"/>
      </w:pPr>
      <w:r>
        <w:t xml:space="preserve">Engineering &amp; Regulatory Work Package</w:t>
      </w:r>
    </w:p>
    <w:p>
      <w:pPr>
        <w:pStyle w:val="Sub"/>
      </w:pPr>
      <w:r>
        <w:t xml:space="preserve">Claims framework, risk management file, laboratory protocols, firmware defect register and a restructured six-month validation programme — derived from the 121-source evidence review.</w:t>
      </w:r>
    </w:p>
    <w:p>
      <w:pPr>
        <w:pBdr>
          <w:bottom w:val="single" w:color="C8D3D5" w:sz="6"/>
        </w:pBdr>
        <w:spacing w:after="180"/>
      </w:pPr>
    </w:p>
    <w:p>
      <w:pPr>
        <w:pStyle w:val="Small"/>
      </w:pPr>
      <w:r>
        <w:t xml:space="preserve">Version 1.0 · 5 September 2026 · Prepared for the Niva founding team · Supersedes no prior document</w:t>
      </w:r>
    </w:p>
    <w:p/>
    <w:p>
      <w:pPr>
        <w:pStyle w:val="Heading2"/>
      </w:pPr>
      <w:r>
        <w:t xml:space="preserve">What this is, and how to use it</w:t>
      </w:r>
    </w:p>
    <w:p>
      <w:r>
        <w:t xml:space="preserve">The evidence review found that most of what Niva has written down is strategy, and almost none of it is the working documentation an incubator, an ethics committee or a regulator will actually ask to see. This package is that missing layer. Everything in it is derived from published sources or from your own source code — nothing here is aspiration.</w:t>
      </w:r>
    </w:p>
    <w:p>
      <w:r>
        <w:t xml:space="preserve">Six parts, in the order they become useful:</w:t>
      </w:r>
    </w:p>
    <w:p>
      <w:pPr>
        <w:pStyle w:val="ListParagraph"/>
        <w:numPr>
          <w:ilvl w:val="0"/>
          <w:numId w:val="2"/>
        </w:numPr>
      </w:pPr>
      <w:r>
        <w:t xml:space="preserve">Claims framework — the two positioning options, written out, with a matrix of what each permits you to say.</w:t>
      </w:r>
    </w:p>
    <w:p>
      <w:pPr>
        <w:pStyle w:val="ListParagraph"/>
        <w:numPr>
          <w:ilvl w:val="0"/>
          <w:numId w:val="2"/>
        </w:numPr>
      </w:pPr>
      <w:r>
        <w:t xml:space="preserve">Risk management file — an ISO 14971 hazard analysis for the current build. This is Annexure D of the CDSCO letter and the first document any serious reviewer asks for.</w:t>
      </w:r>
    </w:p>
    <w:p>
      <w:pPr>
        <w:pStyle w:val="ListParagraph"/>
        <w:numPr>
          <w:ilvl w:val="0"/>
          <w:numId w:val="2"/>
        </w:numPr>
      </w:pPr>
      <w:r>
        <w:t xml:space="preserve">Firmware defect register — nine defects found by reading niva.ino, ranked, each with the correction.</w:t>
      </w:r>
    </w:p>
    <w:p>
      <w:pPr>
        <w:pStyle w:val="ListParagraph"/>
        <w:numPr>
          <w:ilvl w:val="0"/>
          <w:numId w:val="2"/>
        </w:numPr>
      </w:pPr>
      <w:r>
        <w:t xml:space="preserve">SOP-01 — per-sensor calibration procedure.</w:t>
      </w:r>
    </w:p>
    <w:p>
      <w:pPr>
        <w:pStyle w:val="ListParagraph"/>
        <w:numPr>
          <w:ilvl w:val="0"/>
          <w:numId w:val="2"/>
        </w:numPr>
      </w:pPr>
      <w:r>
        <w:t xml:space="preserve">SOP-02 — FSR endurance test protocol.</w:t>
      </w:r>
    </w:p>
    <w:p>
      <w:pPr>
        <w:pStyle w:val="ListParagraph"/>
        <w:numPr>
          <w:ilvl w:val="0"/>
          <w:numId w:val="2"/>
        </w:numPr>
      </w:pPr>
      <w:r>
        <w:t xml:space="preserve">The six-month programme, restructured as a V3 validation ladder, with the analytical validation protocol and statistical analysis plan.</w:t>
      </w:r>
    </w:p>
    <w:p>
      <w:pPr>
        <w:pBdr>
          <w:left w:val="single" w:color="0E6E78" w:sz="12" w:space="12"/>
        </w:pBdr>
        <w:spacing w:after="160" w:before="120"/>
        <w:ind w:left="400" w:right="300"/>
      </w:pPr>
      <w:r>
        <w:rPr>
          <w:i/>
          <w:iCs/>
        </w:rPr>
        <w:t xml:space="preserve">A note on tone. Several sections below say plainly that a claim you have been making is not supportable. That is the point of the document: it is far cheaper to find this out from a literature review than from a clinician, a reviewer, or a patient.</w:t>
      </w:r>
    </w:p>
    <w:p>
      <w:r>
        <w:br w:type="page"/>
      </w:r>
    </w:p>
    <w:p>
      <w:pPr>
        <w:pStyle w:val="Heading1"/>
      </w:pPr>
      <w:r>
        <w:t xml:space="preserve">1. Claims framework</w:t>
      </w:r>
    </w:p>
    <w:p>
      <w:r>
        <w:t xml:space="preserve">Niva's current positioning — “a screening platform, explicitly not diagnostic” — was intended as a limitation that keeps the product outside regulation. Under India's Medical Device Software guidance it does the opposite. Section 5.2 excludes general wellness software, but carves screening back in by name: software intended to measure, estimate or report physiologic values for medical or clinical purposes, including screening, monitoring or alerting, is not general wellness software. Section 6.0 lists screening and triage as medical purposes.</w:t>
      </w:r>
    </w:p>
    <w:p>
      <w:r>
        <w:t xml:space="preserve">So the current framing buys the regulatory obligation without the protection it was supposed to provide. There are two coherent positions. You must pick one, and everything — the deck, the website, the app copy, the ethics application — has to match it.</w:t>
      </w:r>
    </w:p>
    <w:p>
      <w:pPr>
        <w:pStyle w:val="Heading2"/>
      </w:pPr>
      <w:r>
        <w:t xml:space="preserve">Option A — Non-medical measurement</w:t>
      </w:r>
    </w:p>
    <w:p>
      <w:r>
        <w:t xml:space="preserve">Claim only what the device physically records, with no reference to any disease, no risk language, and no alerting. The wager is that this stays outside the Rules.</w:t>
      </w:r>
    </w:p>
    <w:p>
      <w:pPr>
        <w:pBdr>
          <w:left w:val="single" w:color="0E6E78" w:sz="12" w:space="12"/>
        </w:pBdr>
        <w:spacing w:after="160" w:before="120"/>
        <w:ind w:left="400" w:right="300"/>
      </w:pPr>
      <w:r>
        <w:rPr>
          <w:i/>
          <w:iCs/>
        </w:rPr>
        <w:t xml:space="preserve">Niva records how you walk and how load is distributed under your foot, and shows how those patterns change over time.</w:t>
      </w:r>
    </w:p>
    <w:p>
      <w:pPr>
        <w:pStyle w:val="Heading3"/>
      </w:pPr>
      <w:r>
        <w:t xml:space="preserve">Option A permits</w:t>
      </w:r>
    </w:p>
    <w:p>
      <w:pPr>
        <w:pStyle w:val="ListParagraph"/>
        <w:numPr>
          <w:ilvl w:val="0"/>
          <w:numId w:val="3"/>
        </w:numPr>
      </w:pPr>
      <w:r>
        <w:t xml:space="preserve">Step count, cadence, stance and swing timing, walking speed</w:t>
      </w:r>
    </w:p>
    <w:p>
      <w:pPr>
        <w:pStyle w:val="ListParagraph"/>
        <w:numPr>
          <w:ilvl w:val="0"/>
          <w:numId w:val="3"/>
        </w:numPr>
      </w:pPr>
      <w:r>
        <w:t xml:space="preserve">Relative load distribution between sensing positions, expressed as proportions</w:t>
      </w:r>
    </w:p>
    <w:p>
      <w:pPr>
        <w:pStyle w:val="ListParagraph"/>
        <w:numPr>
          <w:ilvl w:val="0"/>
          <w:numId w:val="3"/>
        </w:numPr>
      </w:pPr>
      <w:r>
        <w:t xml:space="preserve">Left-right differences in timing and distribution, expressed as measured differences</w:t>
      </w:r>
    </w:p>
    <w:p>
      <w:pPr>
        <w:pStyle w:val="ListParagraph"/>
        <w:numPr>
          <w:ilvl w:val="0"/>
          <w:numId w:val="3"/>
        </w:numPr>
      </w:pPr>
      <w:r>
        <w:t xml:space="preserve">How much of the day was spent walking, and in which footwear</w:t>
      </w:r>
    </w:p>
    <w:p>
      <w:pPr>
        <w:pStyle w:val="ListParagraph"/>
        <w:numPr>
          <w:ilvl w:val="0"/>
          <w:numId w:val="3"/>
        </w:numPr>
      </w:pPr>
      <w:r>
        <w:t xml:space="preserve">Trends in all of the above over time</w:t>
      </w:r>
    </w:p>
    <w:p>
      <w:pPr>
        <w:pStyle w:val="Heading3"/>
      </w:pPr>
      <w:r>
        <w:t xml:space="preserve">Option A forbids</w:t>
      </w:r>
    </w:p>
    <w:p>
      <w:pPr>
        <w:pStyle w:val="ListParagraph"/>
        <w:numPr>
          <w:ilvl w:val="0"/>
          <w:numId w:val="3"/>
        </w:numPr>
      </w:pPr>
      <w:r>
        <w:t xml:space="preserve">Any use of the words screening, risk, prevention, early detection, monitoring of a condition, or alert</w:t>
      </w:r>
    </w:p>
    <w:p>
      <w:pPr>
        <w:pStyle w:val="ListParagraph"/>
        <w:numPr>
          <w:ilvl w:val="0"/>
          <w:numId w:val="3"/>
        </w:numPr>
      </w:pPr>
      <w:r>
        <w:t xml:space="preserve">Any mention of diabetes, neuropathy, ulceration, Parkinson's, stroke or falls anywhere in the product, the marketing or the app</w:t>
      </w:r>
    </w:p>
    <w:p>
      <w:pPr>
        <w:pStyle w:val="ListParagraph"/>
        <w:numPr>
          <w:ilvl w:val="0"/>
          <w:numId w:val="3"/>
        </w:numPr>
      </w:pPr>
      <w:r>
        <w:t xml:space="preserve">Any threshold that triggers a recommendation to see a clinician</w:t>
      </w:r>
    </w:p>
    <w:p>
      <w:pPr>
        <w:pStyle w:val="ListParagraph"/>
        <w:numPr>
          <w:ilvl w:val="0"/>
          <w:numId w:val="3"/>
        </w:numPr>
      </w:pPr>
      <w:r>
        <w:t xml:space="preserve">Any clinician-facing report framed as supporting a clinical decision</w:t>
      </w:r>
    </w:p>
    <w:p>
      <w:r>
        <w:t xml:space="preserve">Option A is honest and legal, but note what it costs: it removes the reason a diabetes clinic would buy it. It is a viable position for a student project and a poor one for the company you described.</w:t>
      </w:r>
    </w:p>
    <w:p>
      <w:pPr>
        <w:pStyle w:val="Heading2"/>
      </w:pPr>
      <w:r>
        <w:t xml:space="preserve">Option B — Regulated device, narrow claim</w:t>
      </w:r>
    </w:p>
    <w:p>
      <w:r>
        <w:t xml:space="preserve">Accept that Niva is inside the Rules, and choose the narrowest clinical claim the evidence can actually support at pilot scale.</w:t>
      </w:r>
    </w:p>
    <w:p>
      <w:pPr>
        <w:pBdr>
          <w:left w:val="single" w:color="0E6E78" w:sz="12" w:space="12"/>
        </w:pBdr>
        <w:spacing w:after="160" w:before="120"/>
        <w:ind w:left="400" w:right="300"/>
      </w:pPr>
      <w:r>
        <w:rPr>
          <w:i/>
          <w:iCs/>
        </w:rPr>
        <w:t xml:space="preserve">Niva measures the distribution and asymmetry of plantar loading during daily walking, and quantifies the proportion of steps taken in prescribed footwear.</w:t>
      </w:r>
    </w:p>
    <w:p>
      <w:r>
        <w:t xml:space="preserve">This is the claim the evidence review points to, for three converging reasons. First, proportion of daily steps taken in prescribed footwear is the field's own validated adherence measure, and your existing FSR and IMU hardware computes it natively. Second, it is a measurement and behaviour claim, not a disease claim, so it does not require you to demonstrate prediction. Third, and most importantly, adherence is where the incumbents visibly fail — in the largest trial of the competing modality, only 24 of 83 alerted patients changed their walking, and the benefit existed only in those 24.</w:t>
      </w:r>
    </w:p>
    <w:p>
      <w:r>
        <w:t xml:space="preserve">Option B means a classification determination, a risk management file, software life cycle records, and a clinical investigation route for anything beyond healthy volunteers. That is real cost, but it is scoped and it is fundable — and the CDSCO letter in this package is the first step of it.</w:t>
      </w:r>
    </w:p>
    <w:p>
      <w:pPr>
        <w:pStyle w:val="Heading2"/>
      </w:pPr>
      <w:r>
        <w:t xml:space="preserve">The claims matrix</w:t>
      </w:r>
    </w:p>
    <w:p>
      <w:r>
        <w:t xml:space="preserve">Regardless of which option you choose, this is what the evidence supports for the hardware as built. It is the same table as in the evidence review, repeated here because this is the document that will travel with the product.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500"/>
        <w:gridCol w:w="5046"/>
      </w:tblGrid>
      <w:tr>
        <w:trPr>
          <w:tblHeader/>
        </w:trPr>
        <w:tc>
          <w:tcPr>
            <w:tcW w:type="dxa" w:w="3200"/>
            <w:shd w:fill="E7ECEE" w:val="clear"/>
            <w:tcMar>
              <w:top w:type="dxa" w:w="80"/>
              <w:left w:type="dxa" w:w="110"/>
              <w:bottom w:type="dxa" w:w="80"/>
              <w:right w:type="dxa" w:w="110"/>
            </w:tcMar>
          </w:tcPr>
          <w:p>
            <w:pPr>
              <w:spacing w:after="0"/>
            </w:pPr>
            <w:r>
              <w:rPr>
                <w:b/>
                <w:bCs/>
                <w:color w:val="1A2427"/>
                <w:sz w:val="16"/>
                <w:szCs w:val="16"/>
              </w:rPr>
              <w:t xml:space="preserve">Claim</w:t>
            </w:r>
          </w:p>
        </w:tc>
        <w:tc>
          <w:tcPr>
            <w:tcW w:type="dxa" w:w="1500"/>
            <w:shd w:fill="E7ECEE" w:val="clear"/>
            <w:tcMar>
              <w:top w:type="dxa" w:w="80"/>
              <w:left w:type="dxa" w:w="110"/>
              <w:bottom w:type="dxa" w:w="80"/>
              <w:right w:type="dxa" w:w="110"/>
            </w:tcMar>
          </w:tcPr>
          <w:p>
            <w:pPr>
              <w:spacing w:after="0"/>
            </w:pPr>
            <w:r>
              <w:rPr>
                <w:b/>
                <w:bCs/>
                <w:color w:val="1A2427"/>
                <w:sz w:val="16"/>
                <w:szCs w:val="16"/>
              </w:rPr>
              <w:t xml:space="preserve">Verdict</w:t>
            </w:r>
          </w:p>
        </w:tc>
        <w:tc>
          <w:tcPr>
            <w:tcW w:type="dxa" w:w="5046"/>
            <w:shd w:fill="E7ECEE" w:val="clear"/>
            <w:tcMar>
              <w:top w:type="dxa" w:w="80"/>
              <w:left w:type="dxa" w:w="110"/>
              <w:bottom w:type="dxa" w:w="80"/>
              <w:right w:type="dxa" w:w="110"/>
            </w:tcMar>
          </w:tcPr>
          <w:p>
            <w:pPr>
              <w:spacing w:after="0"/>
            </w:pPr>
            <w:r>
              <w:rPr>
                <w:b/>
                <w:bCs/>
                <w:color w:val="1A2427"/>
                <w:sz w:val="16"/>
                <w:szCs w:val="16"/>
              </w:rPr>
              <w:t xml:space="preserve">Basis</w:t>
            </w:r>
          </w:p>
        </w:tc>
      </w:tr>
      <w:tr>
        <w:tc>
          <w:tcPr>
            <w:tcW w:type="dxa" w:w="3200"/>
            <w:tcMar>
              <w:top w:type="dxa" w:w="80"/>
              <w:left w:type="dxa" w:w="110"/>
              <w:bottom w:type="dxa" w:w="80"/>
              <w:right w:type="dxa" w:w="110"/>
            </w:tcMar>
          </w:tcPr>
          <w:p>
            <w:pPr>
              <w:spacing w:after="0"/>
            </w:pPr>
            <w:r>
              <w:rPr>
                <w:b w:val="false"/>
                <w:bCs w:val="false"/>
                <w:color w:val="1A2427"/>
                <w:sz w:val="16"/>
                <w:szCs w:val="16"/>
              </w:rPr>
              <w:t xml:space="preserve">Step count, cadence, stride timing</w:t>
            </w:r>
          </w:p>
        </w:tc>
        <w:tc>
          <w:tcPr>
            <w:tcW w:type="dxa" w:w="1500"/>
            <w:tcMar>
              <w:top w:type="dxa" w:w="80"/>
              <w:left w:type="dxa" w:w="110"/>
              <w:bottom w:type="dxa" w:w="80"/>
              <w:right w:type="dxa" w:w="110"/>
            </w:tcMar>
          </w:tcPr>
          <w:p>
            <w:pPr>
              <w:spacing w:after="0"/>
            </w:pPr>
            <w:r>
              <w:rPr>
                <w:b/>
                <w:bCs/>
                <w:color w:val="2A6640"/>
                <w:sz w:val="16"/>
                <w:szCs w:val="16"/>
              </w:rPr>
              <w:t xml:space="preserve">Supported</w:t>
            </w:r>
          </w:p>
        </w:tc>
        <w:tc>
          <w:tcPr>
            <w:tcW w:type="dxa" w:w="5046"/>
            <w:tcMar>
              <w:top w:type="dxa" w:w="80"/>
              <w:left w:type="dxa" w:w="110"/>
              <w:bottom w:type="dxa" w:w="80"/>
              <w:right w:type="dxa" w:w="110"/>
            </w:tcMar>
          </w:tcPr>
          <w:p>
            <w:pPr>
              <w:spacing w:after="0"/>
            </w:pPr>
            <w:r>
              <w:rPr>
                <w:b w:val="false"/>
                <w:bCs w:val="false"/>
                <w:color w:val="1A2427"/>
                <w:sz w:val="16"/>
                <w:szCs w:val="16"/>
              </w:rPr>
              <w:t xml:space="preserve">95.5–99.5% on a five-FSR insole; cadence ICC 0.99</w:t>
            </w:r>
          </w:p>
        </w:tc>
      </w:tr>
      <w:tr>
        <w:tc>
          <w:tcPr>
            <w:tcW w:type="dxa" w:w="3200"/>
            <w:tcMar>
              <w:top w:type="dxa" w:w="80"/>
              <w:left w:type="dxa" w:w="110"/>
              <w:bottom w:type="dxa" w:w="80"/>
              <w:right w:type="dxa" w:w="110"/>
            </w:tcMar>
          </w:tcPr>
          <w:p>
            <w:pPr>
              <w:spacing w:after="0"/>
            </w:pPr>
            <w:r>
              <w:rPr>
                <w:b w:val="false"/>
                <w:bCs w:val="false"/>
                <w:color w:val="1A2427"/>
                <w:sz w:val="16"/>
                <w:szCs w:val="16"/>
              </w:rPr>
              <w:t xml:space="preserve">Gait phase and event timing</w:t>
            </w:r>
          </w:p>
        </w:tc>
        <w:tc>
          <w:tcPr>
            <w:tcW w:type="dxa" w:w="1500"/>
            <w:tcMar>
              <w:top w:type="dxa" w:w="80"/>
              <w:left w:type="dxa" w:w="110"/>
              <w:bottom w:type="dxa" w:w="80"/>
              <w:right w:type="dxa" w:w="110"/>
            </w:tcMar>
          </w:tcPr>
          <w:p>
            <w:pPr>
              <w:spacing w:after="0"/>
            </w:pPr>
            <w:r>
              <w:rPr>
                <w:b/>
                <w:bCs/>
                <w:color w:val="2A6640"/>
                <w:sz w:val="16"/>
                <w:szCs w:val="16"/>
              </w:rPr>
              <w:t xml:space="preserve">Supported</w:t>
            </w:r>
          </w:p>
        </w:tc>
        <w:tc>
          <w:tcPr>
            <w:tcW w:type="dxa" w:w="5046"/>
            <w:tcMar>
              <w:top w:type="dxa" w:w="80"/>
              <w:left w:type="dxa" w:w="110"/>
              <w:bottom w:type="dxa" w:w="80"/>
              <w:right w:type="dxa" w:w="110"/>
            </w:tcMar>
          </w:tcPr>
          <w:p>
            <w:pPr>
              <w:spacing w:after="0"/>
            </w:pPr>
            <w:r>
              <w:rPr>
                <w:b w:val="false"/>
                <w:bCs w:val="false"/>
                <w:color w:val="1A2427"/>
                <w:sz w:val="16"/>
                <w:szCs w:val="16"/>
              </w:rPr>
              <w:t xml:space="preserve">88.9–90.2% with two FSRs per foot using adaptive thresholds</w:t>
            </w:r>
          </w:p>
        </w:tc>
      </w:tr>
      <w:tr>
        <w:tc>
          <w:tcPr>
            <w:tcW w:type="dxa" w:w="3200"/>
            <w:tcMar>
              <w:top w:type="dxa" w:w="80"/>
              <w:left w:type="dxa" w:w="110"/>
              <w:bottom w:type="dxa" w:w="80"/>
              <w:right w:type="dxa" w:w="110"/>
            </w:tcMar>
          </w:tcPr>
          <w:p>
            <w:pPr>
              <w:spacing w:after="0"/>
            </w:pPr>
            <w:r>
              <w:rPr>
                <w:b w:val="false"/>
                <w:bCs w:val="false"/>
                <w:color w:val="1A2427"/>
                <w:sz w:val="16"/>
                <w:szCs w:val="16"/>
              </w:rPr>
              <w:t xml:space="preserve">Proportion of steps in prescribed footwear</w:t>
            </w:r>
          </w:p>
        </w:tc>
        <w:tc>
          <w:tcPr>
            <w:tcW w:type="dxa" w:w="1500"/>
            <w:tcMar>
              <w:top w:type="dxa" w:w="80"/>
              <w:left w:type="dxa" w:w="110"/>
              <w:bottom w:type="dxa" w:w="80"/>
              <w:right w:type="dxa" w:w="110"/>
            </w:tcMar>
          </w:tcPr>
          <w:p>
            <w:pPr>
              <w:spacing w:after="0"/>
            </w:pPr>
            <w:r>
              <w:rPr>
                <w:b/>
                <w:bCs/>
                <w:color w:val="2A6640"/>
                <w:sz w:val="16"/>
                <w:szCs w:val="16"/>
              </w:rPr>
              <w:t xml:space="preserve">Supported</w:t>
            </w:r>
          </w:p>
        </w:tc>
        <w:tc>
          <w:tcPr>
            <w:tcW w:type="dxa" w:w="5046"/>
            <w:tcMar>
              <w:top w:type="dxa" w:w="80"/>
              <w:left w:type="dxa" w:w="110"/>
              <w:bottom w:type="dxa" w:w="80"/>
              <w:right w:type="dxa" w:w="110"/>
            </w:tcMar>
          </w:tcPr>
          <w:p>
            <w:pPr>
              <w:spacing w:after="0"/>
            </w:pPr>
            <w:r>
              <w:rPr>
                <w:b w:val="false"/>
                <w:bCs w:val="false"/>
                <w:color w:val="1A2427"/>
                <w:sz w:val="16"/>
                <w:szCs w:val="16"/>
              </w:rPr>
              <w:t xml:space="preserve">The field's validated adherence measure; computable from your stack</w:t>
            </w:r>
          </w:p>
        </w:tc>
      </w:tr>
      <w:tr>
        <w:tc>
          <w:tcPr>
            <w:tcW w:type="dxa" w:w="3200"/>
            <w:tcMar>
              <w:top w:type="dxa" w:w="80"/>
              <w:left w:type="dxa" w:w="110"/>
              <w:bottom w:type="dxa" w:w="80"/>
              <w:right w:type="dxa" w:w="110"/>
            </w:tcMar>
          </w:tcPr>
          <w:p>
            <w:pPr>
              <w:spacing w:after="0"/>
            </w:pPr>
            <w:r>
              <w:rPr>
                <w:b w:val="false"/>
                <w:bCs w:val="false"/>
                <w:color w:val="1A2427"/>
                <w:sz w:val="16"/>
                <w:szCs w:val="16"/>
              </w:rPr>
              <w:t xml:space="preserve">Medial-lateral loading asymmetry</w:t>
            </w:r>
          </w:p>
        </w:tc>
        <w:tc>
          <w:tcPr>
            <w:tcW w:type="dxa" w:w="1500"/>
            <w:tcMar>
              <w:top w:type="dxa" w:w="80"/>
              <w:left w:type="dxa" w:w="110"/>
              <w:bottom w:type="dxa" w:w="80"/>
              <w:right w:type="dxa" w:w="110"/>
            </w:tcMar>
          </w:tcPr>
          <w:p>
            <w:pPr>
              <w:spacing w:after="0"/>
            </w:pPr>
            <w:r>
              <w:rPr>
                <w:b/>
                <w:bCs/>
                <w:color w:val="8A5300"/>
                <w:sz w:val="16"/>
                <w:szCs w:val="16"/>
              </w:rPr>
              <w:t xml:space="preserve">Qualified</w:t>
            </w:r>
          </w:p>
        </w:tc>
        <w:tc>
          <w:tcPr>
            <w:tcW w:type="dxa" w:w="5046"/>
            <w:tcMar>
              <w:top w:type="dxa" w:w="80"/>
              <w:left w:type="dxa" w:w="110"/>
              <w:bottom w:type="dxa" w:w="80"/>
              <w:right w:type="dxa" w:w="110"/>
            </w:tcMar>
          </w:tcPr>
          <w:p>
            <w:pPr>
              <w:spacing w:after="0"/>
            </w:pPr>
            <w:r>
              <w:rPr>
                <w:b w:val="false"/>
                <w:bCs w:val="false"/>
                <w:color w:val="1A2427"/>
                <w:sz w:val="16"/>
                <w:szCs w:val="16"/>
              </w:rPr>
              <w:t xml:space="preserve">ML CoP survives sensor reduction (0.61% RMSE) but needs load gating and per-user baseline</w:t>
            </w:r>
          </w:p>
        </w:tc>
      </w:tr>
      <w:tr>
        <w:tc>
          <w:tcPr>
            <w:tcW w:type="dxa" w:w="3200"/>
            <w:tcMar>
              <w:top w:type="dxa" w:w="80"/>
              <w:left w:type="dxa" w:w="110"/>
              <w:bottom w:type="dxa" w:w="80"/>
              <w:right w:type="dxa" w:w="110"/>
            </w:tcMar>
          </w:tcPr>
          <w:p>
            <w:pPr>
              <w:spacing w:after="0"/>
            </w:pPr>
            <w:r>
              <w:rPr>
                <w:b w:val="false"/>
                <w:bCs w:val="false"/>
                <w:color w:val="1A2427"/>
                <w:sz w:val="16"/>
                <w:szCs w:val="16"/>
              </w:rPr>
              <w:t xml:space="preserve">Within-session relative loading shift</w:t>
            </w:r>
          </w:p>
        </w:tc>
        <w:tc>
          <w:tcPr>
            <w:tcW w:type="dxa" w:w="1500"/>
            <w:tcMar>
              <w:top w:type="dxa" w:w="80"/>
              <w:left w:type="dxa" w:w="110"/>
              <w:bottom w:type="dxa" w:w="80"/>
              <w:right w:type="dxa" w:w="110"/>
            </w:tcMar>
          </w:tcPr>
          <w:p>
            <w:pPr>
              <w:spacing w:after="0"/>
            </w:pPr>
            <w:r>
              <w:rPr>
                <w:b/>
                <w:bCs/>
                <w:color w:val="8A5300"/>
                <w:sz w:val="16"/>
                <w:szCs w:val="16"/>
              </w:rPr>
              <w:t xml:space="preserve">Qualified</w:t>
            </w:r>
          </w:p>
        </w:tc>
        <w:tc>
          <w:tcPr>
            <w:tcW w:type="dxa" w:w="5046"/>
            <w:tcMar>
              <w:top w:type="dxa" w:w="80"/>
              <w:left w:type="dxa" w:w="110"/>
              <w:bottom w:type="dxa" w:w="80"/>
              <w:right w:type="dxa" w:w="110"/>
            </w:tcMar>
          </w:tcPr>
          <w:p>
            <w:pPr>
              <w:spacing w:after="0"/>
            </w:pPr>
            <w:r>
              <w:rPr>
                <w:b w:val="false"/>
                <w:bCs w:val="false"/>
                <w:color w:val="1A2427"/>
                <w:sz w:val="16"/>
                <w:szCs w:val="16"/>
              </w:rPr>
              <w:t xml:space="preserve">Requires per-sensor calibration and rolling re-zero</w:t>
            </w:r>
          </w:p>
        </w:tc>
      </w:tr>
      <w:tr>
        <w:tc>
          <w:tcPr>
            <w:tcW w:type="dxa" w:w="3200"/>
            <w:tcMar>
              <w:top w:type="dxa" w:w="80"/>
              <w:left w:type="dxa" w:w="110"/>
              <w:bottom w:type="dxa" w:w="80"/>
              <w:right w:type="dxa" w:w="110"/>
            </w:tcMar>
          </w:tcPr>
          <w:p>
            <w:pPr>
              <w:spacing w:after="0"/>
            </w:pPr>
            <w:r>
              <w:rPr>
                <w:b w:val="false"/>
                <w:bCs w:val="false"/>
                <w:color w:val="1A2427"/>
                <w:sz w:val="16"/>
                <w:szCs w:val="16"/>
              </w:rPr>
              <w:t xml:space="preserve">Centre of pressure trajectory</w:t>
            </w:r>
          </w:p>
        </w:tc>
        <w:tc>
          <w:tcPr>
            <w:tcW w:type="dxa" w:w="1500"/>
            <w:tcMar>
              <w:top w:type="dxa" w:w="80"/>
              <w:left w:type="dxa" w:w="110"/>
              <w:bottom w:type="dxa" w:w="80"/>
              <w:right w:type="dxa" w:w="110"/>
            </w:tcMar>
          </w:tcPr>
          <w:p>
            <w:pPr>
              <w:spacing w:after="0"/>
            </w:pPr>
            <w:r>
              <w:rPr>
                <w:b/>
                <w:bCs/>
                <w:color w:val="A32017"/>
                <w:sz w:val="16"/>
                <w:szCs w:val="16"/>
              </w:rPr>
              <w:t xml:space="preserve">Not supported</w:t>
            </w:r>
          </w:p>
        </w:tc>
        <w:tc>
          <w:tcPr>
            <w:tcW w:type="dxa" w:w="5046"/>
            <w:tcMar>
              <w:top w:type="dxa" w:w="80"/>
              <w:left w:type="dxa" w:w="110"/>
              <w:bottom w:type="dxa" w:w="80"/>
              <w:right w:type="dxa" w:w="110"/>
            </w:tcMar>
          </w:tcPr>
          <w:p>
            <w:pPr>
              <w:spacing w:after="0"/>
            </w:pPr>
            <w:r>
              <w:rPr>
                <w:b w:val="false"/>
                <w:bCs w:val="false"/>
                <w:color w:val="1A2427"/>
                <w:sz w:val="16"/>
                <w:szCs w:val="16"/>
              </w:rPr>
              <w:t xml:space="preserve">8–22 mm error at nine sensors or fewer; authors advise against below nine</w:t>
            </w:r>
          </w:p>
        </w:tc>
      </w:tr>
      <w:tr>
        <w:tc>
          <w:tcPr>
            <w:tcW w:type="dxa" w:w="3200"/>
            <w:tcMar>
              <w:top w:type="dxa" w:w="80"/>
              <w:left w:type="dxa" w:w="110"/>
              <w:bottom w:type="dxa" w:w="80"/>
              <w:right w:type="dxa" w:w="110"/>
            </w:tcMar>
          </w:tcPr>
          <w:p>
            <w:pPr>
              <w:spacing w:after="0"/>
            </w:pPr>
            <w:r>
              <w:rPr>
                <w:b w:val="false"/>
                <w:bCs w:val="false"/>
                <w:color w:val="1A2427"/>
                <w:sz w:val="16"/>
                <w:szCs w:val="16"/>
              </w:rPr>
              <w:t xml:space="preserve">Plantar pressure in kPa</w:t>
            </w:r>
          </w:p>
        </w:tc>
        <w:tc>
          <w:tcPr>
            <w:tcW w:type="dxa" w:w="1500"/>
            <w:tcMar>
              <w:top w:type="dxa" w:w="80"/>
              <w:left w:type="dxa" w:w="110"/>
              <w:bottom w:type="dxa" w:w="80"/>
              <w:right w:type="dxa" w:w="110"/>
            </w:tcMar>
          </w:tcPr>
          <w:p>
            <w:pPr>
              <w:spacing w:after="0"/>
            </w:pPr>
            <w:r>
              <w:rPr>
                <w:b/>
                <w:bCs/>
                <w:color w:val="A32017"/>
                <w:sz w:val="16"/>
                <w:szCs w:val="16"/>
              </w:rPr>
              <w:t xml:space="preserve">Not supported</w:t>
            </w:r>
          </w:p>
        </w:tc>
        <w:tc>
          <w:tcPr>
            <w:tcW w:type="dxa" w:w="5046"/>
            <w:tcMar>
              <w:top w:type="dxa" w:w="80"/>
              <w:left w:type="dxa" w:w="110"/>
              <w:bottom w:type="dxa" w:w="80"/>
              <w:right w:type="dxa" w:w="110"/>
            </w:tcMar>
          </w:tcPr>
          <w:p>
            <w:pPr>
              <w:spacing w:after="0"/>
            </w:pPr>
            <w:r>
              <w:rPr>
                <w:b w:val="false"/>
                <w:bCs w:val="false"/>
                <w:color w:val="1A2427"/>
                <w:sz w:val="16"/>
                <w:szCs w:val="16"/>
              </w:rPr>
              <w:t xml:space="preserve">43–83% error at 16 sensors; FSR402 saturates above 20 N</w:t>
            </w:r>
          </w:p>
        </w:tc>
      </w:tr>
      <w:tr>
        <w:tc>
          <w:tcPr>
            <w:tcW w:type="dxa" w:w="3200"/>
            <w:tcMar>
              <w:top w:type="dxa" w:w="80"/>
              <w:left w:type="dxa" w:w="110"/>
              <w:bottom w:type="dxa" w:w="80"/>
              <w:right w:type="dxa" w:w="110"/>
            </w:tcMar>
          </w:tcPr>
          <w:p>
            <w:pPr>
              <w:spacing w:after="0"/>
            </w:pPr>
            <w:r>
              <w:rPr>
                <w:b w:val="false"/>
                <w:bCs w:val="false"/>
                <w:color w:val="1A2427"/>
                <w:sz w:val="16"/>
                <w:szCs w:val="16"/>
              </w:rPr>
              <w:t xml:space="preserve">Force or GRF in newtons</w:t>
            </w:r>
          </w:p>
        </w:tc>
        <w:tc>
          <w:tcPr>
            <w:tcW w:type="dxa" w:w="1500"/>
            <w:tcMar>
              <w:top w:type="dxa" w:w="80"/>
              <w:left w:type="dxa" w:w="110"/>
              <w:bottom w:type="dxa" w:w="80"/>
              <w:right w:type="dxa" w:w="110"/>
            </w:tcMar>
          </w:tcPr>
          <w:p>
            <w:pPr>
              <w:spacing w:after="0"/>
            </w:pPr>
            <w:r>
              <w:rPr>
                <w:b/>
                <w:bCs/>
                <w:color w:val="A32017"/>
                <w:sz w:val="16"/>
                <w:szCs w:val="16"/>
              </w:rPr>
              <w:t xml:space="preserve">Not supported</w:t>
            </w:r>
          </w:p>
        </w:tc>
        <w:tc>
          <w:tcPr>
            <w:tcW w:type="dxa" w:w="5046"/>
            <w:tcMar>
              <w:top w:type="dxa" w:w="80"/>
              <w:left w:type="dxa" w:w="110"/>
              <w:bottom w:type="dxa" w:w="80"/>
              <w:right w:type="dxa" w:w="110"/>
            </w:tcMar>
          </w:tcPr>
          <w:p>
            <w:pPr>
              <w:spacing w:after="0"/>
            </w:pPr>
            <w:r>
              <w:rPr>
                <w:b w:val="false"/>
                <w:bCs w:val="false"/>
                <w:color w:val="1A2427"/>
                <w:sz w:val="16"/>
                <w:szCs w:val="16"/>
              </w:rPr>
              <w:t xml:space="preserve">82.4% GRF RMSE at 16 sensors</w:t>
            </w:r>
          </w:p>
        </w:tc>
      </w:tr>
      <w:tr>
        <w:tc>
          <w:tcPr>
            <w:tcW w:type="dxa" w:w="3200"/>
            <w:tcMar>
              <w:top w:type="dxa" w:w="80"/>
              <w:left w:type="dxa" w:w="110"/>
              <w:bottom w:type="dxa" w:w="80"/>
              <w:right w:type="dxa" w:w="110"/>
            </w:tcMar>
          </w:tcPr>
          <w:p>
            <w:pPr>
              <w:spacing w:after="0"/>
            </w:pPr>
            <w:r>
              <w:rPr>
                <w:b w:val="false"/>
                <w:bCs w:val="false"/>
                <w:color w:val="1A2427"/>
                <w:sz w:val="16"/>
                <w:szCs w:val="16"/>
              </w:rPr>
              <w:t xml:space="preserve">Impact magnitude as tissue-load risk</w:t>
            </w:r>
          </w:p>
        </w:tc>
        <w:tc>
          <w:tcPr>
            <w:tcW w:type="dxa" w:w="1500"/>
            <w:tcMar>
              <w:top w:type="dxa" w:w="80"/>
              <w:left w:type="dxa" w:w="110"/>
              <w:bottom w:type="dxa" w:w="80"/>
              <w:right w:type="dxa" w:w="110"/>
            </w:tcMar>
          </w:tcPr>
          <w:p>
            <w:pPr>
              <w:spacing w:after="0"/>
            </w:pPr>
            <w:r>
              <w:rPr>
                <w:b/>
                <w:bCs/>
                <w:color w:val="A32017"/>
                <w:sz w:val="16"/>
                <w:szCs w:val="16"/>
              </w:rPr>
              <w:t xml:space="preserve">Not supported</w:t>
            </w:r>
          </w:p>
        </w:tc>
        <w:tc>
          <w:tcPr>
            <w:tcW w:type="dxa" w:w="5046"/>
            <w:tcMar>
              <w:top w:type="dxa" w:w="80"/>
              <w:left w:type="dxa" w:w="110"/>
              <w:bottom w:type="dxa" w:w="80"/>
              <w:right w:type="dxa" w:w="110"/>
            </w:tcMar>
          </w:tcPr>
          <w:p>
            <w:pPr>
              <w:spacing w:after="0"/>
            </w:pPr>
            <w:r>
              <w:rPr>
                <w:b w:val="false"/>
                <w:bCs w:val="false"/>
                <w:color w:val="1A2427"/>
                <w:sz w:val="16"/>
                <w:szCs w:val="16"/>
              </w:rPr>
              <w:t xml:space="preserve">Impact peak vs tibial load r = −0.29; 76 of 80 subjects contradicted it</w:t>
            </w:r>
          </w:p>
        </w:tc>
      </w:tr>
      <w:tr>
        <w:tc>
          <w:tcPr>
            <w:tcW w:type="dxa" w:w="3200"/>
            <w:tcMar>
              <w:top w:type="dxa" w:w="80"/>
              <w:left w:type="dxa" w:w="110"/>
              <w:bottom w:type="dxa" w:w="80"/>
              <w:right w:type="dxa" w:w="110"/>
            </w:tcMar>
          </w:tcPr>
          <w:p>
            <w:pPr>
              <w:spacing w:after="0"/>
            </w:pPr>
            <w:r>
              <w:rPr>
                <w:b w:val="false"/>
                <w:bCs w:val="false"/>
                <w:color w:val="1A2427"/>
                <w:sz w:val="16"/>
                <w:szCs w:val="16"/>
              </w:rPr>
              <w:t xml:space="preserve">Cumulative time-pressure exposure</w:t>
            </w:r>
          </w:p>
        </w:tc>
        <w:tc>
          <w:tcPr>
            <w:tcW w:type="dxa" w:w="1500"/>
            <w:tcMar>
              <w:top w:type="dxa" w:w="80"/>
              <w:left w:type="dxa" w:w="110"/>
              <w:bottom w:type="dxa" w:w="80"/>
              <w:right w:type="dxa" w:w="110"/>
            </w:tcMar>
          </w:tcPr>
          <w:p>
            <w:pPr>
              <w:spacing w:after="0"/>
            </w:pPr>
            <w:r>
              <w:rPr>
                <w:b/>
                <w:bCs/>
                <w:color w:val="A32017"/>
                <w:sz w:val="16"/>
                <w:szCs w:val="16"/>
              </w:rPr>
              <w:t xml:space="preserve">Not supported</w:t>
            </w:r>
          </w:p>
        </w:tc>
        <w:tc>
          <w:tcPr>
            <w:tcW w:type="dxa" w:w="5046"/>
            <w:tcMar>
              <w:top w:type="dxa" w:w="80"/>
              <w:left w:type="dxa" w:w="110"/>
              <w:bottom w:type="dxa" w:w="80"/>
              <w:right w:type="dxa" w:w="110"/>
            </w:tcMar>
          </w:tcPr>
          <w:p>
            <w:pPr>
              <w:spacing w:after="0"/>
            </w:pPr>
            <w:r>
              <w:rPr>
                <w:b w:val="false"/>
                <w:bCs w:val="false"/>
                <w:color w:val="1A2427"/>
                <w:sz w:val="16"/>
                <w:szCs w:val="16"/>
              </w:rPr>
              <w:t xml:space="preserve">Requires calibrated kPa, which saturated ADC counts cannot express</w:t>
            </w:r>
          </w:p>
        </w:tc>
      </w:tr>
      <w:tr>
        <w:tc>
          <w:tcPr>
            <w:tcW w:type="dxa" w:w="3200"/>
            <w:tcMar>
              <w:top w:type="dxa" w:w="80"/>
              <w:left w:type="dxa" w:w="110"/>
              <w:bottom w:type="dxa" w:w="80"/>
              <w:right w:type="dxa" w:w="110"/>
            </w:tcMar>
          </w:tcPr>
          <w:p>
            <w:pPr>
              <w:spacing w:after="0"/>
            </w:pPr>
            <w:r>
              <w:rPr>
                <w:b w:val="false"/>
                <w:bCs w:val="false"/>
                <w:color w:val="1A2427"/>
                <w:sz w:val="16"/>
                <w:szCs w:val="16"/>
              </w:rPr>
              <w:t xml:space="preserve">Ulcer risk prediction</w:t>
            </w:r>
          </w:p>
        </w:tc>
        <w:tc>
          <w:tcPr>
            <w:tcW w:type="dxa" w:w="1500"/>
            <w:tcMar>
              <w:top w:type="dxa" w:w="80"/>
              <w:left w:type="dxa" w:w="110"/>
              <w:bottom w:type="dxa" w:w="80"/>
              <w:right w:type="dxa" w:w="110"/>
            </w:tcMar>
          </w:tcPr>
          <w:p>
            <w:pPr>
              <w:spacing w:after="0"/>
            </w:pPr>
            <w:r>
              <w:rPr>
                <w:b/>
                <w:bCs/>
                <w:color w:val="A32017"/>
                <w:sz w:val="16"/>
                <w:szCs w:val="16"/>
              </w:rPr>
              <w:t xml:space="preserve">Not supported</w:t>
            </w:r>
          </w:p>
        </w:tc>
        <w:tc>
          <w:tcPr>
            <w:tcW w:type="dxa" w:w="5046"/>
            <w:tcMar>
              <w:top w:type="dxa" w:w="80"/>
              <w:left w:type="dxa" w:w="110"/>
              <w:bottom w:type="dxa" w:w="80"/>
              <w:right w:type="dxa" w:w="110"/>
            </w:tcMar>
          </w:tcPr>
          <w:p>
            <w:pPr>
              <w:spacing w:after="0"/>
            </w:pPr>
            <w:r>
              <w:rPr>
                <w:b w:val="false"/>
                <w:bCs w:val="false"/>
                <w:color w:val="1A2427"/>
                <w:sz w:val="16"/>
                <w:szCs w:val="16"/>
              </w:rPr>
              <w:t xml:space="preserve">A 250 Hz plate, 155 subjects, prospective follow-up reached AUC 0.639</w:t>
            </w:r>
          </w:p>
        </w:tc>
      </w:tr>
    </w:tbl>
    <w:p>
      <w:pPr>
        <w:pStyle w:val="Small"/>
      </w:pPr>
      <w:r>
        <w:t xml:space="preserve">Sources: Ngueleu 2019; Yu 2018; Jarl 2023; Ciniglio 2021; Fuchs 2024; Sêco 2025; Matijevich 2019; Nuyts 2022. Full citations in the evidence review.</w:t>
      </w:r>
    </w:p>
    <w:p>
      <w:r>
        <w:br w:type="page"/>
      </w:r>
    </w:p>
    <w:p>
      <w:pPr>
        <w:pStyle w:val="Heading1"/>
      </w:pPr>
      <w:r>
        <w:t xml:space="preserve">2. Risk management file (ISO 14971:2019)</w:t>
      </w:r>
    </w:p>
    <w:p>
      <w:r>
        <w:t xml:space="preserve">This is a first-pass hazard analysis for the device as currently built. It is deliberately written about the real prototype rather than the intended product, because that is what ISO 14971 asks for and because the interesting hazards live in the gap between the two.</w:t>
      </w:r>
    </w:p>
    <w:p>
      <w:r>
        <w:t xml:space="preserve">One characteristic of this device shapes almost every entry below, and it should be stated once, plainly: the intended user population has reduced or absent protective sensation in the foot. A person with diabetic peripheral neuropathy will not feel a hot battery, a broken solder joint, or a rigid component pressing into the plantar surface. Hazards that would be self-limiting in any other wearable are not self-limiting here.</w:t>
      </w:r>
    </w:p>
    <w:p>
      <w:pPr>
        <w:pStyle w:val="Heading2"/>
      </w:pPr>
      <w:r>
        <w:t xml:space="preserve">2.1 Severity and probability scales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00"/>
        <w:gridCol w:w="3646"/>
      </w:tblGrid>
      <w:tr>
        <w:trPr>
          <w:tblHeader/>
        </w:trPr>
        <w:tc>
          <w:tcPr>
            <w:tcW w:type="dxa" w:w="1900"/>
            <w:shd w:fill="E7ECEE" w:val="clear"/>
            <w:tcMar>
              <w:top w:type="dxa" w:w="80"/>
              <w:left w:type="dxa" w:w="110"/>
              <w:bottom w:type="dxa" w:w="80"/>
              <w:right w:type="dxa" w:w="110"/>
            </w:tcMar>
          </w:tcPr>
          <w:p>
            <w:pPr>
              <w:spacing w:after="0"/>
            </w:pPr>
            <w:r>
              <w:rPr>
                <w:b/>
                <w:bCs/>
                <w:color w:val="1A2427"/>
                <w:sz w:val="16"/>
                <w:szCs w:val="16"/>
              </w:rPr>
              <w:t xml:space="preserve">Level</w:t>
            </w:r>
          </w:p>
        </w:tc>
        <w:tc>
          <w:tcPr>
            <w:tcW w:type="dxa" w:w="4200"/>
            <w:shd w:fill="E7ECEE" w:val="clear"/>
            <w:tcMar>
              <w:top w:type="dxa" w:w="80"/>
              <w:left w:type="dxa" w:w="110"/>
              <w:bottom w:type="dxa" w:w="80"/>
              <w:right w:type="dxa" w:w="110"/>
            </w:tcMar>
          </w:tcPr>
          <w:p>
            <w:pPr>
              <w:spacing w:after="0"/>
            </w:pPr>
            <w:r>
              <w:rPr>
                <w:b/>
                <w:bCs/>
                <w:color w:val="1A2427"/>
                <w:sz w:val="16"/>
                <w:szCs w:val="16"/>
              </w:rPr>
              <w:t xml:space="preserve">Severity of harm</w:t>
            </w:r>
          </w:p>
        </w:tc>
        <w:tc>
          <w:tcPr>
            <w:tcW w:type="dxa" w:w="3646"/>
            <w:shd w:fill="E7ECEE" w:val="clear"/>
            <w:tcMar>
              <w:top w:type="dxa" w:w="80"/>
              <w:left w:type="dxa" w:w="110"/>
              <w:bottom w:type="dxa" w:w="80"/>
              <w:right w:type="dxa" w:w="110"/>
            </w:tcMar>
          </w:tcPr>
          <w:p>
            <w:pPr>
              <w:spacing w:after="0"/>
            </w:pPr>
            <w:r>
              <w:rPr>
                <w:b/>
                <w:bCs/>
                <w:color w:val="1A2427"/>
                <w:sz w:val="16"/>
                <w:szCs w:val="16"/>
              </w:rPr>
              <w:t xml:space="preserve">Probability of occurrence</w:t>
            </w:r>
          </w:p>
        </w:tc>
      </w:tr>
      <w:tr>
        <w:tc>
          <w:tcPr>
            <w:tcW w:type="dxa" w:w="1900"/>
            <w:tcMar>
              <w:top w:type="dxa" w:w="80"/>
              <w:left w:type="dxa" w:w="110"/>
              <w:bottom w:type="dxa" w:w="80"/>
              <w:right w:type="dxa" w:w="110"/>
            </w:tcMar>
          </w:tcPr>
          <w:p>
            <w:pPr>
              <w:spacing w:after="0"/>
            </w:pPr>
            <w:r>
              <w:rPr>
                <w:b w:val="false"/>
                <w:bCs w:val="false"/>
                <w:color w:val="1A2427"/>
                <w:sz w:val="16"/>
                <w:szCs w:val="16"/>
              </w:rPr>
              <w:t xml:space="preserve">1 — Negligible</w:t>
            </w:r>
          </w:p>
        </w:tc>
        <w:tc>
          <w:tcPr>
            <w:tcW w:type="dxa" w:w="4200"/>
            <w:tcMar>
              <w:top w:type="dxa" w:w="80"/>
              <w:left w:type="dxa" w:w="110"/>
              <w:bottom w:type="dxa" w:w="80"/>
              <w:right w:type="dxa" w:w="110"/>
            </w:tcMar>
          </w:tcPr>
          <w:p>
            <w:pPr>
              <w:spacing w:after="0"/>
            </w:pPr>
            <w:r>
              <w:rPr>
                <w:b w:val="false"/>
                <w:bCs w:val="false"/>
                <w:color w:val="1A2427"/>
                <w:sz w:val="16"/>
                <w:szCs w:val="16"/>
              </w:rPr>
              <w:t xml:space="preserve">Inconvenience or temporary discomfort, no intervention</w:t>
            </w:r>
          </w:p>
        </w:tc>
        <w:tc>
          <w:tcPr>
            <w:tcW w:type="dxa" w:w="3646"/>
            <w:tcMar>
              <w:top w:type="dxa" w:w="80"/>
              <w:left w:type="dxa" w:w="110"/>
              <w:bottom w:type="dxa" w:w="80"/>
              <w:right w:type="dxa" w:w="110"/>
            </w:tcMar>
          </w:tcPr>
          <w:p>
            <w:pPr>
              <w:spacing w:after="0"/>
            </w:pPr>
            <w:r>
              <w:rPr>
                <w:b w:val="false"/>
                <w:bCs w:val="false"/>
                <w:color w:val="1A2427"/>
                <w:sz w:val="16"/>
                <w:szCs w:val="16"/>
              </w:rPr>
              <w:t xml:space="preserve">Improbable — not expected in the product lifetime</w:t>
            </w:r>
          </w:p>
        </w:tc>
      </w:tr>
      <w:tr>
        <w:tc>
          <w:tcPr>
            <w:tcW w:type="dxa" w:w="1900"/>
            <w:tcMar>
              <w:top w:type="dxa" w:w="80"/>
              <w:left w:type="dxa" w:w="110"/>
              <w:bottom w:type="dxa" w:w="80"/>
              <w:right w:type="dxa" w:w="110"/>
            </w:tcMar>
          </w:tcPr>
          <w:p>
            <w:pPr>
              <w:spacing w:after="0"/>
            </w:pPr>
            <w:r>
              <w:rPr>
                <w:b w:val="false"/>
                <w:bCs w:val="false"/>
                <w:color w:val="1A2427"/>
                <w:sz w:val="16"/>
                <w:szCs w:val="16"/>
              </w:rPr>
              <w:t xml:space="preserve">2 — Minor</w:t>
            </w:r>
          </w:p>
        </w:tc>
        <w:tc>
          <w:tcPr>
            <w:tcW w:type="dxa" w:w="4200"/>
            <w:tcMar>
              <w:top w:type="dxa" w:w="80"/>
              <w:left w:type="dxa" w:w="110"/>
              <w:bottom w:type="dxa" w:w="80"/>
              <w:right w:type="dxa" w:w="110"/>
            </w:tcMar>
          </w:tcPr>
          <w:p>
            <w:pPr>
              <w:spacing w:after="0"/>
            </w:pPr>
            <w:r>
              <w:rPr>
                <w:b w:val="false"/>
                <w:bCs w:val="false"/>
                <w:color w:val="1A2427"/>
                <w:sz w:val="16"/>
                <w:szCs w:val="16"/>
              </w:rPr>
              <w:t xml:space="preserve">Temporary injury, no professional intervention</w:t>
            </w:r>
          </w:p>
        </w:tc>
        <w:tc>
          <w:tcPr>
            <w:tcW w:type="dxa" w:w="3646"/>
            <w:tcMar>
              <w:top w:type="dxa" w:w="80"/>
              <w:left w:type="dxa" w:w="110"/>
              <w:bottom w:type="dxa" w:w="80"/>
              <w:right w:type="dxa" w:w="110"/>
            </w:tcMar>
          </w:tcPr>
          <w:p>
            <w:pPr>
              <w:spacing w:after="0"/>
            </w:pPr>
            <w:r>
              <w:rPr>
                <w:b w:val="false"/>
                <w:bCs w:val="false"/>
                <w:color w:val="1A2427"/>
                <w:sz w:val="16"/>
                <w:szCs w:val="16"/>
              </w:rPr>
              <w:t xml:space="preserve">Remote — unlikely but possible</w:t>
            </w:r>
          </w:p>
        </w:tc>
      </w:tr>
      <w:tr>
        <w:tc>
          <w:tcPr>
            <w:tcW w:type="dxa" w:w="1900"/>
            <w:tcMar>
              <w:top w:type="dxa" w:w="80"/>
              <w:left w:type="dxa" w:w="110"/>
              <w:bottom w:type="dxa" w:w="80"/>
              <w:right w:type="dxa" w:w="110"/>
            </w:tcMar>
          </w:tcPr>
          <w:p>
            <w:pPr>
              <w:spacing w:after="0"/>
            </w:pPr>
            <w:r>
              <w:rPr>
                <w:b w:val="false"/>
                <w:bCs w:val="false"/>
                <w:color w:val="1A2427"/>
                <w:sz w:val="16"/>
                <w:szCs w:val="16"/>
              </w:rPr>
              <w:t xml:space="preserve">3 — Serious</w:t>
            </w:r>
          </w:p>
        </w:tc>
        <w:tc>
          <w:tcPr>
            <w:tcW w:type="dxa" w:w="4200"/>
            <w:tcMar>
              <w:top w:type="dxa" w:w="80"/>
              <w:left w:type="dxa" w:w="110"/>
              <w:bottom w:type="dxa" w:w="80"/>
              <w:right w:type="dxa" w:w="110"/>
            </w:tcMar>
          </w:tcPr>
          <w:p>
            <w:pPr>
              <w:spacing w:after="0"/>
            </w:pPr>
            <w:r>
              <w:rPr>
                <w:b w:val="false"/>
                <w:bCs w:val="false"/>
                <w:color w:val="1A2427"/>
                <w:sz w:val="16"/>
                <w:szCs w:val="16"/>
              </w:rPr>
              <w:t xml:space="preserve">Injury requiring professional intervention</w:t>
            </w:r>
          </w:p>
        </w:tc>
        <w:tc>
          <w:tcPr>
            <w:tcW w:type="dxa" w:w="3646"/>
            <w:tcMar>
              <w:top w:type="dxa" w:w="80"/>
              <w:left w:type="dxa" w:w="110"/>
              <w:bottom w:type="dxa" w:w="80"/>
              <w:right w:type="dxa" w:w="110"/>
            </w:tcMar>
          </w:tcPr>
          <w:p>
            <w:pPr>
              <w:spacing w:after="0"/>
            </w:pPr>
            <w:r>
              <w:rPr>
                <w:b w:val="false"/>
                <w:bCs w:val="false"/>
                <w:color w:val="1A2427"/>
                <w:sz w:val="16"/>
                <w:szCs w:val="16"/>
              </w:rPr>
              <w:t xml:space="preserve">Occasional — likely to occur sometime</w:t>
            </w:r>
          </w:p>
        </w:tc>
      </w:tr>
      <w:tr>
        <w:tc>
          <w:tcPr>
            <w:tcW w:type="dxa" w:w="1900"/>
            <w:tcMar>
              <w:top w:type="dxa" w:w="80"/>
              <w:left w:type="dxa" w:w="110"/>
              <w:bottom w:type="dxa" w:w="80"/>
              <w:right w:type="dxa" w:w="110"/>
            </w:tcMar>
          </w:tcPr>
          <w:p>
            <w:pPr>
              <w:spacing w:after="0"/>
            </w:pPr>
            <w:r>
              <w:rPr>
                <w:b w:val="false"/>
                <w:bCs w:val="false"/>
                <w:color w:val="1A2427"/>
                <w:sz w:val="16"/>
                <w:szCs w:val="16"/>
              </w:rPr>
              <w:t xml:space="preserve">4 — Critical</w:t>
            </w:r>
          </w:p>
        </w:tc>
        <w:tc>
          <w:tcPr>
            <w:tcW w:type="dxa" w:w="4200"/>
            <w:tcMar>
              <w:top w:type="dxa" w:w="80"/>
              <w:left w:type="dxa" w:w="110"/>
              <w:bottom w:type="dxa" w:w="80"/>
              <w:right w:type="dxa" w:w="110"/>
            </w:tcMar>
          </w:tcPr>
          <w:p>
            <w:pPr>
              <w:spacing w:after="0"/>
            </w:pPr>
            <w:r>
              <w:rPr>
                <w:b w:val="false"/>
                <w:bCs w:val="false"/>
                <w:color w:val="1A2427"/>
                <w:sz w:val="16"/>
                <w:szCs w:val="16"/>
              </w:rPr>
              <w:t xml:space="preserve">Permanent impairment or life-threatening injury</w:t>
            </w:r>
          </w:p>
        </w:tc>
        <w:tc>
          <w:tcPr>
            <w:tcW w:type="dxa" w:w="3646"/>
            <w:tcMar>
              <w:top w:type="dxa" w:w="80"/>
              <w:left w:type="dxa" w:w="110"/>
              <w:bottom w:type="dxa" w:w="80"/>
              <w:right w:type="dxa" w:w="110"/>
            </w:tcMar>
          </w:tcPr>
          <w:p>
            <w:pPr>
              <w:spacing w:after="0"/>
            </w:pPr>
            <w:r>
              <w:rPr>
                <w:b w:val="false"/>
                <w:bCs w:val="false"/>
                <w:color w:val="1A2427"/>
                <w:sz w:val="16"/>
                <w:szCs w:val="16"/>
              </w:rPr>
              <w:t xml:space="preserve">Probable — will occur several times</w:t>
            </w:r>
          </w:p>
        </w:tc>
      </w:tr>
      <w:tr>
        <w:tc>
          <w:tcPr>
            <w:tcW w:type="dxa" w:w="1900"/>
            <w:tcMar>
              <w:top w:type="dxa" w:w="80"/>
              <w:left w:type="dxa" w:w="110"/>
              <w:bottom w:type="dxa" w:w="80"/>
              <w:right w:type="dxa" w:w="110"/>
            </w:tcMar>
          </w:tcPr>
          <w:p>
            <w:pPr>
              <w:spacing w:after="0"/>
            </w:pPr>
            <w:r>
              <w:rPr>
                <w:b w:val="false"/>
                <w:bCs w:val="false"/>
                <w:color w:val="1A2427"/>
                <w:sz w:val="16"/>
                <w:szCs w:val="16"/>
              </w:rPr>
              <w:t xml:space="preserve">5 — Catastrophic</w:t>
            </w:r>
          </w:p>
        </w:tc>
        <w:tc>
          <w:tcPr>
            <w:tcW w:type="dxa" w:w="4200"/>
            <w:tcMar>
              <w:top w:type="dxa" w:w="80"/>
              <w:left w:type="dxa" w:w="110"/>
              <w:bottom w:type="dxa" w:w="80"/>
              <w:right w:type="dxa" w:w="110"/>
            </w:tcMar>
          </w:tcPr>
          <w:p>
            <w:pPr>
              <w:spacing w:after="0"/>
            </w:pPr>
            <w:r>
              <w:rPr>
                <w:b w:val="false"/>
                <w:bCs w:val="false"/>
                <w:color w:val="1A2427"/>
                <w:sz w:val="16"/>
                <w:szCs w:val="16"/>
              </w:rPr>
              <w:t xml:space="preserve">Death</w:t>
            </w:r>
          </w:p>
        </w:tc>
        <w:tc>
          <w:tcPr>
            <w:tcW w:type="dxa" w:w="3646"/>
            <w:tcMar>
              <w:top w:type="dxa" w:w="80"/>
              <w:left w:type="dxa" w:w="110"/>
              <w:bottom w:type="dxa" w:w="80"/>
              <w:right w:type="dxa" w:w="110"/>
            </w:tcMar>
          </w:tcPr>
          <w:p>
            <w:pPr>
              <w:spacing w:after="0"/>
            </w:pPr>
            <w:r>
              <w:rPr>
                <w:b w:val="false"/>
                <w:bCs w:val="false"/>
                <w:color w:val="1A2427"/>
                <w:sz w:val="16"/>
                <w:szCs w:val="16"/>
              </w:rPr>
              <w:t xml:space="preserve">Frequent — will occur routinely</w:t>
            </w:r>
          </w:p>
        </w:tc>
      </w:tr>
    </w:tbl>
    <w:p>
      <w:pPr>
        <w:pStyle w:val="Small"/>
      </w:pPr>
      <w:r>
        <w:t xml:space="preserve">Risk = severity × probability. Risk ≥ 9 is unacceptable and requires control before use. Risk 4–8 requires control as far as reasonably practicable. Risk ≤ 3 is acceptable with monitoring.</w:t>
      </w:r>
    </w:p>
    <w:p>
      <w:pPr>
        <w:pStyle w:val="Heading2"/>
      </w:pPr>
      <w:r>
        <w:t xml:space="preserve">2.2 Hazard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
        <w:gridCol w:w="2500"/>
        <w:gridCol w:w="1150"/>
        <w:gridCol w:w="400"/>
        <w:gridCol w:w="400"/>
        <w:gridCol w:w="460"/>
        <w:gridCol w:w="3806"/>
        <w:gridCol w:w="550"/>
      </w:tblGrid>
      <w:tr>
        <w:trPr>
          <w:tblHeader/>
        </w:trPr>
        <w:tc>
          <w:tcPr>
            <w:tcW w:type="dxa" w:w="480"/>
            <w:shd w:fill="E7ECEE" w:val="clear"/>
            <w:tcMar>
              <w:top w:type="dxa" w:w="80"/>
              <w:left w:type="dxa" w:w="110"/>
              <w:bottom w:type="dxa" w:w="80"/>
              <w:right w:type="dxa" w:w="110"/>
            </w:tcMar>
          </w:tcPr>
          <w:p>
            <w:pPr>
              <w:spacing w:after="0"/>
            </w:pPr>
            <w:r>
              <w:rPr>
                <w:b/>
                <w:bCs/>
                <w:color w:val="1A2427"/>
                <w:sz w:val="16"/>
                <w:szCs w:val="16"/>
              </w:rPr>
              <w:t xml:space="preserve">ID</w:t>
            </w:r>
          </w:p>
        </w:tc>
        <w:tc>
          <w:tcPr>
            <w:tcW w:type="dxa" w:w="2500"/>
            <w:shd w:fill="E7ECEE" w:val="clear"/>
            <w:tcMar>
              <w:top w:type="dxa" w:w="80"/>
              <w:left w:type="dxa" w:w="110"/>
              <w:bottom w:type="dxa" w:w="80"/>
              <w:right w:type="dxa" w:w="110"/>
            </w:tcMar>
          </w:tcPr>
          <w:p>
            <w:pPr>
              <w:spacing w:after="0"/>
            </w:pPr>
            <w:r>
              <w:rPr>
                <w:b/>
                <w:bCs/>
                <w:color w:val="1A2427"/>
                <w:sz w:val="16"/>
                <w:szCs w:val="16"/>
              </w:rPr>
              <w:t xml:space="preserve">Hazard and sequence of events</w:t>
            </w:r>
          </w:p>
        </w:tc>
        <w:tc>
          <w:tcPr>
            <w:tcW w:type="dxa" w:w="1150"/>
            <w:shd w:fill="E7ECEE" w:val="clear"/>
            <w:tcMar>
              <w:top w:type="dxa" w:w="80"/>
              <w:left w:type="dxa" w:w="110"/>
              <w:bottom w:type="dxa" w:w="80"/>
              <w:right w:type="dxa" w:w="110"/>
            </w:tcMar>
          </w:tcPr>
          <w:p>
            <w:pPr>
              <w:spacing w:after="0"/>
            </w:pPr>
            <w:r>
              <w:rPr>
                <w:b/>
                <w:bCs/>
                <w:color w:val="1A2427"/>
                <w:sz w:val="16"/>
                <w:szCs w:val="16"/>
              </w:rPr>
              <w:t xml:space="preserve">Harm</w:t>
            </w:r>
          </w:p>
        </w:tc>
        <w:tc>
          <w:tcPr>
            <w:tcW w:type="dxa" w:w="400"/>
            <w:shd w:fill="E7ECEE" w:val="clear"/>
            <w:tcMar>
              <w:top w:type="dxa" w:w="80"/>
              <w:left w:type="dxa" w:w="110"/>
              <w:bottom w:type="dxa" w:w="80"/>
              <w:right w:type="dxa" w:w="110"/>
            </w:tcMar>
          </w:tcPr>
          <w:p>
            <w:pPr>
              <w:spacing w:after="0"/>
            </w:pPr>
            <w:r>
              <w:rPr>
                <w:b/>
                <w:bCs/>
                <w:color w:val="1A2427"/>
                <w:sz w:val="16"/>
                <w:szCs w:val="16"/>
              </w:rPr>
              <w:t xml:space="preserve">S</w:t>
            </w:r>
          </w:p>
        </w:tc>
        <w:tc>
          <w:tcPr>
            <w:tcW w:type="dxa" w:w="400"/>
            <w:shd w:fill="E7ECEE" w:val="clear"/>
            <w:tcMar>
              <w:top w:type="dxa" w:w="80"/>
              <w:left w:type="dxa" w:w="110"/>
              <w:bottom w:type="dxa" w:w="80"/>
              <w:right w:type="dxa" w:w="110"/>
            </w:tcMar>
          </w:tcPr>
          <w:p>
            <w:pPr>
              <w:spacing w:after="0"/>
            </w:pPr>
            <w:r>
              <w:rPr>
                <w:b/>
                <w:bCs/>
                <w:color w:val="1A2427"/>
                <w:sz w:val="16"/>
                <w:szCs w:val="16"/>
              </w:rPr>
              <w:t xml:space="preserve">P</w:t>
            </w:r>
          </w:p>
        </w:tc>
        <w:tc>
          <w:tcPr>
            <w:tcW w:type="dxa" w:w="460"/>
            <w:shd w:fill="E7ECEE" w:val="clear"/>
            <w:tcMar>
              <w:top w:type="dxa" w:w="80"/>
              <w:left w:type="dxa" w:w="110"/>
              <w:bottom w:type="dxa" w:w="80"/>
              <w:right w:type="dxa" w:w="110"/>
            </w:tcMar>
          </w:tcPr>
          <w:p>
            <w:pPr>
              <w:spacing w:after="0"/>
            </w:pPr>
            <w:r>
              <w:rPr>
                <w:b/>
                <w:bCs/>
                <w:color w:val="1A2427"/>
                <w:sz w:val="16"/>
                <w:szCs w:val="16"/>
              </w:rPr>
              <w:t xml:space="preserve">R</w:t>
            </w:r>
          </w:p>
        </w:tc>
        <w:tc>
          <w:tcPr>
            <w:tcW w:type="dxa" w:w="3806"/>
            <w:shd w:fill="E7ECEE" w:val="clear"/>
            <w:tcMar>
              <w:top w:type="dxa" w:w="80"/>
              <w:left w:type="dxa" w:w="110"/>
              <w:bottom w:type="dxa" w:w="80"/>
              <w:right w:type="dxa" w:w="110"/>
            </w:tcMar>
          </w:tcPr>
          <w:p>
            <w:pPr>
              <w:spacing w:after="0"/>
            </w:pPr>
            <w:r>
              <w:rPr>
                <w:b/>
                <w:bCs/>
                <w:color w:val="1A2427"/>
                <w:sz w:val="16"/>
                <w:szCs w:val="16"/>
              </w:rPr>
              <w:t xml:space="preserve">Control measure</w:t>
            </w:r>
          </w:p>
        </w:tc>
        <w:tc>
          <w:tcPr>
            <w:tcW w:type="dxa" w:w="550"/>
            <w:shd w:fill="E7ECEE" w:val="clear"/>
            <w:tcMar>
              <w:top w:type="dxa" w:w="80"/>
              <w:left w:type="dxa" w:w="110"/>
              <w:bottom w:type="dxa" w:w="80"/>
              <w:right w:type="dxa" w:w="110"/>
            </w:tcMar>
          </w:tcPr>
          <w:p>
            <w:pPr>
              <w:spacing w:after="0"/>
            </w:pPr>
            <w:r>
              <w:rPr>
                <w:b/>
                <w:bCs/>
                <w:color w:val="1A2427"/>
                <w:sz w:val="16"/>
                <w:szCs w:val="16"/>
              </w:rPr>
              <w:t xml:space="preserve">Res</w:t>
            </w:r>
          </w:p>
        </w:tc>
      </w:tr>
      <w:tr>
        <w:tc>
          <w:tcPr>
            <w:tcW w:type="dxa" w:w="480"/>
            <w:tcMar>
              <w:top w:type="dxa" w:w="80"/>
              <w:left w:type="dxa" w:w="110"/>
              <w:bottom w:type="dxa" w:w="80"/>
              <w:right w:type="dxa" w:w="110"/>
            </w:tcMar>
          </w:tcPr>
          <w:p>
            <w:pPr>
              <w:spacing w:after="0"/>
            </w:pPr>
            <w:r>
              <w:rPr>
                <w:b w:val="false"/>
                <w:bCs w:val="false"/>
                <w:color w:val="1A2427"/>
                <w:sz w:val="16"/>
                <w:szCs w:val="16"/>
              </w:rPr>
              <w:t xml:space="preserve">H1</w:t>
            </w:r>
          </w:p>
        </w:tc>
        <w:tc>
          <w:tcPr>
            <w:tcW w:type="dxa" w:w="2500"/>
            <w:tcMar>
              <w:top w:type="dxa" w:w="80"/>
              <w:left w:type="dxa" w:w="110"/>
              <w:bottom w:type="dxa" w:w="80"/>
              <w:right w:type="dxa" w:w="110"/>
            </w:tcMar>
          </w:tcPr>
          <w:p>
            <w:pPr>
              <w:spacing w:after="0"/>
            </w:pPr>
            <w:r>
              <w:rPr>
                <w:b w:val="false"/>
                <w:bCs w:val="false"/>
                <w:color w:val="1A2427"/>
                <w:sz w:val="16"/>
                <w:szCs w:val="16"/>
              </w:rPr>
              <w:t xml:space="preserve">False reassurance. A high-pressure region falls between the four sensors. The device reports normal loading. The user is reassured and defers foot inspection. Ulceration develops undetected.</w:t>
            </w:r>
          </w:p>
        </w:tc>
        <w:tc>
          <w:tcPr>
            <w:tcW w:type="dxa" w:w="1150"/>
            <w:tcMar>
              <w:top w:type="dxa" w:w="80"/>
              <w:left w:type="dxa" w:w="110"/>
              <w:bottom w:type="dxa" w:w="80"/>
              <w:right w:type="dxa" w:w="110"/>
            </w:tcMar>
          </w:tcPr>
          <w:p>
            <w:pPr>
              <w:spacing w:after="0"/>
            </w:pPr>
            <w:r>
              <w:rPr>
                <w:b w:val="false"/>
                <w:bCs w:val="false"/>
                <w:color w:val="1A2427"/>
                <w:sz w:val="16"/>
                <w:szCs w:val="16"/>
              </w:rPr>
              <w:t xml:space="preserve">Delayed detection of ulceration; possible infection or amputation</w:t>
            </w:r>
          </w:p>
        </w:tc>
        <w:tc>
          <w:tcPr>
            <w:tcW w:type="dxa" w:w="400"/>
            <w:tcMar>
              <w:top w:type="dxa" w:w="80"/>
              <w:left w:type="dxa" w:w="110"/>
              <w:bottom w:type="dxa" w:w="80"/>
              <w:right w:type="dxa" w:w="110"/>
            </w:tcMar>
          </w:tcPr>
          <w:p>
            <w:pPr>
              <w:spacing w:after="0"/>
            </w:pPr>
            <w:r>
              <w:rPr>
                <w:b w:val="false"/>
                <w:bCs w:val="false"/>
                <w:color w:val="1A2427"/>
                <w:sz w:val="16"/>
                <w:szCs w:val="16"/>
              </w:rPr>
              <w:t xml:space="preserve">4</w:t>
            </w:r>
          </w:p>
        </w:tc>
        <w:tc>
          <w:tcPr>
            <w:tcW w:type="dxa" w:w="400"/>
            <w:tcMar>
              <w:top w:type="dxa" w:w="80"/>
              <w:left w:type="dxa" w:w="110"/>
              <w:bottom w:type="dxa" w:w="80"/>
              <w:right w:type="dxa" w:w="110"/>
            </w:tcMar>
          </w:tcPr>
          <w:p>
            <w:pPr>
              <w:spacing w:after="0"/>
            </w:pPr>
            <w:r>
              <w:rPr>
                <w:b w:val="false"/>
                <w:bCs w:val="false"/>
                <w:color w:val="1A2427"/>
                <w:sz w:val="16"/>
                <w:szCs w:val="16"/>
              </w:rPr>
              <w:t xml:space="preserve">3</w:t>
            </w:r>
          </w:p>
        </w:tc>
        <w:tc>
          <w:tcPr>
            <w:tcW w:type="dxa" w:w="460"/>
            <w:tcMar>
              <w:top w:type="dxa" w:w="80"/>
              <w:left w:type="dxa" w:w="110"/>
              <w:bottom w:type="dxa" w:w="80"/>
              <w:right w:type="dxa" w:w="110"/>
            </w:tcMar>
          </w:tcPr>
          <w:p>
            <w:pPr>
              <w:spacing w:after="0"/>
            </w:pPr>
            <w:r>
              <w:rPr>
                <w:b/>
                <w:bCs/>
                <w:color w:val="A32017"/>
                <w:sz w:val="16"/>
                <w:szCs w:val="16"/>
              </w:rPr>
              <w:t xml:space="preserve">12</w:t>
            </w:r>
          </w:p>
        </w:tc>
        <w:tc>
          <w:tcPr>
            <w:tcW w:type="dxa" w:w="3806"/>
            <w:tcMar>
              <w:top w:type="dxa" w:w="80"/>
              <w:left w:type="dxa" w:w="110"/>
              <w:bottom w:type="dxa" w:w="80"/>
              <w:right w:type="dxa" w:w="110"/>
            </w:tcMar>
          </w:tcPr>
          <w:p>
            <w:pPr>
              <w:spacing w:after="0"/>
            </w:pPr>
            <w:r>
              <w:rPr>
                <w:b w:val="false"/>
                <w:bCs w:val="false"/>
                <w:color w:val="1A2427"/>
                <w:sz w:val="16"/>
                <w:szCs w:val="16"/>
              </w:rPr>
              <w:t xml:space="preserve">Labelling states the device samples four discrete points and does not measure the whole plantar surface. No “normal” or “all clear” output is permitted anywhere in the UI. Device must not displace routine foot examination in any instruction for use.</w:t>
            </w:r>
          </w:p>
        </w:tc>
        <w:tc>
          <w:tcPr>
            <w:tcW w:type="dxa" w:w="550"/>
            <w:tcMar>
              <w:top w:type="dxa" w:w="80"/>
              <w:left w:type="dxa" w:w="110"/>
              <w:bottom w:type="dxa" w:w="80"/>
              <w:right w:type="dxa" w:w="110"/>
            </w:tcMar>
          </w:tcPr>
          <w:p>
            <w:pPr>
              <w:spacing w:after="0"/>
            </w:pPr>
            <w:r>
              <w:rPr>
                <w:b w:val="false"/>
                <w:bCs w:val="false"/>
                <w:color w:val="8A5300"/>
                <w:sz w:val="16"/>
                <w:szCs w:val="16"/>
              </w:rPr>
              <w:t xml:space="preserve">8</w:t>
            </w:r>
          </w:p>
        </w:tc>
      </w:tr>
      <w:tr>
        <w:tc>
          <w:tcPr>
            <w:tcW w:type="dxa" w:w="480"/>
            <w:tcMar>
              <w:top w:type="dxa" w:w="80"/>
              <w:left w:type="dxa" w:w="110"/>
              <w:bottom w:type="dxa" w:w="80"/>
              <w:right w:type="dxa" w:w="110"/>
            </w:tcMar>
          </w:tcPr>
          <w:p>
            <w:pPr>
              <w:spacing w:after="0"/>
            </w:pPr>
            <w:r>
              <w:rPr>
                <w:b w:val="false"/>
                <w:bCs w:val="false"/>
                <w:color w:val="1A2427"/>
                <w:sz w:val="16"/>
                <w:szCs w:val="16"/>
              </w:rPr>
              <w:t xml:space="preserve">H2</w:t>
            </w:r>
          </w:p>
        </w:tc>
        <w:tc>
          <w:tcPr>
            <w:tcW w:type="dxa" w:w="2500"/>
            <w:tcMar>
              <w:top w:type="dxa" w:w="80"/>
              <w:left w:type="dxa" w:w="110"/>
              <w:bottom w:type="dxa" w:w="80"/>
              <w:right w:type="dxa" w:w="110"/>
            </w:tcMar>
          </w:tcPr>
          <w:p>
            <w:pPr>
              <w:spacing w:after="0"/>
            </w:pPr>
            <w:r>
              <w:rPr>
                <w:b w:val="false"/>
                <w:bCs w:val="false"/>
                <w:color w:val="1A2427"/>
                <w:sz w:val="16"/>
                <w:szCs w:val="16"/>
              </w:rPr>
              <w:t xml:space="preserve">Device-induced pressure injury. Rigid electronics, connector or cable within the insole create a local pressure concentration on an insensate sole. User does not feel it.</w:t>
            </w:r>
          </w:p>
        </w:tc>
        <w:tc>
          <w:tcPr>
            <w:tcW w:type="dxa" w:w="1150"/>
            <w:tcMar>
              <w:top w:type="dxa" w:w="80"/>
              <w:left w:type="dxa" w:w="110"/>
              <w:bottom w:type="dxa" w:w="80"/>
              <w:right w:type="dxa" w:w="110"/>
            </w:tcMar>
          </w:tcPr>
          <w:p>
            <w:pPr>
              <w:spacing w:after="0"/>
            </w:pPr>
            <w:r>
              <w:rPr>
                <w:b w:val="false"/>
                <w:bCs w:val="false"/>
                <w:color w:val="1A2427"/>
                <w:sz w:val="16"/>
                <w:szCs w:val="16"/>
              </w:rPr>
              <w:t xml:space="preserve">Skin breakdown at the device site</w:t>
            </w:r>
          </w:p>
        </w:tc>
        <w:tc>
          <w:tcPr>
            <w:tcW w:type="dxa" w:w="400"/>
            <w:tcMar>
              <w:top w:type="dxa" w:w="80"/>
              <w:left w:type="dxa" w:w="110"/>
              <w:bottom w:type="dxa" w:w="80"/>
              <w:right w:type="dxa" w:w="110"/>
            </w:tcMar>
          </w:tcPr>
          <w:p>
            <w:pPr>
              <w:spacing w:after="0"/>
            </w:pPr>
            <w:r>
              <w:rPr>
                <w:b w:val="false"/>
                <w:bCs w:val="false"/>
                <w:color w:val="1A2427"/>
                <w:sz w:val="16"/>
                <w:szCs w:val="16"/>
              </w:rPr>
              <w:t xml:space="preserve">4</w:t>
            </w:r>
          </w:p>
        </w:tc>
        <w:tc>
          <w:tcPr>
            <w:tcW w:type="dxa" w:w="400"/>
            <w:tcMar>
              <w:top w:type="dxa" w:w="80"/>
              <w:left w:type="dxa" w:w="110"/>
              <w:bottom w:type="dxa" w:w="80"/>
              <w:right w:type="dxa" w:w="110"/>
            </w:tcMar>
          </w:tcPr>
          <w:p>
            <w:pPr>
              <w:spacing w:after="0"/>
            </w:pPr>
            <w:r>
              <w:rPr>
                <w:b w:val="false"/>
                <w:bCs w:val="false"/>
                <w:color w:val="1A2427"/>
                <w:sz w:val="16"/>
                <w:szCs w:val="16"/>
              </w:rPr>
              <w:t xml:space="preserve">3</w:t>
            </w:r>
          </w:p>
        </w:tc>
        <w:tc>
          <w:tcPr>
            <w:tcW w:type="dxa" w:w="460"/>
            <w:tcMar>
              <w:top w:type="dxa" w:w="80"/>
              <w:left w:type="dxa" w:w="110"/>
              <w:bottom w:type="dxa" w:w="80"/>
              <w:right w:type="dxa" w:w="110"/>
            </w:tcMar>
          </w:tcPr>
          <w:p>
            <w:pPr>
              <w:spacing w:after="0"/>
            </w:pPr>
            <w:r>
              <w:rPr>
                <w:b/>
                <w:bCs/>
                <w:color w:val="A32017"/>
                <w:sz w:val="16"/>
                <w:szCs w:val="16"/>
              </w:rPr>
              <w:t xml:space="preserve">12</w:t>
            </w:r>
          </w:p>
        </w:tc>
        <w:tc>
          <w:tcPr>
            <w:tcW w:type="dxa" w:w="3806"/>
            <w:tcMar>
              <w:top w:type="dxa" w:w="80"/>
              <w:left w:type="dxa" w:w="110"/>
              <w:bottom w:type="dxa" w:w="80"/>
              <w:right w:type="dxa" w:w="110"/>
            </w:tcMar>
          </w:tcPr>
          <w:p>
            <w:pPr>
              <w:spacing w:after="0"/>
            </w:pPr>
            <w:r>
              <w:rPr>
                <w:b w:val="false"/>
                <w:bCs w:val="false"/>
                <w:color w:val="1A2427"/>
                <w:sz w:val="16"/>
                <w:szCs w:val="16"/>
              </w:rPr>
              <w:t xml:space="preserve">Full-thickness compliant covering over all rigid parts; maximum component height specified and verified; mandatory skin inspection after first 30 minutes of wear in the pilot protocol; exclusion of participants with existing plantar ulcer.</w:t>
            </w:r>
          </w:p>
        </w:tc>
        <w:tc>
          <w:tcPr>
            <w:tcW w:type="dxa" w:w="550"/>
            <w:tcMar>
              <w:top w:type="dxa" w:w="80"/>
              <w:left w:type="dxa" w:w="110"/>
              <w:bottom w:type="dxa" w:w="80"/>
              <w:right w:type="dxa" w:w="110"/>
            </w:tcMar>
          </w:tcPr>
          <w:p>
            <w:pPr>
              <w:spacing w:after="0"/>
            </w:pPr>
            <w:r>
              <w:rPr>
                <w:b w:val="false"/>
                <w:bCs w:val="false"/>
                <w:color w:val="8A5300"/>
                <w:sz w:val="16"/>
                <w:szCs w:val="16"/>
              </w:rPr>
              <w:t xml:space="preserve">8</w:t>
            </w:r>
          </w:p>
        </w:tc>
      </w:tr>
      <w:tr>
        <w:tc>
          <w:tcPr>
            <w:tcW w:type="dxa" w:w="480"/>
            <w:tcMar>
              <w:top w:type="dxa" w:w="80"/>
              <w:left w:type="dxa" w:w="110"/>
              <w:bottom w:type="dxa" w:w="80"/>
              <w:right w:type="dxa" w:w="110"/>
            </w:tcMar>
          </w:tcPr>
          <w:p>
            <w:pPr>
              <w:spacing w:after="0"/>
            </w:pPr>
            <w:r>
              <w:rPr>
                <w:b w:val="false"/>
                <w:bCs w:val="false"/>
                <w:color w:val="1A2427"/>
                <w:sz w:val="16"/>
                <w:szCs w:val="16"/>
              </w:rPr>
              <w:t xml:space="preserve">H3</w:t>
            </w:r>
          </w:p>
        </w:tc>
        <w:tc>
          <w:tcPr>
            <w:tcW w:type="dxa" w:w="2500"/>
            <w:tcMar>
              <w:top w:type="dxa" w:w="80"/>
              <w:left w:type="dxa" w:w="110"/>
              <w:bottom w:type="dxa" w:w="80"/>
              <w:right w:type="dxa" w:w="110"/>
            </w:tcMar>
          </w:tcPr>
          <w:p>
            <w:pPr>
              <w:spacing w:after="0"/>
            </w:pPr>
            <w:r>
              <w:rPr>
                <w:b w:val="false"/>
                <w:bCs w:val="false"/>
                <w:color w:val="1A2427"/>
                <w:sz w:val="16"/>
                <w:szCs w:val="16"/>
              </w:rPr>
              <w:t xml:space="preserve">Thermal injury. Lithium cell or charging circuit fault raises surface temperature under an insensate foot; the user does not withdraw.</w:t>
            </w:r>
          </w:p>
        </w:tc>
        <w:tc>
          <w:tcPr>
            <w:tcW w:type="dxa" w:w="1150"/>
            <w:tcMar>
              <w:top w:type="dxa" w:w="80"/>
              <w:left w:type="dxa" w:w="110"/>
              <w:bottom w:type="dxa" w:w="80"/>
              <w:right w:type="dxa" w:w="110"/>
            </w:tcMar>
          </w:tcPr>
          <w:p>
            <w:pPr>
              <w:spacing w:after="0"/>
            </w:pPr>
            <w:r>
              <w:rPr>
                <w:b w:val="false"/>
                <w:bCs w:val="false"/>
                <w:color w:val="1A2427"/>
                <w:sz w:val="16"/>
                <w:szCs w:val="16"/>
              </w:rPr>
              <w:t xml:space="preserve">Contact burn</w:t>
            </w:r>
          </w:p>
        </w:tc>
        <w:tc>
          <w:tcPr>
            <w:tcW w:type="dxa" w:w="400"/>
            <w:tcMar>
              <w:top w:type="dxa" w:w="80"/>
              <w:left w:type="dxa" w:w="110"/>
              <w:bottom w:type="dxa" w:w="80"/>
              <w:right w:type="dxa" w:w="110"/>
            </w:tcMar>
          </w:tcPr>
          <w:p>
            <w:pPr>
              <w:spacing w:after="0"/>
            </w:pPr>
            <w:r>
              <w:rPr>
                <w:b w:val="false"/>
                <w:bCs w:val="false"/>
                <w:color w:val="1A2427"/>
                <w:sz w:val="16"/>
                <w:szCs w:val="16"/>
              </w:rPr>
              <w:t xml:space="preserve">4</w:t>
            </w:r>
          </w:p>
        </w:tc>
        <w:tc>
          <w:tcPr>
            <w:tcW w:type="dxa" w:w="400"/>
            <w:tcMar>
              <w:top w:type="dxa" w:w="80"/>
              <w:left w:type="dxa" w:w="110"/>
              <w:bottom w:type="dxa" w:w="80"/>
              <w:right w:type="dxa" w:w="110"/>
            </w:tcMar>
          </w:tcPr>
          <w:p>
            <w:pPr>
              <w:spacing w:after="0"/>
            </w:pPr>
            <w:r>
              <w:rPr>
                <w:b w:val="false"/>
                <w:bCs w:val="false"/>
                <w:color w:val="1A2427"/>
                <w:sz w:val="16"/>
                <w:szCs w:val="16"/>
              </w:rPr>
              <w:t xml:space="preserve">2</w:t>
            </w:r>
          </w:p>
        </w:tc>
        <w:tc>
          <w:tcPr>
            <w:tcW w:type="dxa" w:w="460"/>
            <w:tcMar>
              <w:top w:type="dxa" w:w="80"/>
              <w:left w:type="dxa" w:w="110"/>
              <w:bottom w:type="dxa" w:w="80"/>
              <w:right w:type="dxa" w:w="110"/>
            </w:tcMar>
          </w:tcPr>
          <w:p>
            <w:pPr>
              <w:spacing w:after="0"/>
            </w:pPr>
            <w:r>
              <w:rPr>
                <w:b/>
                <w:bCs/>
                <w:color w:val="8A5300"/>
                <w:sz w:val="16"/>
                <w:szCs w:val="16"/>
              </w:rPr>
              <w:t xml:space="preserve">8</w:t>
            </w:r>
          </w:p>
        </w:tc>
        <w:tc>
          <w:tcPr>
            <w:tcW w:type="dxa" w:w="3806"/>
            <w:tcMar>
              <w:top w:type="dxa" w:w="80"/>
              <w:left w:type="dxa" w:w="110"/>
              <w:bottom w:type="dxa" w:w="80"/>
              <w:right w:type="dxa" w:w="110"/>
            </w:tcMar>
          </w:tcPr>
          <w:p>
            <w:pPr>
              <w:spacing w:after="0"/>
            </w:pPr>
            <w:r>
              <w:rPr>
                <w:b w:val="false"/>
                <w:bCs w:val="false"/>
                <w:color w:val="1A2427"/>
                <w:sz w:val="16"/>
                <w:szCs w:val="16"/>
              </w:rPr>
              <w:t xml:space="preserve">Protected cell with TP4056 protection variant; charging physically prevented while worn (charge port accessible only with insole removed); thermal cut-out; bench verification that surface temperature stays below 41 °C at worst case.</w:t>
            </w:r>
          </w:p>
        </w:tc>
        <w:tc>
          <w:tcPr>
            <w:tcW w:type="dxa" w:w="550"/>
            <w:tcMar>
              <w:top w:type="dxa" w:w="80"/>
              <w:left w:type="dxa" w:w="110"/>
              <w:bottom w:type="dxa" w:w="80"/>
              <w:right w:type="dxa" w:w="110"/>
            </w:tcMar>
          </w:tcPr>
          <w:p>
            <w:pPr>
              <w:spacing w:after="0"/>
            </w:pPr>
            <w:r>
              <w:rPr>
                <w:b w:val="false"/>
                <w:bCs w:val="false"/>
                <w:color w:val="1A2427"/>
                <w:sz w:val="16"/>
                <w:szCs w:val="16"/>
              </w:rPr>
              <w:t xml:space="preserve">4</w:t>
            </w:r>
          </w:p>
        </w:tc>
      </w:tr>
      <w:tr>
        <w:tc>
          <w:tcPr>
            <w:tcW w:type="dxa" w:w="480"/>
            <w:tcMar>
              <w:top w:type="dxa" w:w="80"/>
              <w:left w:type="dxa" w:w="110"/>
              <w:bottom w:type="dxa" w:w="80"/>
              <w:right w:type="dxa" w:w="110"/>
            </w:tcMar>
          </w:tcPr>
          <w:p>
            <w:pPr>
              <w:spacing w:after="0"/>
            </w:pPr>
            <w:r>
              <w:rPr>
                <w:b w:val="false"/>
                <w:bCs w:val="false"/>
                <w:color w:val="1A2427"/>
                <w:sz w:val="16"/>
                <w:szCs w:val="16"/>
              </w:rPr>
              <w:t xml:space="preserve">H4</w:t>
            </w:r>
          </w:p>
        </w:tc>
        <w:tc>
          <w:tcPr>
            <w:tcW w:type="dxa" w:w="2500"/>
            <w:tcMar>
              <w:top w:type="dxa" w:w="80"/>
              <w:left w:type="dxa" w:w="110"/>
              <w:bottom w:type="dxa" w:w="80"/>
              <w:right w:type="dxa" w:w="110"/>
            </w:tcMar>
          </w:tcPr>
          <w:p>
            <w:pPr>
              <w:spacing w:after="0"/>
            </w:pPr>
            <w:r>
              <w:rPr>
                <w:b w:val="false"/>
                <w:bCs w:val="false"/>
                <w:color w:val="1A2427"/>
                <w:sz w:val="16"/>
                <w:szCs w:val="16"/>
              </w:rPr>
              <w:t xml:space="preserve">Mechanical breakage. Sensor, wire or solder joint fractures under repeated loading and creates a sharp or protruding feature inside the shoe.</w:t>
            </w:r>
          </w:p>
        </w:tc>
        <w:tc>
          <w:tcPr>
            <w:tcW w:type="dxa" w:w="1150"/>
            <w:tcMar>
              <w:top w:type="dxa" w:w="80"/>
              <w:left w:type="dxa" w:w="110"/>
              <w:bottom w:type="dxa" w:w="80"/>
              <w:right w:type="dxa" w:w="110"/>
            </w:tcMar>
          </w:tcPr>
          <w:p>
            <w:pPr>
              <w:spacing w:after="0"/>
            </w:pPr>
            <w:r>
              <w:rPr>
                <w:b w:val="false"/>
                <w:bCs w:val="false"/>
                <w:color w:val="1A2427"/>
                <w:sz w:val="16"/>
                <w:szCs w:val="16"/>
              </w:rPr>
              <w:t xml:space="preserve">Abrasion or puncture leading to ulceration</w:t>
            </w:r>
          </w:p>
        </w:tc>
        <w:tc>
          <w:tcPr>
            <w:tcW w:type="dxa" w:w="400"/>
            <w:tcMar>
              <w:top w:type="dxa" w:w="80"/>
              <w:left w:type="dxa" w:w="110"/>
              <w:bottom w:type="dxa" w:w="80"/>
              <w:right w:type="dxa" w:w="110"/>
            </w:tcMar>
          </w:tcPr>
          <w:p>
            <w:pPr>
              <w:spacing w:after="0"/>
            </w:pPr>
            <w:r>
              <w:rPr>
                <w:b w:val="false"/>
                <w:bCs w:val="false"/>
                <w:color w:val="1A2427"/>
                <w:sz w:val="16"/>
                <w:szCs w:val="16"/>
              </w:rPr>
              <w:t xml:space="preserve">4</w:t>
            </w:r>
          </w:p>
        </w:tc>
        <w:tc>
          <w:tcPr>
            <w:tcW w:type="dxa" w:w="400"/>
            <w:tcMar>
              <w:top w:type="dxa" w:w="80"/>
              <w:left w:type="dxa" w:w="110"/>
              <w:bottom w:type="dxa" w:w="80"/>
              <w:right w:type="dxa" w:w="110"/>
            </w:tcMar>
          </w:tcPr>
          <w:p>
            <w:pPr>
              <w:spacing w:after="0"/>
            </w:pPr>
            <w:r>
              <w:rPr>
                <w:b w:val="false"/>
                <w:bCs w:val="false"/>
                <w:color w:val="1A2427"/>
                <w:sz w:val="16"/>
                <w:szCs w:val="16"/>
              </w:rPr>
              <w:t xml:space="preserve">3</w:t>
            </w:r>
          </w:p>
        </w:tc>
        <w:tc>
          <w:tcPr>
            <w:tcW w:type="dxa" w:w="460"/>
            <w:tcMar>
              <w:top w:type="dxa" w:w="80"/>
              <w:left w:type="dxa" w:w="110"/>
              <w:bottom w:type="dxa" w:w="80"/>
              <w:right w:type="dxa" w:w="110"/>
            </w:tcMar>
          </w:tcPr>
          <w:p>
            <w:pPr>
              <w:spacing w:after="0"/>
            </w:pPr>
            <w:r>
              <w:rPr>
                <w:b/>
                <w:bCs/>
                <w:color w:val="A32017"/>
                <w:sz w:val="16"/>
                <w:szCs w:val="16"/>
              </w:rPr>
              <w:t xml:space="preserve">12</w:t>
            </w:r>
          </w:p>
        </w:tc>
        <w:tc>
          <w:tcPr>
            <w:tcW w:type="dxa" w:w="3806"/>
            <w:tcMar>
              <w:top w:type="dxa" w:w="80"/>
              <w:left w:type="dxa" w:w="110"/>
              <w:bottom w:type="dxa" w:w="80"/>
              <w:right w:type="dxa" w:w="110"/>
            </w:tcMar>
          </w:tcPr>
          <w:p>
            <w:pPr>
              <w:spacing w:after="0"/>
            </w:pPr>
            <w:r>
              <w:rPr>
                <w:b w:val="false"/>
                <w:bCs w:val="false"/>
                <w:color w:val="1A2427"/>
                <w:sz w:val="16"/>
                <w:szCs w:val="16"/>
              </w:rPr>
              <w:t xml:space="preserve">SOP-02 endurance testing to establish cycles-to-failure; wear life stated in labelling with a hard replacement interval; sealed construction with no exposed conductor; visual inspection step in the daily user instruction.</w:t>
            </w:r>
          </w:p>
        </w:tc>
        <w:tc>
          <w:tcPr>
            <w:tcW w:type="dxa" w:w="550"/>
            <w:tcMar>
              <w:top w:type="dxa" w:w="80"/>
              <w:left w:type="dxa" w:w="110"/>
              <w:bottom w:type="dxa" w:w="80"/>
              <w:right w:type="dxa" w:w="110"/>
            </w:tcMar>
          </w:tcPr>
          <w:p>
            <w:pPr>
              <w:spacing w:after="0"/>
            </w:pPr>
            <w:r>
              <w:rPr>
                <w:b w:val="false"/>
                <w:bCs w:val="false"/>
                <w:color w:val="8A5300"/>
                <w:sz w:val="16"/>
                <w:szCs w:val="16"/>
              </w:rPr>
              <w:t xml:space="preserve">6</w:t>
            </w:r>
          </w:p>
        </w:tc>
      </w:tr>
      <w:tr>
        <w:tc>
          <w:tcPr>
            <w:tcW w:type="dxa" w:w="480"/>
            <w:tcMar>
              <w:top w:type="dxa" w:w="80"/>
              <w:left w:type="dxa" w:w="110"/>
              <w:bottom w:type="dxa" w:w="80"/>
              <w:right w:type="dxa" w:w="110"/>
            </w:tcMar>
          </w:tcPr>
          <w:p>
            <w:pPr>
              <w:spacing w:after="0"/>
            </w:pPr>
            <w:r>
              <w:rPr>
                <w:b w:val="false"/>
                <w:bCs w:val="false"/>
                <w:color w:val="1A2427"/>
                <w:sz w:val="16"/>
                <w:szCs w:val="16"/>
              </w:rPr>
              <w:t xml:space="preserve">H5</w:t>
            </w:r>
          </w:p>
        </w:tc>
        <w:tc>
          <w:tcPr>
            <w:tcW w:type="dxa" w:w="2500"/>
            <w:tcMar>
              <w:top w:type="dxa" w:w="80"/>
              <w:left w:type="dxa" w:w="110"/>
              <w:bottom w:type="dxa" w:w="80"/>
              <w:right w:type="dxa" w:w="110"/>
            </w:tcMar>
          </w:tcPr>
          <w:p>
            <w:pPr>
              <w:spacing w:after="0"/>
            </w:pPr>
            <w:r>
              <w:rPr>
                <w:b w:val="false"/>
                <w:bCs w:val="false"/>
                <w:color w:val="1A2427"/>
                <w:sz w:val="16"/>
                <w:szCs w:val="16"/>
              </w:rPr>
              <w:t xml:space="preserve">Alarm fatigue from drift. Uncompensated sensor drift produces repeated flags with no real cause. The user learns to ignore the device and later dismisses a true finding.</w:t>
            </w:r>
          </w:p>
        </w:tc>
        <w:tc>
          <w:tcPr>
            <w:tcW w:type="dxa" w:w="1150"/>
            <w:tcMar>
              <w:top w:type="dxa" w:w="80"/>
              <w:left w:type="dxa" w:w="110"/>
              <w:bottom w:type="dxa" w:w="80"/>
              <w:right w:type="dxa" w:w="110"/>
            </w:tcMar>
          </w:tcPr>
          <w:p>
            <w:pPr>
              <w:spacing w:after="0"/>
            </w:pPr>
            <w:r>
              <w:rPr>
                <w:b w:val="false"/>
                <w:bCs w:val="false"/>
                <w:color w:val="1A2427"/>
                <w:sz w:val="16"/>
                <w:szCs w:val="16"/>
              </w:rPr>
              <w:t xml:space="preserve">Missed true event</w:t>
            </w:r>
          </w:p>
        </w:tc>
        <w:tc>
          <w:tcPr>
            <w:tcW w:type="dxa" w:w="400"/>
            <w:tcMar>
              <w:top w:type="dxa" w:w="80"/>
              <w:left w:type="dxa" w:w="110"/>
              <w:bottom w:type="dxa" w:w="80"/>
              <w:right w:type="dxa" w:w="110"/>
            </w:tcMar>
          </w:tcPr>
          <w:p>
            <w:pPr>
              <w:spacing w:after="0"/>
            </w:pPr>
            <w:r>
              <w:rPr>
                <w:b w:val="false"/>
                <w:bCs w:val="false"/>
                <w:color w:val="1A2427"/>
                <w:sz w:val="16"/>
                <w:szCs w:val="16"/>
              </w:rPr>
              <w:t xml:space="preserve">3</w:t>
            </w:r>
          </w:p>
        </w:tc>
        <w:tc>
          <w:tcPr>
            <w:tcW w:type="dxa" w:w="400"/>
            <w:tcMar>
              <w:top w:type="dxa" w:w="80"/>
              <w:left w:type="dxa" w:w="110"/>
              <w:bottom w:type="dxa" w:w="80"/>
              <w:right w:type="dxa" w:w="110"/>
            </w:tcMar>
          </w:tcPr>
          <w:p>
            <w:pPr>
              <w:spacing w:after="0"/>
            </w:pPr>
            <w:r>
              <w:rPr>
                <w:b w:val="false"/>
                <w:bCs w:val="false"/>
                <w:color w:val="1A2427"/>
                <w:sz w:val="16"/>
                <w:szCs w:val="16"/>
              </w:rPr>
              <w:t xml:space="preserve">4</w:t>
            </w:r>
          </w:p>
        </w:tc>
        <w:tc>
          <w:tcPr>
            <w:tcW w:type="dxa" w:w="460"/>
            <w:tcMar>
              <w:top w:type="dxa" w:w="80"/>
              <w:left w:type="dxa" w:w="110"/>
              <w:bottom w:type="dxa" w:w="80"/>
              <w:right w:type="dxa" w:w="110"/>
            </w:tcMar>
          </w:tcPr>
          <w:p>
            <w:pPr>
              <w:spacing w:after="0"/>
            </w:pPr>
            <w:r>
              <w:rPr>
                <w:b/>
                <w:bCs/>
                <w:color w:val="A32017"/>
                <w:sz w:val="16"/>
                <w:szCs w:val="16"/>
              </w:rPr>
              <w:t xml:space="preserve">12</w:t>
            </w:r>
          </w:p>
        </w:tc>
        <w:tc>
          <w:tcPr>
            <w:tcW w:type="dxa" w:w="3806"/>
            <w:tcMar>
              <w:top w:type="dxa" w:w="80"/>
              <w:left w:type="dxa" w:w="110"/>
              <w:bottom w:type="dxa" w:w="80"/>
              <w:right w:type="dxa" w:w="110"/>
            </w:tcMar>
          </w:tcPr>
          <w:p>
            <w:pPr>
              <w:spacing w:after="0"/>
            </w:pPr>
            <w:r>
              <w:rPr>
                <w:b w:val="false"/>
                <w:bCs w:val="false"/>
                <w:color w:val="1A2427"/>
                <w:sz w:val="16"/>
                <w:szCs w:val="16"/>
              </w:rPr>
              <w:t xml:space="preserve">Rolling re-zero during detected quiet standing (FW-04); per-sensor calibration (FW-05); persistence rule of at least 12 steps per foot before any flag; false-alarm rate measured and reported as a pilot endpoint.</w:t>
            </w:r>
          </w:p>
        </w:tc>
        <w:tc>
          <w:tcPr>
            <w:tcW w:type="dxa" w:w="550"/>
            <w:tcMar>
              <w:top w:type="dxa" w:w="80"/>
              <w:left w:type="dxa" w:w="110"/>
              <w:bottom w:type="dxa" w:w="80"/>
              <w:right w:type="dxa" w:w="110"/>
            </w:tcMar>
          </w:tcPr>
          <w:p>
            <w:pPr>
              <w:spacing w:after="0"/>
            </w:pPr>
            <w:r>
              <w:rPr>
                <w:b w:val="false"/>
                <w:bCs w:val="false"/>
                <w:color w:val="8A5300"/>
                <w:sz w:val="16"/>
                <w:szCs w:val="16"/>
              </w:rPr>
              <w:t xml:space="preserve">6</w:t>
            </w:r>
          </w:p>
        </w:tc>
      </w:tr>
      <w:tr>
        <w:tc>
          <w:tcPr>
            <w:tcW w:type="dxa" w:w="480"/>
            <w:tcMar>
              <w:top w:type="dxa" w:w="80"/>
              <w:left w:type="dxa" w:w="110"/>
              <w:bottom w:type="dxa" w:w="80"/>
              <w:right w:type="dxa" w:w="110"/>
            </w:tcMar>
          </w:tcPr>
          <w:p>
            <w:pPr>
              <w:spacing w:after="0"/>
            </w:pPr>
            <w:r>
              <w:rPr>
                <w:b w:val="false"/>
                <w:bCs w:val="false"/>
                <w:color w:val="1A2427"/>
                <w:sz w:val="16"/>
                <w:szCs w:val="16"/>
              </w:rPr>
              <w:t xml:space="preserve">H6</w:t>
            </w:r>
          </w:p>
        </w:tc>
        <w:tc>
          <w:tcPr>
            <w:tcW w:type="dxa" w:w="2500"/>
            <w:tcMar>
              <w:top w:type="dxa" w:w="80"/>
              <w:left w:type="dxa" w:w="110"/>
              <w:bottom w:type="dxa" w:w="80"/>
              <w:right w:type="dxa" w:w="110"/>
            </w:tcMar>
          </w:tcPr>
          <w:p>
            <w:pPr>
              <w:spacing w:after="0"/>
            </w:pPr>
            <w:r>
              <w:rPr>
                <w:b w:val="false"/>
                <w:bCs w:val="false"/>
                <w:color w:val="1A2427"/>
                <w:sz w:val="16"/>
                <w:szCs w:val="16"/>
              </w:rPr>
              <w:t xml:space="preserve">Left-right misattribution. Insoles are swapped, or the pairing is wrong in software. The wrong foot is reported.</w:t>
            </w:r>
          </w:p>
        </w:tc>
        <w:tc>
          <w:tcPr>
            <w:tcW w:type="dxa" w:w="1150"/>
            <w:tcMar>
              <w:top w:type="dxa" w:w="80"/>
              <w:left w:type="dxa" w:w="110"/>
              <w:bottom w:type="dxa" w:w="80"/>
              <w:right w:type="dxa" w:w="110"/>
            </w:tcMar>
          </w:tcPr>
          <w:p>
            <w:pPr>
              <w:spacing w:after="0"/>
            </w:pPr>
            <w:r>
              <w:rPr>
                <w:b w:val="false"/>
                <w:bCs w:val="false"/>
                <w:color w:val="1A2427"/>
                <w:sz w:val="16"/>
                <w:szCs w:val="16"/>
              </w:rPr>
              <w:t xml:space="preserve">Clinical attention directed to the wrong foot</w:t>
            </w:r>
          </w:p>
        </w:tc>
        <w:tc>
          <w:tcPr>
            <w:tcW w:type="dxa" w:w="400"/>
            <w:tcMar>
              <w:top w:type="dxa" w:w="80"/>
              <w:left w:type="dxa" w:w="110"/>
              <w:bottom w:type="dxa" w:w="80"/>
              <w:right w:type="dxa" w:w="110"/>
            </w:tcMar>
          </w:tcPr>
          <w:p>
            <w:pPr>
              <w:spacing w:after="0"/>
            </w:pPr>
            <w:r>
              <w:rPr>
                <w:b w:val="false"/>
                <w:bCs w:val="false"/>
                <w:color w:val="1A2427"/>
                <w:sz w:val="16"/>
                <w:szCs w:val="16"/>
              </w:rPr>
              <w:t xml:space="preserve">3</w:t>
            </w:r>
          </w:p>
        </w:tc>
        <w:tc>
          <w:tcPr>
            <w:tcW w:type="dxa" w:w="400"/>
            <w:tcMar>
              <w:top w:type="dxa" w:w="80"/>
              <w:left w:type="dxa" w:w="110"/>
              <w:bottom w:type="dxa" w:w="80"/>
              <w:right w:type="dxa" w:w="110"/>
            </w:tcMar>
          </w:tcPr>
          <w:p>
            <w:pPr>
              <w:spacing w:after="0"/>
            </w:pPr>
            <w:r>
              <w:rPr>
                <w:b w:val="false"/>
                <w:bCs w:val="false"/>
                <w:color w:val="1A2427"/>
                <w:sz w:val="16"/>
                <w:szCs w:val="16"/>
              </w:rPr>
              <w:t xml:space="preserve">3</w:t>
            </w:r>
          </w:p>
        </w:tc>
        <w:tc>
          <w:tcPr>
            <w:tcW w:type="dxa" w:w="460"/>
            <w:tcMar>
              <w:top w:type="dxa" w:w="80"/>
              <w:left w:type="dxa" w:w="110"/>
              <w:bottom w:type="dxa" w:w="80"/>
              <w:right w:type="dxa" w:w="110"/>
            </w:tcMar>
          </w:tcPr>
          <w:p>
            <w:pPr>
              <w:spacing w:after="0"/>
            </w:pPr>
            <w:r>
              <w:rPr>
                <w:b/>
                <w:bCs/>
                <w:color w:val="A32017"/>
                <w:sz w:val="16"/>
                <w:szCs w:val="16"/>
              </w:rPr>
              <w:t xml:space="preserve">9</w:t>
            </w:r>
          </w:p>
        </w:tc>
        <w:tc>
          <w:tcPr>
            <w:tcW w:type="dxa" w:w="3806"/>
            <w:tcMar>
              <w:top w:type="dxa" w:w="80"/>
              <w:left w:type="dxa" w:w="110"/>
              <w:bottom w:type="dxa" w:w="80"/>
              <w:right w:type="dxa" w:w="110"/>
            </w:tcMar>
          </w:tcPr>
          <w:p>
            <w:pPr>
              <w:spacing w:after="0"/>
            </w:pPr>
            <w:r>
              <w:rPr>
                <w:b w:val="false"/>
                <w:bCs w:val="false"/>
                <w:color w:val="1A2427"/>
                <w:sz w:val="16"/>
                <w:szCs w:val="16"/>
              </w:rPr>
              <w:t xml:space="preserve">Physically asymmetric connectors or housings; side identity stored in device NVS not in the app; side displayed prominently on every screen and report; startup self-check.</w:t>
            </w:r>
          </w:p>
        </w:tc>
        <w:tc>
          <w:tcPr>
            <w:tcW w:type="dxa" w:w="550"/>
            <w:tcMar>
              <w:top w:type="dxa" w:w="80"/>
              <w:left w:type="dxa" w:w="110"/>
              <w:bottom w:type="dxa" w:w="80"/>
              <w:right w:type="dxa" w:w="110"/>
            </w:tcMar>
          </w:tcPr>
          <w:p>
            <w:pPr>
              <w:spacing w:after="0"/>
            </w:pPr>
            <w:r>
              <w:rPr>
                <w:b w:val="false"/>
                <w:bCs w:val="false"/>
                <w:color w:val="2A6640"/>
                <w:sz w:val="16"/>
                <w:szCs w:val="16"/>
              </w:rPr>
              <w:t xml:space="preserve">3</w:t>
            </w:r>
          </w:p>
        </w:tc>
      </w:tr>
      <w:tr>
        <w:tc>
          <w:tcPr>
            <w:tcW w:type="dxa" w:w="480"/>
            <w:tcMar>
              <w:top w:type="dxa" w:w="80"/>
              <w:left w:type="dxa" w:w="110"/>
              <w:bottom w:type="dxa" w:w="80"/>
              <w:right w:type="dxa" w:w="110"/>
            </w:tcMar>
          </w:tcPr>
          <w:p>
            <w:pPr>
              <w:spacing w:after="0"/>
            </w:pPr>
            <w:r>
              <w:rPr>
                <w:b w:val="false"/>
                <w:bCs w:val="false"/>
                <w:color w:val="1A2427"/>
                <w:sz w:val="16"/>
                <w:szCs w:val="16"/>
              </w:rPr>
              <w:t xml:space="preserve">H7</w:t>
            </w:r>
          </w:p>
        </w:tc>
        <w:tc>
          <w:tcPr>
            <w:tcW w:type="dxa" w:w="2500"/>
            <w:tcMar>
              <w:top w:type="dxa" w:w="80"/>
              <w:left w:type="dxa" w:w="110"/>
              <w:bottom w:type="dxa" w:w="80"/>
              <w:right w:type="dxa" w:w="110"/>
            </w:tcMar>
          </w:tcPr>
          <w:p>
            <w:pPr>
              <w:spacing w:after="0"/>
            </w:pPr>
            <w:r>
              <w:rPr>
                <w:b w:val="false"/>
                <w:bCs w:val="false"/>
                <w:color w:val="1A2427"/>
                <w:sz w:val="16"/>
                <w:szCs w:val="16"/>
              </w:rPr>
              <w:t xml:space="preserve">Loss of protective sensation is not screened for. A participant who cannot feel a device-induced injury is enrolled without that being known.</w:t>
            </w:r>
          </w:p>
        </w:tc>
        <w:tc>
          <w:tcPr>
            <w:tcW w:type="dxa" w:w="1150"/>
            <w:tcMar>
              <w:top w:type="dxa" w:w="80"/>
              <w:left w:type="dxa" w:w="110"/>
              <w:bottom w:type="dxa" w:w="80"/>
              <w:right w:type="dxa" w:w="110"/>
            </w:tcMar>
          </w:tcPr>
          <w:p>
            <w:pPr>
              <w:spacing w:after="0"/>
            </w:pPr>
            <w:r>
              <w:rPr>
                <w:b w:val="false"/>
                <w:bCs w:val="false"/>
                <w:color w:val="1A2427"/>
                <w:sz w:val="16"/>
                <w:szCs w:val="16"/>
              </w:rPr>
              <w:t xml:space="preserve">Any of H2, H3, H4 goes unnoticed</w:t>
            </w:r>
          </w:p>
        </w:tc>
        <w:tc>
          <w:tcPr>
            <w:tcW w:type="dxa" w:w="400"/>
            <w:tcMar>
              <w:top w:type="dxa" w:w="80"/>
              <w:left w:type="dxa" w:w="110"/>
              <w:bottom w:type="dxa" w:w="80"/>
              <w:right w:type="dxa" w:w="110"/>
            </w:tcMar>
          </w:tcPr>
          <w:p>
            <w:pPr>
              <w:spacing w:after="0"/>
            </w:pPr>
            <w:r>
              <w:rPr>
                <w:b w:val="false"/>
                <w:bCs w:val="false"/>
                <w:color w:val="1A2427"/>
                <w:sz w:val="16"/>
                <w:szCs w:val="16"/>
              </w:rPr>
              <w:t xml:space="preserve">4</w:t>
            </w:r>
          </w:p>
        </w:tc>
        <w:tc>
          <w:tcPr>
            <w:tcW w:type="dxa" w:w="400"/>
            <w:tcMar>
              <w:top w:type="dxa" w:w="80"/>
              <w:left w:type="dxa" w:w="110"/>
              <w:bottom w:type="dxa" w:w="80"/>
              <w:right w:type="dxa" w:w="110"/>
            </w:tcMar>
          </w:tcPr>
          <w:p>
            <w:pPr>
              <w:spacing w:after="0"/>
            </w:pPr>
            <w:r>
              <w:rPr>
                <w:b w:val="false"/>
                <w:bCs w:val="false"/>
                <w:color w:val="1A2427"/>
                <w:sz w:val="16"/>
                <w:szCs w:val="16"/>
              </w:rPr>
              <w:t xml:space="preserve">3</w:t>
            </w:r>
          </w:p>
        </w:tc>
        <w:tc>
          <w:tcPr>
            <w:tcW w:type="dxa" w:w="460"/>
            <w:tcMar>
              <w:top w:type="dxa" w:w="80"/>
              <w:left w:type="dxa" w:w="110"/>
              <w:bottom w:type="dxa" w:w="80"/>
              <w:right w:type="dxa" w:w="110"/>
            </w:tcMar>
          </w:tcPr>
          <w:p>
            <w:pPr>
              <w:spacing w:after="0"/>
            </w:pPr>
            <w:r>
              <w:rPr>
                <w:b/>
                <w:bCs/>
                <w:color w:val="A32017"/>
                <w:sz w:val="16"/>
                <w:szCs w:val="16"/>
              </w:rPr>
              <w:t xml:space="preserve">12</w:t>
            </w:r>
          </w:p>
        </w:tc>
        <w:tc>
          <w:tcPr>
            <w:tcW w:type="dxa" w:w="3806"/>
            <w:tcMar>
              <w:top w:type="dxa" w:w="80"/>
              <w:left w:type="dxa" w:w="110"/>
              <w:bottom w:type="dxa" w:w="80"/>
              <w:right w:type="dxa" w:w="110"/>
            </w:tcMar>
          </w:tcPr>
          <w:p>
            <w:pPr>
              <w:spacing w:after="0"/>
            </w:pPr>
            <w:r>
              <w:rPr>
                <w:b w:val="false"/>
                <w:bCs w:val="false"/>
                <w:color w:val="1A2427"/>
                <w:sz w:val="16"/>
                <w:szCs w:val="16"/>
              </w:rPr>
              <w:t xml:space="preserve">10 g monofilament testing at enrolment recorded for every participant; participants with absent protective sensation wear the device only under supervision during the pilot.</w:t>
            </w:r>
          </w:p>
        </w:tc>
        <w:tc>
          <w:tcPr>
            <w:tcW w:type="dxa" w:w="550"/>
            <w:tcMar>
              <w:top w:type="dxa" w:w="80"/>
              <w:left w:type="dxa" w:w="110"/>
              <w:bottom w:type="dxa" w:w="80"/>
              <w:right w:type="dxa" w:w="110"/>
            </w:tcMar>
          </w:tcPr>
          <w:p>
            <w:pPr>
              <w:spacing w:after="0"/>
            </w:pPr>
            <w:r>
              <w:rPr>
                <w:b w:val="false"/>
                <w:bCs w:val="false"/>
                <w:color w:val="8A5300"/>
                <w:sz w:val="16"/>
                <w:szCs w:val="16"/>
              </w:rPr>
              <w:t xml:space="preserve">6</w:t>
            </w:r>
          </w:p>
        </w:tc>
      </w:tr>
      <w:tr>
        <w:tc>
          <w:tcPr>
            <w:tcW w:type="dxa" w:w="480"/>
            <w:tcMar>
              <w:top w:type="dxa" w:w="80"/>
              <w:left w:type="dxa" w:w="110"/>
              <w:bottom w:type="dxa" w:w="80"/>
              <w:right w:type="dxa" w:w="110"/>
            </w:tcMar>
          </w:tcPr>
          <w:p>
            <w:pPr>
              <w:spacing w:after="0"/>
            </w:pPr>
            <w:r>
              <w:rPr>
                <w:b w:val="false"/>
                <w:bCs w:val="false"/>
                <w:color w:val="1A2427"/>
                <w:sz w:val="16"/>
                <w:szCs w:val="16"/>
              </w:rPr>
              <w:t xml:space="preserve">H8</w:t>
            </w:r>
          </w:p>
        </w:tc>
        <w:tc>
          <w:tcPr>
            <w:tcW w:type="dxa" w:w="2500"/>
            <w:tcMar>
              <w:top w:type="dxa" w:w="80"/>
              <w:left w:type="dxa" w:w="110"/>
              <w:bottom w:type="dxa" w:w="80"/>
              <w:right w:type="dxa" w:w="110"/>
            </w:tcMar>
          </w:tcPr>
          <w:p>
            <w:pPr>
              <w:spacing w:after="0"/>
            </w:pPr>
            <w:r>
              <w:rPr>
                <w:b w:val="false"/>
                <w:bCs w:val="false"/>
                <w:color w:val="1A2427"/>
                <w:sz w:val="16"/>
                <w:szCs w:val="16"/>
              </w:rPr>
              <w:t xml:space="preserve">Calibration performed under load. The user tares while standing. All subsequent readings are offset and under-report loading.</w:t>
            </w:r>
          </w:p>
        </w:tc>
        <w:tc>
          <w:tcPr>
            <w:tcW w:type="dxa" w:w="1150"/>
            <w:tcMar>
              <w:top w:type="dxa" w:w="80"/>
              <w:left w:type="dxa" w:w="110"/>
              <w:bottom w:type="dxa" w:w="80"/>
              <w:right w:type="dxa" w:w="110"/>
            </w:tcMar>
          </w:tcPr>
          <w:p>
            <w:pPr>
              <w:spacing w:after="0"/>
            </w:pPr>
            <w:r>
              <w:rPr>
                <w:b w:val="false"/>
                <w:bCs w:val="false"/>
                <w:color w:val="1A2427"/>
                <w:sz w:val="16"/>
                <w:szCs w:val="16"/>
              </w:rPr>
              <w:t xml:space="preserve">Systematically low readings; contributes to H1</w:t>
            </w:r>
          </w:p>
        </w:tc>
        <w:tc>
          <w:tcPr>
            <w:tcW w:type="dxa" w:w="400"/>
            <w:tcMar>
              <w:top w:type="dxa" w:w="80"/>
              <w:left w:type="dxa" w:w="110"/>
              <w:bottom w:type="dxa" w:w="80"/>
              <w:right w:type="dxa" w:w="110"/>
            </w:tcMar>
          </w:tcPr>
          <w:p>
            <w:pPr>
              <w:spacing w:after="0"/>
            </w:pPr>
            <w:r>
              <w:rPr>
                <w:b w:val="false"/>
                <w:bCs w:val="false"/>
                <w:color w:val="1A2427"/>
                <w:sz w:val="16"/>
                <w:szCs w:val="16"/>
              </w:rPr>
              <w:t xml:space="preserve">3</w:t>
            </w:r>
          </w:p>
        </w:tc>
        <w:tc>
          <w:tcPr>
            <w:tcW w:type="dxa" w:w="400"/>
            <w:tcMar>
              <w:top w:type="dxa" w:w="80"/>
              <w:left w:type="dxa" w:w="110"/>
              <w:bottom w:type="dxa" w:w="80"/>
              <w:right w:type="dxa" w:w="110"/>
            </w:tcMar>
          </w:tcPr>
          <w:p>
            <w:pPr>
              <w:spacing w:after="0"/>
            </w:pPr>
            <w:r>
              <w:rPr>
                <w:b w:val="false"/>
                <w:bCs w:val="false"/>
                <w:color w:val="1A2427"/>
                <w:sz w:val="16"/>
                <w:szCs w:val="16"/>
              </w:rPr>
              <w:t xml:space="preserve">4</w:t>
            </w:r>
          </w:p>
        </w:tc>
        <w:tc>
          <w:tcPr>
            <w:tcW w:type="dxa" w:w="460"/>
            <w:tcMar>
              <w:top w:type="dxa" w:w="80"/>
              <w:left w:type="dxa" w:w="110"/>
              <w:bottom w:type="dxa" w:w="80"/>
              <w:right w:type="dxa" w:w="110"/>
            </w:tcMar>
          </w:tcPr>
          <w:p>
            <w:pPr>
              <w:spacing w:after="0"/>
            </w:pPr>
            <w:r>
              <w:rPr>
                <w:b/>
                <w:bCs/>
                <w:color w:val="A32017"/>
                <w:sz w:val="16"/>
                <w:szCs w:val="16"/>
              </w:rPr>
              <w:t xml:space="preserve">12</w:t>
            </w:r>
          </w:p>
        </w:tc>
        <w:tc>
          <w:tcPr>
            <w:tcW w:type="dxa" w:w="3806"/>
            <w:tcMar>
              <w:top w:type="dxa" w:w="80"/>
              <w:left w:type="dxa" w:w="110"/>
              <w:bottom w:type="dxa" w:w="80"/>
              <w:right w:type="dxa" w:w="110"/>
            </w:tcMar>
          </w:tcPr>
          <w:p>
            <w:pPr>
              <w:spacing w:after="0"/>
            </w:pPr>
            <w:r>
              <w:rPr>
                <w:b w:val="false"/>
                <w:bCs w:val="false"/>
                <w:color w:val="1A2427"/>
                <w:sz w:val="16"/>
                <w:szCs w:val="16"/>
              </w:rPr>
              <w:t xml:space="preserve">Automatic rejection of a calibration whose variance or magnitude indicates loading; explicit unloaded-state check before tare; calibration timestamp and validity shown in the app.</w:t>
            </w:r>
          </w:p>
        </w:tc>
        <w:tc>
          <w:tcPr>
            <w:tcW w:type="dxa" w:w="550"/>
            <w:tcMar>
              <w:top w:type="dxa" w:w="80"/>
              <w:left w:type="dxa" w:w="110"/>
              <w:bottom w:type="dxa" w:w="80"/>
              <w:right w:type="dxa" w:w="110"/>
            </w:tcMar>
          </w:tcPr>
          <w:p>
            <w:pPr>
              <w:spacing w:after="0"/>
            </w:pPr>
            <w:r>
              <w:rPr>
                <w:b w:val="false"/>
                <w:bCs w:val="false"/>
                <w:color w:val="1A2427"/>
                <w:sz w:val="16"/>
                <w:szCs w:val="16"/>
              </w:rPr>
              <w:t xml:space="preserve">4</w:t>
            </w:r>
          </w:p>
        </w:tc>
      </w:tr>
      <w:tr>
        <w:tc>
          <w:tcPr>
            <w:tcW w:type="dxa" w:w="480"/>
            <w:tcMar>
              <w:top w:type="dxa" w:w="80"/>
              <w:left w:type="dxa" w:w="110"/>
              <w:bottom w:type="dxa" w:w="80"/>
              <w:right w:type="dxa" w:w="110"/>
            </w:tcMar>
          </w:tcPr>
          <w:p>
            <w:pPr>
              <w:spacing w:after="0"/>
            </w:pPr>
            <w:r>
              <w:rPr>
                <w:b w:val="false"/>
                <w:bCs w:val="false"/>
                <w:color w:val="1A2427"/>
                <w:sz w:val="16"/>
                <w:szCs w:val="16"/>
              </w:rPr>
              <w:t xml:space="preserve">H9</w:t>
            </w:r>
          </w:p>
        </w:tc>
        <w:tc>
          <w:tcPr>
            <w:tcW w:type="dxa" w:w="2500"/>
            <w:tcMar>
              <w:top w:type="dxa" w:w="80"/>
              <w:left w:type="dxa" w:w="110"/>
              <w:bottom w:type="dxa" w:w="80"/>
              <w:right w:type="dxa" w:w="110"/>
            </w:tcMar>
          </w:tcPr>
          <w:p>
            <w:pPr>
              <w:spacing w:after="0"/>
            </w:pPr>
            <w:r>
              <w:rPr>
                <w:b w:val="false"/>
                <w:bCs w:val="false"/>
                <w:color w:val="1A2427"/>
                <w:sz w:val="16"/>
                <w:szCs w:val="16"/>
              </w:rPr>
              <w:t xml:space="preserve">Data exposure. Telemetry is broadcast over an open WebSocket on the local network with no authentication.</w:t>
            </w:r>
          </w:p>
        </w:tc>
        <w:tc>
          <w:tcPr>
            <w:tcW w:type="dxa" w:w="1150"/>
            <w:tcMar>
              <w:top w:type="dxa" w:w="80"/>
              <w:left w:type="dxa" w:w="110"/>
              <w:bottom w:type="dxa" w:w="80"/>
              <w:right w:type="dxa" w:w="110"/>
            </w:tcMar>
          </w:tcPr>
          <w:p>
            <w:pPr>
              <w:spacing w:after="0"/>
            </w:pPr>
            <w:r>
              <w:rPr>
                <w:b w:val="false"/>
                <w:bCs w:val="false"/>
                <w:color w:val="1A2427"/>
                <w:sz w:val="16"/>
                <w:szCs w:val="16"/>
              </w:rPr>
              <w:t xml:space="preserve">Disclosure of identifiable health-related data</w:t>
            </w:r>
          </w:p>
        </w:tc>
        <w:tc>
          <w:tcPr>
            <w:tcW w:type="dxa" w:w="400"/>
            <w:tcMar>
              <w:top w:type="dxa" w:w="80"/>
              <w:left w:type="dxa" w:w="110"/>
              <w:bottom w:type="dxa" w:w="80"/>
              <w:right w:type="dxa" w:w="110"/>
            </w:tcMar>
          </w:tcPr>
          <w:p>
            <w:pPr>
              <w:spacing w:after="0"/>
            </w:pPr>
            <w:r>
              <w:rPr>
                <w:b w:val="false"/>
                <w:bCs w:val="false"/>
                <w:color w:val="1A2427"/>
                <w:sz w:val="16"/>
                <w:szCs w:val="16"/>
              </w:rPr>
              <w:t xml:space="preserve">3</w:t>
            </w:r>
          </w:p>
        </w:tc>
        <w:tc>
          <w:tcPr>
            <w:tcW w:type="dxa" w:w="400"/>
            <w:tcMar>
              <w:top w:type="dxa" w:w="80"/>
              <w:left w:type="dxa" w:w="110"/>
              <w:bottom w:type="dxa" w:w="80"/>
              <w:right w:type="dxa" w:w="110"/>
            </w:tcMar>
          </w:tcPr>
          <w:p>
            <w:pPr>
              <w:spacing w:after="0"/>
            </w:pPr>
            <w:r>
              <w:rPr>
                <w:b w:val="false"/>
                <w:bCs w:val="false"/>
                <w:color w:val="1A2427"/>
                <w:sz w:val="16"/>
                <w:szCs w:val="16"/>
              </w:rPr>
              <w:t xml:space="preserve">3</w:t>
            </w:r>
          </w:p>
        </w:tc>
        <w:tc>
          <w:tcPr>
            <w:tcW w:type="dxa" w:w="460"/>
            <w:tcMar>
              <w:top w:type="dxa" w:w="80"/>
              <w:left w:type="dxa" w:w="110"/>
              <w:bottom w:type="dxa" w:w="80"/>
              <w:right w:type="dxa" w:w="110"/>
            </w:tcMar>
          </w:tcPr>
          <w:p>
            <w:pPr>
              <w:spacing w:after="0"/>
            </w:pPr>
            <w:r>
              <w:rPr>
                <w:b/>
                <w:bCs/>
                <w:color w:val="A32017"/>
                <w:sz w:val="16"/>
                <w:szCs w:val="16"/>
              </w:rPr>
              <w:t xml:space="preserve">9</w:t>
            </w:r>
          </w:p>
        </w:tc>
        <w:tc>
          <w:tcPr>
            <w:tcW w:type="dxa" w:w="3806"/>
            <w:tcMar>
              <w:top w:type="dxa" w:w="80"/>
              <w:left w:type="dxa" w:w="110"/>
              <w:bottom w:type="dxa" w:w="80"/>
              <w:right w:type="dxa" w:w="110"/>
            </w:tcMar>
          </w:tcPr>
          <w:p>
            <w:pPr>
              <w:spacing w:after="0"/>
            </w:pPr>
            <w:r>
              <w:rPr>
                <w:b w:val="false"/>
                <w:bCs w:val="false"/>
                <w:color w:val="1A2427"/>
                <w:sz w:val="16"/>
                <w:szCs w:val="16"/>
              </w:rPr>
              <w:t xml:space="preserve">Remove the open WiFi/WebSocket path from any build a participant takes home; authenticated BLE pairing only; no direct identifiers on the device; participant ID mapping held separately under the study protocol.</w:t>
            </w:r>
          </w:p>
        </w:tc>
        <w:tc>
          <w:tcPr>
            <w:tcW w:type="dxa" w:w="550"/>
            <w:tcMar>
              <w:top w:type="dxa" w:w="80"/>
              <w:left w:type="dxa" w:w="110"/>
              <w:bottom w:type="dxa" w:w="80"/>
              <w:right w:type="dxa" w:w="110"/>
            </w:tcMar>
          </w:tcPr>
          <w:p>
            <w:pPr>
              <w:spacing w:after="0"/>
            </w:pPr>
            <w:r>
              <w:rPr>
                <w:b w:val="false"/>
                <w:bCs w:val="false"/>
                <w:color w:val="2A6640"/>
                <w:sz w:val="16"/>
                <w:szCs w:val="16"/>
              </w:rPr>
              <w:t xml:space="preserve">3</w:t>
            </w:r>
          </w:p>
        </w:tc>
      </w:tr>
      <w:tr>
        <w:tc>
          <w:tcPr>
            <w:tcW w:type="dxa" w:w="480"/>
            <w:tcMar>
              <w:top w:type="dxa" w:w="80"/>
              <w:left w:type="dxa" w:w="110"/>
              <w:bottom w:type="dxa" w:w="80"/>
              <w:right w:type="dxa" w:w="110"/>
            </w:tcMar>
          </w:tcPr>
          <w:p>
            <w:pPr>
              <w:spacing w:after="0"/>
            </w:pPr>
            <w:r>
              <w:rPr>
                <w:b w:val="false"/>
                <w:bCs w:val="false"/>
                <w:color w:val="1A2427"/>
                <w:sz w:val="16"/>
                <w:szCs w:val="16"/>
              </w:rPr>
              <w:t xml:space="preserve">H10</w:t>
            </w:r>
          </w:p>
        </w:tc>
        <w:tc>
          <w:tcPr>
            <w:tcW w:type="dxa" w:w="2500"/>
            <w:tcMar>
              <w:top w:type="dxa" w:w="80"/>
              <w:left w:type="dxa" w:w="110"/>
              <w:bottom w:type="dxa" w:w="80"/>
              <w:right w:type="dxa" w:w="110"/>
            </w:tcMar>
          </w:tcPr>
          <w:p>
            <w:pPr>
              <w:spacing w:after="0"/>
            </w:pPr>
            <w:r>
              <w:rPr>
                <w:b w:val="false"/>
                <w:bCs w:val="false"/>
                <w:color w:val="1A2427"/>
                <w:sz w:val="16"/>
                <w:szCs w:val="16"/>
              </w:rPr>
              <w:t xml:space="preserve">Over-interpretation. A user or clinician treats a displayed number as a diagnosis or a risk score.</w:t>
            </w:r>
          </w:p>
        </w:tc>
        <w:tc>
          <w:tcPr>
            <w:tcW w:type="dxa" w:w="1150"/>
            <w:tcMar>
              <w:top w:type="dxa" w:w="80"/>
              <w:left w:type="dxa" w:w="110"/>
              <w:bottom w:type="dxa" w:w="80"/>
              <w:right w:type="dxa" w:w="110"/>
            </w:tcMar>
          </w:tcPr>
          <w:p>
            <w:pPr>
              <w:spacing w:after="0"/>
            </w:pPr>
            <w:r>
              <w:rPr>
                <w:b w:val="false"/>
                <w:bCs w:val="false"/>
                <w:color w:val="1A2427"/>
                <w:sz w:val="16"/>
                <w:szCs w:val="16"/>
              </w:rPr>
              <w:t xml:space="preserve">Inappropriate clinical decision</w:t>
            </w:r>
          </w:p>
        </w:tc>
        <w:tc>
          <w:tcPr>
            <w:tcW w:type="dxa" w:w="400"/>
            <w:tcMar>
              <w:top w:type="dxa" w:w="80"/>
              <w:left w:type="dxa" w:w="110"/>
              <w:bottom w:type="dxa" w:w="80"/>
              <w:right w:type="dxa" w:w="110"/>
            </w:tcMar>
          </w:tcPr>
          <w:p>
            <w:pPr>
              <w:spacing w:after="0"/>
            </w:pPr>
            <w:r>
              <w:rPr>
                <w:b w:val="false"/>
                <w:bCs w:val="false"/>
                <w:color w:val="1A2427"/>
                <w:sz w:val="16"/>
                <w:szCs w:val="16"/>
              </w:rPr>
              <w:t xml:space="preserve">3</w:t>
            </w:r>
          </w:p>
        </w:tc>
        <w:tc>
          <w:tcPr>
            <w:tcW w:type="dxa" w:w="400"/>
            <w:tcMar>
              <w:top w:type="dxa" w:w="80"/>
              <w:left w:type="dxa" w:w="110"/>
              <w:bottom w:type="dxa" w:w="80"/>
              <w:right w:type="dxa" w:w="110"/>
            </w:tcMar>
          </w:tcPr>
          <w:p>
            <w:pPr>
              <w:spacing w:after="0"/>
            </w:pPr>
            <w:r>
              <w:rPr>
                <w:b w:val="false"/>
                <w:bCs w:val="false"/>
                <w:color w:val="1A2427"/>
                <w:sz w:val="16"/>
                <w:szCs w:val="16"/>
              </w:rPr>
              <w:t xml:space="preserve">3</w:t>
            </w:r>
          </w:p>
        </w:tc>
        <w:tc>
          <w:tcPr>
            <w:tcW w:type="dxa" w:w="460"/>
            <w:tcMar>
              <w:top w:type="dxa" w:w="80"/>
              <w:left w:type="dxa" w:w="110"/>
              <w:bottom w:type="dxa" w:w="80"/>
              <w:right w:type="dxa" w:w="110"/>
            </w:tcMar>
          </w:tcPr>
          <w:p>
            <w:pPr>
              <w:spacing w:after="0"/>
            </w:pPr>
            <w:r>
              <w:rPr>
                <w:b/>
                <w:bCs/>
                <w:color w:val="A32017"/>
                <w:sz w:val="16"/>
                <w:szCs w:val="16"/>
              </w:rPr>
              <w:t xml:space="preserve">9</w:t>
            </w:r>
          </w:p>
        </w:tc>
        <w:tc>
          <w:tcPr>
            <w:tcW w:type="dxa" w:w="3806"/>
            <w:tcMar>
              <w:top w:type="dxa" w:w="80"/>
              <w:left w:type="dxa" w:w="110"/>
              <w:bottom w:type="dxa" w:w="80"/>
              <w:right w:type="dxa" w:w="110"/>
            </w:tcMar>
          </w:tcPr>
          <w:p>
            <w:pPr>
              <w:spacing w:after="0"/>
            </w:pPr>
            <w:r>
              <w:rPr>
                <w:b w:val="false"/>
                <w:bCs w:val="false"/>
                <w:color w:val="1A2427"/>
                <w:sz w:val="16"/>
                <w:szCs w:val="16"/>
              </w:rPr>
              <w:t xml:space="preserve">No risk score, no traffic-light output, no predictive language in the UI; every report carries the intended use statement; clinician-facing material states the device is not validated for clinical decision-making.</w:t>
            </w:r>
          </w:p>
        </w:tc>
        <w:tc>
          <w:tcPr>
            <w:tcW w:type="dxa" w:w="550"/>
            <w:tcMar>
              <w:top w:type="dxa" w:w="80"/>
              <w:left w:type="dxa" w:w="110"/>
              <w:bottom w:type="dxa" w:w="80"/>
              <w:right w:type="dxa" w:w="110"/>
            </w:tcMar>
          </w:tcPr>
          <w:p>
            <w:pPr>
              <w:spacing w:after="0"/>
            </w:pPr>
            <w:r>
              <w:rPr>
                <w:b w:val="false"/>
                <w:bCs w:val="false"/>
                <w:color w:val="2A6640"/>
                <w:sz w:val="16"/>
                <w:szCs w:val="16"/>
              </w:rPr>
              <w:t xml:space="preserve">3</w:t>
            </w:r>
          </w:p>
        </w:tc>
      </w:tr>
      <w:tr>
        <w:tc>
          <w:tcPr>
            <w:tcW w:type="dxa" w:w="480"/>
            <w:tcMar>
              <w:top w:type="dxa" w:w="80"/>
              <w:left w:type="dxa" w:w="110"/>
              <w:bottom w:type="dxa" w:w="80"/>
              <w:right w:type="dxa" w:w="110"/>
            </w:tcMar>
          </w:tcPr>
          <w:p>
            <w:pPr>
              <w:spacing w:after="0"/>
            </w:pPr>
            <w:r>
              <w:rPr>
                <w:b w:val="false"/>
                <w:bCs w:val="false"/>
                <w:color w:val="1A2427"/>
                <w:sz w:val="16"/>
                <w:szCs w:val="16"/>
              </w:rPr>
              <w:t xml:space="preserve">H11</w:t>
            </w:r>
          </w:p>
        </w:tc>
        <w:tc>
          <w:tcPr>
            <w:tcW w:type="dxa" w:w="2500"/>
            <w:tcMar>
              <w:top w:type="dxa" w:w="80"/>
              <w:left w:type="dxa" w:w="110"/>
              <w:bottom w:type="dxa" w:w="80"/>
              <w:right w:type="dxa" w:w="110"/>
            </w:tcMar>
          </w:tcPr>
          <w:p>
            <w:pPr>
              <w:spacing w:after="0"/>
            </w:pPr>
            <w:r>
              <w:rPr>
                <w:b w:val="false"/>
                <w:bCs w:val="false"/>
                <w:color w:val="1A2427"/>
                <w:sz w:val="16"/>
                <w:szCs w:val="16"/>
              </w:rPr>
              <w:t xml:space="preserve">Battery depletion mid-session. Recording stops silently and the day appears to show low activity.</w:t>
            </w:r>
          </w:p>
        </w:tc>
        <w:tc>
          <w:tcPr>
            <w:tcW w:type="dxa" w:w="1150"/>
            <w:tcMar>
              <w:top w:type="dxa" w:w="80"/>
              <w:left w:type="dxa" w:w="110"/>
              <w:bottom w:type="dxa" w:w="80"/>
              <w:right w:type="dxa" w:w="110"/>
            </w:tcMar>
          </w:tcPr>
          <w:p>
            <w:pPr>
              <w:spacing w:after="0"/>
            </w:pPr>
            <w:r>
              <w:rPr>
                <w:b w:val="false"/>
                <w:bCs w:val="false"/>
                <w:color w:val="1A2427"/>
                <w:sz w:val="16"/>
                <w:szCs w:val="16"/>
              </w:rPr>
              <w:t xml:space="preserve">Incorrect adherence or activity record</w:t>
            </w:r>
          </w:p>
        </w:tc>
        <w:tc>
          <w:tcPr>
            <w:tcW w:type="dxa" w:w="400"/>
            <w:tcMar>
              <w:top w:type="dxa" w:w="80"/>
              <w:left w:type="dxa" w:w="110"/>
              <w:bottom w:type="dxa" w:w="80"/>
              <w:right w:type="dxa" w:w="110"/>
            </w:tcMar>
          </w:tcPr>
          <w:p>
            <w:pPr>
              <w:spacing w:after="0"/>
            </w:pPr>
            <w:r>
              <w:rPr>
                <w:b w:val="false"/>
                <w:bCs w:val="false"/>
                <w:color w:val="1A2427"/>
                <w:sz w:val="16"/>
                <w:szCs w:val="16"/>
              </w:rPr>
              <w:t xml:space="preserve">2</w:t>
            </w:r>
          </w:p>
        </w:tc>
        <w:tc>
          <w:tcPr>
            <w:tcW w:type="dxa" w:w="400"/>
            <w:tcMar>
              <w:top w:type="dxa" w:w="80"/>
              <w:left w:type="dxa" w:w="110"/>
              <w:bottom w:type="dxa" w:w="80"/>
              <w:right w:type="dxa" w:w="110"/>
            </w:tcMar>
          </w:tcPr>
          <w:p>
            <w:pPr>
              <w:spacing w:after="0"/>
            </w:pPr>
            <w:r>
              <w:rPr>
                <w:b w:val="false"/>
                <w:bCs w:val="false"/>
                <w:color w:val="1A2427"/>
                <w:sz w:val="16"/>
                <w:szCs w:val="16"/>
              </w:rPr>
              <w:t xml:space="preserve">4</w:t>
            </w:r>
          </w:p>
        </w:tc>
        <w:tc>
          <w:tcPr>
            <w:tcW w:type="dxa" w:w="460"/>
            <w:tcMar>
              <w:top w:type="dxa" w:w="80"/>
              <w:left w:type="dxa" w:w="110"/>
              <w:bottom w:type="dxa" w:w="80"/>
              <w:right w:type="dxa" w:w="110"/>
            </w:tcMar>
          </w:tcPr>
          <w:p>
            <w:pPr>
              <w:spacing w:after="0"/>
            </w:pPr>
            <w:r>
              <w:rPr>
                <w:b/>
                <w:bCs/>
                <w:color w:val="8A5300"/>
                <w:sz w:val="16"/>
                <w:szCs w:val="16"/>
              </w:rPr>
              <w:t xml:space="preserve">8</w:t>
            </w:r>
          </w:p>
        </w:tc>
        <w:tc>
          <w:tcPr>
            <w:tcW w:type="dxa" w:w="3806"/>
            <w:tcMar>
              <w:top w:type="dxa" w:w="80"/>
              <w:left w:type="dxa" w:w="110"/>
              <w:bottom w:type="dxa" w:w="80"/>
              <w:right w:type="dxa" w:w="110"/>
            </w:tcMar>
          </w:tcPr>
          <w:p>
            <w:pPr>
              <w:spacing w:after="0"/>
            </w:pPr>
            <w:r>
              <w:rPr>
                <w:b w:val="false"/>
                <w:bCs w:val="false"/>
                <w:color w:val="1A2427"/>
                <w:sz w:val="16"/>
                <w:szCs w:val="16"/>
              </w:rPr>
              <w:t xml:space="preserve">Battery state in every telemetry frame; gaps explicitly marked in the record rather than interpolated; low-battery notification.</w:t>
            </w:r>
          </w:p>
        </w:tc>
        <w:tc>
          <w:tcPr>
            <w:tcW w:type="dxa" w:w="550"/>
            <w:tcMar>
              <w:top w:type="dxa" w:w="80"/>
              <w:left w:type="dxa" w:w="110"/>
              <w:bottom w:type="dxa" w:w="80"/>
              <w:right w:type="dxa" w:w="110"/>
            </w:tcMar>
          </w:tcPr>
          <w:p>
            <w:pPr>
              <w:spacing w:after="0"/>
            </w:pPr>
            <w:r>
              <w:rPr>
                <w:b w:val="false"/>
                <w:bCs w:val="false"/>
                <w:color w:val="1A2427"/>
                <w:sz w:val="16"/>
                <w:szCs w:val="16"/>
              </w:rPr>
              <w:t xml:space="preserve">4</w:t>
            </w:r>
          </w:p>
        </w:tc>
      </w:tr>
    </w:tbl>
    <w:p>
      <w:pPr>
        <w:pStyle w:val="Small"/>
      </w:pPr>
      <w:r>
        <w:t xml:space="preserve">S = severity, P = probability, R = risk before control, Res. = residual risk after control. FW references point to the firmware defect register in Section 3.</w:t>
      </w:r>
    </w:p>
    <w:p>
      <w:pPr>
        <w:pStyle w:val="Heading2"/>
      </w:pPr>
      <w:r>
        <w:t xml:space="preserve">2.3 Overall residual risk</w:t>
      </w:r>
    </w:p>
    <w:p>
      <w:r>
        <w:t xml:space="preserve">With the controls above applied, no residual risk exceeds 8, and the two that sit there — false reassurance (H1) and device-induced pressure injury (H2) — are both intrinsic to the concept rather than to the implementation. They cannot be engineered away by a four-sensor insole. They are controlled by labelling, by supervision during the pilot, and by not making the claim that would invite the user to rely on the device.</w:t>
      </w:r>
    </w:p>
    <w:p>
      <w:r>
        <w:t xml:space="preserve">This is the argument for Option B's narrow claim, stated in risk terms: the moment the device says anything that a user could act on instead of inspecting their foot, H1's severity is realised. An adherence and loading measurement does not invite that substitution. A risk score does.</w:t>
      </w:r>
    </w:p>
    <w:p>
      <w:pPr>
        <w:pStyle w:val="Heading3"/>
      </w:pPr>
      <w:r>
        <w:t xml:space="preserve">Open items for the risk file</w:t>
      </w:r>
    </w:p>
    <w:p>
      <w:pPr>
        <w:pStyle w:val="ListParagraph"/>
        <w:numPr>
          <w:ilvl w:val="0"/>
          <w:numId w:val="3"/>
        </w:numPr>
      </w:pPr>
      <w:r>
        <w:t xml:space="preserve">Biocompatibility of any material in prolonged skin contact has not been assessed. ISO 10993-1 categorisation needed even for intact-skin contact.</w:t>
      </w:r>
    </w:p>
    <w:p>
      <w:pPr>
        <w:pStyle w:val="ListParagraph"/>
        <w:numPr>
          <w:ilvl w:val="0"/>
          <w:numId w:val="3"/>
        </w:numPr>
      </w:pPr>
      <w:r>
        <w:t xml:space="preserve">Cycles-to-failure for the sensing assembly is unknown pending SOP-02.</w:t>
      </w:r>
    </w:p>
    <w:p>
      <w:pPr>
        <w:pStyle w:val="ListParagraph"/>
        <w:numPr>
          <w:ilvl w:val="0"/>
          <w:numId w:val="3"/>
        </w:numPr>
      </w:pPr>
      <w:r>
        <w:t xml:space="preserve">Worst-case surface temperature has not been measured.</w:t>
      </w:r>
    </w:p>
    <w:p>
      <w:pPr>
        <w:pStyle w:val="ListParagraph"/>
        <w:numPr>
          <w:ilvl w:val="0"/>
          <w:numId w:val="3"/>
        </w:numPr>
      </w:pPr>
      <w:r>
        <w:t xml:space="preserve">No usability study has been done. V3+ treats usability validation as a component in its own right, and for an insole worn by people with reduced sensation it is the most likely cause of programme failure.</w:t>
      </w:r>
    </w:p>
    <w:p>
      <w:r>
        <w:br w:type="page"/>
      </w:r>
    </w:p>
    <w:p>
      <w:pPr>
        <w:pStyle w:val="Heading1"/>
      </w:pPr>
      <w:r>
        <w:t xml:space="preserve">3. Firmware defect register</w:t>
      </w:r>
    </w:p>
    <w:p>
      <w:r>
        <w:t xml:space="preserve">These nine items come from reading niva.ino in the repository, not from the documentation. In three cases the code and the documentation disagree, and in each of those the code is worse. Ordered by effect on measurement validity.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400"/>
        <w:gridCol w:w="3200"/>
        <w:gridCol w:w="3446"/>
      </w:tblGrid>
      <w:tr>
        <w:trPr>
          <w:tblHeader/>
        </w:trPr>
        <w:tc>
          <w:tcPr>
            <w:tcW w:type="dxa" w:w="700"/>
            <w:shd w:fill="E7ECEE" w:val="clear"/>
            <w:tcMar>
              <w:top w:type="dxa" w:w="80"/>
              <w:left w:type="dxa" w:w="110"/>
              <w:bottom w:type="dxa" w:w="80"/>
              <w:right w:type="dxa" w:w="110"/>
            </w:tcMar>
          </w:tcPr>
          <w:p>
            <w:pPr>
              <w:spacing w:after="0"/>
            </w:pPr>
            <w:r>
              <w:rPr>
                <w:b/>
                <w:bCs/>
                <w:color w:val="1A2427"/>
                <w:sz w:val="16"/>
                <w:szCs w:val="16"/>
              </w:rPr>
              <w:t xml:space="preserve">ID</w:t>
            </w:r>
          </w:p>
        </w:tc>
        <w:tc>
          <w:tcPr>
            <w:tcW w:type="dxa" w:w="2400"/>
            <w:shd w:fill="E7ECEE" w:val="clear"/>
            <w:tcMar>
              <w:top w:type="dxa" w:w="80"/>
              <w:left w:type="dxa" w:w="110"/>
              <w:bottom w:type="dxa" w:w="80"/>
              <w:right w:type="dxa" w:w="110"/>
            </w:tcMar>
          </w:tcPr>
          <w:p>
            <w:pPr>
              <w:spacing w:after="0"/>
            </w:pPr>
            <w:r>
              <w:rPr>
                <w:b/>
                <w:bCs/>
                <w:color w:val="1A2427"/>
                <w:sz w:val="16"/>
                <w:szCs w:val="16"/>
              </w:rPr>
              <w:t xml:space="preserve">Defect</w:t>
            </w:r>
          </w:p>
        </w:tc>
        <w:tc>
          <w:tcPr>
            <w:tcW w:type="dxa" w:w="3200"/>
            <w:shd w:fill="E7ECEE" w:val="clear"/>
            <w:tcMar>
              <w:top w:type="dxa" w:w="80"/>
              <w:left w:type="dxa" w:w="110"/>
              <w:bottom w:type="dxa" w:w="80"/>
              <w:right w:type="dxa" w:w="110"/>
            </w:tcMar>
          </w:tcPr>
          <w:p>
            <w:pPr>
              <w:spacing w:after="0"/>
            </w:pPr>
            <w:r>
              <w:rPr>
                <w:b/>
                <w:bCs/>
                <w:color w:val="1A2427"/>
                <w:sz w:val="16"/>
                <w:szCs w:val="16"/>
              </w:rPr>
              <w:t xml:space="preserve">Evidence</w:t>
            </w:r>
          </w:p>
        </w:tc>
        <w:tc>
          <w:tcPr>
            <w:tcW w:type="dxa" w:w="3446"/>
            <w:shd w:fill="E7ECEE" w:val="clear"/>
            <w:tcMar>
              <w:top w:type="dxa" w:w="80"/>
              <w:left w:type="dxa" w:w="110"/>
              <w:bottom w:type="dxa" w:w="80"/>
              <w:right w:type="dxa" w:w="110"/>
            </w:tcMar>
          </w:tcPr>
          <w:p>
            <w:pPr>
              <w:spacing w:after="0"/>
            </w:pPr>
            <w:r>
              <w:rPr>
                <w:b/>
                <w:bCs/>
                <w:color w:val="1A2427"/>
                <w:sz w:val="16"/>
                <w:szCs w:val="16"/>
              </w:rPr>
              <w:t xml:space="preserve">Correction</w:t>
            </w:r>
          </w:p>
        </w:tc>
      </w:tr>
      <w:tr>
        <w:tc>
          <w:tcPr>
            <w:tcW w:type="dxa" w:w="700"/>
            <w:tcMar>
              <w:top w:type="dxa" w:w="80"/>
              <w:left w:type="dxa" w:w="110"/>
              <w:bottom w:type="dxa" w:w="80"/>
              <w:right w:type="dxa" w:w="110"/>
            </w:tcMar>
          </w:tcPr>
          <w:p>
            <w:pPr>
              <w:spacing w:after="0"/>
            </w:pPr>
            <w:r>
              <w:rPr>
                <w:b w:val="false"/>
                <w:bCs w:val="false"/>
                <w:color w:val="1A2427"/>
                <w:sz w:val="16"/>
                <w:szCs w:val="16"/>
              </w:rPr>
              <w:t xml:space="preserve">FW-01</w:t>
            </w:r>
          </w:p>
        </w:tc>
        <w:tc>
          <w:tcPr>
            <w:tcW w:type="dxa" w:w="2400"/>
            <w:tcMar>
              <w:top w:type="dxa" w:w="80"/>
              <w:left w:type="dxa" w:w="110"/>
              <w:bottom w:type="dxa" w:w="80"/>
              <w:right w:type="dxa" w:w="110"/>
            </w:tcMar>
          </w:tcPr>
          <w:p>
            <w:pPr>
              <w:spacing w:after="0"/>
            </w:pPr>
            <w:r>
              <w:rPr>
                <w:b w:val="false"/>
                <w:bCs w:val="false"/>
                <w:color w:val="1A2427"/>
                <w:sz w:val="16"/>
                <w:szCs w:val="16"/>
              </w:rPr>
              <w:t xml:space="preserve">Sampling at 20 Hz.</w:t>
            </w:r>
          </w:p>
          <w:p>
            <w:pPr>
              <w:spacing w:after="0"/>
            </w:pPr>
            <w:r>
              <w:rPr>
                <w:b w:val="false"/>
                <w:bCs w:val="false"/>
                <w:color w:val="1A2427"/>
                <w:sz w:val="16"/>
                <w:szCs w:val="16"/>
              </w:rPr>
              <w:t xml:space="preserve">STREAM_INTERVAL_MS = 50 sets the entire acquisition loop to 20 Hz.</w:t>
            </w:r>
          </w:p>
        </w:tc>
        <w:tc>
          <w:tcPr>
            <w:tcW w:type="dxa" w:w="3200"/>
            <w:tcMar>
              <w:top w:type="dxa" w:w="80"/>
              <w:left w:type="dxa" w:w="110"/>
              <w:bottom w:type="dxa" w:w="80"/>
              <w:right w:type="dxa" w:w="110"/>
            </w:tcMar>
          </w:tcPr>
          <w:p>
            <w:pPr>
              <w:spacing w:after="0"/>
            </w:pPr>
            <w:r>
              <w:rPr>
                <w:b w:val="false"/>
                <w:bCs w:val="false"/>
                <w:color w:val="1A2427"/>
                <w:sz w:val="16"/>
                <w:szCs w:val="16"/>
              </w:rPr>
              <w:t xml:space="preserve">The consensus minimum for IMU gait analysis in walking is 100 Hz; the modal rate across 52 reviewed studies is 100 Hz, with only 12 of 52 below it. Kinetic peak measurement needs ≥500 Hz. At 20 Hz the Nyquist limit is 10 Hz, below the useful bandwidth of the gait signal itself.</w:t>
            </w:r>
          </w:p>
        </w:tc>
        <w:tc>
          <w:tcPr>
            <w:tcW w:type="dxa" w:w="3446"/>
            <w:tcMar>
              <w:top w:type="dxa" w:w="80"/>
              <w:left w:type="dxa" w:w="110"/>
              <w:bottom w:type="dxa" w:w="80"/>
              <w:right w:type="dxa" w:w="110"/>
            </w:tcMar>
          </w:tcPr>
          <w:p>
            <w:pPr>
              <w:spacing w:after="0"/>
            </w:pPr>
            <w:r>
              <w:rPr>
                <w:b w:val="false"/>
                <w:bCs w:val="false"/>
                <w:color w:val="1A2427"/>
                <w:sz w:val="16"/>
                <w:szCs w:val="16"/>
              </w:rPr>
              <w:t xml:space="preserve">Decouple acquisition from telemetry. Sample FSR and IMU at 100 Hz into a buffer; burst-sample the piezo at ≥500 Hz; stream summary frames at 20 Hz as now. This is the single highest-impact change in the register.</w:t>
            </w:r>
          </w:p>
        </w:tc>
      </w:tr>
      <w:tr>
        <w:tc>
          <w:tcPr>
            <w:tcW w:type="dxa" w:w="700"/>
            <w:tcMar>
              <w:top w:type="dxa" w:w="80"/>
              <w:left w:type="dxa" w:w="110"/>
              <w:bottom w:type="dxa" w:w="80"/>
              <w:right w:type="dxa" w:w="110"/>
            </w:tcMar>
          </w:tcPr>
          <w:p>
            <w:pPr>
              <w:spacing w:after="0"/>
            </w:pPr>
            <w:r>
              <w:rPr>
                <w:b w:val="false"/>
                <w:bCs w:val="false"/>
                <w:color w:val="1A2427"/>
                <w:sz w:val="16"/>
                <w:szCs w:val="16"/>
              </w:rPr>
              <w:t xml:space="preserve">FW-02</w:t>
            </w:r>
          </w:p>
        </w:tc>
        <w:tc>
          <w:tcPr>
            <w:tcW w:type="dxa" w:w="2400"/>
            <w:tcMar>
              <w:top w:type="dxa" w:w="80"/>
              <w:left w:type="dxa" w:w="110"/>
              <w:bottom w:type="dxa" w:w="80"/>
              <w:right w:type="dxa" w:w="110"/>
            </w:tcMar>
          </w:tcPr>
          <w:p>
            <w:pPr>
              <w:spacing w:after="0"/>
            </w:pPr>
            <w:r>
              <w:rPr>
                <w:b w:val="false"/>
                <w:bCs w:val="false"/>
                <w:color w:val="1A2427"/>
                <w:sz w:val="16"/>
                <w:szCs w:val="16"/>
              </w:rPr>
              <w:t xml:space="preserve">The piezo channel is averaged.</w:t>
            </w:r>
          </w:p>
          <w:p>
            <w:pPr>
              <w:spacing w:after="0"/>
            </w:pPr>
            <w:r>
              <w:rPr>
                <w:b w:val="false"/>
                <w:bCs w:val="false"/>
                <w:color w:val="1A2427"/>
                <w:sz w:val="16"/>
                <w:szCs w:val="16"/>
              </w:rPr>
              <w:t xml:space="preserve">oversampleADC() takes the mean of 16 reads and is applied to PIN_PIEZO identically to the FSR channels.</w:t>
            </w:r>
          </w:p>
        </w:tc>
        <w:tc>
          <w:tcPr>
            <w:tcW w:type="dxa" w:w="3200"/>
            <w:tcMar>
              <w:top w:type="dxa" w:w="80"/>
              <w:left w:type="dxa" w:w="110"/>
              <w:bottom w:type="dxa" w:w="80"/>
              <w:right w:type="dxa" w:w="110"/>
            </w:tcMar>
          </w:tcPr>
          <w:p>
            <w:pPr>
              <w:spacing w:after="0"/>
            </w:pPr>
            <w:r>
              <w:rPr>
                <w:b w:val="false"/>
                <w:bCs w:val="false"/>
                <w:color w:val="1A2427"/>
                <w:sz w:val="16"/>
                <w:szCs w:val="16"/>
              </w:rPr>
              <w:t xml:space="preserve">The piezo produces a sharp transient with a sub-0.5 s rise and near-zero output under static load. Averaging a transient across a 16-sample window attenuates exactly the feature the sensor exists to capture. The literature uses maximum-within-window for this channel specifically, not averaging.</w:t>
            </w:r>
          </w:p>
        </w:tc>
        <w:tc>
          <w:tcPr>
            <w:tcW w:type="dxa" w:w="3446"/>
            <w:tcMar>
              <w:top w:type="dxa" w:w="80"/>
              <w:left w:type="dxa" w:w="110"/>
              <w:bottom w:type="dxa" w:w="80"/>
              <w:right w:type="dxa" w:w="110"/>
            </w:tcMar>
          </w:tcPr>
          <w:p>
            <w:pPr>
              <w:spacing w:after="0"/>
            </w:pPr>
            <w:r>
              <w:rPr>
                <w:b w:val="false"/>
                <w:bCs w:val="false"/>
                <w:color w:val="1A2427"/>
                <w:sz w:val="16"/>
                <w:szCs w:val="16"/>
              </w:rPr>
              <w:t xml:space="preserve">Replace the mean with a peak-hold maximum over the acquisition window for the piezo channel only. Keep oversampling on the four FSR channels, where it is appropriate.</w:t>
            </w:r>
          </w:p>
        </w:tc>
      </w:tr>
      <w:tr>
        <w:tc>
          <w:tcPr>
            <w:tcW w:type="dxa" w:w="700"/>
            <w:tcMar>
              <w:top w:type="dxa" w:w="80"/>
              <w:left w:type="dxa" w:w="110"/>
              <w:bottom w:type="dxa" w:w="80"/>
              <w:right w:type="dxa" w:w="110"/>
            </w:tcMar>
          </w:tcPr>
          <w:p>
            <w:pPr>
              <w:spacing w:after="0"/>
            </w:pPr>
            <w:r>
              <w:rPr>
                <w:b w:val="false"/>
                <w:bCs w:val="false"/>
                <w:color w:val="1A2427"/>
                <w:sz w:val="16"/>
                <w:szCs w:val="16"/>
              </w:rPr>
              <w:t xml:space="preserve">FW-03</w:t>
            </w:r>
          </w:p>
        </w:tc>
        <w:tc>
          <w:tcPr>
            <w:tcW w:type="dxa" w:w="2400"/>
            <w:tcMar>
              <w:top w:type="dxa" w:w="80"/>
              <w:left w:type="dxa" w:w="110"/>
              <w:bottom w:type="dxa" w:w="80"/>
              <w:right w:type="dxa" w:w="110"/>
            </w:tcMar>
          </w:tcPr>
          <w:p>
            <w:pPr>
              <w:spacing w:after="0"/>
            </w:pPr>
            <w:r>
              <w:rPr>
                <w:b w:val="false"/>
                <w:bCs w:val="false"/>
                <w:color w:val="1A2427"/>
                <w:sz w:val="16"/>
                <w:szCs w:val="16"/>
              </w:rPr>
              <w:t xml:space="preserve">Accelerometer configured to ±2 g.</w:t>
            </w:r>
          </w:p>
          <w:p>
            <w:pPr>
              <w:spacing w:after="0"/>
            </w:pPr>
            <w:r>
              <w:rPr>
                <w:b w:val="false"/>
                <w:bCs w:val="false"/>
                <w:color w:val="1A2427"/>
                <w:sz w:val="16"/>
                <w:szCs w:val="16"/>
              </w:rPr>
              <w:t xml:space="preserve">The scale factor 16384.0f in updateKinematics() corresponds to AFS_SEL = 0, the ±2 g range.</w:t>
            </w:r>
          </w:p>
        </w:tc>
        <w:tc>
          <w:tcPr>
            <w:tcW w:type="dxa" w:w="3200"/>
            <w:tcMar>
              <w:top w:type="dxa" w:w="80"/>
              <w:left w:type="dxa" w:w="110"/>
              <w:bottom w:type="dxa" w:w="80"/>
              <w:right w:type="dxa" w:w="110"/>
            </w:tcMar>
          </w:tcPr>
          <w:p>
            <w:pPr>
              <w:spacing w:after="0"/>
            </w:pPr>
            <w:r>
              <w:rPr>
                <w:b w:val="false"/>
                <w:bCs w:val="false"/>
                <w:color w:val="1A2427"/>
                <w:sz w:val="16"/>
                <w:szCs w:val="16"/>
              </w:rPr>
              <w:t xml:space="preserve">Foot-mounted heel-strike accelerations were measured at 24.62 ± 4.1 g. The literature recommends a minimum operating range of ±32 g and reports that even ±16 g underestimates peak tibial acceleration by 28%. At ±2 g the accelerometer is clipping by an order of magnitude on every step.</w:t>
            </w:r>
          </w:p>
        </w:tc>
        <w:tc>
          <w:tcPr>
            <w:tcW w:type="dxa" w:w="3446"/>
            <w:tcMar>
              <w:top w:type="dxa" w:w="80"/>
              <w:left w:type="dxa" w:w="110"/>
              <w:bottom w:type="dxa" w:w="80"/>
              <w:right w:type="dxa" w:w="110"/>
            </w:tcMar>
          </w:tcPr>
          <w:p>
            <w:pPr>
              <w:spacing w:after="0"/>
            </w:pPr>
            <w:r>
              <w:rPr>
                <w:b w:val="false"/>
                <w:bCs w:val="false"/>
                <w:color w:val="1A2427"/>
                <w:sz w:val="16"/>
                <w:szCs w:val="16"/>
              </w:rPr>
              <w:t xml:space="preserve">Set AFS_SEL = 3 (±16 g, scale 2048.0f) as an immediate fix. Accept that even ±16 g clips, and take impact magnitude from the piezo, never from the accelerometer. Note this limit in the design file — it is a reason to replace the MPU6050 in the next revision.</w:t>
            </w:r>
          </w:p>
        </w:tc>
      </w:tr>
      <w:tr>
        <w:tc>
          <w:tcPr>
            <w:tcW w:type="dxa" w:w="700"/>
            <w:tcMar>
              <w:top w:type="dxa" w:w="80"/>
              <w:left w:type="dxa" w:w="110"/>
              <w:bottom w:type="dxa" w:w="80"/>
              <w:right w:type="dxa" w:w="110"/>
            </w:tcMar>
          </w:tcPr>
          <w:p>
            <w:pPr>
              <w:spacing w:after="0"/>
            </w:pPr>
            <w:r>
              <w:rPr>
                <w:b w:val="false"/>
                <w:bCs w:val="false"/>
                <w:color w:val="1A2427"/>
                <w:sz w:val="16"/>
                <w:szCs w:val="16"/>
              </w:rPr>
              <w:t xml:space="preserve">FW-04</w:t>
            </w:r>
          </w:p>
        </w:tc>
        <w:tc>
          <w:tcPr>
            <w:tcW w:type="dxa" w:w="2400"/>
            <w:tcMar>
              <w:top w:type="dxa" w:w="80"/>
              <w:left w:type="dxa" w:w="110"/>
              <w:bottom w:type="dxa" w:w="80"/>
              <w:right w:type="dxa" w:w="110"/>
            </w:tcMar>
          </w:tcPr>
          <w:p>
            <w:pPr>
              <w:spacing w:after="0"/>
            </w:pPr>
            <w:r>
              <w:rPr>
                <w:b w:val="false"/>
                <w:bCs w:val="false"/>
                <w:color w:val="1A2427"/>
                <w:sz w:val="16"/>
                <w:szCs w:val="16"/>
              </w:rPr>
              <w:t xml:space="preserve">One-shot tare, persisted to NVS across boots.</w:t>
            </w:r>
          </w:p>
          <w:p>
            <w:pPr>
              <w:spacing w:after="0"/>
            </w:pPr>
            <w:r>
              <w:rPr>
                <w:b w:val="false"/>
                <w:bCs w:val="false"/>
                <w:color w:val="1A2427"/>
                <w:sz w:val="16"/>
                <w:szCs w:val="16"/>
              </w:rPr>
              <w:t xml:space="preserve">60 samples averaged once, written to Preferences, reloaded on subsequent boots.</w:t>
            </w:r>
          </w:p>
        </w:tc>
        <w:tc>
          <w:tcPr>
            <w:tcW w:type="dxa" w:w="3200"/>
            <w:tcMar>
              <w:top w:type="dxa" w:w="80"/>
              <w:left w:type="dxa" w:w="110"/>
              <w:bottom w:type="dxa" w:w="80"/>
              <w:right w:type="dxa" w:w="110"/>
            </w:tcMar>
          </w:tcPr>
          <w:p>
            <w:pPr>
              <w:spacing w:after="0"/>
            </w:pPr>
            <w:r>
              <w:rPr>
                <w:b w:val="false"/>
                <w:bCs w:val="false"/>
                <w:color w:val="1A2427"/>
                <w:sz w:val="16"/>
                <w:szCs w:val="16"/>
              </w:rPr>
              <w:t xml:space="preserve">FSR null-force output drifts ±16.2%/−13.8% across 24–60 °C, non-deterministically between temperatures. A baseline captured at ambient temperature is wrong by the time the insole reaches foot temperature, and a baseline reloaded from NVS days later is wrong before the device is even worn.</w:t>
            </w:r>
          </w:p>
        </w:tc>
        <w:tc>
          <w:tcPr>
            <w:tcW w:type="dxa" w:w="3446"/>
            <w:tcMar>
              <w:top w:type="dxa" w:w="80"/>
              <w:left w:type="dxa" w:w="110"/>
              <w:bottom w:type="dxa" w:w="80"/>
              <w:right w:type="dxa" w:w="110"/>
            </w:tcMar>
          </w:tcPr>
          <w:p>
            <w:pPr>
              <w:spacing w:after="0"/>
            </w:pPr>
            <w:r>
              <w:rPr>
                <w:b w:val="false"/>
                <w:bCs w:val="false"/>
                <w:color w:val="1A2427"/>
                <w:sz w:val="16"/>
                <w:szCs w:val="16"/>
              </w:rPr>
              <w:t xml:space="preserve">Keep the NVS baseline only as a startup estimate. Add a rolling re-zero that updates the baseline whenever quiet standing is detected (low IMU variance, stable FSR sum, ≥2 s). Record baseline drift over the session as a data-quality metric.</w:t>
            </w:r>
          </w:p>
        </w:tc>
      </w:tr>
      <w:tr>
        <w:tc>
          <w:tcPr>
            <w:tcW w:type="dxa" w:w="700"/>
            <w:tcMar>
              <w:top w:type="dxa" w:w="80"/>
              <w:left w:type="dxa" w:w="110"/>
              <w:bottom w:type="dxa" w:w="80"/>
              <w:right w:type="dxa" w:w="110"/>
            </w:tcMar>
          </w:tcPr>
          <w:p>
            <w:pPr>
              <w:spacing w:after="0"/>
            </w:pPr>
            <w:r>
              <w:rPr>
                <w:b w:val="false"/>
                <w:bCs w:val="false"/>
                <w:color w:val="1A2427"/>
                <w:sz w:val="16"/>
                <w:szCs w:val="16"/>
              </w:rPr>
              <w:t xml:space="preserve">FW-05</w:t>
            </w:r>
          </w:p>
        </w:tc>
        <w:tc>
          <w:tcPr>
            <w:tcW w:type="dxa" w:w="2400"/>
            <w:tcMar>
              <w:top w:type="dxa" w:w="80"/>
              <w:left w:type="dxa" w:w="110"/>
              <w:bottom w:type="dxa" w:w="80"/>
              <w:right w:type="dxa" w:w="110"/>
            </w:tcMar>
          </w:tcPr>
          <w:p>
            <w:pPr>
              <w:spacing w:after="0"/>
            </w:pPr>
            <w:r>
              <w:rPr>
                <w:b w:val="false"/>
                <w:bCs w:val="false"/>
                <w:color w:val="1A2427"/>
                <w:sz w:val="16"/>
                <w:szCs w:val="16"/>
              </w:rPr>
              <w:t xml:space="preserve">One shared treatment for four different sensors.</w:t>
            </w:r>
          </w:p>
          <w:p>
            <w:pPr>
              <w:spacing w:after="0"/>
            </w:pPr>
            <w:r>
              <w:rPr>
                <w:b w:val="false"/>
                <w:bCs w:val="false"/>
                <w:color w:val="1A2427"/>
                <w:sz w:val="16"/>
                <w:szCs w:val="16"/>
              </w:rPr>
              <w:t xml:space="preserve">Baselines differ per channel, but there is no per-sensor transfer function — raw ADC counts minus offset are used directly.</w:t>
            </w:r>
          </w:p>
        </w:tc>
        <w:tc>
          <w:tcPr>
            <w:tcW w:type="dxa" w:w="3200"/>
            <w:tcMar>
              <w:top w:type="dxa" w:w="80"/>
              <w:left w:type="dxa" w:w="110"/>
              <w:bottom w:type="dxa" w:w="80"/>
              <w:right w:type="dxa" w:w="110"/>
            </w:tcMar>
          </w:tcPr>
          <w:p>
            <w:pPr>
              <w:spacing w:after="0"/>
            </w:pPr>
            <w:r>
              <w:rPr>
                <w:b w:val="false"/>
                <w:bCs w:val="false"/>
                <w:color w:val="1A2427"/>
                <w:sz w:val="16"/>
                <w:szCs w:val="16"/>
              </w:rPr>
              <w:t xml:space="preserve">Part-to-part sensitivity across 64 FSR402 specimens varied with a coefficient of variation of ~26%. A published characterisation across temperature, curvature and tissue compliance concluded directly that multiple FSRs in one system must be calibrated independently.</w:t>
            </w:r>
          </w:p>
        </w:tc>
        <w:tc>
          <w:tcPr>
            <w:tcW w:type="dxa" w:w="3446"/>
            <w:tcMar>
              <w:top w:type="dxa" w:w="80"/>
              <w:left w:type="dxa" w:w="110"/>
              <w:bottom w:type="dxa" w:w="80"/>
              <w:right w:type="dxa" w:w="110"/>
            </w:tcMar>
          </w:tcPr>
          <w:p>
            <w:pPr>
              <w:spacing w:after="0"/>
            </w:pPr>
            <w:r>
              <w:rPr>
                <w:b w:val="false"/>
                <w:bCs w:val="false"/>
                <w:color w:val="1A2427"/>
                <w:sz w:val="16"/>
                <w:szCs w:val="16"/>
              </w:rPr>
              <w:t xml:space="preserve">Add a per-sensor calibration structure with an individually fitted curve (SOP-01). Without this, inter-sensor manufacturing tolerance is indistinguishable from left-right gait asymmetry — which is the signal the product is looking for.</w:t>
            </w:r>
          </w:p>
        </w:tc>
      </w:tr>
      <w:tr>
        <w:tc>
          <w:tcPr>
            <w:tcW w:type="dxa" w:w="700"/>
            <w:tcMar>
              <w:top w:type="dxa" w:w="80"/>
              <w:left w:type="dxa" w:w="110"/>
              <w:bottom w:type="dxa" w:w="80"/>
              <w:right w:type="dxa" w:w="110"/>
            </w:tcMar>
          </w:tcPr>
          <w:p>
            <w:pPr>
              <w:spacing w:after="0"/>
            </w:pPr>
            <w:r>
              <w:rPr>
                <w:b w:val="false"/>
                <w:bCs w:val="false"/>
                <w:color w:val="1A2427"/>
                <w:sz w:val="16"/>
                <w:szCs w:val="16"/>
              </w:rPr>
              <w:t xml:space="preserve">FW-06</w:t>
            </w:r>
          </w:p>
        </w:tc>
        <w:tc>
          <w:tcPr>
            <w:tcW w:type="dxa" w:w="2400"/>
            <w:tcMar>
              <w:top w:type="dxa" w:w="80"/>
              <w:left w:type="dxa" w:w="110"/>
              <w:bottom w:type="dxa" w:w="80"/>
              <w:right w:type="dxa" w:w="110"/>
            </w:tcMar>
          </w:tcPr>
          <w:p>
            <w:pPr>
              <w:spacing w:after="0"/>
            </w:pPr>
            <w:r>
              <w:rPr>
                <w:b w:val="false"/>
                <w:bCs w:val="false"/>
                <w:color w:val="1A2427"/>
                <w:sz w:val="16"/>
                <w:szCs w:val="16"/>
              </w:rPr>
              <w:t xml:space="preserve">No anti-alias filtering ahead of the ADC.</w:t>
            </w:r>
          </w:p>
          <w:p>
            <w:pPr>
              <w:spacing w:after="0"/>
            </w:pPr>
            <w:r>
              <w:rPr>
                <w:b w:val="false"/>
                <w:bCs w:val="false"/>
                <w:color w:val="1A2427"/>
                <w:sz w:val="16"/>
                <w:szCs w:val="16"/>
              </w:rPr>
              <w:t xml:space="preserve">Oversampling is applied in software; there is no analog low-pass on any channel.</w:t>
            </w:r>
          </w:p>
        </w:tc>
        <w:tc>
          <w:tcPr>
            <w:tcW w:type="dxa" w:w="3200"/>
            <w:tcMar>
              <w:top w:type="dxa" w:w="80"/>
              <w:left w:type="dxa" w:w="110"/>
              <w:bottom w:type="dxa" w:w="80"/>
              <w:right w:type="dxa" w:w="110"/>
            </w:tcMar>
          </w:tcPr>
          <w:p>
            <w:pPr>
              <w:spacing w:after="0"/>
            </w:pPr>
            <w:r>
              <w:rPr>
                <w:b w:val="false"/>
                <w:bCs w:val="false"/>
                <w:color w:val="1A2427"/>
                <w:sz w:val="16"/>
                <w:szCs w:val="16"/>
              </w:rPr>
              <w:t xml:space="preserve">Sampling commercial sensors without anti-alias filtering was shown to produce significant spectral distortion. Oversampling reduces quantisation noise but cannot remove energy already folded down from above Nyquist — at 20 Hz sampling, everything above 10 Hz is aliased into the band of interest.</w:t>
            </w:r>
          </w:p>
        </w:tc>
        <w:tc>
          <w:tcPr>
            <w:tcW w:type="dxa" w:w="3446"/>
            <w:tcMar>
              <w:top w:type="dxa" w:w="80"/>
              <w:left w:type="dxa" w:w="110"/>
              <w:bottom w:type="dxa" w:w="80"/>
              <w:right w:type="dxa" w:w="110"/>
            </w:tcMar>
          </w:tcPr>
          <w:p>
            <w:pPr>
              <w:spacing w:after="0"/>
            </w:pPr>
            <w:r>
              <w:rPr>
                <w:b w:val="false"/>
                <w:bCs w:val="false"/>
                <w:color w:val="1A2427"/>
                <w:sz w:val="16"/>
                <w:szCs w:val="16"/>
              </w:rPr>
              <w:t xml:space="preserve">Add a simple RC low-pass on each analog channel sized to the chosen sample rate. This is a hardware change and should go into the next board revision alongside the 1 kΩ divider.</w:t>
            </w:r>
          </w:p>
        </w:tc>
      </w:tr>
      <w:tr>
        <w:tc>
          <w:tcPr>
            <w:tcW w:type="dxa" w:w="700"/>
            <w:tcMar>
              <w:top w:type="dxa" w:w="80"/>
              <w:left w:type="dxa" w:w="110"/>
              <w:bottom w:type="dxa" w:w="80"/>
              <w:right w:type="dxa" w:w="110"/>
            </w:tcMar>
          </w:tcPr>
          <w:p>
            <w:pPr>
              <w:spacing w:after="0"/>
            </w:pPr>
            <w:r>
              <w:rPr>
                <w:b w:val="false"/>
                <w:bCs w:val="false"/>
                <w:color w:val="1A2427"/>
                <w:sz w:val="16"/>
                <w:szCs w:val="16"/>
              </w:rPr>
              <w:t xml:space="preserve">FW-07</w:t>
            </w:r>
          </w:p>
        </w:tc>
        <w:tc>
          <w:tcPr>
            <w:tcW w:type="dxa" w:w="2400"/>
            <w:tcMar>
              <w:top w:type="dxa" w:w="80"/>
              <w:left w:type="dxa" w:w="110"/>
              <w:bottom w:type="dxa" w:w="80"/>
              <w:right w:type="dxa" w:w="110"/>
            </w:tcMar>
          </w:tcPr>
          <w:p>
            <w:pPr>
              <w:spacing w:after="0"/>
            </w:pPr>
            <w:r>
              <w:rPr>
                <w:b w:val="false"/>
                <w:bCs w:val="false"/>
                <w:color w:val="1A2427"/>
                <w:sz w:val="16"/>
                <w:szCs w:val="16"/>
              </w:rPr>
              <w:t xml:space="preserve">Fixed-coefficient complementary filter.</w:t>
            </w:r>
          </w:p>
          <w:p>
            <w:pPr>
              <w:spacing w:after="0"/>
            </w:pPr>
            <w:r>
              <w:rPr>
                <w:b w:val="false"/>
                <w:bCs w:val="false"/>
                <w:color w:val="1A2427"/>
                <w:sz w:val="16"/>
                <w:szCs w:val="16"/>
              </w:rPr>
              <w:t xml:space="preserve">pitch = 0.96 × (pitch + gy·dt) + 0.04 × accelPitch, with the coefficient independent of dt.</w:t>
            </w:r>
          </w:p>
        </w:tc>
        <w:tc>
          <w:tcPr>
            <w:tcW w:type="dxa" w:w="3200"/>
            <w:tcMar>
              <w:top w:type="dxa" w:w="80"/>
              <w:left w:type="dxa" w:w="110"/>
              <w:bottom w:type="dxa" w:w="80"/>
              <w:right w:type="dxa" w:w="110"/>
            </w:tcMar>
          </w:tcPr>
          <w:p>
            <w:pPr>
              <w:spacing w:after="0"/>
            </w:pPr>
            <w:r>
              <w:rPr>
                <w:b w:val="false"/>
                <w:bCs w:val="false"/>
                <w:color w:val="1A2427"/>
                <w:sz w:val="16"/>
                <w:szCs w:val="16"/>
              </w:rPr>
              <w:t xml:space="preserve">A basic complementary AHRS was measured at 2.09–4.47° RMSE against Madgwick at 0.31–0.59° and Mahony at 0.38–0.65° — and both ran faster than the basic filter. A fixed blend coefficient also means the effective time constant changes whenever the loop period changes.</w:t>
            </w:r>
          </w:p>
        </w:tc>
        <w:tc>
          <w:tcPr>
            <w:tcW w:type="dxa" w:w="3446"/>
            <w:tcMar>
              <w:top w:type="dxa" w:w="80"/>
              <w:left w:type="dxa" w:w="110"/>
              <w:bottom w:type="dxa" w:w="80"/>
              <w:right w:type="dxa" w:w="110"/>
            </w:tcMar>
          </w:tcPr>
          <w:p>
            <w:pPr>
              <w:spacing w:after="0"/>
            </w:pPr>
            <w:r>
              <w:rPr>
                <w:b w:val="false"/>
                <w:bCs w:val="false"/>
                <w:color w:val="1A2427"/>
                <w:sz w:val="16"/>
                <w:szCs w:val="16"/>
              </w:rPr>
              <w:t xml:space="preserve">Replace with Mahony (lowest measured execution time of the three) using the existing gyro and accelerometer. There is no performance argument for keeping the current filter on an ESP32.</w:t>
            </w:r>
          </w:p>
        </w:tc>
      </w:tr>
      <w:tr>
        <w:tc>
          <w:tcPr>
            <w:tcW w:type="dxa" w:w="700"/>
            <w:tcMar>
              <w:top w:type="dxa" w:w="80"/>
              <w:left w:type="dxa" w:w="110"/>
              <w:bottom w:type="dxa" w:w="80"/>
              <w:right w:type="dxa" w:w="110"/>
            </w:tcMar>
          </w:tcPr>
          <w:p>
            <w:pPr>
              <w:spacing w:after="0"/>
            </w:pPr>
            <w:r>
              <w:rPr>
                <w:b w:val="false"/>
                <w:bCs w:val="false"/>
                <w:color w:val="1A2427"/>
                <w:sz w:val="16"/>
                <w:szCs w:val="16"/>
              </w:rPr>
              <w:t xml:space="preserve">FW-08</w:t>
            </w:r>
          </w:p>
        </w:tc>
        <w:tc>
          <w:tcPr>
            <w:tcW w:type="dxa" w:w="2400"/>
            <w:tcMar>
              <w:top w:type="dxa" w:w="80"/>
              <w:left w:type="dxa" w:w="110"/>
              <w:bottom w:type="dxa" w:w="80"/>
              <w:right w:type="dxa" w:w="110"/>
            </w:tcMar>
          </w:tcPr>
          <w:p>
            <w:pPr>
              <w:spacing w:after="0"/>
            </w:pPr>
            <w:r>
              <w:rPr>
                <w:b w:val="false"/>
                <w:bCs w:val="false"/>
                <w:color w:val="1A2427"/>
                <w:sz w:val="16"/>
                <w:szCs w:val="16"/>
              </w:rPr>
              <w:t xml:space="preserve">Negative residuals are clamped to zero.</w:t>
            </w:r>
          </w:p>
          <w:p>
            <w:pPr>
              <w:spacing w:after="0"/>
            </w:pPr>
            <w:r>
              <w:rPr>
                <w:b w:val="false"/>
                <w:bCs w:val="false"/>
                <w:color w:val="1A2427"/>
                <w:sz w:val="16"/>
                <w:szCs w:val="16"/>
              </w:rPr>
              <w:t xml:space="preserve">max(0.0f, raw − baseline) discards the sign of the residual.</w:t>
            </w:r>
          </w:p>
        </w:tc>
        <w:tc>
          <w:tcPr>
            <w:tcW w:type="dxa" w:w="3200"/>
            <w:tcMar>
              <w:top w:type="dxa" w:w="80"/>
              <w:left w:type="dxa" w:w="110"/>
              <w:bottom w:type="dxa" w:w="80"/>
              <w:right w:type="dxa" w:w="110"/>
            </w:tcMar>
          </w:tcPr>
          <w:p>
            <w:pPr>
              <w:spacing w:after="0"/>
            </w:pPr>
            <w:r>
              <w:rPr>
                <w:b w:val="false"/>
                <w:bCs w:val="false"/>
                <w:color w:val="1A2427"/>
                <w:sz w:val="16"/>
                <w:szCs w:val="16"/>
              </w:rPr>
              <w:t xml:space="preserve">A persistently negative residual is the signature of upward baseline drift, which is the most likely fault mode given FW-04. Clamping it to zero hides the one diagnostic that would reveal the drift.</w:t>
            </w:r>
          </w:p>
        </w:tc>
        <w:tc>
          <w:tcPr>
            <w:tcW w:type="dxa" w:w="3446"/>
            <w:tcMar>
              <w:top w:type="dxa" w:w="80"/>
              <w:left w:type="dxa" w:w="110"/>
              <w:bottom w:type="dxa" w:w="80"/>
              <w:right w:type="dxa" w:w="110"/>
            </w:tcMar>
          </w:tcPr>
          <w:p>
            <w:pPr>
              <w:spacing w:after="0"/>
            </w:pPr>
            <w:r>
              <w:rPr>
                <w:b w:val="false"/>
                <w:bCs w:val="false"/>
                <w:color w:val="1A2427"/>
                <w:sz w:val="16"/>
                <w:szCs w:val="16"/>
              </w:rPr>
              <w:t xml:space="preserve">Retain the signed residual internally for drift monitoring and quality flagging; clamp only at the display and telemetry layer.</w:t>
            </w:r>
          </w:p>
        </w:tc>
      </w:tr>
      <w:tr>
        <w:tc>
          <w:tcPr>
            <w:tcW w:type="dxa" w:w="700"/>
            <w:tcMar>
              <w:top w:type="dxa" w:w="80"/>
              <w:left w:type="dxa" w:w="110"/>
              <w:bottom w:type="dxa" w:w="80"/>
              <w:right w:type="dxa" w:w="110"/>
            </w:tcMar>
          </w:tcPr>
          <w:p>
            <w:pPr>
              <w:spacing w:after="0"/>
            </w:pPr>
            <w:r>
              <w:rPr>
                <w:b w:val="false"/>
                <w:bCs w:val="false"/>
                <w:color w:val="1A2427"/>
                <w:sz w:val="16"/>
                <w:szCs w:val="16"/>
              </w:rPr>
              <w:t xml:space="preserve">FW-09</w:t>
            </w:r>
          </w:p>
        </w:tc>
        <w:tc>
          <w:tcPr>
            <w:tcW w:type="dxa" w:w="2400"/>
            <w:tcMar>
              <w:top w:type="dxa" w:w="80"/>
              <w:left w:type="dxa" w:w="110"/>
              <w:bottom w:type="dxa" w:w="80"/>
              <w:right w:type="dxa" w:w="110"/>
            </w:tcMar>
          </w:tcPr>
          <w:p>
            <w:pPr>
              <w:spacing w:after="0"/>
            </w:pPr>
            <w:r>
              <w:rPr>
                <w:b w:val="false"/>
                <w:bCs w:val="false"/>
                <w:color w:val="1A2427"/>
                <w:sz w:val="16"/>
                <w:szCs w:val="16"/>
              </w:rPr>
              <w:t xml:space="preserve">Documentation and code disagree.</w:t>
            </w:r>
          </w:p>
          <w:p>
            <w:pPr>
              <w:spacing w:after="0"/>
            </w:pPr>
            <w:r>
              <w:rPr>
                <w:b w:val="false"/>
                <w:bCs w:val="false"/>
                <w:color w:val="1A2427"/>
                <w:sz w:val="16"/>
                <w:szCs w:val="16"/>
              </w:rPr>
              <w:t xml:space="preserve">The architecture documents specify EMA filtering with α = 0.15. No EMA exists in niva.ino.</w:t>
            </w:r>
          </w:p>
        </w:tc>
        <w:tc>
          <w:tcPr>
            <w:tcW w:type="dxa" w:w="3200"/>
            <w:tcMar>
              <w:top w:type="dxa" w:w="80"/>
              <w:left w:type="dxa" w:w="110"/>
              <w:bottom w:type="dxa" w:w="80"/>
              <w:right w:type="dxa" w:w="110"/>
            </w:tcMar>
          </w:tcPr>
          <w:p>
            <w:pPr>
              <w:spacing w:after="0"/>
            </w:pPr>
            <w:r>
              <w:rPr>
                <w:b w:val="false"/>
                <w:bCs w:val="false"/>
                <w:color w:val="1A2427"/>
                <w:sz w:val="16"/>
                <w:szCs w:val="16"/>
              </w:rPr>
              <w:t xml:space="preserve">Separately, an EMA at α = 0.15 would have a −3 dB cutoff of 0.026 × fs and a group delay of 5.67 samples — at 100 Hz that is a 2.6 Hz cutoff and 57 ms of lag, against a field standard of a zero-phase Butterworth at 5–15 Hz.</w:t>
            </w:r>
          </w:p>
        </w:tc>
        <w:tc>
          <w:tcPr>
            <w:tcW w:type="dxa" w:w="3446"/>
            <w:tcMar>
              <w:top w:type="dxa" w:w="80"/>
              <w:left w:type="dxa" w:w="110"/>
              <w:bottom w:type="dxa" w:w="80"/>
              <w:right w:type="dxa" w:w="110"/>
            </w:tcMar>
          </w:tcPr>
          <w:p>
            <w:pPr>
              <w:spacing w:after="0"/>
            </w:pPr>
            <w:r>
              <w:rPr>
                <w:b w:val="false"/>
                <w:bCs w:val="false"/>
                <w:color w:val="1A2427"/>
                <w:sz w:val="16"/>
                <w:szCs w:val="16"/>
              </w:rPr>
              <w:t xml:space="preserve">Do not implement the documented EMA. Implement a second-order Butterworth low-pass at 10–15 Hz on the FSR channels once FW-01 raises the sample rate, and correct the architecture documents to match. Leave the piezo peak path unfiltered.</w:t>
            </w:r>
          </w:p>
        </w:tc>
      </w:tr>
    </w:tbl>
    <w:p>
      <w:pPr>
        <w:pStyle w:val="Small"/>
      </w:pPr>
      <w:r>
        <w:t xml:space="preserve">Verified against niva arduino/niva_hardware/niva.ino as committed. FW-01, FW-02 and FW-03 together mean the current build cannot produce a valid heel-strike measurement; they should be fixed as one change.</w:t>
      </w:r>
    </w:p>
    <w:p>
      <w:r>
        <w:br w:type="page"/>
      </w:r>
    </w:p>
    <w:p>
      <w:pPr>
        <w:pStyle w:val="Heading1"/>
      </w:pPr>
      <w:r>
        <w:t xml:space="preserve">4. SOP-01 — Per-sensor calibration</w:t>
      </w:r>
    </w:p>
    <w:p>
      <w:pPr>
        <w:pStyle w:val="Small"/>
      </w:pPr>
      <w:r>
        <w:t xml:space="preserve">Purpose: to establish an individual force-to-output transfer function for every force-sensing resistor in a Niva insole, and to record it in a form that is traceable to that physical sensor.</w:t>
      </w:r>
    </w:p>
    <w:p>
      <w:pPr>
        <w:pStyle w:val="Heading2"/>
      </w:pPr>
      <w:r>
        <w:t xml:space="preserve">4.1 Why per-sensor, and why loading and unloading</w:t>
      </w:r>
    </w:p>
    <w:p>
      <w:r>
        <w:t xml:space="preserve">Two published findings drive this procedure. Across 64 FSR402 specimens, sensitivity varied with a coefficient of variation of roughly 26% — a shared calibration curve is therefore invalid across four sensors. And calibration method dominates accuracy: on a comparable sensor, a single-point linear calibration gave 24% of full-range error while a ten-point cubic gave 0.6%. Including the unloading curve as well as the loading curve reduced force estimation error by a further 76% relative to loading-only regression.</w:t>
      </w:r>
    </w:p>
    <w:p>
      <w:pPr>
        <w:pStyle w:val="Heading2"/>
      </w:pPr>
      <w:r>
        <w:t xml:space="preserve">4.2 Equipment</w:t>
      </w:r>
    </w:p>
    <w:p>
      <w:pPr>
        <w:pStyle w:val="ListParagraph"/>
        <w:numPr>
          <w:ilvl w:val="0"/>
          <w:numId w:val="3"/>
        </w:numPr>
      </w:pPr>
      <w:r>
        <w:t xml:space="preserve">Calibrated mass set, 200 g increments to at least 8 kg (a laboratory balance can verify the masses)</w:t>
      </w:r>
    </w:p>
    <w:p>
      <w:pPr>
        <w:pStyle w:val="ListParagraph"/>
        <w:numPr>
          <w:ilvl w:val="0"/>
          <w:numId w:val="3"/>
        </w:numPr>
      </w:pPr>
      <w:r>
        <w:t xml:space="preserve">A 3D-printed cylindrical loading puck whose contact face matches the sensor's active diameter (12.7 mm for FSR402). A mismatched contact area is the most common source of calibration error.</w:t>
      </w:r>
    </w:p>
    <w:p>
      <w:pPr>
        <w:pStyle w:val="ListParagraph"/>
        <w:numPr>
          <w:ilvl w:val="0"/>
          <w:numId w:val="3"/>
        </w:numPr>
      </w:pPr>
      <w:r>
        <w:t xml:space="preserve">A rigid, level base and a guide that keeps the puck axial and prevents rocking</w:t>
      </w:r>
    </w:p>
    <w:p>
      <w:pPr>
        <w:pStyle w:val="ListParagraph"/>
        <w:numPr>
          <w:ilvl w:val="0"/>
          <w:numId w:val="3"/>
        </w:numPr>
      </w:pPr>
      <w:r>
        <w:t xml:space="preserve">The target insole with its own acquisition electronics — calibrate through the same ADC, divider and firmware path that will be used in service</w:t>
      </w:r>
    </w:p>
    <w:p>
      <w:pPr>
        <w:pStyle w:val="ListParagraph"/>
        <w:numPr>
          <w:ilvl w:val="0"/>
          <w:numId w:val="3"/>
        </w:numPr>
      </w:pPr>
      <w:r>
        <w:t xml:space="preserve">Thermometer; a means of holding the assembly near 32–34 °C (in-shoe temperature) for the thermal repeat</w:t>
      </w:r>
    </w:p>
    <w:p>
      <w:pPr>
        <w:pStyle w:val="Heading2"/>
      </w:pPr>
      <w:r>
        <w:t xml:space="preserve">4.3 Procedure</w:t>
      </w:r>
    </w:p>
    <w:p>
      <w:pPr>
        <w:pStyle w:val="Heading3"/>
      </w:pPr>
      <w:r>
        <w:t xml:space="preserve">Conditioning</w:t>
      </w:r>
    </w:p>
    <w:p>
      <w:r>
        <w:t xml:space="preserve">Every new sensor is conditioned before any calibration data is taken. Apply and remove 110% of the intended maximum load, ten times, allowing 30 s between cycles. Uncondi­tioned sensors drift substantially during their first loading cycles and a curve fitted before conditioning will not hold.</w:t>
      </w:r>
    </w:p>
    <w:p>
      <w:pPr>
        <w:pStyle w:val="Heading3"/>
      </w:pPr>
      <w:r>
        <w:t xml:space="preserve">Data capture</w:t>
      </w:r>
    </w:p>
    <w:p>
      <w:pPr>
        <w:pStyle w:val="ListParagraph"/>
        <w:numPr>
          <w:ilvl w:val="0"/>
          <w:numId w:val="4"/>
        </w:numPr>
      </w:pPr>
      <w:r>
        <w:t xml:space="preserve">Record sensor serial or position ID, insole side, board ID, date, ambient temperature and firmware version.</w:t>
      </w:r>
    </w:p>
    <w:p>
      <w:pPr>
        <w:pStyle w:val="ListParagraph"/>
        <w:numPr>
          <w:ilvl w:val="0"/>
          <w:numId w:val="4"/>
        </w:numPr>
      </w:pPr>
      <w:r>
        <w:t xml:space="preserve">With no load applied, record the null output for 30 s. Note both mean and standard deviation — the standard deviation is your noise floor and will be quoted later in the agreement analysis.</w:t>
      </w:r>
    </w:p>
    <w:p>
      <w:pPr>
        <w:pStyle w:val="ListParagraph"/>
        <w:numPr>
          <w:ilvl w:val="0"/>
          <w:numId w:val="4"/>
        </w:numPr>
      </w:pPr>
      <w:r>
        <w:t xml:space="preserve">Apply masses in 200 g increments to the maximum. At each step, wait 30 s for the creep response to settle, then record 10 s of output. Record the mean of the final 5 s.</w:t>
      </w:r>
    </w:p>
    <w:p>
      <w:pPr>
        <w:pStyle w:val="ListParagraph"/>
        <w:numPr>
          <w:ilvl w:val="0"/>
          <w:numId w:val="4"/>
        </w:numPr>
      </w:pPr>
      <w:r>
        <w:t xml:space="preserve">Without unloading, reverse the sequence in the same increments, holding and recording identically. These are the unloading points and they are not optional.</w:t>
      </w:r>
    </w:p>
    <w:p>
      <w:pPr>
        <w:pStyle w:val="ListParagraph"/>
        <w:numPr>
          <w:ilvl w:val="0"/>
          <w:numId w:val="4"/>
        </w:numPr>
      </w:pPr>
      <w:r>
        <w:t xml:space="preserve">Repeat the full loading and unloading sequence three times.</w:t>
      </w:r>
    </w:p>
    <w:p>
      <w:pPr>
        <w:pStyle w:val="ListParagraph"/>
        <w:numPr>
          <w:ilvl w:val="0"/>
          <w:numId w:val="4"/>
        </w:numPr>
      </w:pPr>
      <w:r>
        <w:t xml:space="preserve">Repeat once more with the assembly held at 32–34 °C. Record the null output separately at this temperature — this quantifies the drift that FW-04's rolling re-zero has to absorb.</w:t>
      </w:r>
    </w:p>
    <w:p>
      <w:pPr>
        <w:pStyle w:val="Heading3"/>
      </w:pPr>
      <w:r>
        <w:t xml:space="preserve">Fitting</w:t>
      </w:r>
    </w:p>
    <w:p>
      <w:pPr>
        <w:pStyle w:val="ListParagraph"/>
        <w:numPr>
          <w:ilvl w:val="0"/>
          <w:numId w:val="3"/>
        </w:numPr>
      </w:pPr>
      <w:r>
        <w:t xml:space="preserve">Fit a cubic polynomial through at least ten points, using loading and unloading data together.</w:t>
      </w:r>
    </w:p>
    <w:p>
      <w:pPr>
        <w:pStyle w:val="ListParagraph"/>
        <w:numPr>
          <w:ilvl w:val="0"/>
          <w:numId w:val="3"/>
        </w:numPr>
      </w:pPr>
      <w:r>
        <w:t xml:space="preserve">Report R², root-mean-square error and maximum error as a percentage of full range.</w:t>
      </w:r>
    </w:p>
    <w:p>
      <w:pPr>
        <w:pStyle w:val="ListParagraph"/>
        <w:numPr>
          <w:ilvl w:val="0"/>
          <w:numId w:val="3"/>
        </w:numPr>
      </w:pPr>
      <w:r>
        <w:t xml:space="preserve">Report hysteresis as the maximum divergence between the loading and unloading curves, at the load where it occurs. Expect something in the range 7–17%; the datasheet figure will be optimistic by two to four times.</w:t>
      </w:r>
    </w:p>
    <w:p>
      <w:pPr>
        <w:pStyle w:val="ListParagraph"/>
        <w:numPr>
          <w:ilvl w:val="0"/>
          <w:numId w:val="3"/>
        </w:numPr>
      </w:pPr>
      <w:r>
        <w:t xml:space="preserve">Reject and replace any sensor whose null output falls outside the batch distribution, or whose sensitivity differs from the batch mean by more than two standard deviations. Screening on null-force output alone was shown to improve the batch sensitivity ratio by 1.5σ.</w:t>
      </w:r>
    </w:p>
    <w:p>
      <w:pPr>
        <w:pStyle w:val="Heading2"/>
      </w:pPr>
      <w:r>
        <w:t xml:space="preserve">4.4 Record</w:t>
      </w:r>
    </w:p>
    <w:p>
      <w:r>
        <w:t xml:space="preserve">The calibration record for each sensor is part of the design history file. It contains the coefficients, the fit statistics, the raw data, the operator, the date, and the sensor's physical identity. A calibration that cannot be traced to a specific physical sensor is not a calibration.</w:t>
      </w:r>
    </w:p>
    <w:p>
      <w:r>
        <w:t xml:space="preserve">Recalibrate after any of: reflow or resoldering of that channel, a change to the divider resistance or ADC configuration, mechanical rework of the insole, or the endurance interval established by SOP-02 — whichever comes first.</w:t>
      </w:r>
    </w:p>
    <w:p>
      <w:r>
        <w:br w:type="page"/>
      </w:r>
    </w:p>
    <w:p>
      <w:pPr>
        <w:pStyle w:val="Heading1"/>
      </w:pPr>
      <w:r>
        <w:t xml:space="preserve">5. SOP-02 — FSR endurance test</w:t>
      </w:r>
    </w:p>
    <w:p>
      <w:pPr>
        <w:pStyle w:val="Small"/>
      </w:pPr>
      <w:r>
        <w:t xml:space="preserve">Purpose: to establish cycles-to-failure and the rate of sensitivity degradation for the FSR402 under representative plantar loading, and to derive a defensible wear life for labelling.</w:t>
      </w:r>
    </w:p>
    <w:p>
      <w:pPr>
        <w:pStyle w:val="Heading2"/>
      </w:pPr>
      <w:r>
        <w:t xml:space="preserve">5.1 Why this test matters more than an accuracy test</w:t>
      </w:r>
    </w:p>
    <w:p>
      <w:r>
        <w:t xml:space="preserve">A 2025 characterisation found the FSR402 saturating within 2–3 seconds under load exceeding its 0.2–20 N nominal range, with measurable degradation by the second loading trial and complete saturation by the third, attributed to irreversible microstructural change. Set against a heel load of 300–800 N during walking, and roughly 5,000 steps a day, this is the central open question about the current hardware.</w:t>
      </w:r>
    </w:p>
    <w:p>
      <w:r>
        <w:t xml:space="preserve">The literature has no dedicated in-shoe sensor fatigue study. A textile alternative was validated to 1,000 cycles — which a walker reaches before lunch — and a recent capacitive insole paper published no endurance figure at all. This means two things: the test is necessary, and its result is publishable. You are likely to produce bad news, and that data is worth more to the team than any accuracy claim, because nobody else has it.</w:t>
      </w:r>
    </w:p>
    <w:p>
      <w:pPr>
        <w:pStyle w:val="Heading2"/>
      </w:pPr>
      <w:r>
        <w:t xml:space="preserve">5.2 Method</w:t>
      </w:r>
    </w:p>
    <w:p>
      <w:pPr>
        <w:pStyle w:val="ListParagraph"/>
        <w:numPr>
          <w:ilvl w:val="0"/>
          <w:numId w:val="3"/>
        </w:numPr>
      </w:pPr>
      <w:r>
        <w:t xml:space="preserve">Specimens: minimum three FSR402 sensors, freshly conditioned per SOP-01, each with its own fitted curve.</w:t>
      </w:r>
    </w:p>
    <w:p>
      <w:pPr>
        <w:pStyle w:val="ListParagraph"/>
        <w:numPr>
          <w:ilvl w:val="0"/>
          <w:numId w:val="3"/>
        </w:numPr>
      </w:pPr>
      <w:r>
        <w:t xml:space="preserve">Fixture: a cyclic loading rig applying a repeatable compressive load through a puck matched to the sensor's active diameter, on a rigid base. A modified press, a cam on a geared motor, or a pneumatic actuator are all adequate — repeatability of the applied load matters far more than its absolute accuracy.</w:t>
      </w:r>
    </w:p>
    <w:p>
      <w:pPr>
        <w:pStyle w:val="ListParagraph"/>
        <w:numPr>
          <w:ilvl w:val="0"/>
          <w:numId w:val="3"/>
        </w:numPr>
      </w:pPr>
      <w:r>
        <w:t xml:space="preserve">Load profile: peak 500 N where the rig allows, at 1 Hz, with a load-time profile approximating heel strike rather than a square wave. If the rig cannot reach 500 N, run at the highest achievable load and state it — a result at 200 N is still evidence, an unstated load is not.</w:t>
      </w:r>
    </w:p>
    <w:p>
      <w:pPr>
        <w:pStyle w:val="ListParagraph"/>
        <w:numPr>
          <w:ilvl w:val="0"/>
          <w:numId w:val="3"/>
        </w:numPr>
      </w:pPr>
      <w:r>
        <w:t xml:space="preserve">Duration: 10,000 cycles minimum, which is roughly two days of walking on one foot.</w:t>
      </w:r>
    </w:p>
    <w:p>
      <w:pPr>
        <w:pStyle w:val="ListParagraph"/>
        <w:numPr>
          <w:ilvl w:val="0"/>
          <w:numId w:val="3"/>
        </w:numPr>
      </w:pPr>
      <w:r>
        <w:t xml:space="preserve">Interruptions: every 500 cycles, stop and run an abbreviated SOP-01 (null output plus five loading points). Record the time, cycle count and temperature.</w:t>
      </w:r>
    </w:p>
    <w:p>
      <w:pPr>
        <w:pStyle w:val="Heading2"/>
      </w:pPr>
      <w:r>
        <w:t xml:space="preserve">5.3 Outputs</w:t>
      </w:r>
    </w:p>
    <w:p>
      <w:pPr>
        <w:pStyle w:val="ListParagraph"/>
        <w:numPr>
          <w:ilvl w:val="0"/>
          <w:numId w:val="3"/>
        </w:numPr>
      </w:pPr>
      <w:r>
        <w:t xml:space="preserve">Sensitivity as a function of cycle count, per specimen, plotted with the batch mean</w:t>
      </w:r>
    </w:p>
    <w:p>
      <w:pPr>
        <w:pStyle w:val="ListParagraph"/>
        <w:numPr>
          <w:ilvl w:val="0"/>
          <w:numId w:val="3"/>
        </w:numPr>
      </w:pPr>
      <w:r>
        <w:t xml:space="preserve">Null-force output as a function of cycle count — expected to be the first thing to move</w:t>
      </w:r>
    </w:p>
    <w:p>
      <w:pPr>
        <w:pStyle w:val="ListParagraph"/>
        <w:numPr>
          <w:ilvl w:val="0"/>
          <w:numId w:val="3"/>
        </w:numPr>
      </w:pPr>
      <w:r>
        <w:t xml:space="preserve">Cycles to a 10% sensitivity change, and cycles to a 25% change; propose the wear life from the more conservative of these with a safety factor</w:t>
      </w:r>
    </w:p>
    <w:p>
      <w:pPr>
        <w:pStyle w:val="ListParagraph"/>
        <w:numPr>
          <w:ilvl w:val="0"/>
          <w:numId w:val="3"/>
        </w:numPr>
      </w:pPr>
      <w:r>
        <w:t xml:space="preserve">Any step change or discontinuity, with the cycle count and a photograph of the specimen</w:t>
      </w:r>
    </w:p>
    <w:p>
      <w:pPr>
        <w:pStyle w:val="ListParagraph"/>
        <w:numPr>
          <w:ilvl w:val="0"/>
          <w:numId w:val="3"/>
        </w:numPr>
      </w:pPr>
      <w:r>
        <w:t xml:space="preserve">A failure log recording mode of failure for each specimen</w:t>
      </w:r>
    </w:p>
    <w:p>
      <w:r>
        <w:t xml:space="preserve">Report the result whatever it says. If the sensors degrade in a few thousand cycles, that is the finding that justifies moving to a capacitive matrix in the next revision — and it is a stronger argument for the funding ask than any accuracy figure, because it is your own primary data answering a question the field has not answered.</w:t>
      </w:r>
    </w:p>
    <w:p>
      <w:r>
        <w:br w:type="page"/>
      </w:r>
    </w:p>
    <w:p>
      <w:pPr>
        <w:pStyle w:val="Heading1"/>
      </w:pPr>
      <w:r>
        <w:t xml:space="preserve">6. The six-month programme, restructured</w:t>
      </w:r>
    </w:p>
    <w:p>
      <w:r>
        <w:t xml:space="preserve">The existing plan has the right shape and the wrong vocabulary. Restated as a V3 ladder — verification, then analytical validation, then clinical validation — it becomes legible to a regulator, an ethics committee and a reviewer, and it makes clear which phase you are actually in.</w:t>
      </w:r>
    </w:p>
    <w:p>
      <w:r>
        <w:t xml:space="preserve">Write the context of use first, in one sentence, before anything else. Everything downstream is judged against it, and it is the first question the V3 framework asks.</w:t>
      </w:r>
    </w:p>
    <w:p>
      <w:pPr>
        <w:pStyle w:val="Heading2"/>
      </w:pPr>
      <w:r>
        <w:t xml:space="preserve">6.1 The programme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700"/>
        <w:gridCol w:w="4100"/>
        <w:gridCol w:w="3246"/>
      </w:tblGrid>
      <w:tr>
        <w:trPr>
          <w:tblHeader/>
        </w:trPr>
        <w:tc>
          <w:tcPr>
            <w:tcW w:type="dxa" w:w="700"/>
            <w:shd w:fill="E7ECEE" w:val="clear"/>
            <w:tcMar>
              <w:top w:type="dxa" w:w="80"/>
              <w:left w:type="dxa" w:w="110"/>
              <w:bottom w:type="dxa" w:w="80"/>
              <w:right w:type="dxa" w:w="110"/>
            </w:tcMar>
          </w:tcPr>
          <w:p>
            <w:pPr>
              <w:spacing w:after="0"/>
            </w:pPr>
            <w:r>
              <w:rPr>
                <w:b/>
                <w:bCs/>
                <w:color w:val="1A2427"/>
                <w:sz w:val="16"/>
                <w:szCs w:val="16"/>
              </w:rPr>
              <w:t xml:space="preserve">Month</w:t>
            </w:r>
          </w:p>
        </w:tc>
        <w:tc>
          <w:tcPr>
            <w:tcW w:type="dxa" w:w="1700"/>
            <w:shd w:fill="E7ECEE" w:val="clear"/>
            <w:tcMar>
              <w:top w:type="dxa" w:w="80"/>
              <w:left w:type="dxa" w:w="110"/>
              <w:bottom w:type="dxa" w:w="80"/>
              <w:right w:type="dxa" w:w="110"/>
            </w:tcMar>
          </w:tcPr>
          <w:p>
            <w:pPr>
              <w:spacing w:after="0"/>
            </w:pPr>
            <w:r>
              <w:rPr>
                <w:b/>
                <w:bCs/>
                <w:color w:val="1A2427"/>
                <w:sz w:val="16"/>
                <w:szCs w:val="16"/>
              </w:rPr>
              <w:t xml:space="preserve">V3 stage</w:t>
            </w:r>
          </w:p>
        </w:tc>
        <w:tc>
          <w:tcPr>
            <w:tcW w:type="dxa" w:w="4100"/>
            <w:shd w:fill="E7ECEE" w:val="clear"/>
            <w:tcMar>
              <w:top w:type="dxa" w:w="80"/>
              <w:left w:type="dxa" w:w="110"/>
              <w:bottom w:type="dxa" w:w="80"/>
              <w:right w:type="dxa" w:w="110"/>
            </w:tcMar>
          </w:tcPr>
          <w:p>
            <w:pPr>
              <w:spacing w:after="0"/>
            </w:pPr>
            <w:r>
              <w:rPr>
                <w:b/>
                <w:bCs/>
                <w:color w:val="1A2427"/>
                <w:sz w:val="16"/>
                <w:szCs w:val="16"/>
              </w:rPr>
              <w:t xml:space="preserve">Work</w:t>
            </w:r>
          </w:p>
        </w:tc>
        <w:tc>
          <w:tcPr>
            <w:tcW w:type="dxa" w:w="3246"/>
            <w:shd w:fill="E7ECEE" w:val="clear"/>
            <w:tcMar>
              <w:top w:type="dxa" w:w="80"/>
              <w:left w:type="dxa" w:w="110"/>
              <w:bottom w:type="dxa" w:w="80"/>
              <w:right w:type="dxa" w:w="110"/>
            </w:tcMar>
          </w:tcPr>
          <w:p>
            <w:pPr>
              <w:spacing w:after="0"/>
            </w:pPr>
            <w:r>
              <w:rPr>
                <w:b/>
                <w:bCs/>
                <w:color w:val="1A2427"/>
                <w:sz w:val="16"/>
                <w:szCs w:val="16"/>
              </w:rPr>
              <w:t xml:space="preserve">Deliverable</w:t>
            </w:r>
          </w:p>
        </w:tc>
      </w:tr>
      <w:tr>
        <w:tc>
          <w:tcPr>
            <w:tcW w:type="dxa" w:w="700"/>
            <w:tcMar>
              <w:top w:type="dxa" w:w="80"/>
              <w:left w:type="dxa" w:w="110"/>
              <w:bottom w:type="dxa" w:w="80"/>
              <w:right w:type="dxa" w:w="110"/>
            </w:tcMar>
          </w:tcPr>
          <w:p>
            <w:pPr>
              <w:spacing w:after="0"/>
            </w:pPr>
            <w:r>
              <w:rPr>
                <w:b w:val="false"/>
                <w:bCs w:val="false"/>
                <w:color w:val="1A2427"/>
                <w:sz w:val="16"/>
                <w:szCs w:val="16"/>
              </w:rPr>
              <w:t xml:space="preserve">1</w:t>
            </w:r>
          </w:p>
        </w:tc>
        <w:tc>
          <w:tcPr>
            <w:tcW w:type="dxa" w:w="1700"/>
            <w:tcMar>
              <w:top w:type="dxa" w:w="80"/>
              <w:left w:type="dxa" w:w="110"/>
              <w:bottom w:type="dxa" w:w="80"/>
              <w:right w:type="dxa" w:w="110"/>
            </w:tcMar>
          </w:tcPr>
          <w:p>
            <w:pPr>
              <w:spacing w:after="0"/>
            </w:pPr>
            <w:r>
              <w:rPr>
                <w:b/>
                <w:bCs/>
                <w:color w:val="0E6E78"/>
                <w:sz w:val="16"/>
                <w:szCs w:val="16"/>
              </w:rPr>
              <w:t xml:space="preserve">Verification</w:t>
            </w:r>
          </w:p>
        </w:tc>
        <w:tc>
          <w:tcPr>
            <w:tcW w:type="dxa" w:w="4100"/>
            <w:tcMar>
              <w:top w:type="dxa" w:w="80"/>
              <w:left w:type="dxa" w:w="110"/>
              <w:bottom w:type="dxa" w:w="80"/>
              <w:right w:type="dxa" w:w="110"/>
            </w:tcMar>
          </w:tcPr>
          <w:p>
            <w:pPr>
              <w:spacing w:after="0"/>
            </w:pPr>
            <w:r>
              <w:rPr>
                <w:b w:val="false"/>
                <w:bCs w:val="false"/>
                <w:color w:val="1A2427"/>
                <w:sz w:val="16"/>
                <w:szCs w:val="16"/>
              </w:rPr>
              <w:t xml:space="preserve">Context of use written. CDSCO classification letter sent. Firmware defects FW-01 to FW-03 fixed as one change. SOP-01 executed on all sensors. ISO 14971 file opened.</w:t>
            </w:r>
          </w:p>
        </w:tc>
        <w:tc>
          <w:tcPr>
            <w:tcW w:type="dxa" w:w="3246"/>
            <w:tcMar>
              <w:top w:type="dxa" w:w="80"/>
              <w:left w:type="dxa" w:w="110"/>
              <w:bottom w:type="dxa" w:w="80"/>
              <w:right w:type="dxa" w:w="110"/>
            </w:tcMar>
          </w:tcPr>
          <w:p>
            <w:pPr>
              <w:spacing w:after="0"/>
            </w:pPr>
            <w:r>
              <w:rPr>
                <w:b w:val="false"/>
                <w:bCs w:val="false"/>
                <w:color w:val="1A2427"/>
                <w:sz w:val="16"/>
                <w:szCs w:val="16"/>
              </w:rPr>
              <w:t xml:space="preserve">Calibration records; classification request on file; corrected acquisition path</w:t>
            </w:r>
          </w:p>
        </w:tc>
      </w:tr>
      <w:tr>
        <w:tc>
          <w:tcPr>
            <w:tcW w:type="dxa" w:w="700"/>
            <w:tcMar>
              <w:top w:type="dxa" w:w="80"/>
              <w:left w:type="dxa" w:w="110"/>
              <w:bottom w:type="dxa" w:w="80"/>
              <w:right w:type="dxa" w:w="110"/>
            </w:tcMar>
          </w:tcPr>
          <w:p>
            <w:pPr>
              <w:spacing w:after="0"/>
            </w:pPr>
            <w:r>
              <w:rPr>
                <w:b w:val="false"/>
                <w:bCs w:val="false"/>
                <w:color w:val="1A2427"/>
                <w:sz w:val="16"/>
                <w:szCs w:val="16"/>
              </w:rPr>
              <w:t xml:space="preserve">2</w:t>
            </w:r>
          </w:p>
        </w:tc>
        <w:tc>
          <w:tcPr>
            <w:tcW w:type="dxa" w:w="1700"/>
            <w:tcMar>
              <w:top w:type="dxa" w:w="80"/>
              <w:left w:type="dxa" w:w="110"/>
              <w:bottom w:type="dxa" w:w="80"/>
              <w:right w:type="dxa" w:w="110"/>
            </w:tcMar>
          </w:tcPr>
          <w:p>
            <w:pPr>
              <w:spacing w:after="0"/>
            </w:pPr>
            <w:r>
              <w:rPr>
                <w:b/>
                <w:bCs/>
                <w:color w:val="0E6E78"/>
                <w:sz w:val="16"/>
                <w:szCs w:val="16"/>
              </w:rPr>
              <w:t xml:space="preserve">Verification</w:t>
            </w:r>
          </w:p>
        </w:tc>
        <w:tc>
          <w:tcPr>
            <w:tcW w:type="dxa" w:w="4100"/>
            <w:tcMar>
              <w:top w:type="dxa" w:w="80"/>
              <w:left w:type="dxa" w:w="110"/>
              <w:bottom w:type="dxa" w:w="80"/>
              <w:right w:type="dxa" w:w="110"/>
            </w:tcMar>
          </w:tcPr>
          <w:p>
            <w:pPr>
              <w:spacing w:after="0"/>
            </w:pPr>
            <w:r>
              <w:rPr>
                <w:b w:val="false"/>
                <w:bCs w:val="false"/>
                <w:color w:val="1A2427"/>
                <w:sz w:val="16"/>
                <w:szCs w:val="16"/>
              </w:rPr>
              <w:t xml:space="preserve">SOP-02 endurance test. Remaining firmware defects. Bench characterisation: noise, drift, repeatability across temperature. Enclosure and power integration.</w:t>
            </w:r>
          </w:p>
        </w:tc>
        <w:tc>
          <w:tcPr>
            <w:tcW w:type="dxa" w:w="3246"/>
            <w:tcMar>
              <w:top w:type="dxa" w:w="80"/>
              <w:left w:type="dxa" w:w="110"/>
              <w:bottom w:type="dxa" w:w="80"/>
              <w:right w:type="dxa" w:w="110"/>
            </w:tcMar>
          </w:tcPr>
          <w:p>
            <w:pPr>
              <w:spacing w:after="0"/>
            </w:pPr>
            <w:r>
              <w:rPr>
                <w:b w:val="false"/>
                <w:bCs w:val="false"/>
                <w:color w:val="1A2427"/>
                <w:sz w:val="16"/>
                <w:szCs w:val="16"/>
              </w:rPr>
              <w:t xml:space="preserve">Engineering test report; wear life estimate; failure log</w:t>
            </w:r>
          </w:p>
        </w:tc>
      </w:tr>
      <w:tr>
        <w:tc>
          <w:tcPr>
            <w:tcW w:type="dxa" w:w="700"/>
            <w:tcMar>
              <w:top w:type="dxa" w:w="80"/>
              <w:left w:type="dxa" w:w="110"/>
              <w:bottom w:type="dxa" w:w="80"/>
              <w:right w:type="dxa" w:w="110"/>
            </w:tcMar>
          </w:tcPr>
          <w:p>
            <w:pPr>
              <w:spacing w:after="0"/>
            </w:pPr>
            <w:r>
              <w:rPr>
                <w:b w:val="false"/>
                <w:bCs w:val="false"/>
                <w:color w:val="1A2427"/>
                <w:sz w:val="16"/>
                <w:szCs w:val="16"/>
              </w:rPr>
              <w:t xml:space="preserve">3</w:t>
            </w:r>
          </w:p>
        </w:tc>
        <w:tc>
          <w:tcPr>
            <w:tcW w:type="dxa" w:w="1700"/>
            <w:tcMar>
              <w:top w:type="dxa" w:w="80"/>
              <w:left w:type="dxa" w:w="110"/>
              <w:bottom w:type="dxa" w:w="80"/>
              <w:right w:type="dxa" w:w="110"/>
            </w:tcMar>
          </w:tcPr>
          <w:p>
            <w:pPr>
              <w:spacing w:after="0"/>
            </w:pPr>
            <w:r>
              <w:rPr>
                <w:b/>
                <w:bCs/>
                <w:color w:val="0E6E78"/>
                <w:sz w:val="16"/>
                <w:szCs w:val="16"/>
              </w:rPr>
              <w:t xml:space="preserve">Analytical validation</w:t>
            </w:r>
          </w:p>
        </w:tc>
        <w:tc>
          <w:tcPr>
            <w:tcW w:type="dxa" w:w="4100"/>
            <w:tcMar>
              <w:top w:type="dxa" w:w="80"/>
              <w:left w:type="dxa" w:w="110"/>
              <w:bottom w:type="dxa" w:w="80"/>
              <w:right w:type="dxa" w:w="110"/>
            </w:tcMar>
          </w:tcPr>
          <w:p>
            <w:pPr>
              <w:spacing w:after="0"/>
            </w:pPr>
            <w:r>
              <w:rPr>
                <w:b w:val="false"/>
                <w:bCs w:val="false"/>
                <w:color w:val="1A2427"/>
                <w:sz w:val="16"/>
                <w:szCs w:val="16"/>
              </w:rPr>
              <w:t xml:space="preserve">Healthy-volunteer data collection against video reference. Session logging, export path, data quality flags. Ethics application prepared; host committee's DHR registration confirmed.</w:t>
            </w:r>
          </w:p>
        </w:tc>
        <w:tc>
          <w:tcPr>
            <w:tcW w:type="dxa" w:w="3246"/>
            <w:tcMar>
              <w:top w:type="dxa" w:w="80"/>
              <w:left w:type="dxa" w:w="110"/>
              <w:bottom w:type="dxa" w:w="80"/>
              <w:right w:type="dxa" w:w="110"/>
            </w:tcMar>
          </w:tcPr>
          <w:p>
            <w:pPr>
              <w:spacing w:after="0"/>
            </w:pPr>
            <w:r>
              <w:rPr>
                <w:b w:val="false"/>
                <w:bCs w:val="false"/>
                <w:color w:val="1A2427"/>
                <w:sz w:val="16"/>
                <w:szCs w:val="16"/>
              </w:rPr>
              <w:t xml:space="preserve">Agreement analysis, healthy cohort; ethics submission</w:t>
            </w:r>
          </w:p>
        </w:tc>
      </w:tr>
      <w:tr>
        <w:tc>
          <w:tcPr>
            <w:tcW w:type="dxa" w:w="700"/>
            <w:tcMar>
              <w:top w:type="dxa" w:w="80"/>
              <w:left w:type="dxa" w:w="110"/>
              <w:bottom w:type="dxa" w:w="80"/>
              <w:right w:type="dxa" w:w="110"/>
            </w:tcMar>
          </w:tcPr>
          <w:p>
            <w:pPr>
              <w:spacing w:after="0"/>
            </w:pPr>
            <w:r>
              <w:rPr>
                <w:b w:val="false"/>
                <w:bCs w:val="false"/>
                <w:color w:val="1A2427"/>
                <w:sz w:val="16"/>
                <w:szCs w:val="16"/>
              </w:rPr>
              <w:t xml:space="preserve">4</w:t>
            </w:r>
          </w:p>
        </w:tc>
        <w:tc>
          <w:tcPr>
            <w:tcW w:type="dxa" w:w="1700"/>
            <w:tcMar>
              <w:top w:type="dxa" w:w="80"/>
              <w:left w:type="dxa" w:w="110"/>
              <w:bottom w:type="dxa" w:w="80"/>
              <w:right w:type="dxa" w:w="110"/>
            </w:tcMar>
          </w:tcPr>
          <w:p>
            <w:pPr>
              <w:spacing w:after="0"/>
            </w:pPr>
            <w:r>
              <w:rPr>
                <w:b/>
                <w:bCs/>
                <w:color w:val="0E6E78"/>
                <w:sz w:val="16"/>
                <w:szCs w:val="16"/>
              </w:rPr>
              <w:t xml:space="preserve">Analytical validation</w:t>
            </w:r>
          </w:p>
        </w:tc>
        <w:tc>
          <w:tcPr>
            <w:tcW w:type="dxa" w:w="4100"/>
            <w:tcMar>
              <w:top w:type="dxa" w:w="80"/>
              <w:left w:type="dxa" w:w="110"/>
              <w:bottom w:type="dxa" w:w="80"/>
              <w:right w:type="dxa" w:w="110"/>
            </w:tcMar>
          </w:tcPr>
          <w:p>
            <w:pPr>
              <w:spacing w:after="0"/>
            </w:pPr>
            <w:r>
              <w:rPr>
                <w:b w:val="false"/>
                <w:bCs w:val="false"/>
                <w:color w:val="1A2427"/>
                <w:sz w:val="16"/>
                <w:szCs w:val="16"/>
              </w:rPr>
              <w:t xml:space="preserve">Ethics approval. CTRI registration completed — before any participant. Clinician review of outputs and report format. Protocol finalised against DECIDE-AI reporting items.</w:t>
            </w:r>
          </w:p>
        </w:tc>
        <w:tc>
          <w:tcPr>
            <w:tcW w:type="dxa" w:w="3246"/>
            <w:tcMar>
              <w:top w:type="dxa" w:w="80"/>
              <w:left w:type="dxa" w:w="110"/>
              <w:bottom w:type="dxa" w:w="80"/>
              <w:right w:type="dxa" w:w="110"/>
            </w:tcMar>
          </w:tcPr>
          <w:p>
            <w:pPr>
              <w:spacing w:after="0"/>
            </w:pPr>
            <w:r>
              <w:rPr>
                <w:b w:val="false"/>
                <w:bCs w:val="false"/>
                <w:color w:val="1A2427"/>
                <w:sz w:val="16"/>
                <w:szCs w:val="16"/>
              </w:rPr>
              <w:t xml:space="preserve">Approved protocol; CTRI registration number</w:t>
            </w:r>
          </w:p>
        </w:tc>
      </w:tr>
      <w:tr>
        <w:tc>
          <w:tcPr>
            <w:tcW w:type="dxa" w:w="700"/>
            <w:tcMar>
              <w:top w:type="dxa" w:w="80"/>
              <w:left w:type="dxa" w:w="110"/>
              <w:bottom w:type="dxa" w:w="80"/>
              <w:right w:type="dxa" w:w="110"/>
            </w:tcMar>
          </w:tcPr>
          <w:p>
            <w:pPr>
              <w:spacing w:after="0"/>
            </w:pPr>
            <w:r>
              <w:rPr>
                <w:b w:val="false"/>
                <w:bCs w:val="false"/>
                <w:color w:val="1A2427"/>
                <w:sz w:val="16"/>
                <w:szCs w:val="16"/>
              </w:rPr>
              <w:t xml:space="preserve">5</w:t>
            </w:r>
          </w:p>
        </w:tc>
        <w:tc>
          <w:tcPr>
            <w:tcW w:type="dxa" w:w="1700"/>
            <w:tcMar>
              <w:top w:type="dxa" w:w="80"/>
              <w:left w:type="dxa" w:w="110"/>
              <w:bottom w:type="dxa" w:w="80"/>
              <w:right w:type="dxa" w:w="110"/>
            </w:tcMar>
          </w:tcPr>
          <w:p>
            <w:pPr>
              <w:spacing w:after="0"/>
            </w:pPr>
            <w:r>
              <w:rPr>
                <w:b/>
                <w:bCs/>
                <w:color w:val="0E6E78"/>
                <w:sz w:val="16"/>
                <w:szCs w:val="16"/>
              </w:rPr>
              <w:t xml:space="preserve">Clinical validation (start)</w:t>
            </w:r>
          </w:p>
        </w:tc>
        <w:tc>
          <w:tcPr>
            <w:tcW w:type="dxa" w:w="4100"/>
            <w:tcMar>
              <w:top w:type="dxa" w:w="80"/>
              <w:left w:type="dxa" w:w="110"/>
              <w:bottom w:type="dxa" w:w="80"/>
              <w:right w:type="dxa" w:w="110"/>
            </w:tcMar>
          </w:tcPr>
          <w:p>
            <w:pPr>
              <w:spacing w:after="0"/>
            </w:pPr>
            <w:r>
              <w:rPr>
                <w:b w:val="false"/>
                <w:bCs w:val="false"/>
                <w:color w:val="1A2427"/>
                <w:sz w:val="16"/>
                <w:szCs w:val="16"/>
              </w:rPr>
              <w:t xml:space="preserve">Supervised multi-session data collection in the target population. Wear time and retention recorded as pre-registered endpoints, not as an afterthought.</w:t>
            </w:r>
          </w:p>
        </w:tc>
        <w:tc>
          <w:tcPr>
            <w:tcW w:type="dxa" w:w="3246"/>
            <w:tcMar>
              <w:top w:type="dxa" w:w="80"/>
              <w:left w:type="dxa" w:w="110"/>
              <w:bottom w:type="dxa" w:w="80"/>
              <w:right w:type="dxa" w:w="110"/>
            </w:tcMar>
          </w:tcPr>
          <w:p>
            <w:pPr>
              <w:spacing w:after="0"/>
            </w:pPr>
            <w:r>
              <w:rPr>
                <w:b w:val="false"/>
                <w:bCs w:val="false"/>
                <w:color w:val="1A2427"/>
                <w:sz w:val="16"/>
                <w:szCs w:val="16"/>
              </w:rPr>
              <w:t xml:space="preserve">Pilot dataset; adherence and retention data</w:t>
            </w:r>
          </w:p>
        </w:tc>
      </w:tr>
      <w:tr>
        <w:tc>
          <w:tcPr>
            <w:tcW w:type="dxa" w:w="700"/>
            <w:tcMar>
              <w:top w:type="dxa" w:w="80"/>
              <w:left w:type="dxa" w:w="110"/>
              <w:bottom w:type="dxa" w:w="80"/>
              <w:right w:type="dxa" w:w="110"/>
            </w:tcMar>
          </w:tcPr>
          <w:p>
            <w:pPr>
              <w:spacing w:after="0"/>
            </w:pPr>
            <w:r>
              <w:rPr>
                <w:b w:val="false"/>
                <w:bCs w:val="false"/>
                <w:color w:val="1A2427"/>
                <w:sz w:val="16"/>
                <w:szCs w:val="16"/>
              </w:rPr>
              <w:t xml:space="preserve">6</w:t>
            </w:r>
          </w:p>
        </w:tc>
        <w:tc>
          <w:tcPr>
            <w:tcW w:type="dxa" w:w="1700"/>
            <w:tcMar>
              <w:top w:type="dxa" w:w="80"/>
              <w:left w:type="dxa" w:w="110"/>
              <w:bottom w:type="dxa" w:w="80"/>
              <w:right w:type="dxa" w:w="110"/>
            </w:tcMar>
          </w:tcPr>
          <w:p>
            <w:pPr>
              <w:spacing w:after="0"/>
            </w:pPr>
            <w:r>
              <w:rPr>
                <w:b/>
                <w:bCs/>
                <w:color w:val="0E6E78"/>
                <w:sz w:val="16"/>
                <w:szCs w:val="16"/>
              </w:rPr>
              <w:t xml:space="preserve">Reporting</w:t>
            </w:r>
          </w:p>
        </w:tc>
        <w:tc>
          <w:tcPr>
            <w:tcW w:type="dxa" w:w="4100"/>
            <w:tcMar>
              <w:top w:type="dxa" w:w="80"/>
              <w:left w:type="dxa" w:w="110"/>
              <w:bottom w:type="dxa" w:w="80"/>
              <w:right w:type="dxa" w:w="110"/>
            </w:tcMar>
          </w:tcPr>
          <w:p>
            <w:pPr>
              <w:spacing w:after="0"/>
            </w:pPr>
            <w:r>
              <w:rPr>
                <w:b w:val="false"/>
                <w:bCs w:val="false"/>
                <w:color w:val="1A2427"/>
                <w:sz w:val="16"/>
                <w:szCs w:val="16"/>
              </w:rPr>
              <w:t xml:space="preserve">Analysis, validation report, design revision plan, prior-art assessment, next funding package.</w:t>
            </w:r>
          </w:p>
        </w:tc>
        <w:tc>
          <w:tcPr>
            <w:tcW w:type="dxa" w:w="3246"/>
            <w:tcMar>
              <w:top w:type="dxa" w:w="80"/>
              <w:left w:type="dxa" w:w="110"/>
              <w:bottom w:type="dxa" w:w="80"/>
              <w:right w:type="dxa" w:w="110"/>
            </w:tcMar>
          </w:tcPr>
          <w:p>
            <w:pPr>
              <w:spacing w:after="0"/>
            </w:pPr>
            <w:r>
              <w:rPr>
                <w:b w:val="false"/>
                <w:bCs w:val="false"/>
                <w:color w:val="1A2427"/>
                <w:sz w:val="16"/>
                <w:szCs w:val="16"/>
              </w:rPr>
              <w:t xml:space="preserve">Validation report; manuscript draft; revised device requirements</w:t>
            </w:r>
          </w:p>
        </w:tc>
      </w:tr>
    </w:tbl>
    <w:p>
      <w:pPr>
        <w:pStyle w:val="Heading2"/>
      </w:pPr>
      <w:r>
        <w:t xml:space="preserve">6.2 Two steps not in the current budget</w:t>
      </w:r>
    </w:p>
    <w:p>
      <w:r>
        <w:t xml:space="preserve">Prospective registration with the Clinical Trials Registry of India is free but must precede your first participant, and it cannot be added retrospectively. A study that should have been registered and was not is difficult to publish and impossible to submit.</w:t>
      </w:r>
    </w:p>
    <w:p>
      <w:r>
        <w:t xml:space="preserve">Ethics committee registration is separate from ethics approval. Confirm that your host institution's committee holds a current registration with the Department of Health Research under the NECRBHR, and put the registration number in the protocol. An unregistered committee's approval will not support publication or any later regulatory filing. ICMR's national guidelines require ethics review of all research involving human participants, including healthy volunteers — but supervised walking while wearing an insole is arguable as minimal risk, and that is the specific claim that qualifies the application for expedited rather than full-committee review.</w:t>
      </w:r>
    </w:p>
    <w:p>
      <w:pPr>
        <w:pStyle w:val="Heading2"/>
      </w:pPr>
      <w:r>
        <w:t xml:space="preserve">6.3 Analytical validation protocol</w:t>
      </w:r>
    </w:p>
    <w:p>
      <w:r>
        <w:t xml:space="preserve">Copy the design that a 2024 stroke-gait study used, because it is affordable and it worked. That study validated a twelve-sensor insole in 17 chronic stroke patients against frame-by-frame video labelling from a single action camera at 120 Hz, with two independent raters, and reported 90.86% of 3,820 gait events correctly identified, stance duration ICC 0.874 and test-retest ICC 0.928. No motion capture laboratory was involved.</w:t>
      </w:r>
    </w:p>
    <w:p>
      <w:pPr>
        <w:pStyle w:val="Heading3"/>
      </w:pPr>
      <w:r>
        <w:t xml:space="preserve">Design</w:t>
      </w:r>
    </w:p>
    <w:p>
      <w:pPr>
        <w:pStyle w:val="ListParagraph"/>
        <w:numPr>
          <w:ilvl w:val="0"/>
          <w:numId w:val="3"/>
        </w:numPr>
      </w:pPr>
      <w:r>
        <w:t xml:space="preserve">Participants: 15–20 healthy adults for the first pass. Justified as a pilot for feasibility and variance estimation, not as an agreement study.</w:t>
      </w:r>
    </w:p>
    <w:p>
      <w:pPr>
        <w:pStyle w:val="ListParagraph"/>
        <w:numPr>
          <w:ilvl w:val="0"/>
          <w:numId w:val="3"/>
        </w:numPr>
      </w:pPr>
      <w:r>
        <w:t xml:space="preserve">Reference standard: action camera at 120 fps or higher, mounted at foot height, frame-by-frame event labelling by two independent raters with disagreements adjudicated. Report inter-rater agreement.</w:t>
      </w:r>
    </w:p>
    <w:p>
      <w:pPr>
        <w:pStyle w:val="ListParagraph"/>
        <w:numPr>
          <w:ilvl w:val="0"/>
          <w:numId w:val="3"/>
        </w:numPr>
      </w:pPr>
      <w:r>
        <w:t xml:space="preserve">Protocol: a standardised walk with turns, at self-selected and at deliberately slow and fast speeds. Include turning — event detection error roughly doubles the moment walking stops being straight-line, and a corridor-only validation will overstate your accuracy.</w:t>
      </w:r>
    </w:p>
    <w:p>
      <w:pPr>
        <w:pStyle w:val="ListParagraph"/>
        <w:numPr>
          <w:ilvl w:val="0"/>
          <w:numId w:val="3"/>
        </w:numPr>
      </w:pPr>
      <w:r>
        <w:t xml:space="preserve">Minimum 12 steps per foot per condition. This is the canonical figure for valid in-shoe plantar pressure data and it is the floor for any pressure-derived output.</w:t>
      </w:r>
    </w:p>
    <w:p>
      <w:pPr>
        <w:pStyle w:val="ListParagraph"/>
        <w:numPr>
          <w:ilvl w:val="0"/>
          <w:numId w:val="3"/>
        </w:numPr>
      </w:pPr>
      <w:r>
        <w:t xml:space="preserve">Any variability metric — including ankle sway variance — needs a separate and far longer window. Mean gait metrics reach ICC above 0.90 at around 10 strides; variability metrics need 10 to 80. Do not put them behind the same persistence rule.</w:t>
      </w:r>
    </w:p>
    <w:p>
      <w:pPr>
        <w:pStyle w:val="Heading2"/>
      </w:pPr>
      <w:r>
        <w:t xml:space="preserve">6.4 Statistical analysis plan</w:t>
      </w:r>
    </w:p>
    <w:p>
      <w:pPr>
        <w:pStyle w:val="ListParagraph"/>
        <w:numPr>
          <w:ilvl w:val="0"/>
          <w:numId w:val="3"/>
        </w:numPr>
      </w:pPr>
      <w:r>
        <w:t xml:space="preserve">Report Bland-Altman limits of agreement. Do not report correlation as evidence of agreement — it is the wrong statistic for method comparison and it is the single most common error in student validation work.</w:t>
      </w:r>
    </w:p>
    <w:p>
      <w:pPr>
        <w:pStyle w:val="ListParagraph"/>
        <w:numPr>
          <w:ilvl w:val="0"/>
          <w:numId w:val="3"/>
        </w:numPr>
      </w:pPr>
      <w:r>
        <w:t xml:space="preserve">Pre-declare a clinically acceptable difference before collecting data. Limits of agreement are uninterpretable without one.</w:t>
      </w:r>
    </w:p>
    <w:p>
      <w:pPr>
        <w:pStyle w:val="ListParagraph"/>
        <w:numPr>
          <w:ilvl w:val="0"/>
          <w:numId w:val="3"/>
        </w:numPr>
      </w:pPr>
      <w:r>
        <w:t xml:space="preserve">Report bias alongside any ICC. A commercial insole with a hundred times your sensor count achieved ICC 0.82–0.98 while systematically under-reading force by up to 37% — high ICC and large bias coexist comfortably.</w:t>
      </w:r>
    </w:p>
    <w:p>
      <w:pPr>
        <w:pStyle w:val="ListParagraph"/>
        <w:numPr>
          <w:ilvl w:val="0"/>
          <w:numId w:val="3"/>
        </w:numPr>
      </w:pPr>
      <w:r>
        <w:t xml:space="preserve">Present this phase as estimating the mean and standard deviation of differences, to power a future study. Establishing agreement properly required n = 83 in a published worked example; a pilot of 15–20 cannot do it and should not claim to.</w:t>
      </w:r>
    </w:p>
    <w:p>
      <w:pPr>
        <w:pStyle w:val="ListParagraph"/>
        <w:numPr>
          <w:ilvl w:val="0"/>
          <w:numId w:val="3"/>
        </w:numPr>
      </w:pPr>
      <w:r>
        <w:t xml:space="preserve">If any output becomes model-derived, hold out a cohort the model has never seen. WHO's regulatory considerations call for external validation, and that has to be designed in before data collection, not arranged afterwards.</w:t>
      </w:r>
    </w:p>
    <w:p>
      <w:pPr>
        <w:pStyle w:val="Heading2"/>
      </w:pPr>
      <w:r>
        <w:t xml:space="preserve">6.5 What success looks like at month six</w:t>
      </w:r>
    </w:p>
    <w:p>
      <w:r>
        <w:t xml:space="preserve">Not a validated medical device. A characterised measurement instrument with known error bounds, a documented risk file, a registered protocol, a small real dataset, and one honest paper. That is a fundable position, and it is achievable. The current plan's implied endpoint — a device with clinical claims — is not achievable in six months by any team, and promising it is the fastest way to lose credibility with the people you most need.</w:t>
      </w:r>
    </w:p>
    <w:p>
      <w:pPr>
        <w:pBdr>
          <w:bottom w:val="single" w:color="C8D3D5" w:sz="6"/>
        </w:pBdr>
        <w:spacing w:after="180"/>
      </w:pPr>
    </w:p>
    <w:p>
      <w:pPr>
        <w:pStyle w:val="Small"/>
      </w:pPr>
      <w:r>
        <w:t xml:space="preserve">Prepared from the Niva evidence review, 121 sources, 5 September 2026. Firmware findings verified against the repository source. Regulatory content reflects CDSCO guidance dated 21 July 2026 and should be re-checked against the primary documents before it is relied upon.</w:t>
      </w:r>
    </w:p>
    <w:sectPr>
      <w:footerReference w:type="default" r:id="rId7"/>
      <w:pgSz w:w="11906" w:h="16838" w:orient="portrait"/>
      <w:pgMar w:top="1080" w:right="1080" w:bottom="12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A70"/>
        <w:sz w:val="15"/>
        <w:szCs w:val="15"/>
      </w:rPr>
      <w:t xml:space="preserve">Niva Work Package · v1.0 · 5 September 2026 · page </w:t>
    </w:r>
    <w:r>
      <w:rPr>
        <w:color w:val="5A6A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80" w:hanging="280"/>
      </w:pPr>
    </w:lvl>
  </w:abstractNum>
  <w:abstractNum w:abstractNumId="4" w15:restartNumberingAfterBreak="0">
    <w:multiLevelType w:val="hybridMultilevel"/>
    <w:lvl w:ilvl="0" w15:tentative="1">
      <w:start w:val="1"/>
      <w:numFmt w:val="decimal"/>
      <w:lvlText w:val="Step %1."/>
      <w:lvlJc w:val="left"/>
      <w:pPr>
        <w:ind w:left="900" w:hanging="8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27"/>
        <w:sz w:val="21"/>
        <w:szCs w:val="21"/>
      </w:rPr>
    </w:rPrDefault>
    <w:pPrDefault>
      <w:pPr>
        <w:spacing w:after="13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A2427"/>
      <w:sz w:val="46"/>
      <w:szCs w:val="46"/>
    </w:rPr>
  </w:style>
  <w:style w:type="paragraph" w:styleId="Sub">
    <w:name w:val="Sub"/>
    <w:basedOn w:val="Normal"/>
    <w:next w:val="Normal"/>
    <w:pPr>
      <w:spacing w:after="200"/>
    </w:pPr>
    <w:rPr>
      <w:rFonts w:ascii="Calibri" w:cs="Calibri" w:eastAsia="Calibri" w:hAnsi="Calibri"/>
      <w:color w:val="5A6A70"/>
      <w:sz w:val="23"/>
      <w:szCs w:val="23"/>
    </w:rPr>
  </w:style>
  <w:style w:type="paragraph" w:styleId="Heading1">
    <w:name w:val="Heading 1"/>
    <w:basedOn w:val="Normal"/>
    <w:next w:val="Normal"/>
    <w:qFormat/>
    <w:pPr>
      <w:spacing w:after="160" w:before="440"/>
      <w:outlineLvl w:val="0"/>
    </w:pPr>
    <w:rPr>
      <w:rFonts w:ascii="Calibri" w:cs="Calibri" w:eastAsia="Calibri" w:hAnsi="Calibri"/>
      <w:b/>
      <w:bCs/>
      <w:color w:val="0E6E78"/>
      <w:sz w:val="30"/>
      <w:szCs w:val="30"/>
    </w:rPr>
  </w:style>
  <w:style w:type="paragraph" w:styleId="Heading2">
    <w:name w:val="Heading 2"/>
    <w:basedOn w:val="Normal"/>
    <w:next w:val="Normal"/>
    <w:qFormat/>
    <w:pPr>
      <w:spacing w:after="110" w:before="300"/>
      <w:outlineLvl w:val="1"/>
    </w:pPr>
    <w:rPr>
      <w:rFonts w:ascii="Calibri" w:cs="Calibri" w:eastAsia="Calibri" w:hAnsi="Calibri"/>
      <w:b/>
      <w:bCs/>
      <w:color w:val="1A2427"/>
      <w:sz w:val="24"/>
      <w:szCs w:val="24"/>
    </w:rPr>
  </w:style>
  <w:style w:type="paragraph" w:styleId="Heading3">
    <w:name w:val="Heading 3"/>
    <w:basedOn w:val="Normal"/>
    <w:next w:val="Normal"/>
    <w:qFormat/>
    <w:pPr>
      <w:spacing w:after="80" w:before="220"/>
      <w:outlineLvl w:val="2"/>
    </w:pPr>
    <w:rPr>
      <w:rFonts w:ascii="Calibri" w:cs="Calibri" w:eastAsia="Calibri" w:hAnsi="Calibri"/>
      <w:b/>
      <w:bCs/>
      <w:color w:val="5A6A70"/>
      <w:sz w:val="21"/>
      <w:szCs w:val="21"/>
    </w:rPr>
  </w:style>
  <w:style w:type="paragraph" w:styleId="Small">
    <w:name w:val="Small"/>
    <w:basedOn w:val="Normal"/>
    <w:next w:val="Normal"/>
    <w:rPr>
      <w:rFonts w:ascii="Calibri" w:cs="Calibri" w:eastAsia="Calibri" w:hAnsi="Calibri"/>
      <w:color w:val="5A6A70"/>
      <w:sz w:val="17"/>
      <w:szCs w:val="17"/>
    </w:rPr>
  </w:style>
  <w:style w:type="paragraph" w:styleId="Mono">
    <w:name w:val="Mono"/>
    <w:basedOn w:val="Normal"/>
    <w:next w:val="Normal"/>
    <w:pPr>
      <w:spacing w:after="60"/>
    </w:pPr>
    <w:rPr>
      <w:rFonts w:ascii="Consolas" w:cs="Consolas" w:eastAsia="Consolas" w:hAnsi="Consola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2026-09-05T04:43:56.092Z</dcterms:created>
  <dcterms:modified xsi:type="dcterms:W3CDTF">2026-09-05T04:43:56.092Z</dcterms:modified>
</cp:coreProperties>
</file>

<file path=docProps/custom.xml><?xml version="1.0" encoding="utf-8"?>
<Properties xmlns="http://schemas.openxmlformats.org/officeDocument/2006/custom-properties" xmlns:vt="http://schemas.openxmlformats.org/officeDocument/2006/docPropsVTypes"/>
</file>