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Концепция нового лендинга Traders Care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color w:val="595959"/>
          <w:sz w:val="22"/>
          <w:szCs w:val="22"/>
        </w:rPr>
        <w:t xml:space="preserve">traderscare.io · сентябрь 2026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Главная идея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Большинство журналов сделок обещают «найти ошибки». Traders Care может показать больше: сколько в деньгах трейдер теряет, когда отступает от собственных правил. Эта мысль уже заложена в продукте, и на ней построена вся страница.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Рабочий заголовок первого экрана: </w:t>
      </w:r>
      <w:r>
        <w:rPr>
          <w:rFonts w:ascii="Times New Roman" w:cs="Times New Roman" w:eastAsia="Times New Roman" w:hAnsi="Times New Roman"/>
        </w:rPr>
        <w:t xml:space="preserve">«Торгуй по своим правилам. И знай, сколько стоит каждое отступление.»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Главная аудитория на странице — проп-трейдеры: для них нарушение правила означает потерю счёта. Вторая аудитория — системные трейдеры с несколькими счетами.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Как выглядит страница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Визуальное направление — «прецизионные инструменты»: тёмный алюминий, матовое стекло, латунь в деталях, мягкий студийный свет и фирменный фиолетовый акцент. Интерфейс Traders Care выглядит как ещё один прибор из этой серии.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Основа страницы — сам продукт. Экраны интерфейса нарисованы заново в новом стиле, с правдоподобными данными, так что лендинг заодно показывает, как может выглядеть обновлённое приложение.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Изображения работают как часть интерфейса. Это физические объекты, снятые в студийной манере, поверх которых выводятся живые данные: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стеклянная панель</w:t>
      </w:r>
      <w:r>
        <w:rPr>
          <w:rFonts w:ascii="Times New Roman" w:cs="Times New Roman" w:eastAsia="Times New Roman" w:hAnsi="Times New Roman"/>
        </w:rPr>
        <w:t xml:space="preserve"> на металлическом основании, на ней график доходности «как торговал» против «как если бы по правилам»;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точный измерительный прибор,</w:t>
      </w:r>
      <w:r>
        <w:rPr>
          <w:rFonts w:ascii="Times New Roman" w:cs="Times New Roman" w:eastAsia="Times New Roman" w:hAnsi="Times New Roman"/>
        </w:rPr>
        <w:t xml:space="preserve"> стрелка которого показывает, сколько осталось до лимита просадки проп-фирмы;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кассовый чек</w:t>
      </w:r>
      <w:r>
        <w:rPr>
          <w:rFonts w:ascii="Times New Roman" w:cs="Times New Roman" w:eastAsia="Times New Roman" w:hAnsi="Times New Roman"/>
        </w:rPr>
        <w:t xml:space="preserve"> со списком нарушений и их стоимостью — «счёт за отступления»;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стеклянный ключ</w:t>
      </w:r>
      <w:r>
        <w:rPr>
          <w:rFonts w:ascii="Times New Roman" w:cs="Times New Roman" w:eastAsia="Times New Roman" w:hAnsi="Times New Roman"/>
        </w:rPr>
        <w:t xml:space="preserve"> как образ доступа только на чтение;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металлические карты</w:t>
      </w:r>
      <w:r>
        <w:rPr>
          <w:rFonts w:ascii="Times New Roman" w:cs="Times New Roman" w:eastAsia="Times New Roman" w:hAnsi="Times New Roman"/>
        </w:rPr>
        <w:t xml:space="preserve"> для каталога проп-фирм.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Все надписи на изображениях выводятся кодом, поэтому страница одинаково работает на английском, русском и украинском языках. Для страницы предусмотрены тёмная и светлая темы, мобильная версия и соответствие стандарту доступности WCAG AA.</w:t>
      </w:r>
    </w:p>
    <w:p>
      <w:pPr>
        <w:pStyle w:val="Heading1"/>
        <w:pageBreakBefore/>
      </w:pPr>
      <w:r>
        <w:rPr>
          <w:rFonts w:ascii="Times New Roman" w:cs="Times New Roman" w:eastAsia="Times New Roman" w:hAnsi="Times New Roman"/>
        </w:rPr>
        <w:t xml:space="preserve">3. Структура страницы</w:t>
      </w:r>
    </w:p>
    <w:p>
      <w:pPr>
        <w:keepNext/>
        <w:spacing w:after="160" w:line="312"/>
        <w:ind w:firstLine="709"/>
      </w:pPr>
      <w:r>
        <w:rPr>
          <w:rFonts w:ascii="Times New Roman" w:cs="Times New Roman" w:eastAsia="Times New Roman" w:hAnsi="Times New Roman"/>
        </w:rPr>
        <w:t xml:space="preserve">Страница состоит из одиннадцати блоков. Каждый отвечает на один вопрос посетителя, а соседние блоки оформлены по-разному, чтобы страница не превращалась в однообразную ленту.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2619"/>
        <w:gridCol w:w="6175"/>
      </w:tblGrid>
      <w:tr>
        <w:trPr>
          <w:cantSplit/>
          <w:tblHeader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Блок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видит посетитель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Первый экран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Обещание продукта и график «факт против торговли по правилам» с подписанной разницей в деньгах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Поддерживаемые платформы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MetaTrader 4 и 5, cTrader, Match-Trader, DXtrade и ключевые показатели сервиса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Правила проп-фирмы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Прибор с лимитами счёта в реальном времени, та же информация на телефоне, схема трёх типов просадки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Как это работает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Три шага от подключения счёта до первого разбора и пример «чека» с ценой ошибок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Продукт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Журнал, статистика, торговая система и разборы — четыре переключаемых экрана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ИИ-ассистент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Пример диалога по данным журнала; анализ, а не торговые сигналы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Доверие и безопасность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Схема доступа только на чтение и проверяемая карточка сделки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Проп-фирмы и калькуляторы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Каталог фирм с подбором и бесплатные инструменты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Сравнение и тарифы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Отличия от таблиц и обычных журналов, четыре тарифа с отдельной кнопкой у каждого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Вопросы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Ответы на шесть главных вопросов перед регистрацией</w:t>
            </w:r>
          </w:p>
        </w:tc>
      </w:tr>
      <w:tr>
        <w:trPr>
          <w:cantSplit/>
          <w:tblHeader w:val="false"/>
        </w:trPr>
        <w:tc>
          <w:tcPr>
            <w:tcW w:type="dxa" w:w="561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619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Финальный экран</w:t>
            </w:r>
          </w:p>
        </w:tc>
        <w:tc>
          <w:tcPr>
            <w:tcW w:type="dxa" w:w="617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Спокойная сцена рабочего места на рассвете и кнопка регистрации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Что нужно от вас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Где данных пока нет, в макете останутся нейтральные формулировки без цифр.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</w:rPr>
        <w:t xml:space="preserve">показатели, которые можно публиковать: число пользователей, сделок или подключённых счетов;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</w:rPr>
        <w:t xml:space="preserve">актуальные условия тарифов и планы по годовой оплате;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</w:rPr>
        <w:t xml:space="preserve">текущий способ оплаты подписки;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</w:rPr>
        <w:t xml:space="preserve">реальные отзывы пользователей, если они есть;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</w:rPr>
        <w:t xml:space="preserve">разрешение на использование логотипов платформ и проп-фирм;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rPr>
          <w:rFonts w:ascii="Times New Roman" w:cs="Times New Roman" w:eastAsia="Times New Roman" w:hAnsi="Times New Roman"/>
        </w:rPr>
        <w:t xml:space="preserve">контакты поддержки и ссылки на социальные сети.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Дальнейшие шаги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После согласования — визуальные материалы и первый экран в двух вариантах, затем вёрстка всей страницы на технологиях Traders Care, без переписывания при переносе на сайт.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нового лендинга Traders Care</dc:title>
  <cp:lastModifiedBy>Un-named</cp:lastModifiedBy>
  <cp:revision>1</cp:revision>
  <dcterms:created xsi:type="dcterms:W3CDTF">2026-09-26T19:27:01.783Z</dcterms:created>
  <dcterms:modified xsi:type="dcterms:W3CDTF">2026-09-26T19:27:01.786Z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