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1</w:t>
      </w:r>
    </w:p>
    <w:p>
      <w:pPr>
        <w:spacing w:after="600"/>
        <w:jc w:val="center"/>
      </w:pPr>
      <w:r>
        <w:rPr>
          <w:b/>
          <w:color w:val="2E74B5"/>
          <w:sz w:val="40"/>
        </w:rPr>
        <w:t>Introduction</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1.1 Background</w:t>
      </w:r>
    </w:p>
    <w:p>
      <w:pPr>
        <w:jc w:val="both"/>
      </w:pPr>
      <w:r>
        <w:rPr>
          <w:i w:val="0"/>
        </w:rPr>
        <w:t>Application Programming Interfaces (APIs) are now a normal boundary between browsers, mobile clients, internal services and third-party integrations. In a distributed architecture, each exposed endpoint is also a potential security decision point. When each backend implements authentication, authorisation, rate limiting and logging independently, controls can become inconsistent and teams lose a single view of how their APIs are being used. This is the problem context described in the Project Proposal and is consistent with the API-specific risks catalogued by OWASP (OWASP Foundation, 2023).</w:t>
      </w:r>
    </w:p>
    <w:p>
      <w:pPr>
        <w:jc w:val="both"/>
      </w:pPr>
      <w:r>
        <w:rPr>
          <w:i w:val="0"/>
        </w:rPr>
        <w:t>Aegis addresses this problem by placing a reverse proxy in front of protected HTTP services. The proxy decides whether a request may proceed before the upstream service sees it. A separate Control Plane owns the policy and a React dashboard gives operators a role-restricted way to configure and observe that policy. This separation is important: the configuration interface is not on the performance-critical forwarding path.</w:t>
      </w:r>
    </w:p>
    <w:p>
      <w:pPr>
        <w:pStyle w:val="Heading1"/>
      </w:pPr>
      <w:r>
        <w:t>1.2 Problem Statement</w:t>
      </w:r>
    </w:p>
    <w:p>
      <w:pPr>
        <w:jc w:val="both"/>
      </w:pPr>
      <w:r>
        <w:rPr>
          <w:i w:val="0"/>
        </w:rPr>
        <w:t>The Project Proposal identified a gap between feature-rich commercial gateway products, which can bring cost or platform dependency, and small custom proxies that often omit distributed limits, auditability and central policy management. The specific engineering problem is therefore to provide a self-hosted, understandable security layer that validates requests consistently without requiring changes in every protected backend.</w:t>
      </w:r>
    </w:p>
    <w:p>
      <w:pPr>
        <w:pStyle w:val="Heading1"/>
      </w:pPr>
      <w:r>
        <w:t>1.3 Aim and Objectives</w:t>
      </w:r>
    </w:p>
    <w:p>
      <w:pPr>
        <w:jc w:val="both"/>
      </w:pPr>
      <w:r>
        <w:rPr>
          <w:i w:val="0"/>
        </w:rPr>
        <w:t>The proposal aim is to design and develop a production-ready API security and management system that centrally protects backend services through intelligent request validation, rate limiting and threat detection, while demonstrating full-stack development using Python/FastAPI, Go and React. The report evaluates that aim against a working implementation rather than treating the proposal as evidence that a feature exists.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384"/>
            <w:shd w:fill="E8EEF5"/>
            <w:vAlign w:val="center"/>
          </w:tcPr>
          <w:p>
            <w:r>
              <w:rPr>
                <w:b/>
                <w:sz w:val="18"/>
              </w:rPr>
              <w:t>Objective from proposal</w:t>
            </w:r>
          </w:p>
        </w:tc>
        <w:tc>
          <w:tcPr>
            <w:tcW w:type="dxa" w:w="5976"/>
            <w:shd w:fill="E8EEF5"/>
            <w:vAlign w:val="center"/>
          </w:tcPr>
          <w:p>
            <w:r>
              <w:rPr>
                <w:b/>
                <w:sz w:val="18"/>
              </w:rPr>
              <w:t>Report evidence</w:t>
            </w:r>
          </w:p>
        </w:tc>
      </w:tr>
      <w:tr>
        <w:tc>
          <w:tcPr>
            <w:tcW w:type="dxa" w:w="3384"/>
            <w:vAlign w:val="center"/>
          </w:tcPr>
          <w:p>
            <w:pPr>
              <w:spacing w:after="40"/>
            </w:pPr>
            <w:r>
              <w:rPr>
                <w:sz w:val="18"/>
              </w:rPr>
              <w:t>Central request validation</w:t>
            </w:r>
          </w:p>
        </w:tc>
        <w:tc>
          <w:tcPr>
            <w:tcW w:type="dxa" w:w="5976"/>
            <w:vAlign w:val="center"/>
          </w:tcPr>
          <w:p>
            <w:pPr>
              <w:spacing w:after="40"/>
            </w:pPr>
            <w:r>
              <w:rPr>
                <w:sz w:val="18"/>
              </w:rPr>
              <w:t>Go proxy validates IP, threat policy, API key, JWT and route scope before forwarding.</w:t>
            </w:r>
          </w:p>
        </w:tc>
      </w:tr>
      <w:tr>
        <w:tc>
          <w:tcPr>
            <w:tcW w:type="dxa" w:w="3384"/>
            <w:vAlign w:val="center"/>
          </w:tcPr>
          <w:p>
            <w:pPr>
              <w:spacing w:after="40"/>
            </w:pPr>
            <w:r>
              <w:rPr>
                <w:sz w:val="18"/>
              </w:rPr>
              <w:t>Distributed rate limiting</w:t>
            </w:r>
          </w:p>
        </w:tc>
        <w:tc>
          <w:tcPr>
            <w:tcW w:type="dxa" w:w="5976"/>
            <w:vAlign w:val="center"/>
          </w:tcPr>
          <w:p>
            <w:pPr>
              <w:spacing w:after="40"/>
            </w:pPr>
            <w:r>
              <w:rPr>
                <w:sz w:val="18"/>
              </w:rPr>
              <w:t>Redis-backed fixed-window, sliding-window and token-bucket enforcement with documented rule precedence.</w:t>
            </w:r>
          </w:p>
        </w:tc>
      </w:tr>
      <w:tr>
        <w:tc>
          <w:tcPr>
            <w:tcW w:type="dxa" w:w="3384"/>
            <w:vAlign w:val="center"/>
          </w:tcPr>
          <w:p>
            <w:pPr>
              <w:spacing w:after="40"/>
            </w:pPr>
            <w:r>
              <w:rPr>
                <w:sz w:val="18"/>
              </w:rPr>
              <w:t>Central management</w:t>
            </w:r>
          </w:p>
        </w:tc>
        <w:tc>
          <w:tcPr>
            <w:tcW w:type="dxa" w:w="5976"/>
            <w:vAlign w:val="center"/>
          </w:tcPr>
          <w:p>
            <w:pPr>
              <w:spacing w:after="40"/>
            </w:pPr>
            <w:r>
              <w:rPr>
                <w:sz w:val="18"/>
              </w:rPr>
              <w:t>FastAPI Control Plane, PostgreSQL policy store and React role-aware dashboard.</w:t>
            </w:r>
          </w:p>
        </w:tc>
      </w:tr>
      <w:tr>
        <w:tc>
          <w:tcPr>
            <w:tcW w:type="dxa" w:w="3384"/>
            <w:vAlign w:val="center"/>
          </w:tcPr>
          <w:p>
            <w:pPr>
              <w:spacing w:after="40"/>
            </w:pPr>
            <w:r>
              <w:rPr>
                <w:sz w:val="18"/>
              </w:rPr>
              <w:t>Threat detection and blocking</w:t>
            </w:r>
          </w:p>
        </w:tc>
        <w:tc>
          <w:tcPr>
            <w:tcW w:type="dxa" w:w="5976"/>
            <w:vAlign w:val="center"/>
          </w:tcPr>
          <w:p>
            <w:pPr>
              <w:spacing w:after="40"/>
            </w:pPr>
            <w:r>
              <w:rPr>
                <w:sz w:val="18"/>
              </w:rPr>
              <w:t>RE2 request-target rules, exact IP blocks, automatic blocks and sanitised security events.</w:t>
            </w:r>
          </w:p>
        </w:tc>
      </w:tr>
      <w:tr>
        <w:tc>
          <w:tcPr>
            <w:tcW w:type="dxa" w:w="3384"/>
            <w:vAlign w:val="center"/>
          </w:tcPr>
          <w:p>
            <w:pPr>
              <w:spacing w:after="40"/>
            </w:pPr>
            <w:r>
              <w:rPr>
                <w:sz w:val="18"/>
              </w:rPr>
              <w:t>Full-stack proficiency</w:t>
            </w:r>
          </w:p>
        </w:tc>
        <w:tc>
          <w:tcPr>
            <w:tcW w:type="dxa" w:w="5976"/>
            <w:vAlign w:val="center"/>
          </w:tcPr>
          <w:p>
            <w:pPr>
              <w:spacing w:after="40"/>
            </w:pPr>
            <w:r>
              <w:rPr>
                <w:sz w:val="18"/>
              </w:rPr>
              <w:t>Python async APIs, Go data-plane code, React UI, Docker Compose, gRPC policy stream and automated tests.</w:t>
            </w:r>
          </w:p>
        </w:tc>
      </w:tr>
    </w:tbl>
    <w:p>
      <w:pPr>
        <w:spacing w:after="40"/>
      </w:pPr>
    </w:p>
    <w:p>
      <w:pPr>
        <w:pStyle w:val="Heading1"/>
      </w:pPr>
      <w:r>
        <w:t>1.4 Actual System Scope</w:t>
      </w:r>
    </w:p>
    <w:p>
      <w:pPr>
        <w:pStyle w:val="ListBullet"/>
        <w:spacing w:after="80"/>
      </w:pPr>
      <w:r>
        <w:t>User registration, login, refresh/logout, Redis-backed token lifecycle and Admin, Viewer and API Consumer roles.</w:t>
      </w:r>
    </w:p>
    <w:p>
      <w:pPr>
        <w:pStyle w:val="ListBullet"/>
        <w:spacing w:after="80"/>
      </w:pPr>
      <w:r>
        <w:t>One-time API-key issuance with bcrypt storage, scoped keys, ownership controls and soft revocation.</w:t>
      </w:r>
    </w:p>
    <w:p>
      <w:pPr>
        <w:pStyle w:val="ListBullet"/>
        <w:spacing w:after="80"/>
      </w:pPr>
      <w:r>
        <w:t>Policy configuration for JWT validation, exact route-to-scope permissions, rate limits, threat rules and IP blocks.</w:t>
      </w:r>
    </w:p>
    <w:p>
      <w:pPr>
        <w:pStyle w:val="ListBullet"/>
        <w:spacing w:after="80"/>
      </w:pPr>
      <w:r>
        <w:t>Go proxy enforcement with local policy snapshots, gRPC updates, Redis counters and credential stripping before upstream forwarding.</w:t>
      </w:r>
    </w:p>
    <w:p>
      <w:pPr>
        <w:pStyle w:val="ListBullet"/>
        <w:spacing w:after="80"/>
      </w:pPr>
      <w:r>
        <w:t>Sanitised events and analytics, plus a local echo-service/attack-console proof of concept.</w:t>
      </w:r>
    </w:p>
    <w:p>
      <w:pPr>
        <w:jc w:val="both"/>
      </w:pPr>
      <w:r>
        <w:rPr>
          <w:i w:val="0"/>
        </w:rPr>
        <w:t>The implementation deliberately remains limited to HTTP, an online Control Plane and a web dashboard. Non-HTTP protocol support, air-gapped operation and native mobile administration remain explicit exclusions from the proposal and the MoSCoW scope.</w:t>
      </w:r>
    </w:p>
    <w:p>
      <w:pPr>
        <w:pStyle w:val="Heading1"/>
      </w:pPr>
      <w:r>
        <w:t>1.5 Report Structure</w:t>
      </w:r>
    </w:p>
    <w:p>
      <w:pPr>
        <w:jc w:val="both"/>
      </w:pPr>
      <w:r>
        <w:rPr>
          <w:i w:val="0"/>
        </w:rPr>
        <w:t>Chapters 2 and 3 position the project against comparable products and technical literature. Chapters 4 and 5 explain the DSDM schedule and LSEP considerations. Chapter 6 analyses users and requirements. Chapter 7 documents the actual design, Chapters 8 and 9 explain and verify the implementation, and Chapter 10 evaluates the result and reflects on the development process.</w:t>
      </w:r>
    </w:p>
    <w:p>
      <w:pPr>
        <w:pStyle w:val="Heading1"/>
      </w:pPr>
      <w:r>
        <w:t>References</w:t>
      </w:r>
    </w:p>
    <w:p>
      <w:pPr>
        <w:spacing w:after="100"/>
        <w:ind w:left="432" w:hanging="432"/>
      </w:pPr>
      <w:r>
        <w:t>Agile Business Consortium (2014) The DSDM Agile Project Framework. Tunbridge Wells: Agile Business Consortium.</w:t>
      </w:r>
    </w:p>
    <w:p>
      <w:pPr>
        <w:spacing w:after="100"/>
        <w:ind w:left="432" w:hanging="432"/>
      </w:pPr>
      <w:r>
        <w:t>Fielding, R.T. (2000) Architectural Styles and the Design of Network-based Software Architectures. PhD thesis. University of California, Irvine.</w:t>
      </w:r>
    </w:p>
    <w:p>
      <w:pPr>
        <w:spacing w:after="100"/>
        <w:ind w:left="432" w:hanging="432"/>
      </w:pPr>
      <w:r>
        <w:t>Indrasiri, K. and Kuruppu, D. (2020) gRPC: Up and Running. Sebastopol: O’Reilly Media.</w:t>
      </w:r>
    </w:p>
    <w:p>
      <w:pPr>
        <w:spacing w:after="100"/>
        <w:ind w:left="432" w:hanging="432"/>
      </w:pPr>
      <w:r>
        <w:t>Jones, M., Bradley, J. and Sakimura, N. (2015) JSON Web Token (JWT). RFC 7519. Internet Engineering Task Force. Available at: https://www.rfc-editor.org/rfc/rfc7519 (Accessed: 2 August 2026).</w:t>
      </w:r>
    </w:p>
    <w:p>
      <w:pPr>
        <w:spacing w:after="100"/>
        <w:ind w:left="432" w:hanging="432"/>
      </w:pPr>
      <w:r>
        <w:t>Newman, S. (2021) Building Microservices: Designing Fine-grained Systems. 2nd edn. Sebastopol: O’Reilly Media.</w:t>
      </w:r>
    </w:p>
    <w:p>
      <w:pPr>
        <w:spacing w:after="100"/>
        <w:ind w:left="432" w:hanging="432"/>
      </w:pPr>
      <w:r>
        <w:t>OWASP Foundation (2023) OWASP API Security Top 10 2023. Available at: https://owasp.org/www-project-api-security/ (Accessed: 2 August 2026).</w:t>
      </w:r>
    </w:p>
    <w:p>
      <w:pPr>
        <w:spacing w:after="100"/>
        <w:ind w:left="432" w:hanging="432"/>
      </w:pPr>
      <w:r>
        <w:t>W3C (2018) Web Content Accessibility Guidelines (WCAG) 2.1. Available at: https://www.w3.org/TR/WCAG21/ (Accessed: 2 August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