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10</w:t>
      </w:r>
    </w:p>
    <w:p>
      <w:pPr>
        <w:spacing w:after="600"/>
        <w:jc w:val="center"/>
      </w:pPr>
      <w:r>
        <w:rPr>
          <w:b/>
          <w:color w:val="2E74B5"/>
          <w:sz w:val="40"/>
        </w:rPr>
        <w:t>Evaluation and Reflection</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10.1 Evaluation Against the Aim</w:t>
      </w:r>
    </w:p>
    <w:p>
      <w:pPr>
        <w:jc w:val="both"/>
      </w:pPr>
      <w:r>
        <w:rPr>
          <w:i w:val="0"/>
        </w:rPr>
        <w:t>The proposal aimed to produce a production-ready API security and management system that provides central protection through request validation, rate limiting and threat detection while demonstrating Python/FastAPI, Go and React skills. The verified implementation meets the central architectural aim: policy is managed in FastAPI/PostgreSQL and enforced at a Go proxy before the upstream service. The local POC provides direct evidence that allowed traffic is forwarded and denied traffic is stopped at the proxy.</w:t>
      </w:r>
    </w:p>
    <w:p>
      <w:pPr>
        <w:pStyle w:val="Heading1"/>
      </w:pPr>
      <w:r>
        <w:t>10.2 Evaluation Against Objectives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456"/>
            <w:shd w:fill="E8EEF5"/>
            <w:vAlign w:val="center"/>
          </w:tcPr>
          <w:p>
            <w:r>
              <w:rPr>
                <w:b/>
                <w:sz w:val="18"/>
              </w:rPr>
              <w:t>Objective</w:t>
            </w:r>
          </w:p>
        </w:tc>
        <w:tc>
          <w:tcPr>
            <w:tcW w:type="dxa" w:w="5903"/>
            <w:shd w:fill="E8EEF5"/>
            <w:vAlign w:val="center"/>
          </w:tcPr>
          <w:p>
            <w:r>
              <w:rPr>
                <w:b/>
                <w:sz w:val="18"/>
              </w:rPr>
              <w:t>Evaluation</w:t>
            </w:r>
          </w:p>
        </w:tc>
      </w:tr>
      <w:tr>
        <w:tc>
          <w:tcPr>
            <w:tcW w:type="dxa" w:w="3456"/>
            <w:vAlign w:val="center"/>
          </w:tcPr>
          <w:p>
            <w:pPr>
              <w:spacing w:after="40"/>
            </w:pPr>
            <w:r>
              <w:rPr>
                <w:sz w:val="18"/>
              </w:rPr>
              <w:t>Research and technology justification</w:t>
            </w:r>
          </w:p>
        </w:tc>
        <w:tc>
          <w:tcPr>
            <w:tcW w:type="dxa" w:w="5903"/>
            <w:vAlign w:val="center"/>
          </w:tcPr>
          <w:p>
            <w:pPr>
              <w:spacing w:after="40"/>
            </w:pPr>
            <w:r>
              <w:rPr>
                <w:sz w:val="18"/>
              </w:rPr>
              <w:t>Completed through product research and literature traceability; mature gateway products informed the focused Aegis niche.</w:t>
            </w:r>
          </w:p>
        </w:tc>
      </w:tr>
      <w:tr>
        <w:tc>
          <w:tcPr>
            <w:tcW w:type="dxa" w:w="3456"/>
            <w:vAlign w:val="center"/>
          </w:tcPr>
          <w:p>
            <w:pPr>
              <w:spacing w:after="40"/>
            </w:pPr>
            <w:r>
              <w:rPr>
                <w:sz w:val="18"/>
              </w:rPr>
              <w:t>Define requirements and roles</w:t>
            </w:r>
          </w:p>
        </w:tc>
        <w:tc>
          <w:tcPr>
            <w:tcW w:type="dxa" w:w="5903"/>
            <w:vAlign w:val="center"/>
          </w:tcPr>
          <w:p>
            <w:pPr>
              <w:spacing w:after="40"/>
            </w:pPr>
            <w:r>
              <w:rPr>
                <w:sz w:val="18"/>
              </w:rPr>
              <w:t>Completed through MoSCoW scope, persisted Admin/Viewer/API Consumer roles and protected APIs.</w:t>
            </w:r>
          </w:p>
        </w:tc>
      </w:tr>
      <w:tr>
        <w:tc>
          <w:tcPr>
            <w:tcW w:type="dxa" w:w="3456"/>
            <w:vAlign w:val="center"/>
          </w:tcPr>
          <w:p>
            <w:pPr>
              <w:spacing w:after="40"/>
            </w:pPr>
            <w:r>
              <w:rPr>
                <w:sz w:val="18"/>
              </w:rPr>
              <w:t>Design system/data/workflows</w:t>
            </w:r>
          </w:p>
        </w:tc>
        <w:tc>
          <w:tcPr>
            <w:tcW w:type="dxa" w:w="5903"/>
            <w:vAlign w:val="center"/>
          </w:tcPr>
          <w:p>
            <w:pPr>
              <w:spacing w:after="40"/>
            </w:pPr>
            <w:r>
              <w:rPr>
                <w:sz w:val="18"/>
              </w:rPr>
              <w:t>Completed with verified architecture, domain and enforcement-sequence diagrams in Chapter 7.</w:t>
            </w:r>
          </w:p>
        </w:tc>
      </w:tr>
      <w:tr>
        <w:tc>
          <w:tcPr>
            <w:tcW w:type="dxa" w:w="3456"/>
            <w:vAlign w:val="center"/>
          </w:tcPr>
          <w:p>
            <w:pPr>
              <w:spacing w:after="40"/>
            </w:pPr>
            <w:r>
              <w:rPr>
                <w:sz w:val="18"/>
              </w:rPr>
              <w:t>Implement full stack</w:t>
            </w:r>
          </w:p>
        </w:tc>
        <w:tc>
          <w:tcPr>
            <w:tcW w:type="dxa" w:w="5903"/>
            <w:vAlign w:val="center"/>
          </w:tcPr>
          <w:p>
            <w:pPr>
              <w:spacing w:after="40"/>
            </w:pPr>
            <w:r>
              <w:rPr>
                <w:sz w:val="18"/>
              </w:rPr>
              <w:t>Completed across FastAPI, Go, React, PostgreSQL, Redis, gRPC and Docker Compose.</w:t>
            </w:r>
          </w:p>
        </w:tc>
      </w:tr>
      <w:tr>
        <w:tc>
          <w:tcPr>
            <w:tcW w:type="dxa" w:w="3456"/>
            <w:vAlign w:val="center"/>
          </w:tcPr>
          <w:p>
            <w:pPr>
              <w:spacing w:after="40"/>
            </w:pPr>
            <w:r>
              <w:rPr>
                <w:sz w:val="18"/>
              </w:rPr>
              <w:t>Test functionality/security</w:t>
            </w:r>
          </w:p>
        </w:tc>
        <w:tc>
          <w:tcPr>
            <w:tcW w:type="dxa" w:w="5903"/>
            <w:vAlign w:val="center"/>
          </w:tcPr>
          <w:p>
            <w:pPr>
              <w:spacing w:after="40"/>
            </w:pPr>
            <w:r>
              <w:rPr>
                <w:sz w:val="18"/>
              </w:rPr>
              <w:t>Supported by passing component suites and live POC evidence for scope, revoked/missing keys and rate limit behaviour.</w:t>
            </w:r>
          </w:p>
        </w:tc>
      </w:tr>
      <w:tr>
        <w:tc>
          <w:tcPr>
            <w:tcW w:type="dxa" w:w="3456"/>
            <w:vAlign w:val="center"/>
          </w:tcPr>
          <w:p>
            <w:pPr>
              <w:spacing w:after="40"/>
            </w:pPr>
            <w:r>
              <w:rPr>
                <w:sz w:val="18"/>
              </w:rPr>
              <w:t>Evaluate against alternatives</w:t>
            </w:r>
          </w:p>
        </w:tc>
        <w:tc>
          <w:tcPr>
            <w:tcW w:type="dxa" w:w="5903"/>
            <w:vAlign w:val="center"/>
          </w:tcPr>
          <w:p>
            <w:pPr>
              <w:spacing w:after="40"/>
            </w:pPr>
            <w:r>
              <w:rPr>
                <w:sz w:val="18"/>
              </w:rPr>
              <w:t>Aegis is narrower than gateway products but more transparent as a custom learning/security implementation.</w:t>
            </w:r>
          </w:p>
        </w:tc>
      </w:tr>
    </w:tbl>
    <w:p>
      <w:pPr>
        <w:spacing w:after="40"/>
      </w:pPr>
    </w:p>
    <w:p>
      <w:pPr>
        <w:pStyle w:val="Heading1"/>
      </w:pPr>
      <w:r>
        <w:t>10.3 Strengths</w:t>
      </w:r>
    </w:p>
    <w:p>
      <w:pPr>
        <w:pStyle w:val="ListBullet"/>
        <w:spacing w:after="80"/>
      </w:pPr>
      <w:r>
        <w:t>Clear separation between policy definition and request enforcement, avoiding a per-request database lookup for common policy decisions.</w:t>
      </w:r>
    </w:p>
    <w:p>
      <w:pPr>
        <w:pStyle w:val="ListBullet"/>
        <w:spacing w:after="80"/>
      </w:pPr>
      <w:r>
        <w:t>Defence-in-depth request order: IP block, threat rule, API key, JWT, route scope, rate limit and then forwarding.</w:t>
      </w:r>
    </w:p>
    <w:p>
      <w:pPr>
        <w:pStyle w:val="ListBullet"/>
        <w:spacing w:after="80"/>
      </w:pPr>
      <w:r>
        <w:t>Explicit exact route permissions make API-key scopes meaningful without fragile URL-name inference.</w:t>
      </w:r>
    </w:p>
    <w:p>
      <w:pPr>
        <w:pStyle w:val="ListBullet"/>
        <w:spacing w:after="80"/>
      </w:pPr>
      <w:r>
        <w:t>Redis-backed atomic rate limiting supports more than one proxy process and exposes standard response headers.</w:t>
      </w:r>
    </w:p>
    <w:p>
      <w:pPr>
        <w:pStyle w:val="ListBullet"/>
        <w:spacing w:after="80"/>
      </w:pPr>
      <w:r>
        <w:t>Privacy-aware analytics event shape avoids raw credentials, body content and arbitrary request headers.</w:t>
      </w:r>
    </w:p>
    <w:p>
      <w:pPr>
        <w:pStyle w:val="ListBullet"/>
        <w:spacing w:after="80"/>
      </w:pPr>
      <w:r>
        <w:t>A disposable POC lets the project demonstrate a real upstream rather than a mocked forwarding result.</w:t>
      </w:r>
    </w:p>
    <w:p>
      <w:pPr>
        <w:pStyle w:val="Heading1"/>
      </w:pPr>
      <w:r>
        <w:t>10.4 Limitations</w:t>
      </w:r>
    </w:p>
    <w:p>
      <w:pPr>
        <w:pStyle w:val="ListBullet"/>
        <w:spacing w:after="80"/>
      </w:pPr>
      <w:r>
        <w:t>Threat detection is limited to regex matching of method and request URI; it is not payload inspection or a full WAF.</w:t>
      </w:r>
    </w:p>
    <w:p>
      <w:pPr>
        <w:pStyle w:val="ListBullet"/>
        <w:spacing w:after="80"/>
      </w:pPr>
      <w:r>
        <w:t>Route permissions use exact method/path matching; wildcard, parameterised and policy-combination semantics are not yet implemented.</w:t>
      </w:r>
    </w:p>
    <w:p>
      <w:pPr>
        <w:pStyle w:val="ListBullet"/>
        <w:spacing w:after="80"/>
      </w:pPr>
      <w:r>
        <w:t>IP blocks are exact direct-peer addresses; trusted proxy chains and CIDR policies are intentionally deferred to avoid unsafe assumptions.</w:t>
      </w:r>
    </w:p>
    <w:p>
      <w:pPr>
        <w:pStyle w:val="ListBullet"/>
        <w:spacing w:after="80"/>
      </w:pPr>
      <w:r>
        <w:t>The report’s test evidence is functional and integration-focused rather than a statistically rigorous performance benchmark.</w:t>
      </w:r>
    </w:p>
    <w:p>
      <w:pPr>
        <w:pStyle w:val="ListBullet"/>
        <w:spacing w:after="80"/>
      </w:pPr>
      <w:r>
        <w:t>JWT verification material for an HS256 configuration must reach the proxy through the protected policy channel; production secret rotation and transport hardening warrant deeper operational review.</w:t>
      </w:r>
    </w:p>
    <w:p>
      <w:pPr>
        <w:pStyle w:val="Heading1"/>
      </w:pPr>
      <w:r>
        <w:t>10.5 Reflection on Development</w:t>
      </w:r>
    </w:p>
    <w:p>
      <w:pPr>
        <w:jc w:val="both"/>
      </w:pPr>
      <w:r>
        <w:rPr>
          <w:i w:val="0"/>
        </w:rPr>
        <w:t>The project required learning across three different programming environments. Python/FastAPI made the Control Plane expressive through schemas, dependency injection and async database access. Go exposed the practical concerns of HTTP forwarding, context timeouts, concurrency safety and policy caching. React made role-specific workflows visible, but also demonstrated why the UI must not be treated as the final authority for access control.</w:t>
      </w:r>
    </w:p>
    <w:p>
      <w:pPr>
        <w:jc w:val="both"/>
      </w:pPr>
      <w:r>
        <w:rPr>
          <w:i w:val="0"/>
        </w:rPr>
        <w:t>A key learning point was the difference between authentication and authorisation. An API-key scope such as echo:read has no effect unless the system defines the exact request that requires it. The later RoutePermission addition made that relationship explicit and testable. Another learning point was the impact of test environment state: a stale loopback IP block correctly prevented the first POC run, proving that security controls can change the meaning of a test unless environment conditions are recorded.</w:t>
      </w:r>
    </w:p>
    <w:p>
      <w:pPr>
        <w:pStyle w:val="Heading1"/>
      </w:pPr>
      <w:r>
        <w:t>10.6 Future Enhancement</w:t>
      </w:r>
    </w:p>
    <w:p>
      <w:pPr>
        <w:pStyle w:val="ListBullet"/>
        <w:spacing w:after="80"/>
      </w:pPr>
      <w:r>
        <w:t>Add reviewed wildcard/parameter route policy semantics and deny-by-default rollout options.</w:t>
      </w:r>
    </w:p>
    <w:p>
      <w:pPr>
        <w:pStyle w:val="ListBullet"/>
        <w:spacing w:after="80"/>
      </w:pPr>
      <w:r>
        <w:t>Add trusted-load-balancer configuration before considering forwarded address headers.</w:t>
      </w:r>
    </w:p>
    <w:p>
      <w:pPr>
        <w:pStyle w:val="ListBullet"/>
        <w:spacing w:after="80"/>
      </w:pPr>
      <w:r>
        <w:t>Add benchmark scripts with documented hardware, latency percentiles and multi-proxy load profiles.</w:t>
      </w:r>
    </w:p>
    <w:p>
      <w:pPr>
        <w:pStyle w:val="ListBullet"/>
        <w:spacing w:after="80"/>
      </w:pPr>
      <w:r>
        <w:t>Add richer dashboard accessibility testing, user feedback and operational documentation.</w:t>
      </w:r>
    </w:p>
    <w:p>
      <w:pPr>
        <w:pStyle w:val="ListBullet"/>
        <w:spacing w:after="80"/>
      </w:pPr>
      <w:r>
        <w:t>Introduce key rotation workflows, policy version/audit history and alert integrations for production operation.</w:t>
      </w:r>
    </w:p>
    <w:p>
      <w:pPr>
        <w:pStyle w:val="ListBullet"/>
        <w:spacing w:after="80"/>
      </w:pPr>
      <w:r>
        <w:t>Assess body-aware protections only with a clear privacy, performance and false-positive model.</w:t>
      </w:r>
    </w:p>
    <w:p>
      <w:pPr>
        <w:pStyle w:val="Heading1"/>
      </w:pPr>
      <w:r>
        <w:t>10.7 Final Conclusion</w:t>
      </w:r>
    </w:p>
    <w:p>
      <w:pPr>
        <w:jc w:val="both"/>
      </w:pPr>
      <w:r>
        <w:rPr>
          <w:i w:val="0"/>
        </w:rPr>
        <w:t>Aegis demonstrates that a small custom reverse-proxy system can centralise meaningful API controls while remaining explainable. Its main contribution is not breadth comparable to a commercial gateway; it is a coherent, verified learning implementation in which every security decision can be traced from a policy record to an enforcement step and test result. The project provides a sound foundation for further hardening and measured production evaluation.</w:t>
      </w:r>
    </w:p>
    <w:p>
      <w:pPr>
        <w:pStyle w:val="Heading1"/>
      </w:pPr>
      <w:r>
        <w:t>References</w:t>
      </w:r>
    </w:p>
    <w:p>
      <w:pPr>
        <w:spacing w:after="100"/>
        <w:ind w:left="432" w:hanging="432"/>
      </w:pPr>
      <w:r>
        <w:t>Agile Business Consortium (2014) The DSDM Agile Project Framework. Tunbridge Wells: Agile Business Consortium.</w:t>
      </w:r>
    </w:p>
    <w:p>
      <w:pPr>
        <w:spacing w:after="100"/>
        <w:ind w:left="432" w:hanging="432"/>
      </w:pPr>
      <w:r>
        <w:t>Fielding, R.T. (2000) Architectural Styles and the Design of Network-based Software Architectures. PhD thesis. University of California, Irvine.</w:t>
      </w:r>
    </w:p>
    <w:p>
      <w:pPr>
        <w:spacing w:after="100"/>
        <w:ind w:left="432" w:hanging="432"/>
      </w:pPr>
      <w:r>
        <w:t>Indrasiri, K. and Kuruppu, D. (2020) gRPC: Up and Running. Sebastopol: O’Reilly Media.</w:t>
      </w:r>
    </w:p>
    <w:p>
      <w:pPr>
        <w:spacing w:after="100"/>
        <w:ind w:left="432" w:hanging="432"/>
      </w:pPr>
      <w:r>
        <w:t>Jones, M., Bradley, J. and Sakimura, N. (2015) JSON Web Token (JWT). RFC 7519. Internet Engineering Task Force. Available at: https://www.rfc-editor.org/rfc/rfc7519 (Accessed: 2 August 2026).</w:t>
      </w:r>
    </w:p>
    <w:p>
      <w:pPr>
        <w:spacing w:after="100"/>
        <w:ind w:left="432" w:hanging="432"/>
      </w:pPr>
      <w:r>
        <w:t>Newman, S. (2021) Building Microservices: Designing Fine-grained Systems. 2nd edn. Sebastopol: O’Reilly Media.</w:t>
      </w:r>
    </w:p>
    <w:p>
      <w:pPr>
        <w:spacing w:after="100"/>
        <w:ind w:left="432" w:hanging="432"/>
      </w:pPr>
      <w:r>
        <w:t>OWASP Foundation (2023) OWASP API Security Top 10 2023. Available at: https://owasp.org/www-project-api-security/ (Accessed: 2 August 2026).</w:t>
      </w:r>
    </w:p>
    <w:p>
      <w:pPr>
        <w:spacing w:after="100"/>
        <w:ind w:left="432" w:hanging="432"/>
      </w:pPr>
      <w:r>
        <w:t>W3C (2018) Web Content Accessibility Guidelines (WCAG) 2.1. Available at: https://www.w3.org/TR/WCAG21/ (Accessed: 2 August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