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2300" w:after="360"/>
        <w:jc w:val="center"/>
      </w:pPr>
      <w:r>
        <w:rPr>
          <w:b/>
          <w:color w:val="2E74B5"/>
          <w:sz w:val="28"/>
        </w:rPr>
        <w:t>AEGIS PROJECT REPORT</w:t>
      </w:r>
    </w:p>
    <w:p>
      <w:pPr>
        <w:spacing w:after="300"/>
        <w:jc w:val="center"/>
      </w:pPr>
      <w:r>
        <w:rPr>
          <w:b/>
          <w:color w:val="0B2545"/>
          <w:sz w:val="60"/>
        </w:rPr>
        <w:t>Chapter 2</w:t>
      </w:r>
    </w:p>
    <w:p>
      <w:pPr>
        <w:spacing w:after="600"/>
        <w:jc w:val="center"/>
      </w:pPr>
      <w:r>
        <w:rPr>
          <w:b/>
          <w:color w:val="2E74B5"/>
          <w:sz w:val="40"/>
        </w:rPr>
        <w:t>Product Research</w:t>
      </w:r>
    </w:p>
    <w:p>
      <w:pPr>
        <w:spacing w:after="60"/>
        <w:jc w:val="center"/>
      </w:pPr>
      <w:r>
        <w:rPr>
          <w:color w:val="666666"/>
          <w:sz w:val="22"/>
        </w:rPr>
        <w:t>Htun Khaing Lynn  |  Student ID: 001557481</w:t>
      </w:r>
    </w:p>
    <w:p>
      <w:pPr>
        <w:jc w:val="center"/>
      </w:pPr>
      <w:r>
        <w:rPr>
          <w:i/>
          <w:color w:val="666666"/>
          <w:sz w:val="22"/>
        </w:rPr>
        <w:t>Aegis: API Security and Management System</w:t>
      </w:r>
    </w:p>
    <w:p>
      <w:r>
        <w:br w:type="page"/>
      </w:r>
    </w:p>
    <w:p>
      <w:pPr>
        <w:pStyle w:val="Heading1"/>
      </w:pPr>
      <w:r>
        <w:t>2.1 Research Purpose and Method</w:t>
      </w:r>
    </w:p>
    <w:p>
      <w:pPr>
        <w:jc w:val="both"/>
      </w:pPr>
      <w:r>
        <w:rPr>
          <w:i w:val="0"/>
        </w:rPr>
        <w:t>This chapter compares practical gateway products rather than repeating the academic discussion in Chapter 3. The comparison uses the needs stated in the proposal: API and JWT authentication, traffic control, route-level policy, operational visibility, deployment model and the ease of adding project-specific detection logic. The aim is not to claim that Aegis is universally better than mature gateways; it is to establish the design niche that justified a focused self-hosted build.</w:t>
      </w:r>
    </w:p>
    <w:p>
      <w:pPr>
        <w:pStyle w:val="Heading1"/>
      </w:pPr>
      <w:r>
        <w:t>2.2 Products Considered</w:t>
      </w:r>
    </w:p>
    <w:p>
      <w:pPr>
        <w:pStyle w:val="Heading2"/>
      </w:pPr>
      <w:r>
        <w:t>Kong Gateway</w:t>
      </w:r>
    </w:p>
    <w:p>
      <w:pPr>
        <w:jc w:val="both"/>
      </w:pPr>
      <w:r>
        <w:rPr>
          <w:i w:val="0"/>
        </w:rPr>
        <w:t>Kong provides gateway functionality through configurable plugins. Its official documentation presents rate limiting at global, service, route and consumer levels, with different window and storage approaches. This makes Kong a useful benchmark for policy-driven traffic governance. However, an implementation built around Kong is mainly an exercise in operating and composing its plugin ecosystem, whereas Aegis was deliberately built to demonstrate the Control Plane/data-plane split and a small, auditable enforcement pipeline (Kong, 2026).</w:t>
      </w:r>
    </w:p>
    <w:p>
      <w:pPr>
        <w:pStyle w:val="Heading2"/>
      </w:pPr>
      <w:r>
        <w:t>Apache APISIX</w:t>
      </w:r>
    </w:p>
    <w:p>
      <w:pPr>
        <w:jc w:val="both"/>
      </w:pPr>
      <w:r>
        <w:rPr>
          <w:i w:val="0"/>
        </w:rPr>
        <w:t>APISIX exposes authentication, security and traffic-control plugins, including JWT authentication and fixed-window count limiting. Its rate-limit documentation also describes Redis-backed counters and response headers. It is therefore a strong open-source reference for route-based gateway controls. Aegis adopts the same practical concern—shared counters for multiple proxies—but implements three explicit algorithms and its own policy distribution path (Apache APISIX, 2026).</w:t>
      </w:r>
    </w:p>
    <w:p>
      <w:pPr>
        <w:pStyle w:val="Heading2"/>
      </w:pPr>
      <w:r>
        <w:t>Tyk and Amazon API Gateway</w:t>
      </w:r>
    </w:p>
    <w:p>
      <w:pPr>
        <w:jc w:val="both"/>
      </w:pPr>
      <w:r>
        <w:rPr>
          <w:i w:val="0"/>
        </w:rPr>
        <w:t>Tyk represents a configurable API-management platform, while Amazon API Gateway represents a cloud-managed option. AWS documents route-level JWT authorisation scopes and token-bucket throttling. These products reduce implementation work but bind operational decisions to a product model or cloud account. Aegis instead keeps policy tables and enforcement behaviour visible in source code and deployable with PostgreSQL, Redis and Docker Compose (Amazon Web Services, 2026; Tyk Technologies, 2026).</w:t>
      </w:r>
    </w:p>
    <w:p>
      <w:pPr>
        <w:pStyle w:val="Heading1"/>
      </w:pPr>
      <w:r>
        <w:t>2.3 Comparative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1872"/>
            <w:shd w:fill="E8EEF5"/>
            <w:vAlign w:val="center"/>
          </w:tcPr>
          <w:p>
            <w:r>
              <w:rPr>
                <w:b/>
                <w:sz w:val="18"/>
              </w:rPr>
              <w:t>Kong</w:t>
            </w:r>
          </w:p>
        </w:tc>
        <w:tc>
          <w:tcPr>
            <w:tcW w:type="dxa" w:w="1944"/>
            <w:shd w:fill="E8EEF5"/>
            <w:vAlign w:val="center"/>
          </w:tcPr>
          <w:p>
            <w:r>
              <w:rPr>
                <w:b/>
                <w:sz w:val="18"/>
              </w:rPr>
              <w:t>APISIX</w:t>
            </w:r>
          </w:p>
        </w:tc>
        <w:tc>
          <w:tcPr>
            <w:tcW w:type="dxa" w:w="1944"/>
            <w:shd w:fill="E8EEF5"/>
            <w:vAlign w:val="center"/>
          </w:tcPr>
          <w:p>
            <w:r>
              <w:rPr>
                <w:b/>
                <w:sz w:val="18"/>
              </w:rPr>
              <w:t>AWS API Gateway</w:t>
            </w:r>
          </w:p>
        </w:tc>
        <w:tc>
          <w:tcPr>
            <w:tcW w:type="dxa" w:w="1800"/>
            <w:shd w:fill="E8EEF5"/>
            <w:vAlign w:val="center"/>
          </w:tcPr>
          <w:p>
            <w:r>
              <w:rPr>
                <w:b/>
                <w:sz w:val="18"/>
              </w:rPr>
              <w:t>Aegis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Deployment model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8"/>
              </w:rPr>
              <w:t>Self-hosted gateway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Self-hosted gateway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Managed cloud service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Self-hosted Docker Compose stack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API/JWT authentication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8"/>
              </w:rPr>
              <w:t>Plugin based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Plugin based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JWT authorizer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API key plus JWT in Go proxy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Rate limiting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8"/>
              </w:rPr>
              <w:t>Plugin and policies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Traffic plugins / Redis option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Token-bucket throttling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Redis fixed, sliding and token bucket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Route authorisation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8"/>
              </w:rPr>
              <w:t>Route/plugin configuration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Route/plugin configuration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JWT scopes per route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Exact method/path → API-key scope mapping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Threat rule in project core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Composed via plugins/integrations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Composed via plugins/integrations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Uses adjacent AWS services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RE2 request-target rules in proxy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Learning focus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Operate platform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Operate platform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Configure cloud service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Implement policy and enforcement separation</w:t>
            </w:r>
          </w:p>
        </w:tc>
      </w:tr>
    </w:tbl>
    <w:p>
      <w:pPr>
        <w:spacing w:after="40"/>
      </w:pPr>
    </w:p>
    <w:p>
      <w:pPr>
        <w:pStyle w:val="Heading1"/>
      </w:pPr>
      <w:r>
        <w:t>2.4 Findings and Design Consequences</w:t>
      </w:r>
    </w:p>
    <w:p>
      <w:pPr>
        <w:jc w:val="both"/>
      </w:pPr>
      <w:r>
        <w:rPr>
          <w:i w:val="0"/>
        </w:rPr>
        <w:t>The comparison validates the proposal’s central premise: mature gateways already solve many generic problems. Aegis therefore should not be evaluated as a replacement for their breadth. Its value is a transparent, smaller system that makes the security decisions inspectable: a rule lives in PostgreSQL, is exposed in the Control Plane, arrives in the proxy snapshot and has a specific enforcement point in Go.</w:t>
      </w:r>
    </w:p>
    <w:p>
      <w:pPr>
        <w:pStyle w:val="ListBullet"/>
        <w:spacing w:after="80"/>
      </w:pPr>
      <w:r>
        <w:t>Use route policies rather than infer a resource name from a URL; this mirrors the explicit route-scope approach of managed gateways.</w:t>
      </w:r>
    </w:p>
    <w:p>
      <w:pPr>
        <w:pStyle w:val="ListBullet"/>
        <w:spacing w:after="80"/>
      </w:pPr>
      <w:r>
        <w:t>Use Redis for shared rate-limit state, avoiding a per-process counter that would fail in a multi-proxy deployment.</w:t>
      </w:r>
    </w:p>
    <w:p>
      <w:pPr>
        <w:pStyle w:val="ListBullet"/>
        <w:spacing w:after="80"/>
      </w:pPr>
      <w:r>
        <w:t>Keep threat matching narrowly defined as method plus path/query, which protects streaming request bodies and avoids collecting unnecessary content.</w:t>
      </w:r>
    </w:p>
    <w:p>
      <w:pPr>
        <w:pStyle w:val="ListBullet"/>
        <w:spacing w:after="80"/>
      </w:pPr>
      <w:r>
        <w:t>Keep the dashboard outside the enforcement path so an unavailable UI does not stop proxy traffic.</w:t>
      </w:r>
    </w:p>
    <w:p>
      <w:pPr>
        <w:pStyle w:val="Heading1"/>
      </w:pPr>
      <w:r>
        <w:t>References</w:t>
      </w:r>
    </w:p>
    <w:p>
      <w:pPr>
        <w:spacing w:after="100"/>
        <w:ind w:left="432" w:hanging="432"/>
      </w:pPr>
      <w:r>
        <w:t>Agile Business Consortium (2014) The DSDM Agile Project Framework. Tunbridge Wells: Agile Business Consortium.</w:t>
      </w:r>
    </w:p>
    <w:p>
      <w:pPr>
        <w:spacing w:after="100"/>
        <w:ind w:left="432" w:hanging="432"/>
      </w:pPr>
      <w:r>
        <w:t>Fielding, R.T. (2000) Architectural Styles and the Design of Network-based Software Architectures. PhD thesis. University of California, Irvine.</w:t>
      </w:r>
    </w:p>
    <w:p>
      <w:pPr>
        <w:spacing w:after="100"/>
        <w:ind w:left="432" w:hanging="432"/>
      </w:pPr>
      <w:r>
        <w:t>Indrasiri, K. and Kuruppu, D. (2020) gRPC: Up and Running. Sebastopol: O’Reilly Media.</w:t>
      </w:r>
    </w:p>
    <w:p>
      <w:pPr>
        <w:spacing w:after="100"/>
        <w:ind w:left="432" w:hanging="432"/>
      </w:pPr>
      <w:r>
        <w:t>Jones, M., Bradley, J. and Sakimura, N. (2015) JSON Web Token (JWT). RFC 7519. Internet Engineering Task Force. Available at: https://www.rfc-editor.org/rfc/rfc7519 (Accessed: 2 August 2026).</w:t>
      </w:r>
    </w:p>
    <w:p>
      <w:pPr>
        <w:spacing w:after="100"/>
        <w:ind w:left="432" w:hanging="432"/>
      </w:pPr>
      <w:r>
        <w:t>Newman, S. (2021) Building Microservices: Designing Fine-grained Systems. 2nd edn. Sebastopol: O’Reilly Media.</w:t>
      </w:r>
    </w:p>
    <w:p>
      <w:pPr>
        <w:spacing w:after="100"/>
        <w:ind w:left="432" w:hanging="432"/>
      </w:pPr>
      <w:r>
        <w:t>OWASP Foundation (2023) OWASP API Security Top 10 2023. Available at: https://owasp.org/www-project-api-security/ (Accessed: 2 August 2026).</w:t>
      </w:r>
    </w:p>
    <w:p>
      <w:pPr>
        <w:spacing w:after="100"/>
        <w:ind w:left="432" w:hanging="432"/>
      </w:pPr>
      <w:r>
        <w:t>W3C (2018) Web Content Accessibility Guidelines (WCAG) 2.1. Available at: https://www.w3.org/TR/WCAG21/ (Accessed: 2 August 2026).</w:t>
      </w:r>
    </w:p>
    <w:p>
      <w:pPr>
        <w:spacing w:after="100"/>
        <w:ind w:left="432" w:hanging="432"/>
      </w:pPr>
      <w:r>
        <w:t>Amazon Web Services (2026) Control access to HTTP APIs with JWT authorizers in API Gateway. Available at: https://docs.aws.amazon.com/apigateway/latest/developerguide/http-api-jwt-authorizer.html (Accessed: 2 August 2026).</w:t>
      </w:r>
    </w:p>
    <w:p>
      <w:pPr>
        <w:spacing w:after="100"/>
        <w:ind w:left="432" w:hanging="432"/>
      </w:pPr>
      <w:r>
        <w:t>Apache APISIX (2026) Rate Limiting by Count (limit-count). Available at: https://apisix.apache.org/docs/apisix/plugins/limit-count/ (Accessed: 2 August 2026).</w:t>
      </w:r>
    </w:p>
    <w:p>
      <w:pPr>
        <w:spacing w:after="100"/>
        <w:ind w:left="432" w:hanging="432"/>
      </w:pPr>
      <w:r>
        <w:t>Kong (2026) Rate Limiting. Available at: https://docs.konghq.com/gateway/latest/get-started/rate-limiting/ (Accessed: 2 August 2026).</w:t>
      </w:r>
    </w:p>
    <w:p>
      <w:pPr>
        <w:spacing w:after="100"/>
        <w:ind w:left="432" w:hanging="432"/>
      </w:pPr>
      <w:r>
        <w:t>Tyk Technologies (2026) Rate Limiting. Available at: https://tyk.io/docs/api-management/rate-limit/ (Accessed: 2 August 2026).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Aegis Project Report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AEGIS PROJECT REPORT  |  CHAPTER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