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2300" w:after="360"/>
        <w:jc w:val="center"/>
      </w:pPr>
      <w:r>
        <w:rPr>
          <w:b/>
          <w:color w:val="2E74B5"/>
          <w:sz w:val="28"/>
        </w:rPr>
        <w:t>AEGIS PROJECT REPORT</w:t>
      </w:r>
    </w:p>
    <w:p>
      <w:pPr>
        <w:spacing w:after="300"/>
        <w:jc w:val="center"/>
      </w:pPr>
      <w:r>
        <w:rPr>
          <w:b/>
          <w:color w:val="0B2545"/>
          <w:sz w:val="60"/>
        </w:rPr>
        <w:t>Chapter 3</w:t>
      </w:r>
    </w:p>
    <w:p>
      <w:pPr>
        <w:spacing w:after="600"/>
        <w:jc w:val="center"/>
      </w:pPr>
      <w:r>
        <w:rPr>
          <w:b/>
          <w:color w:val="2E74B5"/>
          <w:sz w:val="40"/>
        </w:rPr>
        <w:t>Literature Review</w:t>
      </w:r>
    </w:p>
    <w:p>
      <w:pPr>
        <w:spacing w:after="60"/>
        <w:jc w:val="center"/>
      </w:pPr>
      <w:r>
        <w:rPr>
          <w:color w:val="666666"/>
          <w:sz w:val="22"/>
        </w:rPr>
        <w:t>Htun Khaing Lynn  |  Student ID: 001557481</w:t>
      </w:r>
    </w:p>
    <w:p>
      <w:pPr>
        <w:jc w:val="center"/>
      </w:pPr>
      <w:r>
        <w:rPr>
          <w:i/>
          <w:color w:val="666666"/>
          <w:sz w:val="22"/>
        </w:rPr>
        <w:t>Aegis: API Security and Management System</w:t>
      </w:r>
    </w:p>
    <w:p>
      <w:r>
        <w:br w:type="page"/>
      </w:r>
    </w:p>
    <w:p>
      <w:pPr>
        <w:pStyle w:val="Heading1"/>
      </w:pPr>
      <w:r>
        <w:t>3.1 API Security and the Reverse-proxy Boundary</w:t>
      </w:r>
    </w:p>
    <w:p>
      <w:pPr>
        <w:jc w:val="both"/>
      </w:pPr>
      <w:r>
        <w:rPr>
          <w:i w:val="0"/>
        </w:rPr>
        <w:t>REST describes an architectural style rather than a security mechanism (Fielding, 2000). Modern API systems must therefore decide how a request is authenticated, authorised, rate controlled and monitored. The OWASP API Security Top 10 identifies broken authentication, broken object-level authorisation and unrestricted resource consumption as important API risks (OWASP Foundation, 2023). A reverse proxy gives Aegis an early enforcement boundary: denied traffic does not reach the protected service.</w:t>
      </w:r>
    </w:p>
    <w:p>
      <w:pPr>
        <w:pStyle w:val="Heading1"/>
      </w:pPr>
      <w:r>
        <w:t>3.2 Authentication and Authorisation</w:t>
      </w:r>
    </w:p>
    <w:p>
      <w:pPr>
        <w:jc w:val="both"/>
      </w:pPr>
      <w:r>
        <w:rPr>
          <w:i w:val="0"/>
        </w:rPr>
        <w:t>Aegis uses two separate credentials for the POC request path. The API key identifies the caller and carries its configured scopes; the JWT provides a signed, time-limited authentication token. JWT validation checks the signing algorithm, signature and expiry, and can check issuer and audience when configured. This is grounded in RFC 7519’s compact signed claims format (Jones, Bradley and Sakimura, 2015).</w:t>
      </w:r>
    </w:p>
    <w:p>
      <w:pPr>
        <w:jc w:val="both"/>
      </w:pPr>
      <w:r>
        <w:rPr>
          <w:i w:val="0"/>
        </w:rPr>
        <w:t>Authentication is not enough to decide which endpoint a caller may use. The current implementation therefore stores exact method/path policies such as GET /api/echo → echo:read. The proxy compares the configured required scope with the API key’s scopes after both credentials validate. It does not guess that a path segment called echo is a resource. This explicit mapping is more predictable, auditable and safer to evolve.</w:t>
      </w:r>
    </w:p>
    <w:p>
      <w:pPr>
        <w:pStyle w:val="Heading1"/>
      </w:pPr>
      <w:r>
        <w:t>3.3 Secure Credential Handling</w:t>
      </w:r>
    </w:p>
    <w:p>
      <w:pPr>
        <w:jc w:val="both"/>
      </w:pPr>
      <w:r>
        <w:rPr>
          <w:i w:val="0"/>
        </w:rPr>
        <w:t>Passwords and API keys are not recoverable application data. Aegis hashes them with bcrypt; only the raw API key is displayed at creation. JWT signing material has a different requirement: it must be available to sign or verify tokens, so it is Fernet-encrypted at rest and operator APIs return masked values. These choices separate a one-way verifier from protected but recoverable configuration material.</w:t>
      </w:r>
    </w:p>
    <w:p>
      <w:pPr>
        <w:pStyle w:val="Heading1"/>
      </w:pPr>
      <w:r>
        <w:t>3.4 Rate-limiting Algorithms</w:t>
      </w:r>
    </w:p>
    <w:p>
      <w:pPr>
        <w:jc w:val="both"/>
      </w:pPr>
      <w:r>
        <w:rPr>
          <w:i w:val="0"/>
        </w:rPr>
        <w:t>Fixed windows are simple and efficient but can allow a burst across a boundary. Sliding windows more accurately represent recent activity but require timestamp state. Token buckets allow controlled bursts while replenishing capacity over time. Rather than presenting one algorithm as universally best, Aegis exposes fixed-window, sliding-window and token-bucket policy options and runs each with Redis atomic scripts. Shared Redis state is significant because different proxy instances must see the same counter.</w:t>
      </w:r>
    </w:p>
    <w:p>
      <w:pPr>
        <w:pStyle w:val="Heading1"/>
      </w:pPr>
      <w:r>
        <w:t>3.5 Policy Synchronisation and Resilience</w:t>
      </w:r>
    </w:p>
    <w:p>
      <w:pPr>
        <w:jc w:val="both"/>
      </w:pPr>
      <w:r>
        <w:rPr>
          <w:i w:val="0"/>
        </w:rPr>
        <w:t>A Control Plane/data-plane split supports operator control without requiring a database query for every user request. The Control Plane creates policy snapshots from active rows. The proxy bootstraps through an authenticated REST snapshot and then accepts gRPC server-streamed updates. The proxy keeps the last valid snapshot if the stream disconnects, which is a deliberate availability decision: a brief Control Plane outage should not turn off existing protection (Indrasiri and Kuruppu, 2020).</w:t>
      </w:r>
    </w:p>
    <w:p>
      <w:pPr>
        <w:pStyle w:val="Heading1"/>
      </w:pPr>
      <w:r>
        <w:t>3.6 Threat Detection, Logging and Privacy</w:t>
      </w:r>
    </w:p>
    <w:p>
      <w:pPr>
        <w:jc w:val="both"/>
      </w:pPr>
      <w:r>
        <w:rPr>
          <w:i w:val="0"/>
        </w:rPr>
        <w:t>Regular expressions can identify known suspicious request targets, but unbounded backtracking can itself become a denial-of-service risk. Aegis accepts only patterns compatible with Go’s RE2 engine and evaluates them against METHOD plus path/query. Request bodies and arbitrary headers are intentionally not inspected or persisted. The associated event model retains outcome, direct source IP, optional policy identifiers, method, path and status code, providing a useful audit trail while avoiding raw API keys, JWTs and request bodies.</w:t>
      </w:r>
    </w:p>
    <w:p>
      <w:pPr>
        <w:pStyle w:val="Heading1"/>
      </w:pPr>
      <w:r>
        <w:t>3.7 Literature-to-design Traceability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384"/>
            <w:shd w:fill="E8EEF5"/>
            <w:vAlign w:val="center"/>
          </w:tcPr>
          <w:p>
            <w:r>
              <w:rPr>
                <w:b/>
                <w:sz w:val="18"/>
              </w:rPr>
              <w:t>Source concept</w:t>
            </w:r>
          </w:p>
        </w:tc>
        <w:tc>
          <w:tcPr>
            <w:tcW w:type="dxa" w:w="5976"/>
            <w:shd w:fill="E8EEF5"/>
            <w:vAlign w:val="center"/>
          </w:tcPr>
          <w:p>
            <w:r>
              <w:rPr>
                <w:b/>
                <w:sz w:val="18"/>
              </w:rPr>
              <w:t>Aegis design decision</w:t>
            </w:r>
          </w:p>
        </w:tc>
      </w:tr>
      <w:tr>
        <w:tc>
          <w:tcPr>
            <w:tcW w:type="dxa" w:w="3384"/>
            <w:vAlign w:val="center"/>
          </w:tcPr>
          <w:p>
            <w:pPr>
              <w:spacing w:after="40"/>
            </w:pPr>
            <w:r>
              <w:rPr>
                <w:sz w:val="18"/>
              </w:rPr>
              <w:t>API threat categories (OWASP)</w:t>
            </w:r>
          </w:p>
        </w:tc>
        <w:tc>
          <w:tcPr>
            <w:tcW w:type="dxa" w:w="5976"/>
            <w:vAlign w:val="center"/>
          </w:tcPr>
          <w:p>
            <w:pPr>
              <w:spacing w:after="40"/>
            </w:pPr>
            <w:r>
              <w:rPr>
                <w:sz w:val="18"/>
              </w:rPr>
              <w:t>Pre-forward validation, rate limits, route scope checks and threat policies.</w:t>
            </w:r>
          </w:p>
        </w:tc>
      </w:tr>
      <w:tr>
        <w:tc>
          <w:tcPr>
            <w:tcW w:type="dxa" w:w="3384"/>
            <w:vAlign w:val="center"/>
          </w:tcPr>
          <w:p>
            <w:pPr>
              <w:spacing w:after="40"/>
            </w:pPr>
            <w:r>
              <w:rPr>
                <w:sz w:val="18"/>
              </w:rPr>
              <w:t>JWT signed claims (RFC 7519)</w:t>
            </w:r>
          </w:p>
        </w:tc>
        <w:tc>
          <w:tcPr>
            <w:tcW w:type="dxa" w:w="5976"/>
            <w:vAlign w:val="center"/>
          </w:tcPr>
          <w:p>
            <w:pPr>
              <w:spacing w:after="40"/>
            </w:pPr>
            <w:r>
              <w:rPr>
                <w:sz w:val="18"/>
              </w:rPr>
              <w:t>Algorithm-pinned JWT validation with expiry and optional issuer/audience.</w:t>
            </w:r>
          </w:p>
        </w:tc>
      </w:tr>
      <w:tr>
        <w:tc>
          <w:tcPr>
            <w:tcW w:type="dxa" w:w="3384"/>
            <w:vAlign w:val="center"/>
          </w:tcPr>
          <w:p>
            <w:pPr>
              <w:spacing w:after="40"/>
            </w:pPr>
            <w:r>
              <w:rPr>
                <w:sz w:val="18"/>
              </w:rPr>
              <w:t>Distributed systems separation</w:t>
            </w:r>
          </w:p>
        </w:tc>
        <w:tc>
          <w:tcPr>
            <w:tcW w:type="dxa" w:w="5976"/>
            <w:vAlign w:val="center"/>
          </w:tcPr>
          <w:p>
            <w:pPr>
              <w:spacing w:after="40"/>
            </w:pPr>
            <w:r>
              <w:rPr>
                <w:sz w:val="18"/>
              </w:rPr>
              <w:t>FastAPI Control Plane defines policy; Go proxy enforces cached policy.</w:t>
            </w:r>
          </w:p>
        </w:tc>
      </w:tr>
      <w:tr>
        <w:tc>
          <w:tcPr>
            <w:tcW w:type="dxa" w:w="3384"/>
            <w:vAlign w:val="center"/>
          </w:tcPr>
          <w:p>
            <w:pPr>
              <w:spacing w:after="40"/>
            </w:pPr>
            <w:r>
              <w:rPr>
                <w:sz w:val="18"/>
              </w:rPr>
              <w:t>Rate-control trade-offs</w:t>
            </w:r>
          </w:p>
        </w:tc>
        <w:tc>
          <w:tcPr>
            <w:tcW w:type="dxa" w:w="5976"/>
            <w:vAlign w:val="center"/>
          </w:tcPr>
          <w:p>
            <w:pPr>
              <w:spacing w:after="40"/>
            </w:pPr>
            <w:r>
              <w:rPr>
                <w:sz w:val="18"/>
              </w:rPr>
              <w:t>Policy-selected fixed/sliding/token bucket Redis scripts.</w:t>
            </w:r>
          </w:p>
        </w:tc>
      </w:tr>
      <w:tr>
        <w:tc>
          <w:tcPr>
            <w:tcW w:type="dxa" w:w="3384"/>
            <w:vAlign w:val="center"/>
          </w:tcPr>
          <w:p>
            <w:pPr>
              <w:spacing w:after="40"/>
            </w:pPr>
            <w:r>
              <w:rPr>
                <w:sz w:val="18"/>
              </w:rPr>
              <w:t>Privacy by minimisation</w:t>
            </w:r>
          </w:p>
        </w:tc>
        <w:tc>
          <w:tcPr>
            <w:tcW w:type="dxa" w:w="5976"/>
            <w:vAlign w:val="center"/>
          </w:tcPr>
          <w:p>
            <w:pPr>
              <w:spacing w:after="40"/>
            </w:pPr>
            <w:r>
              <w:rPr>
                <w:sz w:val="18"/>
              </w:rPr>
              <w:t>Sanitised security events; no raw credentials, bodies or arbitrary headers.</w:t>
            </w:r>
          </w:p>
        </w:tc>
      </w:tr>
    </w:tbl>
    <w:p>
      <w:pPr>
        <w:spacing w:after="40"/>
      </w:pPr>
    </w:p>
    <w:p>
      <w:pPr>
        <w:pStyle w:val="Heading1"/>
      </w:pPr>
      <w:r>
        <w:t>References</w:t>
      </w:r>
    </w:p>
    <w:p>
      <w:pPr>
        <w:spacing w:after="100"/>
        <w:ind w:left="432" w:hanging="432"/>
      </w:pPr>
      <w:r>
        <w:t>Agile Business Consortium (2014) The DSDM Agile Project Framework. Tunbridge Wells: Agile Business Consortium.</w:t>
      </w:r>
    </w:p>
    <w:p>
      <w:pPr>
        <w:spacing w:after="100"/>
        <w:ind w:left="432" w:hanging="432"/>
      </w:pPr>
      <w:r>
        <w:t>Fielding, R.T. (2000) Architectural Styles and the Design of Network-based Software Architectures. PhD thesis. University of California, Irvine.</w:t>
      </w:r>
    </w:p>
    <w:p>
      <w:pPr>
        <w:spacing w:after="100"/>
        <w:ind w:left="432" w:hanging="432"/>
      </w:pPr>
      <w:r>
        <w:t>Indrasiri, K. and Kuruppu, D. (2020) gRPC: Up and Running. Sebastopol: O’Reilly Media.</w:t>
      </w:r>
    </w:p>
    <w:p>
      <w:pPr>
        <w:spacing w:after="100"/>
        <w:ind w:left="432" w:hanging="432"/>
      </w:pPr>
      <w:r>
        <w:t>Jones, M., Bradley, J. and Sakimura, N. (2015) JSON Web Token (JWT). RFC 7519. Internet Engineering Task Force. Available at: https://www.rfc-editor.org/rfc/rfc7519 (Accessed: 2 August 2026).</w:t>
      </w:r>
    </w:p>
    <w:p>
      <w:pPr>
        <w:spacing w:after="100"/>
        <w:ind w:left="432" w:hanging="432"/>
      </w:pPr>
      <w:r>
        <w:t>Newman, S. (2021) Building Microservices: Designing Fine-grained Systems. 2nd edn. Sebastopol: O’Reilly Media.</w:t>
      </w:r>
    </w:p>
    <w:p>
      <w:pPr>
        <w:spacing w:after="100"/>
        <w:ind w:left="432" w:hanging="432"/>
      </w:pPr>
      <w:r>
        <w:t>OWASP Foundation (2023) OWASP API Security Top 10 2023. Available at: https://owasp.org/www-project-api-security/ (Accessed: 2 August 2026).</w:t>
      </w:r>
    </w:p>
    <w:p>
      <w:pPr>
        <w:spacing w:after="100"/>
        <w:ind w:left="432" w:hanging="432"/>
      </w:pPr>
      <w:r>
        <w:t>W3C (2018) Web Content Accessibility Guidelines (WCAG) 2.1. Available at: https://www.w3.org/TR/WCAG21/ (Accessed: 2 August 2026).</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Aegis Project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AEGIS PROJECT REPORT  |  CHAPTER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