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4</w:t>
      </w:r>
    </w:p>
    <w:p>
      <w:pPr>
        <w:spacing w:after="600"/>
        <w:jc w:val="center"/>
      </w:pPr>
      <w:r>
        <w:rPr>
          <w:b/>
          <w:color w:val="2E74B5"/>
          <w:sz w:val="40"/>
        </w:rPr>
        <w:t>Project Timeline</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4.1 DSDM Delivery Approach</w:t>
      </w:r>
    </w:p>
    <w:p>
      <w:pPr>
        <w:jc w:val="both"/>
      </w:pPr>
      <w:r>
        <w:rPr>
          <w:i w:val="0"/>
        </w:rPr>
        <w:t>The Project Proposal selected Agile DSDM because it combines fixed timeboxes, incremental delivery, MoSCoW prioritisation and regular review. This chapter applies the tutor feedback to make the plan a DSDM timebox plan only: it starts with design work rather than separate research, analysis or planning phases; activities are multi-day; and the final testing date is 9 October 2026. Research and analysis inform the work but are not presented as standalone timeline phases.</w:t>
      </w:r>
    </w:p>
    <w:p>
      <w:pPr>
        <w:jc w:val="both"/>
      </w:pPr>
      <w:r>
        <w:rPr>
          <w:i w:val="0"/>
        </w:rPr>
        <w:t>Each timebox includes a short foundation/checkpoint, development, test, review and retrospective activity. The work is ordered so that the Control Plane policy model is available before the proxy enforces it, and the POC and end-to-end tests follow a usable full-stack path.</w:t>
      </w:r>
    </w:p>
    <w:p>
      <w:pPr>
        <w:pStyle w:val="Heading1"/>
      </w:pPr>
      <w:r>
        <w:t>4.2 Timebox Schedule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007"/>
            <w:shd w:fill="E8EEF5"/>
            <w:vAlign w:val="center"/>
          </w:tcPr>
          <w:p>
            <w:r>
              <w:rPr>
                <w:b/>
                <w:sz w:val="18"/>
              </w:rPr>
              <w:t>Timebox</w:t>
            </w:r>
          </w:p>
        </w:tc>
        <w:tc>
          <w:tcPr>
            <w:tcW w:type="dxa" w:w="1655"/>
            <w:shd w:fill="E8EEF5"/>
            <w:vAlign w:val="center"/>
          </w:tcPr>
          <w:p>
            <w:r>
              <w:rPr>
                <w:b/>
                <w:sz w:val="18"/>
              </w:rPr>
              <w:t>Dates</w:t>
            </w:r>
          </w:p>
        </w:tc>
        <w:tc>
          <w:tcPr>
            <w:tcW w:type="dxa" w:w="2520"/>
            <w:shd w:fill="E8EEF5"/>
            <w:vAlign w:val="center"/>
          </w:tcPr>
          <w:p>
            <w:r>
              <w:rPr>
                <w:b/>
                <w:sz w:val="18"/>
              </w:rPr>
              <w:t>Primary focus</w:t>
            </w:r>
          </w:p>
        </w:tc>
        <w:tc>
          <w:tcPr>
            <w:tcW w:type="dxa" w:w="4176"/>
            <w:shd w:fill="E8EEF5"/>
            <w:vAlign w:val="center"/>
          </w:tcPr>
          <w:p>
            <w:r>
              <w:rPr>
                <w:b/>
                <w:sz w:val="18"/>
              </w:rPr>
              <w:t>Multi-day outputs</w:t>
            </w:r>
          </w:p>
        </w:tc>
      </w:tr>
      <w:tr>
        <w:tc>
          <w:tcPr>
            <w:tcW w:type="dxa" w:w="1007"/>
            <w:vAlign w:val="center"/>
          </w:tcPr>
          <w:p>
            <w:pPr>
              <w:spacing w:after="40"/>
            </w:pPr>
            <w:r>
              <w:rPr>
                <w:sz w:val="18"/>
              </w:rPr>
              <w:t>TB1</w:t>
            </w:r>
          </w:p>
        </w:tc>
        <w:tc>
          <w:tcPr>
            <w:tcW w:type="dxa" w:w="1655"/>
            <w:vAlign w:val="center"/>
          </w:tcPr>
          <w:p>
            <w:pPr>
              <w:spacing w:after="40"/>
            </w:pPr>
            <w:r>
              <w:rPr>
                <w:sz w:val="18"/>
              </w:rPr>
              <w:t>16–27 Mar</w:t>
            </w:r>
          </w:p>
        </w:tc>
        <w:tc>
          <w:tcPr>
            <w:tcW w:type="dxa" w:w="2520"/>
            <w:vAlign w:val="center"/>
          </w:tcPr>
          <w:p>
            <w:pPr>
              <w:spacing w:after="40"/>
            </w:pPr>
            <w:r>
              <w:rPr>
                <w:sz w:val="18"/>
              </w:rPr>
              <w:t>Architecture and data-model design</w:t>
            </w:r>
          </w:p>
        </w:tc>
        <w:tc>
          <w:tcPr>
            <w:tcW w:type="dxa" w:w="4176"/>
            <w:vAlign w:val="center"/>
          </w:tcPr>
          <w:p>
            <w:pPr>
              <w:spacing w:after="40"/>
            </w:pPr>
            <w:r>
              <w:rPr>
                <w:sz w:val="18"/>
              </w:rPr>
              <w:t>Component boundaries, initial schema, key workflows</w:t>
            </w:r>
          </w:p>
        </w:tc>
      </w:tr>
      <w:tr>
        <w:tc>
          <w:tcPr>
            <w:tcW w:type="dxa" w:w="1007"/>
            <w:vAlign w:val="center"/>
          </w:tcPr>
          <w:p>
            <w:pPr>
              <w:spacing w:after="40"/>
            </w:pPr>
            <w:r>
              <w:rPr>
                <w:sz w:val="18"/>
              </w:rPr>
              <w:t>TB2</w:t>
            </w:r>
          </w:p>
        </w:tc>
        <w:tc>
          <w:tcPr>
            <w:tcW w:type="dxa" w:w="1655"/>
            <w:vAlign w:val="center"/>
          </w:tcPr>
          <w:p>
            <w:pPr>
              <w:spacing w:after="40"/>
            </w:pPr>
            <w:r>
              <w:rPr>
                <w:sz w:val="18"/>
              </w:rPr>
              <w:t>30 Mar–10 Apr</w:t>
            </w:r>
          </w:p>
        </w:tc>
        <w:tc>
          <w:tcPr>
            <w:tcW w:type="dxa" w:w="2520"/>
            <w:vAlign w:val="center"/>
          </w:tcPr>
          <w:p>
            <w:pPr>
              <w:spacing w:after="40"/>
            </w:pPr>
            <w:r>
              <w:rPr>
                <w:sz w:val="18"/>
              </w:rPr>
              <w:t>Security and interface design</w:t>
            </w:r>
          </w:p>
        </w:tc>
        <w:tc>
          <w:tcPr>
            <w:tcW w:type="dxa" w:w="4176"/>
            <w:vAlign w:val="center"/>
          </w:tcPr>
          <w:p>
            <w:pPr>
              <w:spacing w:after="40"/>
            </w:pPr>
            <w:r>
              <w:rPr>
                <w:sz w:val="18"/>
              </w:rPr>
              <w:t>API contract, authentication and enforcement sequence</w:t>
            </w:r>
          </w:p>
        </w:tc>
      </w:tr>
      <w:tr>
        <w:tc>
          <w:tcPr>
            <w:tcW w:type="dxa" w:w="1007"/>
            <w:vAlign w:val="center"/>
          </w:tcPr>
          <w:p>
            <w:pPr>
              <w:spacing w:after="40"/>
            </w:pPr>
            <w:r>
              <w:rPr>
                <w:sz w:val="18"/>
              </w:rPr>
              <w:t>TB3</w:t>
            </w:r>
          </w:p>
        </w:tc>
        <w:tc>
          <w:tcPr>
            <w:tcW w:type="dxa" w:w="1655"/>
            <w:vAlign w:val="center"/>
          </w:tcPr>
          <w:p>
            <w:pPr>
              <w:spacing w:after="40"/>
            </w:pPr>
            <w:r>
              <w:rPr>
                <w:sz w:val="18"/>
              </w:rPr>
              <w:t>13–24 Apr</w:t>
            </w:r>
          </w:p>
        </w:tc>
        <w:tc>
          <w:tcPr>
            <w:tcW w:type="dxa" w:w="2520"/>
            <w:vAlign w:val="center"/>
          </w:tcPr>
          <w:p>
            <w:pPr>
              <w:spacing w:after="40"/>
            </w:pPr>
            <w:r>
              <w:rPr>
                <w:sz w:val="18"/>
              </w:rPr>
              <w:t>Control Plane foundation</w:t>
            </w:r>
          </w:p>
        </w:tc>
        <w:tc>
          <w:tcPr>
            <w:tcW w:type="dxa" w:w="4176"/>
            <w:vAlign w:val="center"/>
          </w:tcPr>
          <w:p>
            <w:pPr>
              <w:spacing w:after="40"/>
            </w:pPr>
            <w:r>
              <w:rPr>
                <w:sz w:val="18"/>
              </w:rPr>
              <w:t>Async FastAPI, migrations, user/auth foundations</w:t>
            </w:r>
          </w:p>
        </w:tc>
      </w:tr>
      <w:tr>
        <w:tc>
          <w:tcPr>
            <w:tcW w:type="dxa" w:w="1007"/>
            <w:vAlign w:val="center"/>
          </w:tcPr>
          <w:p>
            <w:pPr>
              <w:spacing w:after="40"/>
            </w:pPr>
            <w:r>
              <w:rPr>
                <w:sz w:val="18"/>
              </w:rPr>
              <w:t>TB4</w:t>
            </w:r>
          </w:p>
        </w:tc>
        <w:tc>
          <w:tcPr>
            <w:tcW w:type="dxa" w:w="1655"/>
            <w:vAlign w:val="center"/>
          </w:tcPr>
          <w:p>
            <w:pPr>
              <w:spacing w:after="40"/>
            </w:pPr>
            <w:r>
              <w:rPr>
                <w:sz w:val="18"/>
              </w:rPr>
              <w:t>27 Apr–8 May</w:t>
            </w:r>
          </w:p>
        </w:tc>
        <w:tc>
          <w:tcPr>
            <w:tcW w:type="dxa" w:w="2520"/>
            <w:vAlign w:val="center"/>
          </w:tcPr>
          <w:p>
            <w:pPr>
              <w:spacing w:after="40"/>
            </w:pPr>
            <w:r>
              <w:rPr>
                <w:sz w:val="18"/>
              </w:rPr>
              <w:t>Identity and API-key delivery</w:t>
            </w:r>
          </w:p>
        </w:tc>
        <w:tc>
          <w:tcPr>
            <w:tcW w:type="dxa" w:w="4176"/>
            <w:vAlign w:val="center"/>
          </w:tcPr>
          <w:p>
            <w:pPr>
              <w:spacing w:after="40"/>
            </w:pPr>
            <w:r>
              <w:rPr>
                <w:sz w:val="18"/>
              </w:rPr>
              <w:t>RBAC, key issue/revoke, ownership controls</w:t>
            </w:r>
          </w:p>
        </w:tc>
      </w:tr>
      <w:tr>
        <w:tc>
          <w:tcPr>
            <w:tcW w:type="dxa" w:w="1007"/>
            <w:vAlign w:val="center"/>
          </w:tcPr>
          <w:p>
            <w:pPr>
              <w:spacing w:after="40"/>
            </w:pPr>
            <w:r>
              <w:rPr>
                <w:sz w:val="18"/>
              </w:rPr>
              <w:t>TB5</w:t>
            </w:r>
          </w:p>
        </w:tc>
        <w:tc>
          <w:tcPr>
            <w:tcW w:type="dxa" w:w="1655"/>
            <w:vAlign w:val="center"/>
          </w:tcPr>
          <w:p>
            <w:pPr>
              <w:spacing w:after="40"/>
            </w:pPr>
            <w:r>
              <w:rPr>
                <w:sz w:val="18"/>
              </w:rPr>
              <w:t>11–22 May</w:t>
            </w:r>
          </w:p>
        </w:tc>
        <w:tc>
          <w:tcPr>
            <w:tcW w:type="dxa" w:w="2520"/>
            <w:vAlign w:val="center"/>
          </w:tcPr>
          <w:p>
            <w:pPr>
              <w:spacing w:after="40"/>
            </w:pPr>
            <w:r>
              <w:rPr>
                <w:sz w:val="18"/>
              </w:rPr>
              <w:t>Policy configuration</w:t>
            </w:r>
          </w:p>
        </w:tc>
        <w:tc>
          <w:tcPr>
            <w:tcW w:type="dxa" w:w="4176"/>
            <w:vAlign w:val="center"/>
          </w:tcPr>
          <w:p>
            <w:pPr>
              <w:spacing w:after="40"/>
            </w:pPr>
            <w:r>
              <w:rPr>
                <w:sz w:val="18"/>
              </w:rPr>
              <w:t>Rate-limit and JWT configuration workflows</w:t>
            </w:r>
          </w:p>
        </w:tc>
      </w:tr>
      <w:tr>
        <w:tc>
          <w:tcPr>
            <w:tcW w:type="dxa" w:w="1007"/>
            <w:vAlign w:val="center"/>
          </w:tcPr>
          <w:p>
            <w:pPr>
              <w:spacing w:after="40"/>
            </w:pPr>
            <w:r>
              <w:rPr>
                <w:sz w:val="18"/>
              </w:rPr>
              <w:t>TB6</w:t>
            </w:r>
          </w:p>
        </w:tc>
        <w:tc>
          <w:tcPr>
            <w:tcW w:type="dxa" w:w="1655"/>
            <w:vAlign w:val="center"/>
          </w:tcPr>
          <w:p>
            <w:pPr>
              <w:spacing w:after="40"/>
            </w:pPr>
            <w:r>
              <w:rPr>
                <w:sz w:val="18"/>
              </w:rPr>
              <w:t>25 May–5 Jun</w:t>
            </w:r>
          </w:p>
        </w:tc>
        <w:tc>
          <w:tcPr>
            <w:tcW w:type="dxa" w:w="2520"/>
            <w:vAlign w:val="center"/>
          </w:tcPr>
          <w:p>
            <w:pPr>
              <w:spacing w:after="40"/>
            </w:pPr>
            <w:r>
              <w:rPr>
                <w:sz w:val="18"/>
              </w:rPr>
              <w:t>Proxy core</w:t>
            </w:r>
          </w:p>
        </w:tc>
        <w:tc>
          <w:tcPr>
            <w:tcW w:type="dxa" w:w="4176"/>
            <w:vAlign w:val="center"/>
          </w:tcPr>
          <w:p>
            <w:pPr>
              <w:spacing w:after="40"/>
            </w:pPr>
            <w:r>
              <w:rPr>
                <w:sz w:val="18"/>
              </w:rPr>
              <w:t>Go forwarding, internal key validation and cache</w:t>
            </w:r>
          </w:p>
        </w:tc>
      </w:tr>
      <w:tr>
        <w:tc>
          <w:tcPr>
            <w:tcW w:type="dxa" w:w="1007"/>
            <w:vAlign w:val="center"/>
          </w:tcPr>
          <w:p>
            <w:pPr>
              <w:spacing w:after="40"/>
            </w:pPr>
            <w:r>
              <w:rPr>
                <w:sz w:val="18"/>
              </w:rPr>
              <w:t>TB7</w:t>
            </w:r>
          </w:p>
        </w:tc>
        <w:tc>
          <w:tcPr>
            <w:tcW w:type="dxa" w:w="1655"/>
            <w:vAlign w:val="center"/>
          </w:tcPr>
          <w:p>
            <w:pPr>
              <w:spacing w:after="40"/>
            </w:pPr>
            <w:r>
              <w:rPr>
                <w:sz w:val="18"/>
              </w:rPr>
              <w:t>8–19 Jun</w:t>
            </w:r>
          </w:p>
        </w:tc>
        <w:tc>
          <w:tcPr>
            <w:tcW w:type="dxa" w:w="2520"/>
            <w:vAlign w:val="center"/>
          </w:tcPr>
          <w:p>
            <w:pPr>
              <w:spacing w:after="40"/>
            </w:pPr>
            <w:r>
              <w:rPr>
                <w:sz w:val="18"/>
              </w:rPr>
              <w:t>Traffic enforcement</w:t>
            </w:r>
          </w:p>
        </w:tc>
        <w:tc>
          <w:tcPr>
            <w:tcW w:type="dxa" w:w="4176"/>
            <w:vAlign w:val="center"/>
          </w:tcPr>
          <w:p>
            <w:pPr>
              <w:spacing w:after="40"/>
            </w:pPr>
            <w:r>
              <w:rPr>
                <w:sz w:val="18"/>
              </w:rPr>
              <w:t>Redis limits, JWT validation and response contracts</w:t>
            </w:r>
          </w:p>
        </w:tc>
      </w:tr>
      <w:tr>
        <w:tc>
          <w:tcPr>
            <w:tcW w:type="dxa" w:w="1007"/>
            <w:vAlign w:val="center"/>
          </w:tcPr>
          <w:p>
            <w:pPr>
              <w:spacing w:after="40"/>
            </w:pPr>
            <w:r>
              <w:rPr>
                <w:sz w:val="18"/>
              </w:rPr>
              <w:t>TB8</w:t>
            </w:r>
          </w:p>
        </w:tc>
        <w:tc>
          <w:tcPr>
            <w:tcW w:type="dxa" w:w="1655"/>
            <w:vAlign w:val="center"/>
          </w:tcPr>
          <w:p>
            <w:pPr>
              <w:spacing w:after="40"/>
            </w:pPr>
            <w:r>
              <w:rPr>
                <w:sz w:val="18"/>
              </w:rPr>
              <w:t>22 Jun–3 Jul</w:t>
            </w:r>
          </w:p>
        </w:tc>
        <w:tc>
          <w:tcPr>
            <w:tcW w:type="dxa" w:w="2520"/>
            <w:vAlign w:val="center"/>
          </w:tcPr>
          <w:p>
            <w:pPr>
              <w:spacing w:after="40"/>
            </w:pPr>
            <w:r>
              <w:rPr>
                <w:sz w:val="18"/>
              </w:rPr>
              <w:t>Policy distribution</w:t>
            </w:r>
          </w:p>
        </w:tc>
        <w:tc>
          <w:tcPr>
            <w:tcW w:type="dxa" w:w="4176"/>
            <w:vAlign w:val="center"/>
          </w:tcPr>
          <w:p>
            <w:pPr>
              <w:spacing w:after="40"/>
            </w:pPr>
            <w:r>
              <w:rPr>
                <w:sz w:val="18"/>
              </w:rPr>
              <w:t>REST snapshot, gRPC stream and resilience checks</w:t>
            </w:r>
          </w:p>
        </w:tc>
      </w:tr>
      <w:tr>
        <w:tc>
          <w:tcPr>
            <w:tcW w:type="dxa" w:w="1007"/>
            <w:vAlign w:val="center"/>
          </w:tcPr>
          <w:p>
            <w:pPr>
              <w:spacing w:after="40"/>
            </w:pPr>
            <w:r>
              <w:rPr>
                <w:sz w:val="18"/>
              </w:rPr>
              <w:t>TB9</w:t>
            </w:r>
          </w:p>
        </w:tc>
        <w:tc>
          <w:tcPr>
            <w:tcW w:type="dxa" w:w="1655"/>
            <w:vAlign w:val="center"/>
          </w:tcPr>
          <w:p>
            <w:pPr>
              <w:spacing w:after="40"/>
            </w:pPr>
            <w:r>
              <w:rPr>
                <w:sz w:val="18"/>
              </w:rPr>
              <w:t>6–17 Jul</w:t>
            </w:r>
          </w:p>
        </w:tc>
        <w:tc>
          <w:tcPr>
            <w:tcW w:type="dxa" w:w="2520"/>
            <w:vAlign w:val="center"/>
          </w:tcPr>
          <w:p>
            <w:pPr>
              <w:spacing w:after="40"/>
            </w:pPr>
            <w:r>
              <w:rPr>
                <w:sz w:val="18"/>
              </w:rPr>
              <w:t>Security controls</w:t>
            </w:r>
          </w:p>
        </w:tc>
        <w:tc>
          <w:tcPr>
            <w:tcW w:type="dxa" w:w="4176"/>
            <w:vAlign w:val="center"/>
          </w:tcPr>
          <w:p>
            <w:pPr>
              <w:spacing w:after="40"/>
            </w:pPr>
            <w:r>
              <w:rPr>
                <w:sz w:val="18"/>
              </w:rPr>
              <w:t>Threat rules, manual/automatic IP blocking</w:t>
            </w:r>
          </w:p>
        </w:tc>
      </w:tr>
      <w:tr>
        <w:tc>
          <w:tcPr>
            <w:tcW w:type="dxa" w:w="1007"/>
            <w:vAlign w:val="center"/>
          </w:tcPr>
          <w:p>
            <w:pPr>
              <w:spacing w:after="40"/>
            </w:pPr>
            <w:r>
              <w:rPr>
                <w:sz w:val="18"/>
              </w:rPr>
              <w:t>TB10</w:t>
            </w:r>
          </w:p>
        </w:tc>
        <w:tc>
          <w:tcPr>
            <w:tcW w:type="dxa" w:w="1655"/>
            <w:vAlign w:val="center"/>
          </w:tcPr>
          <w:p>
            <w:pPr>
              <w:spacing w:after="40"/>
            </w:pPr>
            <w:r>
              <w:rPr>
                <w:sz w:val="18"/>
              </w:rPr>
              <w:t>20–31 Jul</w:t>
            </w:r>
          </w:p>
        </w:tc>
        <w:tc>
          <w:tcPr>
            <w:tcW w:type="dxa" w:w="2520"/>
            <w:vAlign w:val="center"/>
          </w:tcPr>
          <w:p>
            <w:pPr>
              <w:spacing w:after="40"/>
            </w:pPr>
            <w:r>
              <w:rPr>
                <w:sz w:val="18"/>
              </w:rPr>
              <w:t>Observability</w:t>
            </w:r>
          </w:p>
        </w:tc>
        <w:tc>
          <w:tcPr>
            <w:tcW w:type="dxa" w:w="4176"/>
            <w:vAlign w:val="center"/>
          </w:tcPr>
          <w:p>
            <w:pPr>
              <w:spacing w:after="40"/>
            </w:pPr>
            <w:r>
              <w:rPr>
                <w:sz w:val="18"/>
              </w:rPr>
              <w:t>Sanitised events, analytics and dashboard integration</w:t>
            </w:r>
          </w:p>
        </w:tc>
      </w:tr>
      <w:tr>
        <w:tc>
          <w:tcPr>
            <w:tcW w:type="dxa" w:w="1007"/>
            <w:vAlign w:val="center"/>
          </w:tcPr>
          <w:p>
            <w:pPr>
              <w:spacing w:after="40"/>
            </w:pPr>
            <w:r>
              <w:rPr>
                <w:sz w:val="18"/>
              </w:rPr>
              <w:t>TB11</w:t>
            </w:r>
          </w:p>
        </w:tc>
        <w:tc>
          <w:tcPr>
            <w:tcW w:type="dxa" w:w="1655"/>
            <w:vAlign w:val="center"/>
          </w:tcPr>
          <w:p>
            <w:pPr>
              <w:spacing w:after="40"/>
            </w:pPr>
            <w:r>
              <w:rPr>
                <w:sz w:val="18"/>
              </w:rPr>
              <w:t>3–14 Aug</w:t>
            </w:r>
          </w:p>
        </w:tc>
        <w:tc>
          <w:tcPr>
            <w:tcW w:type="dxa" w:w="2520"/>
            <w:vAlign w:val="center"/>
          </w:tcPr>
          <w:p>
            <w:pPr>
              <w:spacing w:after="40"/>
            </w:pPr>
            <w:r>
              <w:rPr>
                <w:sz w:val="18"/>
              </w:rPr>
              <w:t>Route authorisation</w:t>
            </w:r>
          </w:p>
        </w:tc>
        <w:tc>
          <w:tcPr>
            <w:tcW w:type="dxa" w:w="4176"/>
            <w:vAlign w:val="center"/>
          </w:tcPr>
          <w:p>
            <w:pPr>
              <w:spacing w:after="40"/>
            </w:pPr>
            <w:r>
              <w:rPr>
                <w:sz w:val="18"/>
              </w:rPr>
              <w:t>Exact route-permission policy and scope enforcement</w:t>
            </w:r>
          </w:p>
        </w:tc>
      </w:tr>
      <w:tr>
        <w:tc>
          <w:tcPr>
            <w:tcW w:type="dxa" w:w="1007"/>
            <w:vAlign w:val="center"/>
          </w:tcPr>
          <w:p>
            <w:pPr>
              <w:spacing w:after="40"/>
            </w:pPr>
            <w:r>
              <w:rPr>
                <w:sz w:val="18"/>
              </w:rPr>
              <w:t>TB12</w:t>
            </w:r>
          </w:p>
        </w:tc>
        <w:tc>
          <w:tcPr>
            <w:tcW w:type="dxa" w:w="1655"/>
            <w:vAlign w:val="center"/>
          </w:tcPr>
          <w:p>
            <w:pPr>
              <w:spacing w:after="40"/>
            </w:pPr>
            <w:r>
              <w:rPr>
                <w:sz w:val="18"/>
              </w:rPr>
              <w:t>17–28 Aug</w:t>
            </w:r>
          </w:p>
        </w:tc>
        <w:tc>
          <w:tcPr>
            <w:tcW w:type="dxa" w:w="2520"/>
            <w:vAlign w:val="center"/>
          </w:tcPr>
          <w:p>
            <w:pPr>
              <w:spacing w:after="40"/>
            </w:pPr>
            <w:r>
              <w:rPr>
                <w:sz w:val="18"/>
              </w:rPr>
              <w:t>Integration hardening</w:t>
            </w:r>
          </w:p>
        </w:tc>
        <w:tc>
          <w:tcPr>
            <w:tcW w:type="dxa" w:w="4176"/>
            <w:vAlign w:val="center"/>
          </w:tcPr>
          <w:p>
            <w:pPr>
              <w:spacing w:after="40"/>
            </w:pPr>
            <w:r>
              <w:rPr>
                <w:sz w:val="18"/>
              </w:rPr>
              <w:t>Docker Compose, policy refresh and regression fixes</w:t>
            </w:r>
          </w:p>
        </w:tc>
      </w:tr>
      <w:tr>
        <w:tc>
          <w:tcPr>
            <w:tcW w:type="dxa" w:w="1007"/>
            <w:vAlign w:val="center"/>
          </w:tcPr>
          <w:p>
            <w:pPr>
              <w:spacing w:after="40"/>
            </w:pPr>
            <w:r>
              <w:rPr>
                <w:sz w:val="18"/>
              </w:rPr>
              <w:t>TB13</w:t>
            </w:r>
          </w:p>
        </w:tc>
        <w:tc>
          <w:tcPr>
            <w:tcW w:type="dxa" w:w="1655"/>
            <w:vAlign w:val="center"/>
          </w:tcPr>
          <w:p>
            <w:pPr>
              <w:spacing w:after="40"/>
            </w:pPr>
            <w:r>
              <w:rPr>
                <w:sz w:val="18"/>
              </w:rPr>
              <w:t>31 Aug–11 Sep</w:t>
            </w:r>
          </w:p>
        </w:tc>
        <w:tc>
          <w:tcPr>
            <w:tcW w:type="dxa" w:w="2520"/>
            <w:vAlign w:val="center"/>
          </w:tcPr>
          <w:p>
            <w:pPr>
              <w:spacing w:after="40"/>
            </w:pPr>
            <w:r>
              <w:rPr>
                <w:sz w:val="18"/>
              </w:rPr>
              <w:t>System test timebox</w:t>
            </w:r>
          </w:p>
        </w:tc>
        <w:tc>
          <w:tcPr>
            <w:tcW w:type="dxa" w:w="4176"/>
            <w:vAlign w:val="center"/>
          </w:tcPr>
          <w:p>
            <w:pPr>
              <w:spacing w:after="40"/>
            </w:pPr>
            <w:r>
              <w:rPr>
                <w:sz w:val="18"/>
              </w:rPr>
              <w:t>Component, integration and coverage checks</w:t>
            </w:r>
          </w:p>
        </w:tc>
      </w:tr>
      <w:tr>
        <w:tc>
          <w:tcPr>
            <w:tcW w:type="dxa" w:w="1007"/>
            <w:vAlign w:val="center"/>
          </w:tcPr>
          <w:p>
            <w:pPr>
              <w:spacing w:after="40"/>
            </w:pPr>
            <w:r>
              <w:rPr>
                <w:sz w:val="18"/>
              </w:rPr>
              <w:t>TB14</w:t>
            </w:r>
          </w:p>
        </w:tc>
        <w:tc>
          <w:tcPr>
            <w:tcW w:type="dxa" w:w="1655"/>
            <w:vAlign w:val="center"/>
          </w:tcPr>
          <w:p>
            <w:pPr>
              <w:spacing w:after="40"/>
            </w:pPr>
            <w:r>
              <w:rPr>
                <w:sz w:val="18"/>
              </w:rPr>
              <w:t>14–25 Sep</w:t>
            </w:r>
          </w:p>
        </w:tc>
        <w:tc>
          <w:tcPr>
            <w:tcW w:type="dxa" w:w="2520"/>
            <w:vAlign w:val="center"/>
          </w:tcPr>
          <w:p>
            <w:pPr>
              <w:spacing w:after="40"/>
            </w:pPr>
            <w:r>
              <w:rPr>
                <w:sz w:val="18"/>
              </w:rPr>
              <w:t>POC and acceptance timebox</w:t>
            </w:r>
          </w:p>
        </w:tc>
        <w:tc>
          <w:tcPr>
            <w:tcW w:type="dxa" w:w="4176"/>
            <w:vAlign w:val="center"/>
          </w:tcPr>
          <w:p>
            <w:pPr>
              <w:spacing w:after="40"/>
            </w:pPr>
            <w:r>
              <w:rPr>
                <w:sz w:val="18"/>
              </w:rPr>
              <w:t>Attack console, user-path checks and defect correction</w:t>
            </w:r>
          </w:p>
        </w:tc>
      </w:tr>
      <w:tr>
        <w:tc>
          <w:tcPr>
            <w:tcW w:type="dxa" w:w="1007"/>
            <w:vAlign w:val="center"/>
          </w:tcPr>
          <w:p>
            <w:pPr>
              <w:spacing w:after="40"/>
            </w:pPr>
            <w:r>
              <w:rPr>
                <w:sz w:val="18"/>
              </w:rPr>
              <w:t>TB15</w:t>
            </w:r>
          </w:p>
        </w:tc>
        <w:tc>
          <w:tcPr>
            <w:tcW w:type="dxa" w:w="1655"/>
            <w:vAlign w:val="center"/>
          </w:tcPr>
          <w:p>
            <w:pPr>
              <w:spacing w:after="40"/>
            </w:pPr>
            <w:r>
              <w:rPr>
                <w:sz w:val="18"/>
              </w:rPr>
              <w:t>28 Sep–9 Oct</w:t>
            </w:r>
          </w:p>
        </w:tc>
        <w:tc>
          <w:tcPr>
            <w:tcW w:type="dxa" w:w="2520"/>
            <w:vAlign w:val="center"/>
          </w:tcPr>
          <w:p>
            <w:pPr>
              <w:spacing w:after="40"/>
            </w:pPr>
            <w:r>
              <w:rPr>
                <w:sz w:val="18"/>
              </w:rPr>
              <w:t>Final test and report timebox</w:t>
            </w:r>
          </w:p>
        </w:tc>
        <w:tc>
          <w:tcPr>
            <w:tcW w:type="dxa" w:w="4176"/>
            <w:vAlign w:val="center"/>
          </w:tcPr>
          <w:p>
            <w:pPr>
              <w:spacing w:after="40"/>
            </w:pPr>
            <w:r>
              <w:rPr>
                <w:sz w:val="18"/>
              </w:rPr>
              <w:t>Regression, evaluation, documentation and submission preparation</w:t>
            </w:r>
          </w:p>
        </w:tc>
      </w:tr>
    </w:tbl>
    <w:p>
      <w:pPr>
        <w:spacing w:after="40"/>
      </w:pPr>
    </w:p>
    <w:p>
      <w:pPr>
        <w:pStyle w:val="Heading1"/>
      </w:pPr>
      <w:r>
        <w:t>4.3 Timebox Controls</w:t>
      </w:r>
    </w:p>
    <w:p>
      <w:pPr>
        <w:pStyle w:val="ListBullet"/>
        <w:spacing w:after="80"/>
      </w:pPr>
      <w:r>
        <w:t>At the start of each timebox, confirm the MoSCoW scope and dependencies; do not move unfinished optional features ahead of an unverified security baseline.</w:t>
      </w:r>
    </w:p>
    <w:p>
      <w:pPr>
        <w:pStyle w:val="ListBullet"/>
        <w:spacing w:after="80"/>
      </w:pPr>
      <w:r>
        <w:t>During development, maintain small increments that can be tested at the Control Plane, proxy and dashboard boundaries.</w:t>
      </w:r>
    </w:p>
    <w:p>
      <w:pPr>
        <w:pStyle w:val="ListBullet"/>
        <w:spacing w:after="80"/>
      </w:pPr>
      <w:r>
        <w:t>At the end, run relevant automated tests, review acceptance evidence, record defects and use the retrospective to adjust the following timebox.</w:t>
      </w:r>
    </w:p>
    <w:p>
      <w:pPr>
        <w:pStyle w:val="ListBullet"/>
        <w:spacing w:after="80"/>
      </w:pPr>
      <w:r>
        <w:t>Treat quality as non-negotiable: a feature is not complete merely because it has a screen or endpoint; it needs an enforcement and test path where applicable.</w:t>
      </w:r>
    </w:p>
    <w:p>
      <w:pPr>
        <w:pStyle w:val="Heading1"/>
      </w:pPr>
      <w:r>
        <w:t>4.4 Milestones and Dependencies</w:t>
      </w:r>
    </w:p>
    <w:p>
      <w:pPr>
        <w:jc w:val="both"/>
      </w:pPr>
      <w:r>
        <w:rPr>
          <w:i w:val="0"/>
        </w:rPr>
        <w:t>The critical chain is policy model → authenticated Control Plane API → proxy policy retrieval → enforcement → cross-component testing. The analytics and dashboard work depends on the proxy reporting an event safely, but it must not delay the security decision itself. The final two timeboxes are deliberately reserved for evidence-led testing and documentation, rather than adding a new functional phase outside the DSDM structure.</w:t>
      </w:r>
    </w:p>
    <w:p>
      <w:pPr>
        <w:pStyle w:val="Heading1"/>
      </w:pPr>
      <w:r>
        <w:t>References</w:t>
      </w:r>
    </w:p>
    <w:p>
      <w:pPr>
        <w:spacing w:after="100"/>
        <w:ind w:left="432" w:hanging="432"/>
      </w:pPr>
      <w:r>
        <w:t>Agile Business Consortium (2014) The DSDM Agile Project Framework. Tunbridge Wells: Agile Business Consortium.</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