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300" w:after="360"/>
        <w:jc w:val="center"/>
      </w:pPr>
      <w:r>
        <w:rPr>
          <w:b/>
          <w:color w:val="2E74B5"/>
          <w:sz w:val="28"/>
        </w:rPr>
        <w:t>AEGIS PROJECT REPORT</w:t>
      </w:r>
    </w:p>
    <w:p>
      <w:pPr>
        <w:spacing w:after="300"/>
        <w:jc w:val="center"/>
      </w:pPr>
      <w:r>
        <w:rPr>
          <w:b/>
          <w:color w:val="0B2545"/>
          <w:sz w:val="60"/>
        </w:rPr>
        <w:t>Chapter 5</w:t>
      </w:r>
    </w:p>
    <w:p>
      <w:pPr>
        <w:spacing w:after="600"/>
        <w:jc w:val="center"/>
      </w:pPr>
      <w:r>
        <w:rPr>
          <w:b/>
          <w:color w:val="2E74B5"/>
          <w:sz w:val="40"/>
        </w:rPr>
        <w:t>Legal, Social, Ethical and Professional Issues</w:t>
      </w:r>
    </w:p>
    <w:p>
      <w:pPr>
        <w:spacing w:after="60"/>
        <w:jc w:val="center"/>
      </w:pPr>
      <w:r>
        <w:rPr>
          <w:color w:val="666666"/>
          <w:sz w:val="22"/>
        </w:rPr>
        <w:t>Htun Khaing Lynn  |  Student ID: 001557481</w:t>
      </w:r>
    </w:p>
    <w:p>
      <w:pPr>
        <w:jc w:val="center"/>
      </w:pPr>
      <w:r>
        <w:rPr>
          <w:i/>
          <w:color w:val="666666"/>
          <w:sz w:val="22"/>
        </w:rPr>
        <w:t>Aegis: API Security and Management System</w:t>
      </w:r>
    </w:p>
    <w:p>
      <w:r>
        <w:br w:type="page"/>
      </w:r>
    </w:p>
    <w:p>
      <w:pPr>
        <w:pStyle w:val="Heading1"/>
      </w:pPr>
      <w:r>
        <w:t>5.1 Legal Issues</w:t>
      </w:r>
    </w:p>
    <w:p>
      <w:pPr>
        <w:jc w:val="both"/>
      </w:pPr>
      <w:r>
        <w:rPr>
          <w:i w:val="0"/>
        </w:rPr>
        <w:t>Aegis handles account data, source IP addresses, endpoint paths and security-event metadata. In a real deployment, these can be personal data or operationally sensitive information. The project is a technical implementation, not a claim of legal compliance, but it applies practical safeguards: bcrypt hashes for passwords/API keys, encrypted JWT signing material, one-time raw-key disclosure and sanitised events that omit raw credentials, bodies and arbitrary headers.</w:t>
      </w:r>
    </w:p>
    <w:p>
      <w:pPr>
        <w:jc w:val="both"/>
      </w:pPr>
      <w:r>
        <w:rPr>
          <w:i w:val="0"/>
        </w:rPr>
        <w:t>Data retention, lawful basis, data-subject rights, processor contracts and breach procedures remain deployment responsibilities. A production operator should define event-retention periods, access controls and deletion workflows in line with the jurisdiction in which it operates. Dependencies also need licence review before redistribution; the project should keep attribution for FastAPI, SQLAlchemy, Go, React, Redis clients, Docker and other third-party components.</w:t>
      </w:r>
    </w:p>
    <w:p>
      <w:pPr>
        <w:pStyle w:val="Heading1"/>
      </w:pPr>
      <w:r>
        <w:t>5.2 Social Issues</w:t>
      </w:r>
    </w:p>
    <w:p>
      <w:pPr>
        <w:jc w:val="both"/>
      </w:pPr>
      <w:r>
        <w:rPr>
          <w:i w:val="0"/>
        </w:rPr>
        <w:t>A security product can help small teams by centralising controls that otherwise require every service to implement them. The self-hosted Docker Compose development path reduces the hardware and cloud-account barrier for learning and local experimentation. However, a dashboard that is difficult to understand can exclude non-specialist operators. Labels, structured errors, visible status and role-restricted navigation are therefore part of the social usability goal.</w:t>
      </w:r>
    </w:p>
    <w:p>
      <w:pPr>
        <w:jc w:val="both"/>
      </w:pPr>
      <w:r>
        <w:rPr>
          <w:i w:val="0"/>
        </w:rPr>
        <w:t>Accessibility should be treated as an ongoing quality requirement rather than a final visual check. The dashboard should support keyboard use, readable contrast, semantic controls and useful error messages in line with WCAG 2.1 principles (W3C, 2018). Localization and broader assistive-technology evaluation are valid future work rather than claims made by the current implementation.</w:t>
      </w:r>
    </w:p>
    <w:p>
      <w:pPr>
        <w:pStyle w:val="Heading1"/>
      </w:pPr>
      <w:r>
        <w:t>5.3 Ethical Issues</w:t>
      </w:r>
    </w:p>
    <w:p>
      <w:pPr>
        <w:jc w:val="both"/>
      </w:pPr>
      <w:r>
        <w:rPr>
          <w:i w:val="0"/>
        </w:rPr>
        <w:t>Aegis can deny a request, throttle a client or automatically block an IP address. Those controls are valuable but can create false positives, particularly when several legitimate users share an address. The implementation limits its manual block model to one exact IPv4/IPv6 address, uses the direct peer instead of trusting a spoofable X-Forwarded-For header, and records source/reason/status for operator review. Automatic blocks are triggered only by recent threat-detected or rate-limited outcomes, not by every authentication mistake.</w:t>
      </w:r>
    </w:p>
    <w:p>
      <w:pPr>
        <w:jc w:val="both"/>
      </w:pPr>
      <w:r>
        <w:rPr>
          <w:i w:val="0"/>
        </w:rPr>
        <w:t>Threat rules require special care. They match a narrow textual surface (method plus path/query) using RE2-compatible patterns and should be reviewed, tested and disabled when unsuitable. Security testing must be confined to the project’s own local POC and explicitly authorised environments. The provided console is restricted to loopback targets and the fixed echo route, helping prevent accidental testing of third-party systems.</w:t>
      </w:r>
    </w:p>
    <w:p>
      <w:pPr>
        <w:pStyle w:val="Heading1"/>
      </w:pPr>
      <w:r>
        <w:t>5.4 Professional Issues</w:t>
      </w:r>
    </w:p>
    <w:p>
      <w:pPr>
        <w:jc w:val="both"/>
      </w:pPr>
      <w:r>
        <w:rPr>
          <w:i w:val="0"/>
        </w:rPr>
        <w:t>Professional practice in this project means traceability from proposal to requirement to code and test evidence. The repository separates policy definition from proxy enforcement, uses forward database migrations, includes versioned APIs, and runs Python, Go and JavaScript checks. Honest reporting is important: a feature is described as implemented only where code and an observed test support it. The report also distinguishes current limitations from completed work instead of presenting a future intention as a result.</w:t>
      </w:r>
    </w:p>
    <w:p>
      <w:pPr>
        <w:pStyle w:val="Heading1"/>
      </w:pPr>
      <w:r>
        <w:t>5.5 Risk and Mitigation Summary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shd w:fill="E8EEF5"/>
            <w:vAlign w:val="center"/>
          </w:tcPr>
          <w:p>
            <w:r>
              <w:rPr>
                <w:b/>
                <w:sz w:val="18"/>
              </w:rPr>
              <w:t>Area</w:t>
            </w:r>
          </w:p>
        </w:tc>
        <w:tc>
          <w:tcPr>
            <w:tcW w:type="dxa" w:w="2951"/>
            <w:shd w:fill="E8EEF5"/>
            <w:vAlign w:val="center"/>
          </w:tcPr>
          <w:p>
            <w:r>
              <w:rPr>
                <w:b/>
                <w:sz w:val="18"/>
              </w:rPr>
              <w:t>Risk</w:t>
            </w:r>
          </w:p>
        </w:tc>
        <w:tc>
          <w:tcPr>
            <w:tcW w:type="dxa" w:w="5688"/>
            <w:shd w:fill="E8EEF5"/>
            <w:vAlign w:val="center"/>
          </w:tcPr>
          <w:p>
            <w:r>
              <w:rPr>
                <w:b/>
                <w:sz w:val="18"/>
              </w:rPr>
              <w:t>Current mitigation / next action</w:t>
            </w:r>
          </w:p>
        </w:tc>
      </w:tr>
      <w:tr>
        <w:tc>
          <w:tcPr>
            <w:tcW w:type="dxa" w:w="1584"/>
            <w:vAlign w:val="center"/>
          </w:tcPr>
          <w:p>
            <w:pPr>
              <w:spacing w:after="40"/>
            </w:pPr>
            <w:r>
              <w:rPr>
                <w:sz w:val="18"/>
              </w:rPr>
              <w:t>Privacy</w:t>
            </w:r>
          </w:p>
        </w:tc>
        <w:tc>
          <w:tcPr>
            <w:tcW w:type="dxa" w:w="2951"/>
            <w:vAlign w:val="center"/>
          </w:tcPr>
          <w:p>
            <w:pPr>
              <w:spacing w:after="40"/>
            </w:pPr>
            <w:r>
              <w:rPr>
                <w:sz w:val="18"/>
              </w:rPr>
              <w:t>Sensitive information appears in logs</w:t>
            </w:r>
          </w:p>
        </w:tc>
        <w:tc>
          <w:tcPr>
            <w:tcW w:type="dxa" w:w="5688"/>
            <w:vAlign w:val="center"/>
          </w:tcPr>
          <w:p>
            <w:pPr>
              <w:spacing w:after="40"/>
            </w:pPr>
            <w:r>
              <w:rPr>
                <w:sz w:val="18"/>
              </w:rPr>
              <w:t>Persist only sanitised events; define production retention and access policy.</w:t>
            </w:r>
          </w:p>
        </w:tc>
      </w:tr>
      <w:tr>
        <w:tc>
          <w:tcPr>
            <w:tcW w:type="dxa" w:w="1584"/>
            <w:vAlign w:val="center"/>
          </w:tcPr>
          <w:p>
            <w:pPr>
              <w:spacing w:after="40"/>
            </w:pPr>
            <w:r>
              <w:rPr>
                <w:sz w:val="18"/>
              </w:rPr>
              <w:t>Authorisation</w:t>
            </w:r>
          </w:p>
        </w:tc>
        <w:tc>
          <w:tcPr>
            <w:tcW w:type="dxa" w:w="2951"/>
            <w:vAlign w:val="center"/>
          </w:tcPr>
          <w:p>
            <w:pPr>
              <w:spacing w:after="40"/>
            </w:pPr>
            <w:r>
              <w:rPr>
                <w:sz w:val="18"/>
              </w:rPr>
              <w:t>Over-broad route access</w:t>
            </w:r>
          </w:p>
        </w:tc>
        <w:tc>
          <w:tcPr>
            <w:tcW w:type="dxa" w:w="5688"/>
            <w:vAlign w:val="center"/>
          </w:tcPr>
          <w:p>
            <w:pPr>
              <w:spacing w:after="40"/>
            </w:pPr>
            <w:r>
              <w:rPr>
                <w:sz w:val="18"/>
              </w:rPr>
              <w:t>Exact method/path permissions; no URL-derived resource inference; test missing scope.</w:t>
            </w:r>
          </w:p>
        </w:tc>
      </w:tr>
      <w:tr>
        <w:tc>
          <w:tcPr>
            <w:tcW w:type="dxa" w:w="1584"/>
            <w:vAlign w:val="center"/>
          </w:tcPr>
          <w:p>
            <w:pPr>
              <w:spacing w:after="40"/>
            </w:pPr>
            <w:r>
              <w:rPr>
                <w:sz w:val="18"/>
              </w:rPr>
              <w:t>Availability</w:t>
            </w:r>
          </w:p>
        </w:tc>
        <w:tc>
          <w:tcPr>
            <w:tcW w:type="dxa" w:w="2951"/>
            <w:vAlign w:val="center"/>
          </w:tcPr>
          <w:p>
            <w:pPr>
              <w:spacing w:after="40"/>
            </w:pPr>
            <w:r>
              <w:rPr>
                <w:sz w:val="18"/>
              </w:rPr>
              <w:t>Control Plane outage affects traffic</w:t>
            </w:r>
          </w:p>
        </w:tc>
        <w:tc>
          <w:tcPr>
            <w:tcW w:type="dxa" w:w="5688"/>
            <w:vAlign w:val="center"/>
          </w:tcPr>
          <w:p>
            <w:pPr>
              <w:spacing w:after="40"/>
            </w:pPr>
            <w:r>
              <w:rPr>
                <w:sz w:val="18"/>
              </w:rPr>
              <w:t>REST bootstrap, gRPC updates and last-valid snapshot in proxy memory.</w:t>
            </w:r>
          </w:p>
        </w:tc>
      </w:tr>
      <w:tr>
        <w:tc>
          <w:tcPr>
            <w:tcW w:type="dxa" w:w="1584"/>
            <w:vAlign w:val="center"/>
          </w:tcPr>
          <w:p>
            <w:pPr>
              <w:spacing w:after="40"/>
            </w:pPr>
            <w:r>
              <w:rPr>
                <w:sz w:val="18"/>
              </w:rPr>
              <w:t>Fairness</w:t>
            </w:r>
          </w:p>
        </w:tc>
        <w:tc>
          <w:tcPr>
            <w:tcW w:type="dxa" w:w="2951"/>
            <w:vAlign w:val="center"/>
          </w:tcPr>
          <w:p>
            <w:pPr>
              <w:spacing w:after="40"/>
            </w:pPr>
            <w:r>
              <w:rPr>
                <w:sz w:val="18"/>
              </w:rPr>
              <w:t>Legitimate user is throttled/blocked</w:t>
            </w:r>
          </w:p>
        </w:tc>
        <w:tc>
          <w:tcPr>
            <w:tcW w:type="dxa" w:w="5688"/>
            <w:vAlign w:val="center"/>
          </w:tcPr>
          <w:p>
            <w:pPr>
              <w:spacing w:after="40"/>
            </w:pPr>
            <w:r>
              <w:rPr>
                <w:sz w:val="18"/>
              </w:rPr>
              <w:t>Specific policy scopes, audit metadata and soft-disable review path.</w:t>
            </w:r>
          </w:p>
        </w:tc>
      </w:tr>
      <w:tr>
        <w:tc>
          <w:tcPr>
            <w:tcW w:type="dxa" w:w="1584"/>
            <w:vAlign w:val="center"/>
          </w:tcPr>
          <w:p>
            <w:pPr>
              <w:spacing w:after="40"/>
            </w:pPr>
            <w:r>
              <w:rPr>
                <w:sz w:val="18"/>
              </w:rPr>
              <w:t>Security testing</w:t>
            </w:r>
          </w:p>
        </w:tc>
        <w:tc>
          <w:tcPr>
            <w:tcW w:type="dxa" w:w="2951"/>
            <w:vAlign w:val="center"/>
          </w:tcPr>
          <w:p>
            <w:pPr>
              <w:spacing w:after="40"/>
            </w:pPr>
            <w:r>
              <w:rPr>
                <w:sz w:val="18"/>
              </w:rPr>
              <w:t>Traffic accidentally targets external system</w:t>
            </w:r>
          </w:p>
        </w:tc>
        <w:tc>
          <w:tcPr>
            <w:tcW w:type="dxa" w:w="5688"/>
            <w:vAlign w:val="center"/>
          </w:tcPr>
          <w:p>
            <w:pPr>
              <w:spacing w:after="40"/>
            </w:pPr>
            <w:r>
              <w:rPr>
                <w:sz w:val="18"/>
              </w:rPr>
              <w:t>POC console permits loopback only and fixed /api/echo route.</w:t>
            </w:r>
          </w:p>
        </w:tc>
      </w:tr>
      <w:tr>
        <w:tc>
          <w:tcPr>
            <w:tcW w:type="dxa" w:w="1584"/>
            <w:vAlign w:val="center"/>
          </w:tcPr>
          <w:p>
            <w:pPr>
              <w:spacing w:after="40"/>
            </w:pPr>
            <w:r>
              <w:rPr>
                <w:sz w:val="18"/>
              </w:rPr>
              <w:t>Maintainability</w:t>
            </w:r>
          </w:p>
        </w:tc>
        <w:tc>
          <w:tcPr>
            <w:tcW w:type="dxa" w:w="2951"/>
            <w:vAlign w:val="center"/>
          </w:tcPr>
          <w:p>
            <w:pPr>
              <w:spacing w:after="40"/>
            </w:pPr>
            <w:r>
              <w:rPr>
                <w:sz w:val="18"/>
              </w:rPr>
              <w:t>Policy/schema drift</w:t>
            </w:r>
          </w:p>
        </w:tc>
        <w:tc>
          <w:tcPr>
            <w:tcW w:type="dxa" w:w="5688"/>
            <w:vAlign w:val="center"/>
          </w:tcPr>
          <w:p>
            <w:pPr>
              <w:spacing w:after="40"/>
            </w:pPr>
            <w:r>
              <w:rPr>
                <w:sz w:val="18"/>
              </w:rPr>
              <w:t>Migrations are source of truth; tests and code review after timeboxes.</w:t>
            </w:r>
          </w:p>
        </w:tc>
      </w:tr>
    </w:tbl>
    <w:p>
      <w:pPr>
        <w:spacing w:after="40"/>
      </w:pPr>
    </w:p>
    <w:p>
      <w:pPr>
        <w:pStyle w:val="Heading1"/>
      </w:pPr>
      <w:r>
        <w:t>References</w:t>
      </w:r>
    </w:p>
    <w:p>
      <w:pPr>
        <w:spacing w:after="100"/>
        <w:ind w:left="432" w:hanging="432"/>
      </w:pPr>
      <w:r>
        <w:t>Agile Business Consortium (2014) The DSDM Agile Project Framework. Tunbridge Wells: Agile Business Consortium.</w:t>
      </w:r>
    </w:p>
    <w:p>
      <w:pPr>
        <w:spacing w:after="100"/>
        <w:ind w:left="432" w:hanging="432"/>
      </w:pPr>
      <w:r>
        <w:t>Fielding, R.T. (2000) Architectural Styles and the Design of Network-based Software Architectures. PhD thesis. University of California, Irvine.</w:t>
      </w:r>
    </w:p>
    <w:p>
      <w:pPr>
        <w:spacing w:after="100"/>
        <w:ind w:left="432" w:hanging="432"/>
      </w:pPr>
      <w:r>
        <w:t>Indrasiri, K. and Kuruppu, D. (2020) gRPC: Up and Running. Sebastopol: O’Reilly Media.</w:t>
      </w:r>
    </w:p>
    <w:p>
      <w:pPr>
        <w:spacing w:after="100"/>
        <w:ind w:left="432" w:hanging="432"/>
      </w:pPr>
      <w:r>
        <w:t>Jones, M., Bradley, J. and Sakimura, N. (2015) JSON Web Token (JWT). RFC 7519. Internet Engineering Task Force. Available at: https://www.rfc-editor.org/rfc/rfc7519 (Accessed: 2 August 2026).</w:t>
      </w:r>
    </w:p>
    <w:p>
      <w:pPr>
        <w:spacing w:after="100"/>
        <w:ind w:left="432" w:hanging="432"/>
      </w:pPr>
      <w:r>
        <w:t>Newman, S. (2021) Building Microservices: Designing Fine-grained Systems. 2nd edn. Sebastopol: O’Reilly Media.</w:t>
      </w:r>
    </w:p>
    <w:p>
      <w:pPr>
        <w:spacing w:after="100"/>
        <w:ind w:left="432" w:hanging="432"/>
      </w:pPr>
      <w:r>
        <w:t>OWASP Foundation (2023) OWASP API Security Top 10 2023. Available at: https://owasp.org/www-project-api-security/ (Accessed: 2 August 2026).</w:t>
      </w:r>
    </w:p>
    <w:p>
      <w:pPr>
        <w:spacing w:after="100"/>
        <w:ind w:left="432" w:hanging="432"/>
      </w:pPr>
      <w:r>
        <w:t>W3C (2018) Web Content Accessibility Guidelines (WCAG) 2.1. Available at: https://www.w3.org/TR/WCAG21/ (Accessed: 2 August 2026).</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Aegis Project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AEGIS PROJECT REPORT  |  CHAPTER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