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6</w:t>
      </w:r>
    </w:p>
    <w:p>
      <w:pPr>
        <w:spacing w:after="600"/>
        <w:jc w:val="center"/>
      </w:pPr>
      <w:r>
        <w:rPr>
          <w:b/>
          <w:color w:val="2E74B5"/>
          <w:sz w:val="40"/>
        </w:rPr>
        <w:t>System Analysis</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6.1 Chapter Review and Verified Updates</w:t>
      </w:r>
    </w:p>
    <w:p>
      <w:pPr>
        <w:jc w:val="both"/>
      </w:pPr>
      <w:r>
        <w:rPr>
          <w:i w:val="0"/>
        </w:rPr>
        <w:t>This chapter retains the requirements-led analysis established in the previous draft, but has been checked against the current migrations, API contract and Go proxy. The analysis is updated where the implementation has moved on: route-to-scope permissions are now a persisted policy, the proxy requires both an API key and Bearer JWT on protected POC requests, gRPC policy synchronisation and automatic IP blocking are implemented, and analytics is populated through sanitised proxy events.</w:t>
      </w:r>
    </w:p>
    <w:p>
      <w:pPr>
        <w:pStyle w:val="Heading1"/>
      </w:pPr>
      <w:r>
        <w:t>6.2 Stakeholders and Actors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E8EEF5"/>
            <w:vAlign w:val="center"/>
          </w:tcPr>
          <w:p>
            <w:r>
              <w:rPr>
                <w:b/>
                <w:sz w:val="18"/>
              </w:rPr>
              <w:t>Actor</w:t>
            </w:r>
          </w:p>
        </w:tc>
        <w:tc>
          <w:tcPr>
            <w:tcW w:type="dxa" w:w="3311"/>
            <w:shd w:fill="E8EEF5"/>
            <w:vAlign w:val="center"/>
          </w:tcPr>
          <w:p>
            <w:r>
              <w:rPr>
                <w:b/>
                <w:sz w:val="18"/>
              </w:rPr>
              <w:t>Primary needs</w:t>
            </w:r>
          </w:p>
        </w:tc>
        <w:tc>
          <w:tcPr>
            <w:tcW w:type="dxa" w:w="5040"/>
            <w:shd w:fill="E8EEF5"/>
            <w:vAlign w:val="center"/>
          </w:tcPr>
          <w:p>
            <w:r>
              <w:rPr>
                <w:b/>
                <w:sz w:val="18"/>
              </w:rPr>
              <w:t>Authorised actions</w:t>
            </w:r>
          </w:p>
        </w:tc>
      </w:tr>
      <w:tr>
        <w:tc>
          <w:tcPr>
            <w:tcW w:type="dxa" w:w="1872"/>
            <w:vAlign w:val="center"/>
          </w:tcPr>
          <w:p>
            <w:pPr>
              <w:spacing w:after="40"/>
            </w:pPr>
            <w:r>
              <w:rPr>
                <w:sz w:val="18"/>
              </w:rPr>
              <w:t>Administrator</w:t>
            </w:r>
          </w:p>
        </w:tc>
        <w:tc>
          <w:tcPr>
            <w:tcW w:type="dxa" w:w="3311"/>
            <w:vAlign w:val="center"/>
          </w:tcPr>
          <w:p>
            <w:pPr>
              <w:spacing w:after="40"/>
            </w:pPr>
            <w:r>
              <w:rPr>
                <w:sz w:val="18"/>
              </w:rPr>
              <w:t>Define and review security policy</w:t>
            </w:r>
          </w:p>
        </w:tc>
        <w:tc>
          <w:tcPr>
            <w:tcW w:type="dxa" w:w="5040"/>
            <w:vAlign w:val="center"/>
          </w:tcPr>
          <w:p>
            <w:pPr>
              <w:spacing w:after="40"/>
            </w:pPr>
            <w:r>
              <w:rPr>
                <w:sz w:val="18"/>
              </w:rPr>
              <w:t>Manage users, keys, JWT config, limits, threat rules, blocks, route permissions and analytics.</w:t>
            </w:r>
          </w:p>
        </w:tc>
      </w:tr>
      <w:tr>
        <w:tc>
          <w:tcPr>
            <w:tcW w:type="dxa" w:w="1872"/>
            <w:vAlign w:val="center"/>
          </w:tcPr>
          <w:p>
            <w:pPr>
              <w:spacing w:after="40"/>
            </w:pPr>
            <w:r>
              <w:rPr>
                <w:sz w:val="18"/>
              </w:rPr>
              <w:t>Viewer</w:t>
            </w:r>
          </w:p>
        </w:tc>
        <w:tc>
          <w:tcPr>
            <w:tcW w:type="dxa" w:w="3311"/>
            <w:vAlign w:val="center"/>
          </w:tcPr>
          <w:p>
            <w:pPr>
              <w:spacing w:after="40"/>
            </w:pPr>
            <w:r>
              <w:rPr>
                <w:sz w:val="18"/>
              </w:rPr>
              <w:t>Observe system state without changing it</w:t>
            </w:r>
          </w:p>
        </w:tc>
        <w:tc>
          <w:tcPr>
            <w:tcW w:type="dxa" w:w="5040"/>
            <w:vAlign w:val="center"/>
          </w:tcPr>
          <w:p>
            <w:pPr>
              <w:spacing w:after="40"/>
            </w:pPr>
            <w:r>
              <w:rPr>
                <w:sz w:val="18"/>
              </w:rPr>
              <w:t>Read analytics and permitted configuration views.</w:t>
            </w:r>
          </w:p>
        </w:tc>
      </w:tr>
      <w:tr>
        <w:tc>
          <w:tcPr>
            <w:tcW w:type="dxa" w:w="1872"/>
            <w:vAlign w:val="center"/>
          </w:tcPr>
          <w:p>
            <w:pPr>
              <w:spacing w:after="40"/>
            </w:pPr>
            <w:r>
              <w:rPr>
                <w:sz w:val="18"/>
              </w:rPr>
              <w:t>API Consumer</w:t>
            </w:r>
          </w:p>
        </w:tc>
        <w:tc>
          <w:tcPr>
            <w:tcW w:type="dxa" w:w="3311"/>
            <w:vAlign w:val="center"/>
          </w:tcPr>
          <w:p>
            <w:pPr>
              <w:spacing w:after="40"/>
            </w:pPr>
            <w:r>
              <w:rPr>
                <w:sz w:val="18"/>
              </w:rPr>
              <w:t>Call a protected API safely</w:t>
            </w:r>
          </w:p>
        </w:tc>
        <w:tc>
          <w:tcPr>
            <w:tcW w:type="dxa" w:w="5040"/>
            <w:vAlign w:val="center"/>
          </w:tcPr>
          <w:p>
            <w:pPr>
              <w:spacing w:after="40"/>
            </w:pPr>
            <w:r>
              <w:rPr>
                <w:sz w:val="18"/>
              </w:rPr>
              <w:t>Register/login and manage own API-key metadata; use issued key and JWT.</w:t>
            </w:r>
          </w:p>
        </w:tc>
      </w:tr>
      <w:tr>
        <w:tc>
          <w:tcPr>
            <w:tcW w:type="dxa" w:w="1872"/>
            <w:vAlign w:val="center"/>
          </w:tcPr>
          <w:p>
            <w:pPr>
              <w:spacing w:after="40"/>
            </w:pPr>
            <w:r>
              <w:rPr>
                <w:sz w:val="18"/>
              </w:rPr>
              <w:t>Reverse Proxy</w:t>
            </w:r>
          </w:p>
        </w:tc>
        <w:tc>
          <w:tcPr>
            <w:tcW w:type="dxa" w:w="3311"/>
            <w:vAlign w:val="center"/>
          </w:tcPr>
          <w:p>
            <w:pPr>
              <w:spacing w:after="40"/>
            </w:pPr>
            <w:r>
              <w:rPr>
                <w:sz w:val="18"/>
              </w:rPr>
              <w:t>Enforce policy consistently</w:t>
            </w:r>
          </w:p>
        </w:tc>
        <w:tc>
          <w:tcPr>
            <w:tcW w:type="dxa" w:w="5040"/>
            <w:vAlign w:val="center"/>
          </w:tcPr>
          <w:p>
            <w:pPr>
              <w:spacing w:after="40"/>
            </w:pPr>
            <w:r>
              <w:rPr>
                <w:sz w:val="18"/>
              </w:rPr>
              <w:t>Load trusted snapshots, validate requests, rate-limit, forward and report events.</w:t>
            </w:r>
          </w:p>
        </w:tc>
      </w:tr>
      <w:tr>
        <w:tc>
          <w:tcPr>
            <w:tcW w:type="dxa" w:w="1872"/>
            <w:vAlign w:val="center"/>
          </w:tcPr>
          <w:p>
            <w:pPr>
              <w:spacing w:after="40"/>
            </w:pPr>
            <w:r>
              <w:rPr>
                <w:sz w:val="18"/>
              </w:rPr>
              <w:t>Protected service</w:t>
            </w:r>
          </w:p>
        </w:tc>
        <w:tc>
          <w:tcPr>
            <w:tcW w:type="dxa" w:w="3311"/>
            <w:vAlign w:val="center"/>
          </w:tcPr>
          <w:p>
            <w:pPr>
              <w:spacing w:after="40"/>
            </w:pPr>
            <w:r>
              <w:rPr>
                <w:sz w:val="18"/>
              </w:rPr>
              <w:t>Receive only allowed traffic</w:t>
            </w:r>
          </w:p>
        </w:tc>
        <w:tc>
          <w:tcPr>
            <w:tcW w:type="dxa" w:w="5040"/>
            <w:vAlign w:val="center"/>
          </w:tcPr>
          <w:p>
            <w:pPr>
              <w:spacing w:after="40"/>
            </w:pPr>
            <w:r>
              <w:rPr>
                <w:sz w:val="18"/>
              </w:rPr>
              <w:t>Processes forwarded request without Aegis credentials.</w:t>
            </w:r>
          </w:p>
        </w:tc>
      </w:tr>
    </w:tbl>
    <w:p>
      <w:pPr>
        <w:spacing w:after="40"/>
      </w:pPr>
    </w:p>
    <w:p>
      <w:pPr>
        <w:pStyle w:val="Heading1"/>
      </w:pPr>
      <w:r>
        <w:t>6.3 Functional Requirements</w:t>
      </w:r>
    </w:p>
    <w:p>
      <w:pPr>
        <w:pStyle w:val="Heading2"/>
      </w:pPr>
      <w:r>
        <w:t>6.3.1 Identity, Roles and API Keys</w:t>
      </w:r>
    </w:p>
    <w:p>
      <w:pPr>
        <w:jc w:val="both"/>
      </w:pPr>
      <w:r>
        <w:rPr>
          <w:i w:val="0"/>
        </w:rPr>
        <w:t>The system shall register users, issue role-bearing login/refresh tokens and revoke a logout token in Redis. It shall generate cryptographically random API keys, show a raw value once only, retain a bcrypt hash and harmless prefix, enforce ownership/Admin checks and soft-revoke rather than delete a key.</w:t>
      </w:r>
    </w:p>
    <w:p>
      <w:pPr>
        <w:pStyle w:val="Heading2"/>
      </w:pPr>
      <w:r>
        <w:t>6.3.2 Policy Configuration</w:t>
      </w:r>
    </w:p>
    <w:p>
      <w:pPr>
        <w:jc w:val="both"/>
      </w:pPr>
      <w:r>
        <w:rPr>
          <w:i w:val="0"/>
        </w:rPr>
        <w:t>Administrators shall configure one active JWT policy, active rate-limit rules, RE2-compatible threat rules, exact-address IP blocks and exact method/path route-permission policies. Active policy is returned only through authenticated internal contracts to the proxy. A route permission maps a path and method to a required API-key scope; it does not infer a resource name from the URL.</w:t>
      </w:r>
    </w:p>
    <w:p>
      <w:pPr>
        <w:pStyle w:val="Heading2"/>
      </w:pPr>
      <w:r>
        <w:t>6.3.3 Request Validation and Enforcement</w:t>
      </w:r>
    </w:p>
    <w:p>
      <w:pPr>
        <w:pStyle w:val="ListBullet"/>
        <w:spacing w:after="80"/>
      </w:pPr>
      <w:r>
        <w:t>Check the direct client IP against active exact-address blocks before credential validation.</w:t>
      </w:r>
    </w:p>
    <w:p>
      <w:pPr>
        <w:pStyle w:val="ListBullet"/>
        <w:spacing w:after="80"/>
      </w:pPr>
      <w:r>
        <w:t>Match active threat patterns against METHOD plus path/query and reject a match before forwarding.</w:t>
      </w:r>
    </w:p>
    <w:p>
      <w:pPr>
        <w:pStyle w:val="ListBullet"/>
        <w:spacing w:after="80"/>
      </w:pPr>
      <w:r>
        <w:t>Require a valid API key and a valid Bearer JWT; reject missing, invalid, revoked or expired credentials with structured errors.</w:t>
      </w:r>
    </w:p>
    <w:p>
      <w:pPr>
        <w:pStyle w:val="ListBullet"/>
        <w:spacing w:after="80"/>
      </w:pPr>
      <w:r>
        <w:t>Apply a matching route-scope policy after identity validation; return INSUFFICIENT_SCOPE where the exact scope is absent.</w:t>
      </w:r>
    </w:p>
    <w:p>
      <w:pPr>
        <w:pStyle w:val="ListBullet"/>
        <w:spacing w:after="80"/>
      </w:pPr>
      <w:r>
        <w:t>Select the most specific rate rule (API key, then route, then global) and enforce it through Redis.</w:t>
      </w:r>
    </w:p>
    <w:p>
      <w:pPr>
        <w:pStyle w:val="ListBullet"/>
        <w:spacing w:after="80"/>
      </w:pPr>
      <w:r>
        <w:t>Remove API credentials from the forwarded request, return the upstream response and enqueue a sanitised outcome event asynchronously.</w:t>
      </w:r>
    </w:p>
    <w:p>
      <w:pPr>
        <w:pStyle w:val="Heading2"/>
      </w:pPr>
      <w:r>
        <w:t>6.3.4 Monitoring and Administration</w:t>
      </w:r>
    </w:p>
    <w:p>
      <w:pPr>
        <w:jc w:val="both"/>
      </w:pPr>
      <w:r>
        <w:rPr>
          <w:i w:val="0"/>
        </w:rPr>
        <w:t>The system shall accept internal, sanitised proxy outcomes, make time-window summaries and history available to authorised Admin and Viewer users, and expose dashboard pages according to role. Automatic blocking shall be limited to repeated threat/rate-limit violations in the configured window and remain visible as an auto-sourced block that an Administrator can disable.</w:t>
      </w:r>
    </w:p>
    <w:p>
      <w:pPr>
        <w:pStyle w:val="Heading1"/>
      </w:pPr>
      <w:r>
        <w:t>6.4 Non-functional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E8EEF5"/>
            <w:vAlign w:val="center"/>
          </w:tcPr>
          <w:p>
            <w:r>
              <w:rPr>
                <w:b/>
                <w:sz w:val="18"/>
              </w:rPr>
              <w:t>Quality attribute</w:t>
            </w:r>
          </w:p>
        </w:tc>
        <w:tc>
          <w:tcPr>
            <w:tcW w:type="dxa" w:w="7272"/>
            <w:shd w:fill="E8EEF5"/>
            <w:vAlign w:val="center"/>
          </w:tcPr>
          <w:p>
            <w:r>
              <w:rPr>
                <w:b/>
                <w:sz w:val="18"/>
              </w:rPr>
              <w:t>Requirement and current design response</w:t>
            </w:r>
          </w:p>
        </w:tc>
      </w:tr>
      <w:tr>
        <w:tc>
          <w:tcPr>
            <w:tcW w:type="dxa" w:w="2232"/>
            <w:vAlign w:val="center"/>
          </w:tcPr>
          <w:p>
            <w:pPr>
              <w:spacing w:after="40"/>
            </w:pPr>
            <w:r>
              <w:rPr>
                <w:sz w:val="18"/>
              </w:rPr>
              <w:t>Security</w:t>
            </w:r>
          </w:p>
        </w:tc>
        <w:tc>
          <w:tcPr>
            <w:tcW w:type="dxa" w:w="7272"/>
            <w:vAlign w:val="center"/>
          </w:tcPr>
          <w:p>
            <w:pPr>
              <w:spacing w:after="40"/>
            </w:pPr>
            <w:r>
              <w:rPr>
                <w:sz w:val="18"/>
              </w:rPr>
              <w:t>bcrypt/secret encryption, internal-token protection, RBAC, structured failures and credential stripping.</w:t>
            </w:r>
          </w:p>
        </w:tc>
      </w:tr>
      <w:tr>
        <w:tc>
          <w:tcPr>
            <w:tcW w:type="dxa" w:w="2232"/>
            <w:vAlign w:val="center"/>
          </w:tcPr>
          <w:p>
            <w:pPr>
              <w:spacing w:after="40"/>
            </w:pPr>
            <w:r>
              <w:rPr>
                <w:sz w:val="18"/>
              </w:rPr>
              <w:t>Performance</w:t>
            </w:r>
          </w:p>
        </w:tc>
        <w:tc>
          <w:tcPr>
            <w:tcW w:type="dxa" w:w="7272"/>
            <w:vAlign w:val="center"/>
          </w:tcPr>
          <w:p>
            <w:pPr>
              <w:spacing w:after="40"/>
            </w:pPr>
            <w:r>
              <w:rPr>
                <w:sz w:val="18"/>
              </w:rPr>
              <w:t>No database hit on the proxy hot path for policy; cached key validation and in-memory policy snapshot.</w:t>
            </w:r>
          </w:p>
        </w:tc>
      </w:tr>
      <w:tr>
        <w:tc>
          <w:tcPr>
            <w:tcW w:type="dxa" w:w="2232"/>
            <w:vAlign w:val="center"/>
          </w:tcPr>
          <w:p>
            <w:pPr>
              <w:spacing w:after="40"/>
            </w:pPr>
            <w:r>
              <w:rPr>
                <w:sz w:val="18"/>
              </w:rPr>
              <w:t>Scalability</w:t>
            </w:r>
          </w:p>
        </w:tc>
        <w:tc>
          <w:tcPr>
            <w:tcW w:type="dxa" w:w="7272"/>
            <w:vAlign w:val="center"/>
          </w:tcPr>
          <w:p>
            <w:pPr>
              <w:spacing w:after="40"/>
            </w:pPr>
            <w:r>
              <w:rPr>
                <w:sz w:val="18"/>
              </w:rPr>
              <w:t>Redis shares rate counters between proxy instances; policy snapshots are distributed over gRPC.</w:t>
            </w:r>
          </w:p>
        </w:tc>
      </w:tr>
      <w:tr>
        <w:tc>
          <w:tcPr>
            <w:tcW w:type="dxa" w:w="2232"/>
            <w:vAlign w:val="center"/>
          </w:tcPr>
          <w:p>
            <w:pPr>
              <w:spacing w:after="40"/>
            </w:pPr>
            <w:r>
              <w:rPr>
                <w:sz w:val="18"/>
              </w:rPr>
              <w:t>Reliability</w:t>
            </w:r>
          </w:p>
        </w:tc>
        <w:tc>
          <w:tcPr>
            <w:tcW w:type="dxa" w:w="7272"/>
            <w:vAlign w:val="center"/>
          </w:tcPr>
          <w:p>
            <w:pPr>
              <w:spacing w:after="40"/>
            </w:pPr>
            <w:r>
              <w:rPr>
                <w:sz w:val="18"/>
              </w:rPr>
              <w:t>The proxy retains the last valid policy snapshot over a transient Control Plane interruption.</w:t>
            </w:r>
          </w:p>
        </w:tc>
      </w:tr>
      <w:tr>
        <w:tc>
          <w:tcPr>
            <w:tcW w:type="dxa" w:w="2232"/>
            <w:vAlign w:val="center"/>
          </w:tcPr>
          <w:p>
            <w:pPr>
              <w:spacing w:after="40"/>
            </w:pPr>
            <w:r>
              <w:rPr>
                <w:sz w:val="18"/>
              </w:rPr>
              <w:t>Maintainability</w:t>
            </w:r>
          </w:p>
        </w:tc>
        <w:tc>
          <w:tcPr>
            <w:tcW w:type="dxa" w:w="7272"/>
            <w:vAlign w:val="center"/>
          </w:tcPr>
          <w:p>
            <w:pPr>
              <w:spacing w:after="40"/>
            </w:pPr>
            <w:r>
              <w:rPr>
                <w:sz w:val="18"/>
              </w:rPr>
              <w:t>FastAPI Control Plane/policy and Go enforcement are separate; migrations and tests document constraints.</w:t>
            </w:r>
          </w:p>
        </w:tc>
      </w:tr>
      <w:tr>
        <w:tc>
          <w:tcPr>
            <w:tcW w:type="dxa" w:w="2232"/>
            <w:vAlign w:val="center"/>
          </w:tcPr>
          <w:p>
            <w:pPr>
              <w:spacing w:after="40"/>
            </w:pPr>
            <w:r>
              <w:rPr>
                <w:sz w:val="18"/>
              </w:rPr>
              <w:t>Usability</w:t>
            </w:r>
          </w:p>
        </w:tc>
        <w:tc>
          <w:tcPr>
            <w:tcW w:type="dxa" w:w="7272"/>
            <w:vAlign w:val="center"/>
          </w:tcPr>
          <w:p>
            <w:pPr>
              <w:spacing w:after="40"/>
            </w:pPr>
            <w:r>
              <w:rPr>
                <w:sz w:val="18"/>
              </w:rPr>
              <w:t>Role-aware dashboard and consistent error bodies; sensitive values are masked or one-time only.</w:t>
            </w:r>
          </w:p>
        </w:tc>
      </w:tr>
    </w:tbl>
    <w:p>
      <w:pPr>
        <w:spacing w:after="40"/>
      </w:pPr>
    </w:p>
    <w:p>
      <w:pPr>
        <w:pStyle w:val="Heading1"/>
      </w:pPr>
      <w:r>
        <w:t>6.5 MoSCoW Prioritisation and Delivered Scope</w:t>
      </w:r>
    </w:p>
    <w:p>
      <w:pPr>
        <w:jc w:val="both"/>
      </w:pPr>
      <w:r>
        <w:rPr>
          <w:i w:val="0"/>
        </w:rPr>
        <w:t>The proposal categorised core authentication, API-key management, rate limiting, JWT validation and RBAC as Must Have. Threat rules, analytics and gRPC were Should Have; automatic blocking was Could Have. The verified codebase has delivered all of these priority groups. This does not change their original rationale; it records that the iterative delivery completed beyond the minimum baseline. Non-HTTP support, offline/air-gapped deployment and native mobile administration remain Won’t Have scope.</w:t>
      </w:r>
    </w:p>
    <w:p>
      <w:pPr>
        <w:pStyle w:val="Heading1"/>
      </w:pPr>
      <w:r>
        <w:t>6.6 Conclusion</w:t>
      </w:r>
    </w:p>
    <w:p>
      <w:pPr>
        <w:jc w:val="both"/>
      </w:pPr>
      <w:r>
        <w:rPr>
          <w:i w:val="0"/>
        </w:rPr>
        <w:t>The updated analysis describes a central policy system whose enforcement happens in a separate proxy. It introduces the exact route-permission policy that makes scope checks meaningful and preserves the original focus on secure, distributed and observable API protection. Chapter 7 turns these requirements into the verified current design.</w:t>
      </w: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