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2300" w:after="360"/>
        <w:jc w:val="center"/>
      </w:pPr>
      <w:r>
        <w:rPr>
          <w:b/>
          <w:color w:val="2E74B5"/>
          <w:sz w:val="28"/>
        </w:rPr>
        <w:t>AEGIS PROJECT REPORT</w:t>
      </w:r>
    </w:p>
    <w:p>
      <w:pPr>
        <w:spacing w:after="300"/>
        <w:jc w:val="center"/>
      </w:pPr>
      <w:r>
        <w:rPr>
          <w:b/>
          <w:color w:val="0B2545"/>
          <w:sz w:val="60"/>
        </w:rPr>
        <w:t>Chapter 7</w:t>
      </w:r>
    </w:p>
    <w:p>
      <w:pPr>
        <w:spacing w:after="600"/>
        <w:jc w:val="center"/>
      </w:pPr>
      <w:r>
        <w:rPr>
          <w:b/>
          <w:color w:val="2E74B5"/>
          <w:sz w:val="40"/>
        </w:rPr>
        <w:t>System Design</w:t>
      </w:r>
    </w:p>
    <w:p>
      <w:pPr>
        <w:spacing w:after="60"/>
        <w:jc w:val="center"/>
      </w:pPr>
      <w:r>
        <w:rPr>
          <w:color w:val="666666"/>
          <w:sz w:val="22"/>
        </w:rPr>
        <w:t>Htun Khaing Lynn  |  Student ID: 001557481</w:t>
      </w:r>
    </w:p>
    <w:p>
      <w:pPr>
        <w:jc w:val="center"/>
      </w:pPr>
      <w:r>
        <w:rPr>
          <w:i/>
          <w:color w:val="666666"/>
          <w:sz w:val="22"/>
        </w:rPr>
        <w:t>Aegis: API Security and Management System</w:t>
      </w:r>
    </w:p>
    <w:p>
      <w:r>
        <w:br w:type="page"/>
      </w:r>
    </w:p>
    <w:p>
      <w:pPr>
        <w:pStyle w:val="Heading1"/>
      </w:pPr>
      <w:r>
        <w:t>7.1 Design Overview</w:t>
      </w:r>
    </w:p>
    <w:p>
      <w:pPr>
        <w:jc w:val="both"/>
      </w:pPr>
      <w:r>
        <w:rPr>
          <w:i w:val="0"/>
        </w:rPr>
        <w:t>The implemented design follows the proposal’s three-component direction but the details are now verified against the current codebase. FastAPI is the Control Plane and policy source of truth; Go is the data-plane enforcement layer; React is the dashboard. PostgreSQL stores durable policy/audit data and Redis is shared runtime state. The dashboard never directly configures the proxy, and the proxy does not query PostgreSQL on every request.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8229600" cy="514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1_curr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sz w:val="16"/>
        </w:rPr>
        <w:t>Figure 7.1: Actual Aegis system architecture, derived from the current FastAPI, Go, React, Docker Compose and POC code.</w:t>
      </w:r>
    </w:p>
    <w:p>
      <w:pPr>
        <w:sectPr>
          <w:pgSz w:w="15840" w:h="12240" w:orient="landscape"/>
          <w:pgMar w:top="288" w:right="648" w:bottom="288" w:left="648" w:header="706" w:footer="706" w:gutter="0"/>
          <w:cols w:space="720"/>
          <w:docGrid w:linePitch="360"/>
        </w:sectPr>
      </w:pPr>
    </w:p>
    <w:p>
      <w:pPr>
        <w:pStyle w:val="Heading1"/>
      </w:pPr>
      <w:r>
        <w:t>7.2 Component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104"/>
            <w:shd w:fill="E8EEF5"/>
            <w:vAlign w:val="center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3600"/>
            <w:shd w:fill="E8EEF5"/>
            <w:vAlign w:val="center"/>
          </w:tcPr>
          <w:p>
            <w:r>
              <w:rPr>
                <w:b/>
                <w:sz w:val="18"/>
              </w:rPr>
              <w:t>Important interface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Control Plane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8"/>
              </w:rPr>
              <w:t>Defines policy, ownership, RBAC, active configuration and analytics.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</w:rPr>
              <w:t>Versioned REST; internal token routes; gRPC PolicySync stream.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Reverse Proxy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8"/>
              </w:rPr>
              <w:t>Enforces IP/threat/credential/scope/rate decisions then forwards allowed traffic.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</w:rPr>
              <w:t>HTTP request path, policy snapshot, Redis scripts, async event post.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8"/>
              </w:rPr>
              <w:t>Role-aware operator and consumer experience.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REST calls to Control Plane only.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8"/>
              </w:rPr>
              <w:t>Durable users, keys, policies, blocks and events.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</w:rPr>
              <w:t>SQLAlchemy/Alembic source of truth.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Redis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Shared rate counters and auth revocation support.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</w:rPr>
              <w:t>Atomic Lua-style scripts through go-redis.</w:t>
            </w:r>
          </w:p>
        </w:tc>
      </w:tr>
    </w:tbl>
    <w:p>
      <w:pPr>
        <w:spacing w:after="40"/>
      </w:pPr>
    </w:p>
    <w:p>
      <w:pPr>
        <w:pStyle w:val="Heading1"/>
      </w:pPr>
      <w:r>
        <w:t>7.3 Database and Domain Design</w:t>
      </w:r>
    </w:p>
    <w:p>
      <w:pPr>
        <w:jc w:val="both"/>
      </w:pPr>
      <w:r>
        <w:rPr>
          <w:i w:val="0"/>
        </w:rPr>
        <w:t>The domain diagram reflects the actual SQLAlchemy models and forward migrations, which take precedence over earlier prose documentation. Every model inherits audit fields. Soft status changes preserve records which a cached proxy may still refer to while a new snapshot is being distributed.</w:t>
      </w:r>
    </w:p>
    <w:p>
      <w:pPr>
        <w:sectPr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7955279" cy="5935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2_domain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593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sz w:val="16"/>
        </w:rPr>
        <w:t>Figure 7.2: Current Aegis persisted domain model, based on actual SQLAlchemy models and Alembic migrations.</w:t>
      </w:r>
    </w:p>
    <w:p>
      <w:pPr>
        <w:sectPr>
          <w:pgSz w:w="15840" w:h="12240" w:orient="landscape"/>
          <w:pgMar w:top="288" w:right="648" w:bottom="288" w:left="648" w:header="706" w:footer="706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E8EEF5"/>
            <w:vAlign w:val="center"/>
          </w:tcPr>
          <w:p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6336"/>
            <w:shd w:fill="E8EEF5"/>
            <w:vAlign w:val="center"/>
          </w:tcPr>
          <w:p>
            <w:r>
              <w:rPr>
                <w:b/>
                <w:sz w:val="18"/>
              </w:rPr>
              <w:t>Design rationale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One active JWT configuration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Avoids ambiguous verification policy; activation deactivates the previous policy.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One active rate rule per scope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Removes conflict when the proxy selects the applicable rule.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One active IP block per address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Retains history while preventing duplicate active records.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Exact route permission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Method and path are explicit; wildcard/query route rules are rejected in current scope.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One-time raw API key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8"/>
              </w:rPr>
              <w:t>A key hash cannot be re-exposed; prefix remains available for lookup/display.</w:t>
            </w:r>
          </w:p>
        </w:tc>
      </w:tr>
    </w:tbl>
    <w:p>
      <w:pPr>
        <w:spacing w:after="40"/>
      </w:pPr>
    </w:p>
    <w:p>
      <w:pPr>
        <w:pStyle w:val="Heading1"/>
      </w:pPr>
      <w:r>
        <w:t>7.4 Policy Synchronisation</w:t>
      </w:r>
    </w:p>
    <w:p>
      <w:pPr>
        <w:jc w:val="both"/>
      </w:pPr>
      <w:r>
        <w:rPr>
          <w:i w:val="0"/>
        </w:rPr>
        <w:t>The proxy first obtains a REST policy snapshot through the internal-token endpoint. After that it subscribes to authenticated server-streaming gRPC updates. The streaming provider holds a clone of the latest valid snapshot under a read/write lock. If the stream is unavailable after a snapshot was received, enforcement continues with that snapshot; before any stream update, the REST provider is the fallback. This deliberately prioritises safe continuity over a per-request Control Plane dependency.</w:t>
      </w:r>
    </w:p>
    <w:p>
      <w:pPr>
        <w:pStyle w:val="Heading1"/>
      </w:pPr>
      <w:r>
        <w:t>7.5 Request-validation Design</w:t>
      </w:r>
    </w:p>
    <w:p>
      <w:pPr>
        <w:jc w:val="both"/>
      </w:pPr>
      <w:r>
        <w:rPr>
          <w:i w:val="0"/>
        </w:rPr>
        <w:t>Figure 7.3 records the order implemented by Handler.ServeHTTP. The order is consequential. A blocked IP or threat rule avoids expensive credential work. Scope authorization occurs only after both key and JWT validation. Rate limiting occurs before forwarding. Every termination path reports a sanitised event through the bounded event reporter, but event delivery is intentionally outside the latency-critical decision.</w:t>
      </w:r>
    </w:p>
    <w:p>
      <w:pPr>
        <w:sectPr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6583680" cy="60193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3_enforcement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01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sz w:val="16"/>
        </w:rPr>
        <w:t>Figure 7.3: Actual core request-validation and enforcement sequence, based on the Go Reverse Proxy handler and its collaborators.</w:t>
      </w:r>
    </w:p>
    <w:p>
      <w:pPr>
        <w:sectPr>
          <w:pgSz w:w="15840" w:h="12240" w:orient="landscape"/>
          <w:pgMar w:top="288" w:right="648" w:bottom="288" w:left="648" w:header="706" w:footer="706" w:gutter="0"/>
          <w:cols w:space="720"/>
          <w:docGrid w:linePitch="360"/>
        </w:sectPr>
      </w:pPr>
    </w:p>
    <w:p>
      <w:pPr>
        <w:pStyle w:val="Heading1"/>
      </w:pPr>
      <w:r>
        <w:t>7.6 Security Design Decisions</w:t>
      </w:r>
    </w:p>
    <w:p>
      <w:pPr>
        <w:pStyle w:val="ListBullet"/>
        <w:spacing w:after="80"/>
      </w:pPr>
      <w:r>
        <w:t>The proxy strips X-API-Key and Authorization before forwarding, so the upstream POC service demonstrates it receives no Aegis credentials.</w:t>
      </w:r>
    </w:p>
    <w:p>
      <w:pPr>
        <w:pStyle w:val="ListBullet"/>
        <w:spacing w:after="80"/>
      </w:pPr>
      <w:r>
        <w:t>Threat patterns are constrained to RE2-compatible syntax and inspect only method plus request URI, avoiding body scanning and arbitrary content collection.</w:t>
      </w:r>
    </w:p>
    <w:p>
      <w:pPr>
        <w:pStyle w:val="ListBullet"/>
        <w:spacing w:after="80"/>
      </w:pPr>
      <w:r>
        <w:t>The direct peer address is used for IP decisions; X-Forwarded-For is deliberately ignored unless a future trusted-proxy model is designed.</w:t>
      </w:r>
    </w:p>
    <w:p>
      <w:pPr>
        <w:pStyle w:val="ListBullet"/>
        <w:spacing w:after="80"/>
      </w:pPr>
      <w:r>
        <w:t>Route scope is explicit. GET /api/echo and POST /api/echo can require different scopes even though they share the same path.</w:t>
      </w:r>
    </w:p>
    <w:p>
      <w:pPr>
        <w:pStyle w:val="Heading1"/>
      </w:pPr>
      <w:r>
        <w:t>References</w:t>
      </w:r>
    </w:p>
    <w:p>
      <w:pPr>
        <w:spacing w:after="100"/>
        <w:ind w:left="432" w:hanging="432"/>
      </w:pPr>
      <w:r>
        <w:t>Agile Business Consortium (2014) The DSDM Agile Project Framework. Tunbridge Wells: Agile Business Consortium.</w:t>
      </w:r>
    </w:p>
    <w:p>
      <w:pPr>
        <w:spacing w:after="100"/>
        <w:ind w:left="432" w:hanging="432"/>
      </w:pPr>
      <w:r>
        <w:t>Fielding, R.T. (2000) Architectural Styles and the Design of Network-based Software Architectures. PhD thesis. University of California, Irvine.</w:t>
      </w:r>
    </w:p>
    <w:p>
      <w:pPr>
        <w:spacing w:after="100"/>
        <w:ind w:left="432" w:hanging="432"/>
      </w:pPr>
      <w:r>
        <w:t>Indrasiri, K. and Kuruppu, D. (2020) gRPC: Up and Running. Sebastopol: O’Reilly Media.</w:t>
      </w:r>
    </w:p>
    <w:p>
      <w:pPr>
        <w:spacing w:after="100"/>
        <w:ind w:left="432" w:hanging="432"/>
      </w:pPr>
      <w:r>
        <w:t>Jones, M., Bradley, J. and Sakimura, N. (2015) JSON Web Token (JWT). RFC 7519. Internet Engineering Task Force. Available at: https://www.rfc-editor.org/rfc/rfc7519 (Accessed: 2 August 2026).</w:t>
      </w:r>
    </w:p>
    <w:p>
      <w:pPr>
        <w:spacing w:after="100"/>
        <w:ind w:left="432" w:hanging="432"/>
      </w:pPr>
      <w:r>
        <w:t>Newman, S. (2021) Building Microservices: Designing Fine-grained Systems. 2nd edn. Sebastopol: O’Reilly Media.</w:t>
      </w:r>
    </w:p>
    <w:p>
      <w:pPr>
        <w:spacing w:after="100"/>
        <w:ind w:left="432" w:hanging="432"/>
      </w:pPr>
      <w:r>
        <w:t>OWASP Foundation (2023) OWASP API Security Top 10 2023. Available at: https://owasp.org/www-project-api-security/ (Accessed: 2 August 2026).</w:t>
      </w:r>
    </w:p>
    <w:p>
      <w:pPr>
        <w:spacing w:after="100"/>
        <w:ind w:left="432" w:hanging="432"/>
      </w:pPr>
      <w:r>
        <w:t>W3C (2018) Web Content Accessibility Guidelines (WCAG) 2.1. Available at: https://www.w3.org/TR/WCAG21/ (Accessed: 2 August 2026).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Aegis Project Report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AEGIS PROJECT REPORT  |  CHAPTER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