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2300" w:after="360"/>
        <w:jc w:val="center"/>
      </w:pPr>
      <w:r>
        <w:rPr>
          <w:b/>
          <w:color w:val="2E74B5"/>
          <w:sz w:val="28"/>
        </w:rPr>
        <w:t>AEGIS PROJECT REPORT</w:t>
      </w:r>
    </w:p>
    <w:p>
      <w:pPr>
        <w:spacing w:after="300"/>
        <w:jc w:val="center"/>
      </w:pPr>
      <w:r>
        <w:rPr>
          <w:b/>
          <w:color w:val="0B2545"/>
          <w:sz w:val="60"/>
        </w:rPr>
        <w:t>Chapter 8</w:t>
      </w:r>
    </w:p>
    <w:p>
      <w:pPr>
        <w:spacing w:after="600"/>
        <w:jc w:val="center"/>
      </w:pPr>
      <w:r>
        <w:rPr>
          <w:b/>
          <w:color w:val="2E74B5"/>
          <w:sz w:val="40"/>
        </w:rPr>
        <w:t>System Implementation</w:t>
      </w:r>
    </w:p>
    <w:p>
      <w:pPr>
        <w:spacing w:after="60"/>
        <w:jc w:val="center"/>
      </w:pPr>
      <w:r>
        <w:rPr>
          <w:color w:val="666666"/>
          <w:sz w:val="22"/>
        </w:rPr>
        <w:t>Htun Khaing Lynn  |  Student ID: 001557481</w:t>
      </w:r>
    </w:p>
    <w:p>
      <w:pPr>
        <w:jc w:val="center"/>
      </w:pPr>
      <w:r>
        <w:rPr>
          <w:i/>
          <w:color w:val="666666"/>
          <w:sz w:val="22"/>
        </w:rPr>
        <w:t>Aegis: API Security and Management System</w:t>
      </w:r>
    </w:p>
    <w:p>
      <w:r>
        <w:br w:type="page"/>
      </w:r>
    </w:p>
    <w:p>
      <w:pPr>
        <w:pStyle w:val="Heading1"/>
      </w:pPr>
      <w:r>
        <w:t>8.1 Implementation Approach</w:t>
      </w:r>
    </w:p>
    <w:p>
      <w:pPr>
        <w:jc w:val="both"/>
      </w:pPr>
      <w:r>
        <w:rPr>
          <w:i w:val="0"/>
        </w:rPr>
        <w:t>Implementation followed the proposal’s technology choices while making a few verified practical refinements. The system is a monorepo with an asynchronous FastAPI Control Plane, Go reverse proxy, React 19 dashboard, PostgreSQL, Redis and Docker Compose. The dashboard uses the established Vinext/Vite runtime and local UI primitives rather than replacing a working implementation solely to match an early library intention in the proposal.</w:t>
      </w:r>
    </w:p>
    <w:p>
      <w:pPr>
        <w:pStyle w:val="Heading1"/>
      </w:pPr>
      <w:r>
        <w:t>8.2 Control Plane</w:t>
      </w:r>
    </w:p>
    <w:p>
      <w:pPr>
        <w:jc w:val="both"/>
      </w:pPr>
      <w:r>
        <w:rPr>
          <w:i w:val="0"/>
        </w:rPr>
        <w:t>The Control Plane is structured into routers, schemas, services, repositories and SQLAlchemy models. Pydantic validates incoming configuration and FastAPI dependencies enforce roles. Alembic migrations create and extend the schema, including users/roles, API keys, rate-limit rules, JWT configurations, IP blocks, threat rules, security events and route permissions.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shd w:fill="E8EEF5"/>
            <w:vAlign w:val="center"/>
          </w:tcPr>
          <w:p>
            <w:r>
              <w:rPr>
                <w:b/>
                <w:sz w:val="18"/>
              </w:rPr>
              <w:t>Area</w:t>
            </w:r>
          </w:p>
        </w:tc>
        <w:tc>
          <w:tcPr>
            <w:tcW w:type="dxa" w:w="7272"/>
            <w:shd w:fill="E8EEF5"/>
            <w:vAlign w:val="center"/>
          </w:tcPr>
          <w:p>
            <w:r>
              <w:rPr>
                <w:b/>
                <w:sz w:val="18"/>
              </w:rPr>
              <w:t>Implemented behaviour</w:t>
            </w:r>
          </w:p>
        </w:tc>
      </w:tr>
      <w:tr>
        <w:tc>
          <w:tcPr>
            <w:tcW w:type="dxa" w:w="2232"/>
            <w:vAlign w:val="center"/>
          </w:tcPr>
          <w:p>
            <w:pPr>
              <w:spacing w:after="40"/>
            </w:pPr>
            <w:r>
              <w:rPr>
                <w:sz w:val="18"/>
              </w:rPr>
              <w:t>Identity/RBAC</w:t>
            </w:r>
          </w:p>
        </w:tc>
        <w:tc>
          <w:tcPr>
            <w:tcW w:type="dxa" w:w="7272"/>
            <w:vAlign w:val="center"/>
          </w:tcPr>
          <w:p>
            <w:pPr>
              <w:spacing w:after="40"/>
            </w:pPr>
            <w:r>
              <w:rPr>
                <w:sz w:val="18"/>
              </w:rPr>
              <w:t>Login, refresh, logout and persisted roles; bootstrap Admin allowlisting and role-protected routes.</w:t>
            </w:r>
          </w:p>
        </w:tc>
      </w:tr>
      <w:tr>
        <w:tc>
          <w:tcPr>
            <w:tcW w:type="dxa" w:w="2232"/>
            <w:vAlign w:val="center"/>
          </w:tcPr>
          <w:p>
            <w:pPr>
              <w:spacing w:after="40"/>
            </w:pPr>
            <w:r>
              <w:rPr>
                <w:sz w:val="18"/>
              </w:rPr>
              <w:t>API keys</w:t>
            </w:r>
          </w:p>
        </w:tc>
        <w:tc>
          <w:tcPr>
            <w:tcW w:type="dxa" w:w="7272"/>
            <w:vAlign w:val="center"/>
          </w:tcPr>
          <w:p>
            <w:pPr>
              <w:spacing w:after="40"/>
            </w:pPr>
            <w:r>
              <w:rPr>
                <w:sz w:val="18"/>
              </w:rPr>
              <w:t>Random issue, bcrypt hash/prefix persistence, metadata CRUD, owner/Admin checks and soft revocation.</w:t>
            </w:r>
          </w:p>
        </w:tc>
      </w:tr>
      <w:tr>
        <w:tc>
          <w:tcPr>
            <w:tcW w:type="dxa" w:w="2232"/>
            <w:vAlign w:val="center"/>
          </w:tcPr>
          <w:p>
            <w:pPr>
              <w:spacing w:after="40"/>
            </w:pPr>
            <w:r>
              <w:rPr>
                <w:sz w:val="18"/>
              </w:rPr>
              <w:t>JWT configuration</w:t>
            </w:r>
          </w:p>
        </w:tc>
        <w:tc>
          <w:tcPr>
            <w:tcW w:type="dxa" w:w="7272"/>
            <w:vAlign w:val="center"/>
          </w:tcPr>
          <w:p>
            <w:pPr>
              <w:spacing w:after="40"/>
            </w:pPr>
            <w:r>
              <w:rPr>
                <w:sz w:val="18"/>
              </w:rPr>
              <w:t>HS256/RS256/ES256 validation policy; Fernet-encrypted signing key; masked operator responses; one active config.</w:t>
            </w:r>
          </w:p>
        </w:tc>
      </w:tr>
      <w:tr>
        <w:tc>
          <w:tcPr>
            <w:tcW w:type="dxa" w:w="2232"/>
            <w:vAlign w:val="center"/>
          </w:tcPr>
          <w:p>
            <w:pPr>
              <w:spacing w:after="40"/>
            </w:pPr>
            <w:r>
              <w:rPr>
                <w:sz w:val="18"/>
              </w:rPr>
              <w:t>Policy data</w:t>
            </w:r>
          </w:p>
        </w:tc>
        <w:tc>
          <w:tcPr>
            <w:tcW w:type="dxa" w:w="7272"/>
            <w:vAlign w:val="center"/>
          </w:tcPr>
          <w:p>
            <w:pPr>
              <w:spacing w:after="40"/>
            </w:pPr>
            <w:r>
              <w:rPr>
                <w:sz w:val="18"/>
              </w:rPr>
              <w:t>Rate rules, RE2-compatible threat patterns, exact IP blocks and exact method/path route permissions.</w:t>
            </w:r>
          </w:p>
        </w:tc>
      </w:tr>
      <w:tr>
        <w:tc>
          <w:tcPr>
            <w:tcW w:type="dxa" w:w="2232"/>
            <w:vAlign w:val="center"/>
          </w:tcPr>
          <w:p>
            <w:pPr>
              <w:spacing w:after="40"/>
            </w:pPr>
            <w:r>
              <w:rPr>
                <w:sz w:val="18"/>
              </w:rPr>
              <w:t>Analytics</w:t>
            </w:r>
          </w:p>
        </w:tc>
        <w:tc>
          <w:tcPr>
            <w:tcW w:type="dxa" w:w="7272"/>
            <w:vAlign w:val="center"/>
          </w:tcPr>
          <w:p>
            <w:pPr>
              <w:spacing w:after="40"/>
            </w:pPr>
            <w:r>
              <w:rPr>
                <w:sz w:val="18"/>
              </w:rPr>
              <w:t>Internal security-event ingestion and time-window summary/history APIs for permitted roles.</w:t>
            </w:r>
          </w:p>
        </w:tc>
      </w:tr>
    </w:tbl>
    <w:p>
      <w:pPr>
        <w:spacing w:after="40"/>
      </w:pPr>
    </w:p>
    <w:p>
      <w:pPr>
        <w:pStyle w:val="Heading1"/>
      </w:pPr>
      <w:r>
        <w:t>8.3 Reverse Proxy</w:t>
      </w:r>
    </w:p>
    <w:p>
      <w:pPr>
        <w:jc w:val="both"/>
      </w:pPr>
      <w:r>
        <w:rPr>
          <w:i w:val="0"/>
        </w:rPr>
        <w:t>The Go application uses net/http and httputil.ReverseProxy. Startup validates environment configuration, creates an HTTP client, key-validation cache, REST policy provider, gRPC policy subscriber, Redis client, blockers/detector/validators and bounded async event reporter. The final handler composes these services and exposes a single protected HTTP forwarding endpoint.</w:t>
      </w:r>
    </w:p>
    <w:p>
      <w:pPr>
        <w:jc w:val="both"/>
      </w:pPr>
      <w:r>
        <w:rPr>
          <w:i w:val="0"/>
        </w:rPr>
        <w:t>API-key validation is an authenticated Control Plane request on a cache miss; a successful response contains only enforcement metadata such as key ID, status, expiry and scopes. JWT validation uses policy material from the snapshot and pins supported algorithms. Rate-limit selection is API-key-scoped first, then exact route, then global. Fixed-window, sliding-window and token-bucket logic are Redis scripts so the counter operation is atomic across proxy instances.</w:t>
      </w:r>
    </w:p>
    <w:p>
      <w:pPr>
        <w:pStyle w:val="Heading1"/>
      </w:pPr>
      <w:r>
        <w:t>8.4 Route Scope Enforcement</w:t>
      </w:r>
    </w:p>
    <w:p>
      <w:pPr>
        <w:jc w:val="both"/>
      </w:pPr>
      <w:r>
        <w:rPr>
          <w:i w:val="0"/>
        </w:rPr>
        <w:t>The implementation introduced a RoutePermission model after the original proposal. This closes a conceptual gap in an API-key scope such as echo:read: the proxy has a configured policy saying which exact request requires it. For a matching method/path the proxy compares the required string against the validated key’s scopes. A non-matching route is currently allowed by default, allowing incremental policy rollout; a matching route without the scope returns 403 INSUFFICIENT_SCOPE before reaching the upstream service.</w:t>
      </w:r>
    </w:p>
    <w:p>
      <w:pPr>
        <w:pStyle w:val="Heading1"/>
      </w:pPr>
      <w:r>
        <w:t>8.5 Dashboard, Deployment and POC</w:t>
      </w:r>
    </w:p>
    <w:p>
      <w:pPr>
        <w:jc w:val="both"/>
      </w:pPr>
      <w:r>
        <w:rPr>
          <w:i w:val="0"/>
        </w:rPr>
        <w:t>The React dashboard calls only the Control Plane and uses role-aware navigation. Docker Compose supplies PostgreSQL and Redis locally and supports a production-like stack. The POC adds an echo service and a loopback-only attack/defense console. The echo response makes forwarding visible, while the console sends controlled GET/POST requests only to /api/echo and keeps generated credentials in browser memory rather than writing them to a file.</w:t>
      </w:r>
    </w:p>
    <w:p>
      <w:pPr>
        <w:pStyle w:val="Heading1"/>
      </w:pPr>
      <w:r>
        <w:t>8.6 Proposal-to-implementation Comparison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384"/>
            <w:shd w:fill="E8EEF5"/>
            <w:vAlign w:val="center"/>
          </w:tcPr>
          <w:p>
            <w:r>
              <w:rPr>
                <w:b/>
                <w:sz w:val="18"/>
              </w:rPr>
              <w:t>Proposal intention</w:t>
            </w:r>
          </w:p>
        </w:tc>
        <w:tc>
          <w:tcPr>
            <w:tcW w:type="dxa" w:w="5976"/>
            <w:shd w:fill="E8EEF5"/>
            <w:vAlign w:val="center"/>
          </w:tcPr>
          <w:p>
            <w:r>
              <w:rPr>
                <w:b/>
                <w:sz w:val="18"/>
              </w:rPr>
              <w:t>Implemented result</w:t>
            </w:r>
          </w:p>
        </w:tc>
      </w:tr>
      <w:tr>
        <w:tc>
          <w:tcPr>
            <w:tcW w:type="dxa" w:w="3384"/>
            <w:vAlign w:val="center"/>
          </w:tcPr>
          <w:p>
            <w:pPr>
              <w:spacing w:after="40"/>
            </w:pPr>
            <w:r>
              <w:rPr>
                <w:sz w:val="18"/>
              </w:rPr>
              <w:t>Control Plane, proxy and dashboard</w:t>
            </w:r>
          </w:p>
        </w:tc>
        <w:tc>
          <w:tcPr>
            <w:tcW w:type="dxa" w:w="5976"/>
            <w:vAlign w:val="center"/>
          </w:tcPr>
          <w:p>
            <w:pPr>
              <w:spacing w:after="40"/>
            </w:pPr>
            <w:r>
              <w:rPr>
                <w:sz w:val="18"/>
              </w:rPr>
              <w:t>Delivered as FastAPI, Go and React components with clear policy/enforcement separation.</w:t>
            </w:r>
          </w:p>
        </w:tc>
      </w:tr>
      <w:tr>
        <w:tc>
          <w:tcPr>
            <w:tcW w:type="dxa" w:w="3384"/>
            <w:vAlign w:val="center"/>
          </w:tcPr>
          <w:p>
            <w:pPr>
              <w:spacing w:after="40"/>
            </w:pPr>
            <w:r>
              <w:rPr>
                <w:sz w:val="18"/>
              </w:rPr>
              <w:t>Real-time policy synchronisation</w:t>
            </w:r>
          </w:p>
        </w:tc>
        <w:tc>
          <w:tcPr>
            <w:tcW w:type="dxa" w:w="5976"/>
            <w:vAlign w:val="center"/>
          </w:tcPr>
          <w:p>
            <w:pPr>
              <w:spacing w:after="40"/>
            </w:pPr>
            <w:r>
              <w:rPr>
                <w:sz w:val="18"/>
              </w:rPr>
              <w:t>Delivered as authenticated gRPC stream with REST bootstrap/fallback and last-valid snapshot retention.</w:t>
            </w:r>
          </w:p>
        </w:tc>
      </w:tr>
      <w:tr>
        <w:tc>
          <w:tcPr>
            <w:tcW w:type="dxa" w:w="3384"/>
            <w:vAlign w:val="center"/>
          </w:tcPr>
          <w:p>
            <w:pPr>
              <w:spacing w:after="40"/>
            </w:pPr>
            <w:r>
              <w:rPr>
                <w:sz w:val="18"/>
              </w:rPr>
              <w:t>IP blocking</w:t>
            </w:r>
          </w:p>
        </w:tc>
        <w:tc>
          <w:tcPr>
            <w:tcW w:type="dxa" w:w="5976"/>
            <w:vAlign w:val="center"/>
          </w:tcPr>
          <w:p>
            <w:pPr>
              <w:spacing w:after="40"/>
            </w:pPr>
            <w:r>
              <w:rPr>
                <w:sz w:val="18"/>
              </w:rPr>
              <w:t>Manual exact blocks and automatic blocks from repeated threat/rate violations are implemented.</w:t>
            </w:r>
          </w:p>
        </w:tc>
      </w:tr>
      <w:tr>
        <w:tc>
          <w:tcPr>
            <w:tcW w:type="dxa" w:w="3384"/>
            <w:vAlign w:val="center"/>
          </w:tcPr>
          <w:p>
            <w:pPr>
              <w:spacing w:after="40"/>
            </w:pPr>
            <w:r>
              <w:rPr>
                <w:sz w:val="18"/>
              </w:rPr>
              <w:t>Analytics and metrics</w:t>
            </w:r>
          </w:p>
        </w:tc>
        <w:tc>
          <w:tcPr>
            <w:tcW w:type="dxa" w:w="5976"/>
            <w:vAlign w:val="center"/>
          </w:tcPr>
          <w:p>
            <w:pPr>
              <w:spacing w:after="40"/>
            </w:pPr>
            <w:r>
              <w:rPr>
                <w:sz w:val="18"/>
              </w:rPr>
              <w:t>Sanitised async proxy event ingestion plus authenticated summary/history endpoints and dashboard page.</w:t>
            </w:r>
          </w:p>
        </w:tc>
      </w:tr>
      <w:tr>
        <w:tc>
          <w:tcPr>
            <w:tcW w:type="dxa" w:w="3384"/>
            <w:vAlign w:val="center"/>
          </w:tcPr>
          <w:p>
            <w:pPr>
              <w:spacing w:after="40"/>
            </w:pPr>
            <w:r>
              <w:rPr>
                <w:sz w:val="18"/>
              </w:rPr>
              <w:t>Security workflow</w:t>
            </w:r>
          </w:p>
        </w:tc>
        <w:tc>
          <w:tcPr>
            <w:tcW w:type="dxa" w:w="5976"/>
            <w:vAlign w:val="center"/>
          </w:tcPr>
          <w:p>
            <w:pPr>
              <w:spacing w:after="40"/>
            </w:pPr>
            <w:r>
              <w:rPr>
                <w:sz w:val="18"/>
              </w:rPr>
              <w:t>Expanded with exact method/path-to-scope route permissions and credential stripping before forward.</w:t>
            </w:r>
          </w:p>
        </w:tc>
      </w:tr>
    </w:tbl>
    <w:p>
      <w:pPr>
        <w:spacing w:after="40"/>
      </w:pPr>
    </w:p>
    <w:p>
      <w:pPr>
        <w:pStyle w:val="Heading1"/>
      </w:pPr>
      <w:r>
        <w:t>8.7 Implementation Limitations</w:t>
      </w:r>
    </w:p>
    <w:p>
      <w:pPr>
        <w:jc w:val="both"/>
      </w:pPr>
      <w:r>
        <w:rPr>
          <w:i w:val="0"/>
        </w:rPr>
        <w:t>The current baseline intentionally does not perform body inspection, wildcard route permissions, CIDR IP blocks, non-HTTP traffic handling, offline synchronisation or mobile administration. Threat rules are a request-target control rather than a general web application firewall. These boundaries keep the system focused and should be made explicit to a deployment team.</w:t>
      </w:r>
    </w:p>
    <w:p>
      <w:pPr>
        <w:pStyle w:val="Heading1"/>
      </w:pPr>
      <w:r>
        <w:t>References</w:t>
      </w:r>
    </w:p>
    <w:p>
      <w:pPr>
        <w:spacing w:after="100"/>
        <w:ind w:left="432" w:hanging="432"/>
      </w:pPr>
      <w:r>
        <w:t>Agile Business Consortium (2014) The DSDM Agile Project Framework. Tunbridge Wells: Agile Business Consortium.</w:t>
      </w:r>
    </w:p>
    <w:p>
      <w:pPr>
        <w:spacing w:after="100"/>
        <w:ind w:left="432" w:hanging="432"/>
      </w:pPr>
      <w:r>
        <w:t>Fielding, R.T. (2000) Architectural Styles and the Design of Network-based Software Architectures. PhD thesis. University of California, Irvine.</w:t>
      </w:r>
    </w:p>
    <w:p>
      <w:pPr>
        <w:spacing w:after="100"/>
        <w:ind w:left="432" w:hanging="432"/>
      </w:pPr>
      <w:r>
        <w:t>Indrasiri, K. and Kuruppu, D. (2020) gRPC: Up and Running. Sebastopol: O’Reilly Media.</w:t>
      </w:r>
    </w:p>
    <w:p>
      <w:pPr>
        <w:spacing w:after="100"/>
        <w:ind w:left="432" w:hanging="432"/>
      </w:pPr>
      <w:r>
        <w:t>Jones, M., Bradley, J. and Sakimura, N. (2015) JSON Web Token (JWT). RFC 7519. Internet Engineering Task Force. Available at: https://www.rfc-editor.org/rfc/rfc7519 (Accessed: 2 August 2026).</w:t>
      </w:r>
    </w:p>
    <w:p>
      <w:pPr>
        <w:spacing w:after="100"/>
        <w:ind w:left="432" w:hanging="432"/>
      </w:pPr>
      <w:r>
        <w:t>Newman, S. (2021) Building Microservices: Designing Fine-grained Systems. 2nd edn. Sebastopol: O’Reilly Media.</w:t>
      </w:r>
    </w:p>
    <w:p>
      <w:pPr>
        <w:spacing w:after="100"/>
        <w:ind w:left="432" w:hanging="432"/>
      </w:pPr>
      <w:r>
        <w:t>OWASP Foundation (2023) OWASP API Security Top 10 2023. Available at: https://owasp.org/www-project-api-security/ (Accessed: 2 August 2026).</w:t>
      </w:r>
    </w:p>
    <w:p>
      <w:pPr>
        <w:spacing w:after="100"/>
        <w:ind w:left="432" w:hanging="432"/>
      </w:pPr>
      <w:r>
        <w:t>W3C (2018) Web Content Accessibility Guidelines (WCAG) 2.1. Available at: https://www.w3.org/TR/WCAG21/ (Accessed: 2 August 2026).</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Aegis Project Report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AEGIS PROJECT REPORT  |  CHAPTER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