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基于内容解耦眼动特征的精神疾病初步筛查模型研究</w:t>
      </w:r>
    </w:p>
    <w:p>
      <w:pPr>
        <w:jc w:val="center"/>
      </w:pPr>
      <w:r>
        <w:rPr>
          <w:i/>
          <w:color w:val="666666"/>
          <w:sz w:val="20"/>
        </w:rPr>
        <w:t>EMS 数据集固定划分实验与双流模型工作草稿 | 2026-05-20</w:t>
      </w:r>
    </w:p>
    <w:p>
      <w:r>
        <w:t>本文档是当前项目的论文雏形，记录截至目前已经完成的数据处理、模型设计、固定划分实验、双流融合实验和阶段性结论。后续接入跨数据集预训练和自采数据微调后，可在此基础上继续扩展为完整论文。</w:t>
      </w:r>
    </w:p>
    <w:p>
      <w:pPr>
        <w:pStyle w:val="Heading1"/>
      </w:pPr>
      <w:r>
        <w:t>摘要草稿</w:t>
      </w:r>
    </w:p>
    <w:p>
      <w:r>
        <w:t>精神疾病筛查通常依赖量表、临床访谈和专门范式，客观、低负担、可迁移的初筛工具仍然不足。本研究围绕内容解耦的眼动行为建模展开，目标是构建一种不依赖具体图片或视频语义、可适配不同采集设备和观看范式的初步筛查模型。研究首先基于 EMS 数据集完成统一预处理、fixation/saccade 事件建模、窗口级宏观行为特征提取和事件级动态序列构建；随后在 subject-level 60/20/20 固定划分下比较传统机器学习、Macro-Behavior Stream、Event-Temporal Stream、双流 concat 融合和双流 gated 融合。当前结果显示，Dual concat 获得最高 AUC 0.898，Macro only 获得 AUC 0.891，HistGradientBoosting 获得最高 balanced accuracy 0.844。门控融合在小样本条件下出现向 Macro 单流塌缩，test macro gate 平均值为 0.963，因而不作为最终主模型。本阶段结果支持采用 Macro-Behavior 主干和 Event-Temporal 辅助流的内容解耦双流建模路线，后续将接入更多公开眼动数据集进行跨数据集预训练和泛化验证。</w:t>
      </w:r>
    </w:p>
    <w:p>
      <w:pPr>
        <w:pStyle w:val="Heading1"/>
      </w:pPr>
      <w:r>
        <w:t>1. 研究目标与核心假设</w:t>
      </w:r>
    </w:p>
    <w:p>
      <w:r>
        <w:t>本项目的核心目标不是建立只适用于 EMS 数据集或某一套图片刺激的分类器，而是建立一套面向医院初步筛查场景的内容解耦眼动模型。该模型应尽量只依赖跨设备、跨范式可获得的公共眼动信息，例如 gaze 坐标、timestamp、validity、采样率、屏幕参数和观看距离。图片编号、视频内容、AOI 语义、任务答案和瞳孔直径不作为核心输入。</w:t>
      </w:r>
    </w:p>
    <w:p>
      <w:pPr>
        <w:pStyle w:val="ListBullet"/>
        <w:spacing w:after="60"/>
      </w:pPr>
      <w:r>
        <w:t>临床目标：用于青少年或一般人群的初步风险筛查，而不是替代临床诊断。</w:t>
      </w:r>
    </w:p>
    <w:p>
      <w:pPr>
        <w:pStyle w:val="ListBullet"/>
        <w:spacing w:after="60"/>
      </w:pPr>
      <w:r>
        <w:t>工程目标：支持后续接入不同硬件、不同采样率和不同观看范式的数据。</w:t>
      </w:r>
    </w:p>
    <w:p>
      <w:pPr>
        <w:pStyle w:val="ListBullet"/>
        <w:spacing w:after="60"/>
      </w:pPr>
      <w:r>
        <w:t>建模目标：通过宏观行为流和微观事件时序流形成互补表征，提高模型的排序能力和筛查灵敏度。</w:t>
      </w:r>
    </w:p>
    <w:p>
      <w:pPr>
        <w:pStyle w:val="ListBullet"/>
        <w:spacing w:after="60"/>
      </w:pPr>
      <w:r>
        <w:t>论文目标：证明内容解耦、跨数据集可扩展的眼动建模路线具有可行性，并为后续多数据集预训练和医院部署建立实验基础。</w:t>
      </w:r>
    </w:p>
    <w:p>
      <w:pPr>
        <w:pStyle w:val="Heading1"/>
      </w:pPr>
      <w:r>
        <w:t>2. 数据处理路线</w:t>
      </w:r>
    </w:p>
    <w:p>
      <w:r>
        <w:t>当前阶段已完成 EMS 数据集的完整处理。处理流程强调统一模态和内容解耦：原始 fixation 数据被转化为事件表、窗口级宏观行为特征表和事件级时序表。IMAGE 字段仅作为原始试次边界或记录来源，不作为模型输入特征；模型不读取图片内容，也不使用图片语义。</w:t>
      </w:r>
    </w:p>
    <w:p>
      <w:pPr>
        <w:pStyle w:val="ListNumber"/>
        <w:spacing w:after="60"/>
      </w:pPr>
      <w:r>
        <w:t>统一 subject_id、label、fold、trial/image 边界等基础字段。</w:t>
      </w:r>
    </w:p>
    <w:p>
      <w:pPr>
        <w:pStyle w:val="ListNumber"/>
        <w:spacing w:after="60"/>
      </w:pPr>
      <w:r>
        <w:t>基于屏幕物理参数和观看距离完成坐标归一化和 DVA 转换。</w:t>
      </w:r>
    </w:p>
    <w:p>
      <w:pPr>
        <w:pStyle w:val="ListNumber"/>
        <w:spacing w:after="60"/>
      </w:pPr>
      <w:r>
        <w:t>构建 event table，保留 fixation 坐标、duration、saccade 转移距离、角度和速度等公共眼动事件特征。</w:t>
      </w:r>
    </w:p>
    <w:p>
      <w:pPr>
        <w:pStyle w:val="ListNumber"/>
        <w:spacing w:after="60"/>
      </w:pPr>
      <w:r>
        <w:t>构建 Macro-Behavior segment features，在固定窗口中统计 fixation duration、scanpath length、BCEA、空间覆盖率、transition velocity 和 entropy 等宏观行为指标。</w:t>
      </w:r>
    </w:p>
    <w:p>
      <w:pPr>
        <w:pStyle w:val="ListNumber"/>
        <w:spacing w:after="60"/>
      </w:pPr>
      <w:r>
        <w:t>构建 Event-Temporal sequence，将每个受试者的 fixation/saccade event 组织为事件序列，用于事件级动态建模。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800"/>
        <w:gridCol w:w="3600"/>
        <w:gridCol w:w="3960"/>
      </w:tblGrid>
      <w:tr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处理产物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文件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用途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EMS event table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data/processed/EMS/ems_events.csv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统一 fixation/saccade 事件层数据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 features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ems_segment_features_no_pupil.csv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Macro-Behavior Stream 输入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Subject aggregate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ems_subject_features_segment_agg_no_pupil.csv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传统 ML baseline 输入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Event sequence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ems_event_temporal_sequences_no_pupil.csv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Event-Temporal Stream 输入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Fixed split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ems_subject_split_60_20_20_seed42.csv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主实验 train/valid/test 划分</w:t>
            </w:r>
          </w:p>
        </w:tc>
      </w:tr>
    </w:tbl>
    <w:p/>
    <w:p>
      <w:pPr>
        <w:pStyle w:val="Heading1"/>
      </w:pPr>
      <w:r>
        <w:t>3. 当前模型设计</w:t>
      </w:r>
    </w:p>
    <w:p>
      <w:r>
        <w:t>当前模型从最初的 GCN + 微观时频设想调整为更适合小样本和跨数据集泛化的双流时序结构。Macro-Behavior Stream 使用窗口级统计序列，Event-Temporal Stream 使用 fixation/saccade 事件序列。两条流均采用 1-layer BiGRU + attention pooling，再在 subject-level 输出风险概率。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3100"/>
        <w:gridCol w:w="2900"/>
        <w:gridCol w:w="1660"/>
      </w:tblGrid>
      <w:tr>
        <w:tc>
          <w:tcPr>
            <w:tcW w:type="dxa" w:w="17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模型/分支</w:t>
            </w:r>
          </w:p>
        </w:tc>
        <w:tc>
          <w:tcPr>
            <w:tcW w:type="dxa" w:w="31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输入</w:t>
            </w:r>
          </w:p>
        </w:tc>
        <w:tc>
          <w:tcPr>
            <w:tcW w:type="dxa" w:w="29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结构</w:t>
            </w:r>
          </w:p>
        </w:tc>
        <w:tc>
          <w:tcPr>
            <w:tcW w:type="dxa" w:w="16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当前作用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Traditional ML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subject-level 聚合统计特征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Logistic/SVM/RF/HistGB/MLP</w:t>
            </w:r>
          </w:p>
        </w:tc>
        <w:tc>
          <w:tcPr>
            <w:tcW w:type="dxa" w:w="1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强 baseline，判断非深度方法上限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Macro-Behavior Stream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100 个窗口级宏观行为特征序列，37 维特征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Linear projection + 1-layer BiGRU + attention</w:t>
            </w:r>
          </w:p>
        </w:tc>
        <w:tc>
          <w:tcPr>
            <w:tcW w:type="dxa" w:w="1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当前最稳定的深度学习主干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Event-Temporal Stream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fixation/saccade 事件序列，22 维特征，最长 2020 events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Linear projection + 1-layer BiGRU + attention</w:t>
            </w:r>
          </w:p>
        </w:tc>
        <w:tc>
          <w:tcPr>
            <w:tcW w:type="dxa" w:w="1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捕捉更细粒度的事件动态，作为辅助流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concat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 embedding + Event embedding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两个编码器后直接 concat，再 MLP 分类</w:t>
            </w:r>
          </w:p>
        </w:tc>
        <w:tc>
          <w:tcPr>
            <w:tcW w:type="dxa" w:w="1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当前主双流候选，AUC 最优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gated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 embedding + Event embedding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gate * Macro + (1-gate) * Event</w:t>
            </w:r>
          </w:p>
        </w:tc>
        <w:tc>
          <w:tcPr>
            <w:tcW w:type="dxa" w:w="1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验证自适应融合，但出现 Macro 单流塌缩</w:t>
            </w:r>
          </w:p>
        </w:tc>
      </w:tr>
    </w:tbl>
    <w:p/>
    <w:p>
      <w:pPr>
        <w:pStyle w:val="Heading1"/>
      </w:pPr>
      <w:r>
        <w:t>4. 实验协议</w:t>
      </w:r>
    </w:p>
    <w:p>
      <w:r>
        <w:t>为避免官方 4-fold 在部分模型中造成概率尺度不一致和 fold 分布问题，当前主实验采用 subject-level 60/20/20 固定划分。训练集只用于模型拟合，验证集用于 early stopping、超参数选择和阈值选择，测试集只用于最终评估。所有主结果均报告 validation-selected best balanced accuracy threshold 下的 test 指标。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600"/>
        <w:gridCol w:w="6760"/>
      </w:tblGrid>
      <w:tr>
        <w:tc>
          <w:tcPr>
            <w:tcW w:type="dxa" w:w="2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type="dxa" w:w="67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当前设置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数据划分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subject-level 60/20/20，train 96，valid 32，test 32，HC/SZ 均衡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核心输入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x/y/timestamp/validity/采样率/屏幕参数/观看距离推导出的公共眼动特征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不使用信息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图片内容、视频语义、AOI、IMAGE 语义、任务答案、瞳孔核心特征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深度模型默认结构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projection_dim=64，hidden_dim=64，attention_dim=64，dropout=0.3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优化器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AdamW，learning_rate=1e-3，weight_decay=1e-4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训练控制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max_epochs=100，patience=15，valid AUC early stopping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分类阈值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在 validation set 选择，test set 只评估一次</w:t>
            </w:r>
          </w:p>
        </w:tc>
      </w:tr>
    </w:tbl>
    <w:p/>
    <w:p>
      <w:pPr>
        <w:pStyle w:val="Heading1"/>
      </w:pPr>
      <w:r>
        <w:t>5. 固定划分实验结果</w:t>
      </w:r>
    </w:p>
    <w:p>
      <w:r>
        <w:t>当前固定划分结果表明，传统 HistGradientBoosting 仍是强 baseline；Macro-Behavior Stream 与 Dual concat 在 AUC 上表现更好，但固定阈值下的 balanced accuracy 尚未全面超过 HistGradientBoosting。因此论文表述应保持克制：双流模型提升了风险排序能力，但分类阈值泛化仍需在更多数据集和更大样本中验证。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780"/>
        <w:gridCol w:w="780"/>
        <w:gridCol w:w="850"/>
        <w:gridCol w:w="780"/>
        <w:gridCol w:w="780"/>
        <w:gridCol w:w="780"/>
        <w:gridCol w:w="2910"/>
      </w:tblGrid>
      <w:tr>
        <w:tc>
          <w:tcPr>
            <w:tcW w:type="dxa" w:w="17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type="dxa" w:w="7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AUC</w:t>
            </w:r>
          </w:p>
        </w:tc>
        <w:tc>
          <w:tcPr>
            <w:tcW w:type="dxa" w:w="7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Acc</w:t>
            </w:r>
          </w:p>
        </w:tc>
        <w:tc>
          <w:tcPr>
            <w:tcW w:type="dxa" w:w="85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Bal Acc</w:t>
            </w:r>
          </w:p>
        </w:tc>
        <w:tc>
          <w:tcPr>
            <w:tcW w:type="dxa" w:w="7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Sens</w:t>
            </w:r>
          </w:p>
        </w:tc>
        <w:tc>
          <w:tcPr>
            <w:tcW w:type="dxa" w:w="7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Spec</w:t>
            </w:r>
          </w:p>
        </w:tc>
        <w:tc>
          <w:tcPr>
            <w:tcW w:type="dxa" w:w="7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F1</w:t>
            </w:r>
          </w:p>
        </w:tc>
        <w:tc>
          <w:tcPr>
            <w:tcW w:type="dxa" w:w="291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Confusion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ML HistGB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0.883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0.844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0.844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0.750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0.938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0.828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TP=12, TN=15, FP=1, FN=4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ML SVM-RBF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0.863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0.719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0.719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0.625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0.743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TP=13, TN=10, FP=6, FN=3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Macro only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0.891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0.750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0.875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0.800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TP=12, TN=14, FP=2, FN=4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Event only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0.848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0.719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0.719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0.625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0.743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TP=13, TN=10, FP=6, FN=3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concat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0.898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0.750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0.875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0.800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TP=12, TN=14, FP=2, FN=4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gated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0.840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0.656</w:t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0.656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0.688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0.625</w:t>
            </w:r>
          </w:p>
        </w:tc>
        <w:tc>
          <w:tcPr>
            <w:tcW w:type="dxa" w:w="7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0.667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TP=11, TN=10, FP=6, FN=5</w:t>
            </w:r>
          </w:p>
        </w:tc>
      </w:tr>
    </w:tbl>
    <w:p/>
    <w:p>
      <w:pPr>
        <w:pStyle w:val="ListBullet"/>
        <w:spacing w:after="60"/>
      </w:pPr>
      <w:r>
        <w:t>Dual concat 当前 AUC 最高：0.8984375，说明 Event-Temporal Stream 对 Macro 表征存在一定互补排序信息。</w:t>
      </w:r>
    </w:p>
    <w:p>
      <w:pPr>
        <w:pStyle w:val="ListBullet"/>
        <w:spacing w:after="60"/>
      </w:pPr>
      <w:r>
        <w:t>Macro only AUC 为 0.890625，与 Dual concat 的固定阈值分类结果相同，说明 Macro 是当前最稳定主干。</w:t>
      </w:r>
    </w:p>
    <w:p>
      <w:pPr>
        <w:pStyle w:val="ListBullet"/>
        <w:spacing w:after="60"/>
      </w:pPr>
      <w:r>
        <w:t>Event only AUC 为 0.84765625，sensitivity 为 0.8125，提示事件动态流更偏向发现阳性风险，但 specificity 较低。</w:t>
      </w:r>
    </w:p>
    <w:p>
      <w:pPr>
        <w:pStyle w:val="ListBullet"/>
        <w:spacing w:after="60"/>
      </w:pPr>
      <w:r>
        <w:t>HistGradientBoosting balanced accuracy 为 0.84375，是目前固定阈值分类最强 baseline。</w:t>
      </w:r>
    </w:p>
    <w:p>
      <w:pPr>
        <w:pStyle w:val="Heading1"/>
      </w:pPr>
      <w:r>
        <w:t>6. 双流融合分析</w:t>
      </w:r>
    </w:p>
    <w:p>
      <w:r>
        <w:t>双流实验的关键问题是 Event-Temporal Stream 是否真的补充 Macro-Behavior Stream。concat fusion 相比 Macro only 将 test AUC 从 0.891 提升至 0.898，但固定阈值下 accuracy、balanced accuracy、sensitivity 和 specificity 与 Macro only 相同。gated fusion 原本用于验证自适应权重分配能否改善 sensitivity/specificity 平衡，但当前结果显示其泛化明显变差。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900"/>
        <w:gridCol w:w="900"/>
        <w:gridCol w:w="1000"/>
        <w:gridCol w:w="1000"/>
        <w:gridCol w:w="3860"/>
      </w:tblGrid>
      <w:tr>
        <w:tc>
          <w:tcPr>
            <w:tcW w:type="dxa" w:w="17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融合方式</w:t>
            </w:r>
          </w:p>
        </w:tc>
        <w:tc>
          <w:tcPr>
            <w:tcW w:type="dxa" w:w="9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Test AUC</w:t>
            </w:r>
          </w:p>
        </w:tc>
        <w:tc>
          <w:tcPr>
            <w:tcW w:type="dxa" w:w="9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Bal Acc</w:t>
            </w:r>
          </w:p>
        </w:tc>
        <w:tc>
          <w:tcPr>
            <w:tcW w:type="dxa" w:w="10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Sensitivity</w:t>
            </w:r>
          </w:p>
        </w:tc>
        <w:tc>
          <w:tcPr>
            <w:tcW w:type="dxa" w:w="10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Specificity</w:t>
            </w:r>
          </w:p>
        </w:tc>
        <w:tc>
          <w:tcPr>
            <w:tcW w:type="dxa" w:w="38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结论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concat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0.8984375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0.8125</w:t>
            </w:r>
          </w:p>
        </w:tc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0.75</w:t>
            </w:r>
          </w:p>
        </w:tc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0.875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AUC 最优，作为当前主双流模型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Dual gated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0.83984375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0.65625</w:t>
            </w:r>
          </w:p>
        </w:tc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0.6875</w:t>
            </w:r>
          </w:p>
        </w:tc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0.625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出现单流塌缩，作为补充/负结果</w:t>
            </w:r>
          </w:p>
        </w:tc>
      </w:tr>
    </w:tbl>
    <w:p/>
    <w:p>
      <w:r>
        <w:t>门控权重分析显示，gated fusion 在 test set 的 macro_gate 平均值为 0.963，event_gate 平均值为 0.037；在 valid set 的 macro_gate 平均值为 0.957，event_gate 平均值为 0.043。test set 中 93.75% 的受试者 macro_gate 超过 0.90，说明门控几乎完全压制 Event 流，没有形成真正的自适应双流融合。</w:t>
      </w:r>
    </w:p>
    <w:p>
      <w:pPr>
        <w:pStyle w:val="Heading1"/>
      </w:pPr>
      <w:r>
        <w:t>7. 阶段性结论</w:t>
      </w:r>
    </w:p>
    <w:p>
      <w:pPr>
        <w:pStyle w:val="ListNumber"/>
        <w:spacing w:after="60"/>
      </w:pPr>
      <w:r>
        <w:t>内容解耦路线成立：当前所有主模型均不依赖图片或视频语义，只使用公共眼动行为特征。</w:t>
      </w:r>
    </w:p>
    <w:p>
      <w:pPr>
        <w:pStyle w:val="ListNumber"/>
        <w:spacing w:after="60"/>
      </w:pPr>
      <w:r>
        <w:t>Macro-Behavior Stream 是当前最稳定的深度学习主干，适合作为后续跨数据集预训练的核心 encoder。</w:t>
      </w:r>
    </w:p>
    <w:p>
      <w:pPr>
        <w:pStyle w:val="ListNumber"/>
        <w:spacing w:after="60"/>
      </w:pPr>
      <w:r>
        <w:t>Event-Temporal Stream 单独性能较弱，但对 Dual concat 的 AUC 有增益，说明其具有辅助价值。</w:t>
      </w:r>
    </w:p>
    <w:p>
      <w:pPr>
        <w:pStyle w:val="ListNumber"/>
        <w:spacing w:after="60"/>
      </w:pPr>
      <w:r>
        <w:t>Dual concat 是当前主双流方案；gated fusion 在当前小样本条件下出现单流塌缩，不作为最终主模型。</w:t>
      </w:r>
    </w:p>
    <w:p>
      <w:pPr>
        <w:pStyle w:val="ListNumber"/>
        <w:spacing w:after="60"/>
      </w:pPr>
      <w:r>
        <w:t>传统 ML baseline 仍然非常强，后续论文不能简单声称深度学习全面优于机器学习，而应强调序列建模、可解释性和跨数据集扩展潜力。</w:t>
      </w:r>
    </w:p>
    <w:p>
      <w:pPr>
        <w:pStyle w:val="Heading1"/>
      </w:pPr>
      <w:r>
        <w:t>8. 下一阶段计划：跨数据集预训练</w:t>
      </w:r>
    </w:p>
    <w:p>
      <w:r>
        <w:t>下一阶段将从 EMS 单数据集实验转向跨数据集建模。计划优先接入 GazeBase、CRCNS eye-1、HBN、Saliency4ASD 等公开数据源，并根据各数据集是否包含疾病标签、年龄段、观看范式和原始采样质量，分别用于自监督预训练、正常人眼动动态建模、辅助表型学习或异常注意模式辅助任务。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2700"/>
        <w:gridCol w:w="2600"/>
        <w:gridCol w:w="2560"/>
      </w:tblGrid>
      <w:tr>
        <w:tc>
          <w:tcPr>
            <w:tcW w:type="dxa" w:w="15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数据集</w:t>
            </w:r>
          </w:p>
        </w:tc>
        <w:tc>
          <w:tcPr>
            <w:tcW w:type="dxa" w:w="27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预期作用</w:t>
            </w:r>
          </w:p>
        </w:tc>
        <w:tc>
          <w:tcPr>
            <w:tcW w:type="dxa" w:w="2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训练任务</w:t>
            </w:r>
          </w:p>
        </w:tc>
        <w:tc>
          <w:tcPr>
            <w:tcW w:type="dxa" w:w="25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注意事项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GazeBase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大规模正常人眼动 encoder 预训练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自监督/对比学习/重建任务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无精神疾病标签，不能直接作为 SZ 分类监督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CRCNS eye-1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补充自然视频观看域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视频观看下的眼动动态自监督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需统一采样率、坐标、validity 和观看距离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HBN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儿童/青少年自然视频眼动辅助学习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自监督或表型辅助任务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年龄段贴近应用，但标签体系复杂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Saliency4ASD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异常视觉注意模式辅助任务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ASD/TD 辅助分类或表征学习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不能直接并入 SZ 标签，只能做辅助迁移</w:t>
            </w:r>
          </w:p>
        </w:tc>
      </w:tr>
    </w:tbl>
    <w:p/>
    <w:p>
      <w:pPr>
        <w:pStyle w:val="Heading1"/>
      </w:pPr>
      <w:r>
        <w:t>参考文献草稿</w:t>
      </w:r>
    </w:p>
    <w:p>
      <w:pPr>
        <w:pStyle w:val="ListBullet"/>
        <w:spacing w:after="60"/>
      </w:pPr>
      <w:r>
        <w:t>Song et al., 2024. EMS: A Large-Scale Eye Movement Dataset, Benchmark and New Model for Schizophrenia Recognition. IEEE Transactions on Neural Networks and Learning Systems.</w:t>
      </w:r>
    </w:p>
    <w:p>
      <w:pPr>
        <w:pStyle w:val="ListBullet"/>
        <w:spacing w:after="60"/>
      </w:pPr>
      <w:r>
        <w:t>Liu &amp; Deubel, 2018. An elaborate algorithm for automatic processing of eye movement data and identifying fixations in eye-tracking experiments. Biomedical Engineering Online.</w:t>
      </w:r>
    </w:p>
    <w:p>
      <w:pPr>
        <w:pStyle w:val="ListBullet"/>
        <w:spacing w:after="60"/>
      </w:pPr>
      <w:r>
        <w:t>Niehorster et al., 2020. The accuracy and precision of position and velocity in eye tracking / preprocessing evaluation. Behavior Research Methods.</w:t>
      </w:r>
    </w:p>
    <w:p>
      <w:pPr>
        <w:pStyle w:val="ListBullet"/>
        <w:spacing w:after="60"/>
      </w:pPr>
      <w:r>
        <w:t>Holmqvist et al., 2011. Eye Tracking: A Comprehensive Guide to Methods and Measures. Oxford University Press.</w:t>
      </w:r>
    </w:p>
    <w:p>
      <w:pPr>
        <w:pStyle w:val="ListBullet"/>
        <w:spacing w:after="60"/>
      </w:pPr>
      <w:r>
        <w:t>Bengio, Courville &amp; Vincent, 2013. Representation learning: A review and new perspectives. IEEE TPAMI.</w:t>
      </w:r>
    </w:p>
    <w:p>
      <w:pPr>
        <w:pStyle w:val="ListBullet"/>
        <w:spacing w:after="60"/>
      </w:pPr>
      <w:r>
        <w:t>Srivastava et al., 2014. Dropout: A simple way to prevent neural networks from overfitting. JMLR.</w:t>
      </w:r>
    </w:p>
    <w:p>
      <w:pPr>
        <w:pStyle w:val="ListBullet"/>
        <w:spacing w:after="60"/>
      </w:pPr>
      <w:r>
        <w:t>Kornblith et al., 2019. Do Better ImageNet Models Transfer Better? CVPR.</w:t>
      </w:r>
    </w:p>
    <w:p>
      <w:pPr>
        <w:pStyle w:val="ListBullet"/>
        <w:spacing w:after="60"/>
      </w:pPr>
      <w:r>
        <w:t>Wang et al., 2020. Graph Convolutional Networks for gaze relation learning / eye movement analysis. Pattern Recognition Letters.</w:t>
      </w:r>
    </w:p>
    <w:p>
      <w:pPr>
        <w:pStyle w:val="ListBullet"/>
        <w:spacing w:after="60"/>
      </w:pPr>
      <w:r>
        <w:t>Glaholt et al., 2019. Deep learning analysis of eye movement dynamics in schizophrenia. Schizophrenia Bulletin.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7"/>
      </w:rPr>
      <w:t>Content-Agnostic Eye Movement Screening Model | Working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