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EyeNet 阶段一组会汇报提纲</w:t>
      </w:r>
    </w:p>
    <w:p>
      <w:r>
        <w:t>汇报日期：2026-05-28</w:t>
      </w:r>
    </w:p>
    <w:p>
      <w:r>
        <w:t>当前版本：阶段一 encoder 主线收尾版</w:t>
      </w:r>
    </w:p>
    <w:p>
      <w:pPr>
        <w:pStyle w:val="Heading2"/>
      </w:pPr>
      <w:r>
        <w:t>1. 一句话结论</w:t>
      </w:r>
    </w:p>
    <w:p>
      <w:r>
        <w:t>过去两周的核心工作已经把 EyeNet 从“模型和数据源探索”收敛到一个可复现的阶段一结论：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以内容无关 fixation/event 序列作为统一输入，</w:t>
        <w:br/>
      </w:r>
      <w:r>
        <w:rPr>
          <w:rFonts w:ascii="Consolas" w:hAnsi="Consolas"/>
          <w:sz w:val="17"/>
        </w:rPr>
        <w:t>通过 masked event modeling 做自监督预训练，</w:t>
        <w:br/>
      </w:r>
      <w:r>
        <w:rPr>
          <w:rFonts w:ascii="Consolas" w:hAnsi="Consolas"/>
          <w:sz w:val="17"/>
        </w:rPr>
        <w:t>再在 EMS SZ/HC 下游任务上做严格 aligned five-seed 评估。</w:t>
        <w:br/>
      </w:r>
      <w:r>
        <w:rPr>
          <w:rFonts w:ascii="Consolas" w:hAnsi="Consolas"/>
          <w:sz w:val="17"/>
        </w:rPr>
        <w:t>当前 balanced accuracy 最强的是 EMS-only MEM fine-tune；</w:t>
        <w:br/>
      </w:r>
      <w:r>
        <w:rPr>
          <w:rFonts w:ascii="Consolas" w:hAnsi="Consolas"/>
          <w:sz w:val="17"/>
        </w:rPr>
        <w:t>公共数据融合中 AUC 最强的是 EMS+GazeBase+CRCNS+OneStop。</w:t>
      </w:r>
    </w:p>
    <w:p>
      <w:r>
        <w:t>关键判断：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公共眼动数据有迁移价值，但不是数据越多越好。</w:t>
        <w:br/>
      </w:r>
      <w:r>
        <w:rPr>
          <w:rFonts w:ascii="Consolas" w:hAnsi="Consolas"/>
          <w:sz w:val="17"/>
        </w:rPr>
        <w:t>MEM 预训练的价值主要体现在 fine-tuning 初始化上，frozen probing 不适合作为主下游策略。</w:t>
        <w:br/>
      </w:r>
      <w:r>
        <w:rPr>
          <w:rFonts w:ascii="Consolas" w:hAnsi="Consolas"/>
          <w:sz w:val="17"/>
        </w:rPr>
        <w:t>旧双流和新 summary 双流都没有超过 encoder-only 主线，当前应作为探索性证据归档。</w:t>
      </w:r>
    </w:p>
    <w:p>
      <w:pPr>
        <w:pStyle w:val="Heading2"/>
      </w:pPr>
      <w:r>
        <w:t>2. 项目目标</w:t>
      </w:r>
    </w:p>
    <w:p>
      <w:r>
        <w:t>本项目不是构建依赖特定图片、视频、阅读材料、AOI 或眼动仪型号的分类器，而是构建：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尽量内容无关、观看范式弱相关、设备采样率弱相关的眼动事件表征模型。</w:t>
      </w:r>
    </w:p>
    <w:p>
      <w:r>
        <w:t>因此当前主输入被固定为 fixation/event 级特征，而不是原始 gaze 采样点或刺激内容特征。</w:t>
      </w:r>
    </w:p>
    <w:p>
      <w:r>
        <w:t>当前 encoder 输入 schema 为 `encoder_no_position_core`，共 13 个特征：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x_norm</w:t>
        <w:br/>
      </w:r>
      <w:r>
        <w:rPr>
          <w:rFonts w:ascii="Consolas" w:hAnsi="Consolas"/>
          <w:sz w:val="17"/>
        </w:rPr>
        <w:t>y_norm</w:t>
        <w:br/>
      </w:r>
      <w:r>
        <w:rPr>
          <w:rFonts w:ascii="Consolas" w:hAnsi="Consolas"/>
          <w:sz w:val="17"/>
        </w:rPr>
        <w:t>duration_ms</w:t>
        <w:br/>
      </w:r>
      <w:r>
        <w:rPr>
          <w:rFonts w:ascii="Consolas" w:hAnsi="Consolas"/>
          <w:sz w:val="17"/>
        </w:rPr>
        <w:t>log_duration_ms</w:t>
        <w:br/>
      </w:r>
      <w:r>
        <w:rPr>
          <w:rFonts w:ascii="Consolas" w:hAnsi="Consolas"/>
          <w:sz w:val="17"/>
        </w:rPr>
        <w:t>saccade_dx_norm</w:t>
        <w:br/>
      </w:r>
      <w:r>
        <w:rPr>
          <w:rFonts w:ascii="Consolas" w:hAnsi="Consolas"/>
          <w:sz w:val="17"/>
        </w:rPr>
        <w:t>saccade_dy_norm</w:t>
        <w:br/>
      </w:r>
      <w:r>
        <w:rPr>
          <w:rFonts w:ascii="Consolas" w:hAnsi="Consolas"/>
          <w:sz w:val="17"/>
        </w:rPr>
        <w:t>saccade_amplitude_norm</w:t>
        <w:br/>
      </w:r>
      <w:r>
        <w:rPr>
          <w:rFonts w:ascii="Consolas" w:hAnsi="Consolas"/>
          <w:sz w:val="17"/>
        </w:rPr>
        <w:t>saccade_angle_sin</w:t>
        <w:br/>
      </w:r>
      <w:r>
        <w:rPr>
          <w:rFonts w:ascii="Consolas" w:hAnsi="Consolas"/>
          <w:sz w:val="17"/>
        </w:rPr>
        <w:t>saccade_angle_cos</w:t>
        <w:br/>
      </w:r>
      <w:r>
        <w:rPr>
          <w:rFonts w:ascii="Consolas" w:hAnsi="Consolas"/>
          <w:sz w:val="17"/>
        </w:rPr>
        <w:t>transition_missing</w:t>
        <w:br/>
      </w:r>
      <w:r>
        <w:rPr>
          <w:rFonts w:ascii="Consolas" w:hAnsi="Consolas"/>
          <w:sz w:val="17"/>
        </w:rPr>
        <w:t>is_first_event_in_segment</w:t>
        <w:br/>
      </w:r>
      <w:r>
        <w:rPr>
          <w:rFonts w:ascii="Consolas" w:hAnsi="Consolas"/>
          <w:sz w:val="17"/>
        </w:rPr>
        <w:t>is_last_event_in_segment</w:t>
        <w:br/>
      </w:r>
      <w:r>
        <w:rPr>
          <w:rFonts w:ascii="Consolas" w:hAnsi="Consolas"/>
          <w:sz w:val="17"/>
        </w:rPr>
        <w:t>event_index_in_segment_norm</w:t>
      </w:r>
    </w:p>
    <w:p>
      <w:r>
        <w:t>不使用：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图像 ID、视频语义、AOI、文字位置、任务名称、设备型号、采样率 one-hot。</w:t>
      </w:r>
    </w:p>
    <w:p>
      <w:pPr>
        <w:pStyle w:val="Heading2"/>
      </w:pPr>
      <w:r>
        <w:t>3. 数据集状态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676"/>
        <w:gridCol w:w="838"/>
        <w:gridCol w:w="1676"/>
        <w:gridCol w:w="2095"/>
        <w:gridCol w:w="3075"/>
      </w:tblGrid>
      <w:tr>
        <w:tc>
          <w:tcPr>
            <w:tcW w:type="dxa" w:w="16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数据集</w:t>
            </w:r>
          </w:p>
        </w:tc>
        <w:tc>
          <w:tcPr>
            <w:tcW w:type="dxa" w:w="8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当前状态</w:t>
            </w:r>
          </w:p>
        </w:tc>
        <w:tc>
          <w:tcPr>
            <w:tcW w:type="dxa" w:w="16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受试者数</w:t>
            </w:r>
          </w:p>
        </w:tc>
        <w:tc>
          <w:tcPr>
            <w:tcW w:type="dxa" w:w="209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fixation events</w:t>
            </w:r>
          </w:p>
        </w:tc>
        <w:tc>
          <w:tcPr>
            <w:tcW w:type="dxa" w:w="30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当前角色</w:t>
            </w:r>
          </w:p>
        </w:tc>
      </w:tr>
      <w:tr>
        <w:tc>
          <w:tcPr>
            <w:tcW w:type="dxa" w:w="1676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EMS</w:t>
            </w:r>
          </w:p>
        </w:tc>
        <w:tc>
          <w:tcPr>
            <w:tcW w:type="dxa" w:w="83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完成</w:t>
            </w:r>
          </w:p>
        </w:tc>
        <w:tc>
          <w:tcPr>
            <w:tcW w:type="dxa" w:w="1676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160</w:t>
            </w:r>
          </w:p>
        </w:tc>
        <w:tc>
          <w:tcPr>
            <w:tcW w:type="dxa" w:w="209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225,159</w:t>
            </w:r>
          </w:p>
        </w:tc>
        <w:tc>
          <w:tcPr>
            <w:tcW w:type="dxa" w:w="307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SZ/HC 下游验证主数据集</w:t>
            </w:r>
          </w:p>
        </w:tc>
      </w:tr>
      <w:tr>
        <w:tc>
          <w:tcPr>
            <w:tcW w:type="dxa" w:w="1676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GazeBase</w:t>
            </w:r>
          </w:p>
        </w:tc>
        <w:tc>
          <w:tcPr>
            <w:tcW w:type="dxa" w:w="83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完成</w:t>
            </w:r>
          </w:p>
        </w:tc>
        <w:tc>
          <w:tcPr>
            <w:tcW w:type="dxa" w:w="1676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322</w:t>
            </w:r>
          </w:p>
        </w:tc>
        <w:tc>
          <w:tcPr>
            <w:tcW w:type="dxa" w:w="209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843,517</w:t>
            </w:r>
          </w:p>
        </w:tc>
        <w:tc>
          <w:tcPr>
            <w:tcW w:type="dxa" w:w="307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公共自监督预训练</w:t>
            </w:r>
          </w:p>
        </w:tc>
      </w:tr>
      <w:tr>
        <w:tc>
          <w:tcPr>
            <w:tcW w:type="dxa" w:w="1676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CRCNS eye-1</w:t>
            </w:r>
          </w:p>
        </w:tc>
        <w:tc>
          <w:tcPr>
            <w:tcW w:type="dxa" w:w="83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完成</w:t>
            </w:r>
          </w:p>
        </w:tc>
        <w:tc>
          <w:tcPr>
            <w:tcW w:type="dxa" w:w="1676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16</w:t>
            </w:r>
          </w:p>
        </w:tc>
        <w:tc>
          <w:tcPr>
            <w:tcW w:type="dxa" w:w="209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67,172</w:t>
            </w:r>
          </w:p>
        </w:tc>
        <w:tc>
          <w:tcPr>
            <w:tcW w:type="dxa" w:w="307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自然观看/视频域公共预训练</w:t>
            </w:r>
          </w:p>
        </w:tc>
      </w:tr>
      <w:tr>
        <w:tc>
          <w:tcPr>
            <w:tcW w:type="dxa" w:w="1676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OneStop</w:t>
            </w:r>
          </w:p>
        </w:tc>
        <w:tc>
          <w:tcPr>
            <w:tcW w:type="dxa" w:w="83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完成</w:t>
            </w:r>
          </w:p>
        </w:tc>
        <w:tc>
          <w:tcPr>
            <w:tcW w:type="dxa" w:w="1676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360</w:t>
            </w:r>
          </w:p>
        </w:tc>
        <w:tc>
          <w:tcPr>
            <w:tcW w:type="dxa" w:w="209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2,042,834</w:t>
            </w:r>
          </w:p>
        </w:tc>
        <w:tc>
          <w:tcPr>
            <w:tcW w:type="dxa" w:w="307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阅读场景公共预训练</w:t>
            </w:r>
          </w:p>
        </w:tc>
      </w:tr>
      <w:tr>
        <w:tc>
          <w:tcPr>
            <w:tcW w:type="dxa" w:w="1676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HBN</w:t>
            </w:r>
          </w:p>
        </w:tc>
        <w:tc>
          <w:tcPr>
            <w:tcW w:type="dxa" w:w="83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完成</w:t>
            </w:r>
          </w:p>
        </w:tc>
        <w:tc>
          <w:tcPr>
            <w:tcW w:type="dxa" w:w="1676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1,244 usable</w:t>
            </w:r>
          </w:p>
        </w:tc>
        <w:tc>
          <w:tcPr>
            <w:tcW w:type="dxa" w:w="209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1,684,382</w:t>
            </w:r>
          </w:p>
        </w:tc>
        <w:tc>
          <w:tcPr>
            <w:tcW w:type="dxa" w:w="307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公共预训练候选，但当前收益不稳定</w:t>
            </w:r>
          </w:p>
        </w:tc>
      </w:tr>
      <w:tr>
        <w:tc>
          <w:tcPr>
            <w:tcW w:type="dxa" w:w="1676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Saliency4ASD</w:t>
            </w:r>
          </w:p>
        </w:tc>
        <w:tc>
          <w:tcPr>
            <w:tcW w:type="dxa" w:w="83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暂缓</w:t>
            </w:r>
          </w:p>
        </w:tc>
        <w:tc>
          <w:tcPr>
            <w:tcW w:type="dxa" w:w="1676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TBD</w:t>
            </w:r>
          </w:p>
        </w:tc>
        <w:tc>
          <w:tcPr>
            <w:tcW w:type="dxa" w:w="209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TBD</w:t>
            </w:r>
          </w:p>
        </w:tc>
        <w:tc>
          <w:tcPr>
            <w:tcW w:type="dxa" w:w="307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ASD 标签不能和 EMS SZ/HC 混合</w:t>
            </w:r>
          </w:p>
        </w:tc>
      </w:tr>
    </w:tbl>
    <w:p/>
    <w:p>
      <w:r>
        <w:t>关键约束：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EMS 是当前唯一主下游标签数据集。</w:t>
        <w:br/>
      </w:r>
      <w:r>
        <w:rPr>
          <w:rFonts w:ascii="Consolas" w:hAnsi="Consolas"/>
          <w:sz w:val="17"/>
        </w:rPr>
        <w:t>GazeBase / CRCNS / OneStop / HBN 只用于自监督预训练或辅助分析。</w:t>
        <w:br/>
      </w:r>
      <w:r>
        <w:rPr>
          <w:rFonts w:ascii="Consolas" w:hAnsi="Consolas"/>
          <w:sz w:val="17"/>
        </w:rPr>
        <w:t>不同疾病标签不能混成一个二分类标签。</w:t>
      </w:r>
    </w:p>
    <w:p>
      <w:pPr>
        <w:pStyle w:val="Heading2"/>
      </w:pPr>
      <w:r>
        <w:t>4. 当前主模型</w:t>
      </w:r>
    </w:p>
    <w:p>
      <w:r>
        <w:t>阶段一主模型是 BiGRU attention encoder：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input: [batch, sequence_length, 13]</w:t>
        <w:br/>
      </w:r>
      <w:r>
        <w:rPr>
          <w:rFonts w:ascii="Consolas" w:hAnsi="Consolas"/>
          <w:sz w:val="17"/>
        </w:rPr>
        <w:t>projection: Linear(13 -&gt; 64) + LayerNorm + ReLU + Dropout</w:t>
        <w:br/>
      </w:r>
      <w:r>
        <w:rPr>
          <w:rFonts w:ascii="Consolas" w:hAnsi="Consolas"/>
          <w:sz w:val="17"/>
        </w:rPr>
        <w:t>temporal encoder: 1-layer BiGRU, hidden_dim=64</w:t>
        <w:br/>
      </w:r>
      <w:r>
        <w:rPr>
          <w:rFonts w:ascii="Consolas" w:hAnsi="Consolas"/>
          <w:sz w:val="17"/>
        </w:rPr>
        <w:t>event embedding: 128</w:t>
        <w:br/>
      </w:r>
      <w:r>
        <w:rPr>
          <w:rFonts w:ascii="Consolas" w:hAnsi="Consolas"/>
          <w:sz w:val="17"/>
        </w:rPr>
        <w:t>pooling: masked attention pooling</w:t>
        <w:br/>
      </w:r>
      <w:r>
        <w:rPr>
          <w:rFonts w:ascii="Consolas" w:hAnsi="Consolas"/>
          <w:sz w:val="17"/>
        </w:rPr>
        <w:t>pretraining head: reconstruct masked 13-dim event features</w:t>
        <w:br/>
      </w:r>
      <w:r>
        <w:rPr>
          <w:rFonts w:ascii="Consolas" w:hAnsi="Consolas"/>
          <w:sz w:val="17"/>
        </w:rPr>
        <w:t>downstream head: EMS SZ/HC binary classifier</w:t>
      </w:r>
    </w:p>
    <w:p>
      <w:r>
        <w:t>当前训练设置：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optimizer: AdamW</w:t>
        <w:br/>
      </w:r>
      <w:r>
        <w:rPr>
          <w:rFonts w:ascii="Consolas" w:hAnsi="Consolas"/>
          <w:sz w:val="17"/>
        </w:rPr>
        <w:t>learning_rate: 1e-3</w:t>
        <w:br/>
      </w:r>
      <w:r>
        <w:rPr>
          <w:rFonts w:ascii="Consolas" w:hAnsi="Consolas"/>
          <w:sz w:val="17"/>
        </w:rPr>
        <w:t>weight_decay: 1e-4</w:t>
        <w:br/>
      </w:r>
      <w:r>
        <w:rPr>
          <w:rFonts w:ascii="Consolas" w:hAnsi="Consolas"/>
          <w:sz w:val="17"/>
        </w:rPr>
        <w:t>batch_size: 8</w:t>
        <w:br/>
      </w:r>
      <w:r>
        <w:rPr>
          <w:rFonts w:ascii="Consolas" w:hAnsi="Consolas"/>
          <w:sz w:val="17"/>
        </w:rPr>
        <w:t>max_seq_len: 1500</w:t>
        <w:br/>
      </w:r>
      <w:r>
        <w:rPr>
          <w:rFonts w:ascii="Consolas" w:hAnsi="Consolas"/>
          <w:sz w:val="17"/>
        </w:rPr>
        <w:t>mask_probability: 0.45</w:t>
        <w:br/>
      </w:r>
      <w:r>
        <w:rPr>
          <w:rFonts w:ascii="Consolas" w:hAnsi="Consolas"/>
          <w:sz w:val="17"/>
        </w:rPr>
        <w:t>mask_strategy: span</w:t>
        <w:br/>
      </w:r>
      <w:r>
        <w:rPr>
          <w:rFonts w:ascii="Consolas" w:hAnsi="Consolas"/>
          <w:sz w:val="17"/>
        </w:rPr>
        <w:t>span length: 2-8 events</w:t>
        <w:br/>
      </w:r>
      <w:r>
        <w:rPr>
          <w:rFonts w:ascii="Consolas" w:hAnsi="Consolas"/>
          <w:sz w:val="17"/>
        </w:rPr>
        <w:t>gradient_clip_norm: 5.0</w:t>
      </w:r>
    </w:p>
    <w:p>
      <w:pPr>
        <w:pStyle w:val="Heading2"/>
      </w:pPr>
      <w:r>
        <w:t>5. 实验协议收敛</w:t>
      </w:r>
    </w:p>
    <w:p>
      <w:r>
        <w:t>项目现在明确区分四类结果：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487"/>
        <w:gridCol w:w="4588"/>
        <w:gridCol w:w="1285"/>
      </w:tblGrid>
      <w:tr>
        <w:tc>
          <w:tcPr>
            <w:tcW w:type="dxa" w:w="34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类型</w:t>
            </w:r>
          </w:p>
        </w:tc>
        <w:tc>
          <w:tcPr>
            <w:tcW w:type="dxa" w:w="45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含义</w:t>
            </w:r>
          </w:p>
        </w:tc>
        <w:tc>
          <w:tcPr>
            <w:tcW w:type="dxa" w:w="12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是否进入主结论</w:t>
            </w:r>
          </w:p>
        </w:tc>
      </w:tr>
      <w:tr>
        <w:tc>
          <w:tcPr>
            <w:tcW w:type="dxa" w:w="348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smoke</w:t>
            </w:r>
          </w:p>
        </w:tc>
        <w:tc>
          <w:tcPr>
            <w:tcW w:type="dxa" w:w="458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工程跑通检查</w:t>
            </w:r>
          </w:p>
        </w:tc>
        <w:tc>
          <w:tcPr>
            <w:tcW w:type="dxa" w:w="128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否</w:t>
            </w:r>
          </w:p>
        </w:tc>
      </w:tr>
      <w:tr>
        <w:tc>
          <w:tcPr>
            <w:tcW w:type="dxa" w:w="348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single_split</w:t>
            </w:r>
          </w:p>
        </w:tc>
        <w:tc>
          <w:tcPr>
            <w:tcW w:type="dxa" w:w="458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单 split 快速筛选</w:t>
            </w:r>
          </w:p>
        </w:tc>
        <w:tc>
          <w:tcPr>
            <w:tcW w:type="dxa" w:w="128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否</w:t>
            </w:r>
          </w:p>
        </w:tc>
      </w:tr>
      <w:tr>
        <w:tc>
          <w:tcPr>
            <w:tcW w:type="dxa" w:w="348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exploratory</w:t>
            </w:r>
          </w:p>
        </w:tc>
        <w:tc>
          <w:tcPr>
            <w:tcW w:type="dxa" w:w="458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探索性实验，例如早期双流和 Transformer</w:t>
            </w:r>
          </w:p>
        </w:tc>
        <w:tc>
          <w:tcPr>
            <w:tcW w:type="dxa" w:w="128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否</w:t>
            </w:r>
          </w:p>
        </w:tc>
      </w:tr>
      <w:tr>
        <w:tc>
          <w:tcPr>
            <w:tcW w:type="dxa" w:w="34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final_aligned_5seed</w:t>
            </w:r>
          </w:p>
        </w:tc>
        <w:tc>
          <w:tcPr>
            <w:tcW w:type="dxa" w:w="458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严格 aligned 五 seed</w:t>
            </w:r>
          </w:p>
        </w:tc>
        <w:tc>
          <w:tcPr>
            <w:tcW w:type="dxa" w:w="128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</w:tr>
    </w:tbl>
    <w:p/>
    <w:p>
      <w:r>
        <w:t>阶段一主表只使用：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strict EMS-anchor aligned five-seed results</w:t>
        <w:br/>
      </w:r>
      <w:r>
        <w:rPr>
          <w:rFonts w:ascii="Consolas" w:hAnsi="Consolas"/>
          <w:sz w:val="17"/>
        </w:rPr>
        <w:t>seeds: 0,1,2,3,4</w:t>
        <w:br/>
      </w:r>
      <w:r>
        <w:rPr>
          <w:rFonts w:ascii="Consolas" w:hAnsi="Consolas"/>
          <w:sz w:val="17"/>
        </w:rPr>
        <w:t>threshold: validation-selected best balanced accuracy</w:t>
      </w:r>
    </w:p>
    <w:p>
      <w:pPr>
        <w:pStyle w:val="Heading2"/>
      </w:pPr>
      <w:r>
        <w:t>6. 泄漏审计</w:t>
      </w:r>
    </w:p>
    <w:p>
      <w:r>
        <w:t>为了避免 EMS test subject 在自监督预训练阶段被看到，我们做了 aligned split 审计。</w:t>
      </w:r>
    </w:p>
    <w:p>
      <w:r>
        <w:t>审计结果：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checked split rows: 35</w:t>
        <w:br/>
      </w:r>
      <w:r>
        <w:rPr>
          <w:rFonts w:ascii="Consolas" w:hAnsi="Consolas"/>
          <w:sz w:val="17"/>
        </w:rPr>
        <w:t>passed rows: 35</w:t>
        <w:br/>
      </w:r>
      <w:r>
        <w:rPr>
          <w:rFonts w:ascii="Consolas" w:hAnsi="Consolas"/>
          <w:sz w:val="17"/>
        </w:rPr>
        <w:t>max overlap between downstream test subjects and MEM train: 0</w:t>
        <w:br/>
      </w:r>
      <w:r>
        <w:rPr>
          <w:rFonts w:ascii="Consolas" w:hAnsi="Consolas"/>
          <w:sz w:val="17"/>
        </w:rPr>
        <w:t>max overlap between downstream test subjects and MEM valid: 0</w:t>
        <w:br/>
      </w:r>
      <w:r>
        <w:rPr>
          <w:rFonts w:ascii="Consolas" w:hAnsi="Consolas"/>
          <w:sz w:val="17"/>
        </w:rPr>
        <w:t>expected overlap with MEM test: 32 per seed</w:t>
      </w:r>
    </w:p>
    <w:p>
      <w:r>
        <w:t>结论：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阶段一 aligned encoder 结果没有发现 downstream test subject 泄漏进 MEM train/valid。</w:t>
      </w:r>
    </w:p>
    <w:p>
      <w:pPr>
        <w:pStyle w:val="Heading2"/>
      </w:pPr>
      <w:r>
        <w:t>7. 阶段一主结果</w:t>
      </w:r>
    </w:p>
    <w:p>
      <w:r>
        <w:t>主指标：test balanced accuracy mean across five seeds。</w:t>
      </w:r>
    </w:p>
    <w:p>
      <w:r>
        <w:t>阈值选择：validation-selected best balanced accuracy。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74"/>
        <w:gridCol w:w="874"/>
        <w:gridCol w:w="787"/>
        <w:gridCol w:w="700"/>
        <w:gridCol w:w="1487"/>
        <w:gridCol w:w="1399"/>
        <w:gridCol w:w="962"/>
        <w:gridCol w:w="877"/>
      </w:tblGrid>
      <w:tr>
        <w:tc>
          <w:tcPr>
            <w:tcW w:type="dxa" w:w="22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预训练数据</w:t>
            </w:r>
          </w:p>
        </w:tc>
        <w:tc>
          <w:tcPr>
            <w:tcW w:type="dxa" w:w="8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Mode</w:t>
            </w:r>
          </w:p>
        </w:tc>
        <w:tc>
          <w:tcPr>
            <w:tcW w:type="dxa" w:w="7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AUC Mean</w:t>
            </w:r>
          </w:p>
        </w:tc>
        <w:tc>
          <w:tcPr>
            <w:tcW w:type="dxa" w:w="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AUC Std</w:t>
            </w:r>
          </w:p>
        </w:tc>
        <w:tc>
          <w:tcPr>
            <w:tcW w:type="dxa" w:w="14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Balanced Acc Mean</w:t>
            </w:r>
          </w:p>
        </w:tc>
        <w:tc>
          <w:tcPr>
            <w:tcW w:type="dxa" w:w="139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Balanced Acc Std</w:t>
            </w:r>
          </w:p>
        </w:tc>
        <w:tc>
          <w:tcPr>
            <w:tcW w:type="dxa" w:w="9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Sensitivity</w:t>
            </w:r>
          </w:p>
        </w:tc>
        <w:tc>
          <w:tcPr>
            <w:tcW w:type="dxa" w:w="87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Specificity</w:t>
            </w:r>
          </w:p>
        </w:tc>
      </w:tr>
      <w:tr>
        <w:tc>
          <w:tcPr>
            <w:tcW w:type="dxa" w:w="227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EMS-only</w:t>
            </w:r>
          </w:p>
        </w:tc>
        <w:tc>
          <w:tcPr>
            <w:tcW w:type="dxa" w:w="87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fine-tune</w:t>
            </w:r>
          </w:p>
        </w:tc>
        <w:tc>
          <w:tcPr>
            <w:tcW w:type="dxa" w:w="78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0.798</w:t>
            </w:r>
          </w:p>
        </w:tc>
        <w:tc>
          <w:tcPr>
            <w:tcW w:type="dxa" w:w="7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0.064</w:t>
            </w:r>
          </w:p>
        </w:tc>
        <w:tc>
          <w:tcPr>
            <w:tcW w:type="dxa" w:w="148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0.750</w:t>
            </w:r>
          </w:p>
        </w:tc>
        <w:tc>
          <w:tcPr>
            <w:tcW w:type="dxa" w:w="139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0.058</w:t>
            </w:r>
          </w:p>
        </w:tc>
        <w:tc>
          <w:tcPr>
            <w:tcW w:type="dxa" w:w="962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0.713</w:t>
            </w:r>
          </w:p>
        </w:tc>
        <w:tc>
          <w:tcPr>
            <w:tcW w:type="dxa" w:w="87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0.788</w:t>
            </w:r>
          </w:p>
        </w:tc>
      </w:tr>
      <w:tr>
        <w:tc>
          <w:tcPr>
            <w:tcW w:type="dxa" w:w="227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EMS+GazeBase+CRCNS+OneStop</w:t>
            </w:r>
          </w:p>
        </w:tc>
        <w:tc>
          <w:tcPr>
            <w:tcW w:type="dxa" w:w="87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fine-tune</w:t>
            </w:r>
          </w:p>
        </w:tc>
        <w:tc>
          <w:tcPr>
            <w:tcW w:type="dxa" w:w="78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0.825</w:t>
            </w:r>
          </w:p>
        </w:tc>
        <w:tc>
          <w:tcPr>
            <w:tcW w:type="dxa" w:w="7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0.044</w:t>
            </w:r>
          </w:p>
        </w:tc>
        <w:tc>
          <w:tcPr>
            <w:tcW w:type="dxa" w:w="148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0.731</w:t>
            </w:r>
          </w:p>
        </w:tc>
        <w:tc>
          <w:tcPr>
            <w:tcW w:type="dxa" w:w="139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0.047</w:t>
            </w:r>
          </w:p>
        </w:tc>
        <w:tc>
          <w:tcPr>
            <w:tcW w:type="dxa" w:w="962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0.775</w:t>
            </w:r>
          </w:p>
        </w:tc>
        <w:tc>
          <w:tcPr>
            <w:tcW w:type="dxa" w:w="87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0.688</w:t>
            </w:r>
          </w:p>
        </w:tc>
      </w:tr>
      <w:tr>
        <w:tc>
          <w:tcPr>
            <w:tcW w:type="dxa" w:w="227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EMS+CRCNS</w:t>
            </w:r>
          </w:p>
        </w:tc>
        <w:tc>
          <w:tcPr>
            <w:tcW w:type="dxa" w:w="87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fine-tune</w:t>
            </w:r>
          </w:p>
        </w:tc>
        <w:tc>
          <w:tcPr>
            <w:tcW w:type="dxa" w:w="78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0.813</w:t>
            </w:r>
          </w:p>
        </w:tc>
        <w:tc>
          <w:tcPr>
            <w:tcW w:type="dxa" w:w="7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0.062</w:t>
            </w:r>
          </w:p>
        </w:tc>
        <w:tc>
          <w:tcPr>
            <w:tcW w:type="dxa" w:w="148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0.725</w:t>
            </w:r>
          </w:p>
        </w:tc>
        <w:tc>
          <w:tcPr>
            <w:tcW w:type="dxa" w:w="139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0.060</w:t>
            </w:r>
          </w:p>
        </w:tc>
        <w:tc>
          <w:tcPr>
            <w:tcW w:type="dxa" w:w="962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0.788</w:t>
            </w:r>
          </w:p>
        </w:tc>
        <w:tc>
          <w:tcPr>
            <w:tcW w:type="dxa" w:w="87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0.663</w:t>
            </w:r>
          </w:p>
        </w:tc>
      </w:tr>
      <w:tr>
        <w:tc>
          <w:tcPr>
            <w:tcW w:type="dxa" w:w="227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EMS+GazeBase+CRCNS</w:t>
            </w:r>
          </w:p>
        </w:tc>
        <w:tc>
          <w:tcPr>
            <w:tcW w:type="dxa" w:w="87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fine-tune</w:t>
            </w:r>
          </w:p>
        </w:tc>
        <w:tc>
          <w:tcPr>
            <w:tcW w:type="dxa" w:w="78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0.800</w:t>
            </w:r>
          </w:p>
        </w:tc>
        <w:tc>
          <w:tcPr>
            <w:tcW w:type="dxa" w:w="7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0.049</w:t>
            </w:r>
          </w:p>
        </w:tc>
        <w:tc>
          <w:tcPr>
            <w:tcW w:type="dxa" w:w="148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0.725</w:t>
            </w:r>
          </w:p>
        </w:tc>
        <w:tc>
          <w:tcPr>
            <w:tcW w:type="dxa" w:w="139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0.026</w:t>
            </w:r>
          </w:p>
        </w:tc>
        <w:tc>
          <w:tcPr>
            <w:tcW w:type="dxa" w:w="962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0.725</w:t>
            </w:r>
          </w:p>
        </w:tc>
        <w:tc>
          <w:tcPr>
            <w:tcW w:type="dxa" w:w="87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0.725</w:t>
            </w:r>
          </w:p>
        </w:tc>
      </w:tr>
      <w:tr>
        <w:tc>
          <w:tcPr>
            <w:tcW w:type="dxa" w:w="227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EMS+CRCNS seq3000</w:t>
            </w:r>
          </w:p>
        </w:tc>
        <w:tc>
          <w:tcPr>
            <w:tcW w:type="dxa" w:w="87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fine-tune</w:t>
            </w:r>
          </w:p>
        </w:tc>
        <w:tc>
          <w:tcPr>
            <w:tcW w:type="dxa" w:w="78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0.809</w:t>
            </w:r>
          </w:p>
        </w:tc>
        <w:tc>
          <w:tcPr>
            <w:tcW w:type="dxa" w:w="7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0.038</w:t>
            </w:r>
          </w:p>
        </w:tc>
        <w:tc>
          <w:tcPr>
            <w:tcW w:type="dxa" w:w="148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0.706</w:t>
            </w:r>
          </w:p>
        </w:tc>
        <w:tc>
          <w:tcPr>
            <w:tcW w:type="dxa" w:w="139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0.042</w:t>
            </w:r>
          </w:p>
        </w:tc>
        <w:tc>
          <w:tcPr>
            <w:tcW w:type="dxa" w:w="962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0.738</w:t>
            </w:r>
          </w:p>
        </w:tc>
        <w:tc>
          <w:tcPr>
            <w:tcW w:type="dxa" w:w="87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0.675</w:t>
            </w:r>
          </w:p>
        </w:tc>
      </w:tr>
      <w:tr>
        <w:tc>
          <w:tcPr>
            <w:tcW w:type="dxa" w:w="227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EMS+GazeBase+CRCNS+HBN</w:t>
            </w:r>
          </w:p>
        </w:tc>
        <w:tc>
          <w:tcPr>
            <w:tcW w:type="dxa" w:w="87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fine-tune</w:t>
            </w:r>
          </w:p>
        </w:tc>
        <w:tc>
          <w:tcPr>
            <w:tcW w:type="dxa" w:w="78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0.795</w:t>
            </w:r>
          </w:p>
        </w:tc>
        <w:tc>
          <w:tcPr>
            <w:tcW w:type="dxa" w:w="7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0.071</w:t>
            </w:r>
          </w:p>
        </w:tc>
        <w:tc>
          <w:tcPr>
            <w:tcW w:type="dxa" w:w="148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0.700</w:t>
            </w:r>
          </w:p>
        </w:tc>
        <w:tc>
          <w:tcPr>
            <w:tcW w:type="dxa" w:w="139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0.087</w:t>
            </w:r>
          </w:p>
        </w:tc>
        <w:tc>
          <w:tcPr>
            <w:tcW w:type="dxa" w:w="962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0.750</w:t>
            </w:r>
          </w:p>
        </w:tc>
        <w:tc>
          <w:tcPr>
            <w:tcW w:type="dxa" w:w="87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0.650</w:t>
            </w:r>
          </w:p>
        </w:tc>
      </w:tr>
      <w:tr>
        <w:tc>
          <w:tcPr>
            <w:tcW w:type="dxa" w:w="227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Supervised-only BiGRU</w:t>
            </w:r>
          </w:p>
        </w:tc>
        <w:tc>
          <w:tcPr>
            <w:tcW w:type="dxa" w:w="87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supervised</w:t>
            </w:r>
          </w:p>
        </w:tc>
        <w:tc>
          <w:tcPr>
            <w:tcW w:type="dxa" w:w="78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0.784</w:t>
            </w:r>
          </w:p>
        </w:tc>
        <w:tc>
          <w:tcPr>
            <w:tcW w:type="dxa" w:w="7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0.069</w:t>
            </w:r>
          </w:p>
        </w:tc>
        <w:tc>
          <w:tcPr>
            <w:tcW w:type="dxa" w:w="148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0.700</w:t>
            </w:r>
          </w:p>
        </w:tc>
        <w:tc>
          <w:tcPr>
            <w:tcW w:type="dxa" w:w="139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0.114</w:t>
            </w:r>
          </w:p>
        </w:tc>
        <w:tc>
          <w:tcPr>
            <w:tcW w:type="dxa" w:w="962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0.800</w:t>
            </w:r>
          </w:p>
        </w:tc>
        <w:tc>
          <w:tcPr>
            <w:tcW w:type="dxa" w:w="87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0.600</w:t>
            </w:r>
          </w:p>
        </w:tc>
      </w:tr>
      <w:tr>
        <w:tc>
          <w:tcPr>
            <w:tcW w:type="dxa" w:w="227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EMS+All-public</w:t>
            </w:r>
          </w:p>
        </w:tc>
        <w:tc>
          <w:tcPr>
            <w:tcW w:type="dxa" w:w="87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fine-tune</w:t>
            </w:r>
          </w:p>
        </w:tc>
        <w:tc>
          <w:tcPr>
            <w:tcW w:type="dxa" w:w="78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0.782</w:t>
            </w:r>
          </w:p>
        </w:tc>
        <w:tc>
          <w:tcPr>
            <w:tcW w:type="dxa" w:w="7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0.074</w:t>
            </w:r>
          </w:p>
        </w:tc>
        <w:tc>
          <w:tcPr>
            <w:tcW w:type="dxa" w:w="148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0.694</w:t>
            </w:r>
          </w:p>
        </w:tc>
        <w:tc>
          <w:tcPr>
            <w:tcW w:type="dxa" w:w="139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0.051</w:t>
            </w:r>
          </w:p>
        </w:tc>
        <w:tc>
          <w:tcPr>
            <w:tcW w:type="dxa" w:w="962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0.788</w:t>
            </w:r>
          </w:p>
        </w:tc>
        <w:tc>
          <w:tcPr>
            <w:tcW w:type="dxa" w:w="87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0.600</w:t>
            </w:r>
          </w:p>
        </w:tc>
      </w:tr>
    </w:tbl>
    <w:p/>
    <w:p>
      <w:pPr>
        <w:pStyle w:val="Heading2"/>
      </w:pPr>
      <w:r>
        <w:t>8. 结果解释</w:t>
      </w:r>
    </w:p>
    <w:p>
      <w:r>
        <w:t>第一，MEM 预训练有价值，但主要体现在 fine-tuning 初始化上。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Supervised-only balanced acc: 0.700</w:t>
        <w:br/>
      </w:r>
      <w:r>
        <w:rPr>
          <w:rFonts w:ascii="Consolas" w:hAnsi="Consolas"/>
          <w:sz w:val="17"/>
        </w:rPr>
        <w:t>EMS-only MEM fine-tune balanced acc: 0.750</w:t>
      </w:r>
    </w:p>
    <w:p>
      <w:r>
        <w:t>第二，frozen probing 不适合做主下游策略。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多数 frozen balanced acc 在 0.61-0.64 左右，明显弱于 fine-tune。</w:t>
      </w:r>
    </w:p>
    <w:p>
      <w:r>
        <w:t>第三，公共数据不是越多越好。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EMS+GazeBase+CRCNS+OneStop AUC 最高：0.825</w:t>
        <w:br/>
      </w:r>
      <w:r>
        <w:rPr>
          <w:rFonts w:ascii="Consolas" w:hAnsi="Consolas"/>
          <w:sz w:val="17"/>
        </w:rPr>
        <w:t>EMS+All-public balanced acc 下降到：0.694</w:t>
        <w:br/>
      </w:r>
      <w:r>
        <w:rPr>
          <w:rFonts w:ascii="Consolas" w:hAnsi="Consolas"/>
          <w:sz w:val="17"/>
        </w:rPr>
        <w:t>HBN 融合没有带来稳定收益</w:t>
      </w:r>
    </w:p>
    <w:p>
      <w:r>
        <w:t>第四，当前模型选择要按指标区分。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如果主指标是 balanced accuracy：EMS-only MEM 最好。</w:t>
        <w:br/>
      </w:r>
      <w:r>
        <w:rPr>
          <w:rFonts w:ascii="Consolas" w:hAnsi="Consolas"/>
          <w:sz w:val="17"/>
        </w:rPr>
        <w:t>如果强调公共数据迁移和 AUC：EMS+GazeBase+CRCNS+OneStop 最好。</w:t>
      </w:r>
    </w:p>
    <w:p>
      <w:pPr>
        <w:pStyle w:val="Heading2"/>
      </w:pPr>
      <w:r>
        <w:t>9. 双流模型收尾</w:t>
      </w:r>
    </w:p>
    <w:p>
      <w:r>
        <w:t>旧双流结构：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pretrained encoder stream + segment-GRU macro stream + gated/concat fusion</w:t>
      </w:r>
    </w:p>
    <w:p>
      <w:r>
        <w:t>新双流结构：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pretrained encoder stream + strict subject-summary stream</w:t>
        <w:br/>
      </w:r>
      <w:r>
        <w:rPr>
          <w:rFonts w:ascii="Consolas" w:hAnsi="Consolas"/>
          <w:sz w:val="17"/>
        </w:rPr>
        <w:t>fusion: concat / gated / residual-logit</w:t>
      </w:r>
    </w:p>
    <w:p>
      <w:r>
        <w:t>五 seed 结果：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544"/>
        <w:gridCol w:w="817"/>
        <w:gridCol w:w="1544"/>
        <w:gridCol w:w="1453"/>
        <w:gridCol w:w="999"/>
        <w:gridCol w:w="1003"/>
      </w:tblGrid>
      <w:tr>
        <w:tc>
          <w:tcPr>
            <w:tcW w:type="dxa" w:w="35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模型</w:t>
            </w:r>
          </w:p>
        </w:tc>
        <w:tc>
          <w:tcPr>
            <w:tcW w:type="dxa" w:w="8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AUC Mean</w:t>
            </w:r>
          </w:p>
        </w:tc>
        <w:tc>
          <w:tcPr>
            <w:tcW w:type="dxa" w:w="15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Balanced Acc Mean</w:t>
            </w:r>
          </w:p>
        </w:tc>
        <w:tc>
          <w:tcPr>
            <w:tcW w:type="dxa" w:w="14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Balanced Acc Std</w:t>
            </w:r>
          </w:p>
        </w:tc>
        <w:tc>
          <w:tcPr>
            <w:tcW w:type="dxa" w:w="99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Sensitivity</w:t>
            </w:r>
          </w:p>
        </w:tc>
        <w:tc>
          <w:tcPr>
            <w:tcW w:type="dxa" w:w="10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Specificity</w:t>
            </w:r>
          </w:p>
        </w:tc>
      </w:tr>
      <w:tr>
        <w:tc>
          <w:tcPr>
            <w:tcW w:type="dxa" w:w="354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EMS-only MEM BiGRU fine-tune</w:t>
            </w:r>
          </w:p>
        </w:tc>
        <w:tc>
          <w:tcPr>
            <w:tcW w:type="dxa" w:w="81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0.798</w:t>
            </w:r>
          </w:p>
        </w:tc>
        <w:tc>
          <w:tcPr>
            <w:tcW w:type="dxa" w:w="154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0.750</w:t>
            </w:r>
          </w:p>
        </w:tc>
        <w:tc>
          <w:tcPr>
            <w:tcW w:type="dxa" w:w="1453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0.058</w:t>
            </w:r>
          </w:p>
        </w:tc>
        <w:tc>
          <w:tcPr>
            <w:tcW w:type="dxa" w:w="99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0.713</w:t>
            </w:r>
          </w:p>
        </w:tc>
        <w:tc>
          <w:tcPr>
            <w:tcW w:type="dxa" w:w="1003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0.788</w:t>
            </w:r>
          </w:p>
        </w:tc>
      </w:tr>
      <w:tr>
        <w:tc>
          <w:tcPr>
            <w:tcW w:type="dxa" w:w="354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EMS+GazeBase+CRCNS+OneStop BiGRU</w:t>
            </w:r>
          </w:p>
        </w:tc>
        <w:tc>
          <w:tcPr>
            <w:tcW w:type="dxa" w:w="81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0.825</w:t>
            </w:r>
          </w:p>
        </w:tc>
        <w:tc>
          <w:tcPr>
            <w:tcW w:type="dxa" w:w="154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0.731</w:t>
            </w:r>
          </w:p>
        </w:tc>
        <w:tc>
          <w:tcPr>
            <w:tcW w:type="dxa" w:w="1453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0.047</w:t>
            </w:r>
          </w:p>
        </w:tc>
        <w:tc>
          <w:tcPr>
            <w:tcW w:type="dxa" w:w="99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0.775</w:t>
            </w:r>
          </w:p>
        </w:tc>
        <w:tc>
          <w:tcPr>
            <w:tcW w:type="dxa" w:w="1003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0.688</w:t>
            </w:r>
          </w:p>
        </w:tc>
      </w:tr>
      <w:tr>
        <w:tc>
          <w:tcPr>
            <w:tcW w:type="dxa" w:w="354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Strict summary-only logistic regression</w:t>
            </w:r>
          </w:p>
        </w:tc>
        <w:tc>
          <w:tcPr>
            <w:tcW w:type="dxa" w:w="81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0.805</w:t>
            </w:r>
          </w:p>
        </w:tc>
        <w:tc>
          <w:tcPr>
            <w:tcW w:type="dxa" w:w="154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0.731</w:t>
            </w:r>
          </w:p>
        </w:tc>
        <w:tc>
          <w:tcPr>
            <w:tcW w:type="dxa" w:w="1453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0.084</w:t>
            </w:r>
          </w:p>
        </w:tc>
        <w:tc>
          <w:tcPr>
            <w:tcW w:type="dxa" w:w="99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0.763</w:t>
            </w:r>
          </w:p>
        </w:tc>
        <w:tc>
          <w:tcPr>
            <w:tcW w:type="dxa" w:w="1003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0.700</w:t>
            </w:r>
          </w:p>
        </w:tc>
      </w:tr>
      <w:tr>
        <w:tc>
          <w:tcPr>
            <w:tcW w:type="dxa" w:w="354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New summary+encoder gated</w:t>
            </w:r>
          </w:p>
        </w:tc>
        <w:tc>
          <w:tcPr>
            <w:tcW w:type="dxa" w:w="81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0.806</w:t>
            </w:r>
          </w:p>
        </w:tc>
        <w:tc>
          <w:tcPr>
            <w:tcW w:type="dxa" w:w="154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0.725</w:t>
            </w:r>
          </w:p>
        </w:tc>
        <w:tc>
          <w:tcPr>
            <w:tcW w:type="dxa" w:w="1453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0.046</w:t>
            </w:r>
          </w:p>
        </w:tc>
        <w:tc>
          <w:tcPr>
            <w:tcW w:type="dxa" w:w="99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0.675</w:t>
            </w:r>
          </w:p>
        </w:tc>
        <w:tc>
          <w:tcPr>
            <w:tcW w:type="dxa" w:w="1003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0.775</w:t>
            </w:r>
          </w:p>
        </w:tc>
      </w:tr>
      <w:tr>
        <w:tc>
          <w:tcPr>
            <w:tcW w:type="dxa" w:w="354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New summary+encoder residual-logit</w:t>
            </w:r>
          </w:p>
        </w:tc>
        <w:tc>
          <w:tcPr>
            <w:tcW w:type="dxa" w:w="81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0.795</w:t>
            </w:r>
          </w:p>
        </w:tc>
        <w:tc>
          <w:tcPr>
            <w:tcW w:type="dxa" w:w="154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0.713</w:t>
            </w:r>
          </w:p>
        </w:tc>
        <w:tc>
          <w:tcPr>
            <w:tcW w:type="dxa" w:w="1453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0.041</w:t>
            </w:r>
          </w:p>
        </w:tc>
        <w:tc>
          <w:tcPr>
            <w:tcW w:type="dxa" w:w="99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0.775</w:t>
            </w:r>
          </w:p>
        </w:tc>
        <w:tc>
          <w:tcPr>
            <w:tcW w:type="dxa" w:w="1003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0.650</w:t>
            </w:r>
          </w:p>
        </w:tc>
      </w:tr>
      <w:tr>
        <w:tc>
          <w:tcPr>
            <w:tcW w:type="dxa" w:w="354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New summary+encoder concat</w:t>
            </w:r>
          </w:p>
        </w:tc>
        <w:tc>
          <w:tcPr>
            <w:tcW w:type="dxa" w:w="81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0.809</w:t>
            </w:r>
          </w:p>
        </w:tc>
        <w:tc>
          <w:tcPr>
            <w:tcW w:type="dxa" w:w="154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0.706</w:t>
            </w:r>
          </w:p>
        </w:tc>
        <w:tc>
          <w:tcPr>
            <w:tcW w:type="dxa" w:w="1453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0.065</w:t>
            </w:r>
          </w:p>
        </w:tc>
        <w:tc>
          <w:tcPr>
            <w:tcW w:type="dxa" w:w="99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0.738</w:t>
            </w:r>
          </w:p>
        </w:tc>
        <w:tc>
          <w:tcPr>
            <w:tcW w:type="dxa" w:w="1003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0.675</w:t>
            </w:r>
          </w:p>
        </w:tc>
      </w:tr>
      <w:tr>
        <w:tc>
          <w:tcPr>
            <w:tcW w:type="dxa" w:w="354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Old dual gated</w:t>
            </w:r>
          </w:p>
        </w:tc>
        <w:tc>
          <w:tcPr>
            <w:tcW w:type="dxa" w:w="81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0.811</w:t>
            </w:r>
          </w:p>
        </w:tc>
        <w:tc>
          <w:tcPr>
            <w:tcW w:type="dxa" w:w="154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0.725</w:t>
            </w:r>
          </w:p>
        </w:tc>
        <w:tc>
          <w:tcPr>
            <w:tcW w:type="dxa" w:w="1453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0.105</w:t>
            </w:r>
          </w:p>
        </w:tc>
        <w:tc>
          <w:tcPr>
            <w:tcW w:type="dxa" w:w="99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0.838</w:t>
            </w:r>
          </w:p>
        </w:tc>
        <w:tc>
          <w:tcPr>
            <w:tcW w:type="dxa" w:w="1003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0.613</w:t>
            </w:r>
          </w:p>
        </w:tc>
      </w:tr>
      <w:tr>
        <w:tc>
          <w:tcPr>
            <w:tcW w:type="dxa" w:w="354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Old dual concat</w:t>
            </w:r>
          </w:p>
        </w:tc>
        <w:tc>
          <w:tcPr>
            <w:tcW w:type="dxa" w:w="81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0.799</w:t>
            </w:r>
          </w:p>
        </w:tc>
        <w:tc>
          <w:tcPr>
            <w:tcW w:type="dxa" w:w="154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0.694</w:t>
            </w:r>
          </w:p>
        </w:tc>
        <w:tc>
          <w:tcPr>
            <w:tcW w:type="dxa" w:w="1453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0.078</w:t>
            </w:r>
          </w:p>
        </w:tc>
        <w:tc>
          <w:tcPr>
            <w:tcW w:type="dxa" w:w="99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0.675</w:t>
            </w:r>
          </w:p>
        </w:tc>
        <w:tc>
          <w:tcPr>
            <w:tcW w:type="dxa" w:w="1003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0.713</w:t>
            </w:r>
          </w:p>
        </w:tc>
      </w:tr>
    </w:tbl>
    <w:p/>
    <w:p>
      <w:r>
        <w:t>结论：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summary-only 有独立信号，但当前融合方式没有稳定超过 encoder-only。</w:t>
        <w:br/>
      </w:r>
      <w:r>
        <w:rPr>
          <w:rFonts w:ascii="Consolas" w:hAnsi="Consolas"/>
          <w:sz w:val="17"/>
        </w:rPr>
        <w:t>旧双流和新双流都应作为 exploratory negative evidence 收尾。</w:t>
        <w:br/>
      </w:r>
      <w:r>
        <w:rPr>
          <w:rFonts w:ascii="Consolas" w:hAnsi="Consolas"/>
          <w:sz w:val="17"/>
        </w:rPr>
        <w:t>当前主模型仍然是 encoder-only MEM BiGRU fine-tuning。</w:t>
      </w:r>
    </w:p>
    <w:p>
      <w:pPr>
        <w:pStyle w:val="Heading2"/>
      </w:pPr>
      <w:r>
        <w:t>10. 当前项目状态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阶段一 encoder：已收尾，可用于组会和论文初稿</w:t>
        <w:br/>
      </w:r>
      <w:r>
        <w:rPr>
          <w:rFonts w:ascii="Consolas" w:hAnsi="Consolas"/>
          <w:sz w:val="17"/>
        </w:rPr>
        <w:t>泄漏审计：通过</w:t>
        <w:br/>
      </w:r>
      <w:r>
        <w:rPr>
          <w:rFonts w:ascii="Consolas" w:hAnsi="Consolas"/>
          <w:sz w:val="17"/>
        </w:rPr>
        <w:t>旧双流：探索性收尾</w:t>
        <w:br/>
      </w:r>
      <w:r>
        <w:rPr>
          <w:rFonts w:ascii="Consolas" w:hAnsi="Consolas"/>
          <w:sz w:val="17"/>
        </w:rPr>
        <w:t>新 summary 双流：探索性收尾</w:t>
        <w:br/>
      </w:r>
      <w:r>
        <w:rPr>
          <w:rFonts w:ascii="Consolas" w:hAnsi="Consolas"/>
          <w:sz w:val="17"/>
        </w:rPr>
        <w:t>Transformer：暂不继续打开主线</w:t>
        <w:br/>
      </w:r>
      <w:r>
        <w:rPr>
          <w:rFonts w:ascii="Consolas" w:hAnsi="Consolas"/>
          <w:sz w:val="17"/>
        </w:rPr>
        <w:t>下一步：整理报告、论文初稿、工程规范和可复现入口</w:t>
      </w:r>
    </w:p>
    <w:p>
      <w:pPr>
        <w:pStyle w:val="Heading2"/>
      </w:pPr>
      <w:r>
        <w:t>11. 汇报时建议强调的三句话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第一，我们已经把项目从模型搜索收敛成严格 aligned five-seed encoder 评估。</w:t>
        <w:br/>
      </w:r>
      <w:r>
        <w:rPr>
          <w:rFonts w:ascii="Consolas" w:hAnsi="Consolas"/>
          <w:sz w:val="17"/>
        </w:rPr>
        <w:t>第二，MEM 预训练有价值，但公共数据融合不是越多越好。</w:t>
        <w:br/>
      </w:r>
      <w:r>
        <w:rPr>
          <w:rFonts w:ascii="Consolas" w:hAnsi="Consolas"/>
          <w:sz w:val="17"/>
        </w:rPr>
        <w:t>第三，双流没有超过 encoder-only，因此当前论文主线应该聚焦内容无关 event encoder。</w:t>
      </w:r>
    </w:p>
    <w:sectPr w:rsidR="00FC693F" w:rsidRPr="0006063C" w:rsidSect="00034616">
      <w:footerReference w:type="default" r:id="rId9"/>
      <w:pgSz w:w="12240" w:h="15840"/>
      <w:pgMar w:top="1296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EyeNet phase-1 group meeting report | 2026-05-27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