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Content-Agnostic Eye-Movement Event Representation Learning for Psychiatric Screening</w:t>
      </w:r>
    </w:p>
    <w:p>
      <w:r>
        <w:t>阶段一论文初稿，导师讨论版</w:t>
      </w:r>
    </w:p>
    <w:p>
      <w:r>
        <w:t>Last updated: 2026-05-27</w:t>
      </w:r>
    </w:p>
    <w:p>
      <w:pPr>
        <w:pStyle w:val="Heading2"/>
      </w:pPr>
      <w:r>
        <w:t>摘要</w:t>
      </w:r>
    </w:p>
    <w:p>
      <w:r>
        <w:t>眼动行为为精神疾病风险筛查提供了一种低负担、非侵入式的行为表征来源。然而，现有眼动建模方法常依赖特定刺激内容、实验范式、AOI 定义或设备采样条件，限制了跨任务和跨数据集迁移。本研究提出一种内容无关的 fixation/event 级眼动表征学习框架 EyeNet。该框架将不同来源的眼动数据统一转换为 fixation-event 序列，并使用 masked event modeling (MEM) 进行自监督预训练，再在 EMS 精神分裂症与健康对照二分类任务上进行下游微调验证。</w:t>
      </w:r>
    </w:p>
    <w:p>
      <w:r>
        <w:t>我们整合了 EMS、GazeBase、CRCNS eye-1、OneStop 和 HBN 等数据源，并建立严格的 EMS-anchor aligned split 协议，保证 EMS downstream test subjects 不进入自监督预训练的 train/validation split。基于五个 EMS subject-level split 的评估显示，BiGRU attention encoder 的 MEM 预训练主要通过 fine-tuning 初始化带来收益。EMS-only MEM fine-tune 在 balanced accuracy 上表现最好，达到 0.750 +/- 0.058；EMS+GazeBase+CRCNS+OneStop 在 AUC 上表现最好，达到 0.825 +/- 0.044，但 balanced accuracy 为 0.731 +/- 0.047。</w:t>
      </w:r>
    </w:p>
    <w:p>
      <w:r>
        <w:t>结果表明，公共眼动数据对表征学习具有迁移价值，但并非简单地“数据越多越好”。Frozen probing 明显弱于 fine-tuning，提示当前预训练表征仍需要任务适配。旧双流和新 subject-summary 双流均未超过 encoder-only 主线，因此阶段一论文主线应聚焦内容无关 fixation/event encoder。</w:t>
      </w:r>
    </w:p>
    <w:p>
      <w:r>
        <w:t>关键词：眼动；自监督学习；masked event modeling；精神分裂症筛查；内容无关表征；BiGRU</w:t>
      </w:r>
    </w:p>
    <w:p>
      <w:pPr>
        <w:pStyle w:val="Heading2"/>
      </w:pPr>
      <w:r>
        <w:t>1. 引言</w:t>
      </w:r>
    </w:p>
    <w:p>
      <w:r>
        <w:t>眼动数据能够反映个体的注意分配、视觉搜索、凝视稳定性和扫视动态等行为特征，因此长期被用于认知状态、神经发育障碍和精神疾病相关研究。对于精神分裂症等疾病，眼动异常可能表现为 fixation duration、saccade amplitude、scanpath organization 和视觉探索策略的改变。相比问卷或访谈，眼动采集具有非侵入、低负担和客观量化的潜力。</w:t>
      </w:r>
    </w:p>
    <w:p>
      <w:r>
        <w:t>但眼动建模面临一个核心问题：许多方法依赖具体观看内容或实验范式。例如，基于 AOI、文字区域、图像语义或任务阶段的特征可以在单一实验中有效，但难以跨数据集复用。不同数据集之间还存在设备采样率、屏幕尺寸、实验任务和数据清洗流程差异。如果模型直接依赖这些因素，最终得到的可能是任务分类器或数据集分类器，而不是可迁移的眼动行为表征。</w:t>
      </w:r>
    </w:p>
    <w:p>
      <w:r>
        <w:t>本项目的目标是构建一种尽量内容无关、范式弱相关、设备采样率弱相关的眼动事件表征模型。我们不使用图像 ID、视频语义、阅读文本、AOI 或设备型号作为模型输入，而是将所有数据源统一到 fixation/event 级序列，再通过自监督 masked event modeling 学习通用眼动动态模式。</w:t>
      </w:r>
    </w:p>
    <w:p>
      <w:r>
        <w:t>本阶段研究问题包括：</w:t>
      </w:r>
    </w:p>
    <w:p>
      <w:pPr>
        <w:pStyle w:val="ListNumber"/>
        <w:spacing w:after="60"/>
      </w:pPr>
      <w:r>
        <w:t>fixation/event 级 MEM 预训练是否能提升 EMS SZ/HC 下游分类？</w:t>
      </w:r>
    </w:p>
    <w:p>
      <w:pPr>
        <w:pStyle w:val="ListNumber"/>
        <w:spacing w:after="60"/>
      </w:pPr>
      <w:r>
        <w:t>公共眼动数据是否能作为额外自监督预训练来源提升迁移表现？</w:t>
      </w:r>
    </w:p>
    <w:p>
      <w:pPr>
        <w:pStyle w:val="ListNumber"/>
        <w:spacing w:after="60"/>
      </w:pPr>
      <w:r>
        <w:t>不同公共数据组合是否存在稳定收益，还是存在负迁移？</w:t>
      </w:r>
    </w:p>
    <w:p>
      <w:pPr>
        <w:pStyle w:val="ListNumber"/>
        <w:spacing w:after="60"/>
      </w:pPr>
      <w:r>
        <w:t>frozen encoder probing 和 supervised fine-tuning 哪一种更适合作为下游策略？</w:t>
      </w:r>
    </w:p>
    <w:p>
      <w:pPr>
        <w:pStyle w:val="ListNumber"/>
        <w:spacing w:after="60"/>
      </w:pPr>
      <w:r>
        <w:t>双流融合是否能稳定超过 encoder-only 主线？</w:t>
      </w:r>
    </w:p>
    <w:p>
      <w:pPr>
        <w:pStyle w:val="Heading2"/>
      </w:pPr>
      <w:r>
        <w:t>2. 数据集</w:t>
      </w:r>
    </w:p>
    <w:p>
      <w:pPr>
        <w:pStyle w:val="Heading3"/>
      </w:pPr>
      <w:r>
        <w:t>2.1 EMS</w:t>
      </w:r>
    </w:p>
    <w:p>
      <w:r>
        <w:t>EMS 是当前主下游数据集，用于精神分裂症与健康对照二分类。当前进入 encoder-ready 表的数据包含 160 名有标签受试者和 225,159 个 fixation events。EMS 既可用于自监督 MEM 预训练，也用于 downstream supervised fine-tuning，但模型选择阶段必须保证 downstream test subjects 不进入 MEM train/validation。</w:t>
      </w:r>
    </w:p>
    <w:p>
      <w:pPr>
        <w:pStyle w:val="Heading3"/>
      </w:pPr>
      <w:r>
        <w:t>2.2 GazeBase</w:t>
      </w:r>
    </w:p>
    <w:p>
      <w:r>
        <w:t>GazeBase 是公共眼动数据集，当前使用视频任务 `VD1/VD2` 转换后的 fixation events，共 322 名受试者和 843,517 个 events。GazeBase 不提供目标精神疾病标签，因此仅作为自监督预训练来源。</w:t>
      </w:r>
    </w:p>
    <w:p>
      <w:pPr>
        <w:pStyle w:val="Heading3"/>
      </w:pPr>
      <w:r>
        <w:t>2.3 CRCNS eye-1</w:t>
      </w:r>
    </w:p>
    <w:p>
      <w:r>
        <w:t>CRCNS eye-1 是自然电影观看眼动数据，当前包含 16 名受试者和 67,172 个 fixation events。由于其自然观看范式与视频类范式更接近，它是当前重要的公共迁移候选之一。</w:t>
      </w:r>
    </w:p>
    <w:p>
      <w:pPr>
        <w:pStyle w:val="Heading3"/>
      </w:pPr>
      <w:r>
        <w:t>2.4 OneStop</w:t>
      </w:r>
    </w:p>
    <w:p>
      <w:r>
        <w:t>OneStop 是阅读场景眼动数据，当前包含 360 名受试者和 2,042,834 个 fixation events。它提供大量序列数据，但阅读范式与 EMS 任务可能存在差异，因此其收益需要通过实验验证。</w:t>
      </w:r>
    </w:p>
    <w:p>
      <w:pPr>
        <w:pStyle w:val="Heading3"/>
      </w:pPr>
      <w:r>
        <w:t>2.5 HBN</w:t>
      </w:r>
    </w:p>
    <w:p>
      <w:r>
        <w:t>HBN 当前有 1,244 名 usable subjects 和 1,684,382 个 events。HBN 具有丰富临床和行为标签，但标签体系复杂，本阶段不将其标签并入 EMS SZ/HC 二分类，只作为自监督预训练候选。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内容无关事件表征</w:t>
      </w:r>
    </w:p>
    <w:p>
      <w:r>
        <w:t>所有数据集首先被转换到共享 fixation/event schema。当前 encoder 使用 `encoder_no_position_core`，共 13 个特征：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x_norm</w:t>
        <w:br/>
      </w:r>
      <w:r>
        <w:rPr>
          <w:rFonts w:ascii="Consolas" w:hAnsi="Consolas"/>
          <w:sz w:val="17"/>
        </w:rPr>
        <w:t>y_norm</w:t>
        <w:br/>
      </w:r>
      <w:r>
        <w:rPr>
          <w:rFonts w:ascii="Consolas" w:hAnsi="Consolas"/>
          <w:sz w:val="17"/>
        </w:rPr>
        <w:t>duration_ms</w:t>
        <w:br/>
      </w:r>
      <w:r>
        <w:rPr>
          <w:rFonts w:ascii="Consolas" w:hAnsi="Consolas"/>
          <w:sz w:val="17"/>
        </w:rPr>
        <w:t>log_duration_ms</w:t>
        <w:br/>
      </w:r>
      <w:r>
        <w:rPr>
          <w:rFonts w:ascii="Consolas" w:hAnsi="Consolas"/>
          <w:sz w:val="17"/>
        </w:rPr>
        <w:t>saccade_dx_norm</w:t>
        <w:br/>
      </w:r>
      <w:r>
        <w:rPr>
          <w:rFonts w:ascii="Consolas" w:hAnsi="Consolas"/>
          <w:sz w:val="17"/>
        </w:rPr>
        <w:t>saccade_dy_norm</w:t>
        <w:br/>
      </w:r>
      <w:r>
        <w:rPr>
          <w:rFonts w:ascii="Consolas" w:hAnsi="Consolas"/>
          <w:sz w:val="17"/>
        </w:rPr>
        <w:t>saccade_amplitude_norm</w:t>
        <w:br/>
      </w:r>
      <w:r>
        <w:rPr>
          <w:rFonts w:ascii="Consolas" w:hAnsi="Consolas"/>
          <w:sz w:val="17"/>
        </w:rPr>
        <w:t>saccade_angle_sin</w:t>
        <w:br/>
      </w:r>
      <w:r>
        <w:rPr>
          <w:rFonts w:ascii="Consolas" w:hAnsi="Consolas"/>
          <w:sz w:val="17"/>
        </w:rPr>
        <w:t>saccade_angle_cos</w:t>
        <w:br/>
      </w:r>
      <w:r>
        <w:rPr>
          <w:rFonts w:ascii="Consolas" w:hAnsi="Consolas"/>
          <w:sz w:val="17"/>
        </w:rPr>
        <w:t>transition_missing</w:t>
        <w:br/>
      </w:r>
      <w:r>
        <w:rPr>
          <w:rFonts w:ascii="Consolas" w:hAnsi="Consolas"/>
          <w:sz w:val="17"/>
        </w:rPr>
        <w:t>is_first_event_in_segment</w:t>
        <w:br/>
      </w:r>
      <w:r>
        <w:rPr>
          <w:rFonts w:ascii="Consolas" w:hAnsi="Consolas"/>
          <w:sz w:val="17"/>
        </w:rPr>
        <w:t>is_last_event_in_segment</w:t>
        <w:br/>
      </w:r>
      <w:r>
        <w:rPr>
          <w:rFonts w:ascii="Consolas" w:hAnsi="Consolas"/>
          <w:sz w:val="17"/>
        </w:rPr>
        <w:t>event_index_in_segment_norm</w:t>
      </w:r>
    </w:p>
    <w:p>
      <w:r>
        <w:t>该 schema 不包含刺激物 ID、图像内容、视频语义、AOI、文字位置、任务名称、设备型号或采样率 one-hot。所有连续特征只在训练 split 上拟合标准化器，避免 test 信息泄漏。</w:t>
      </w:r>
    </w:p>
    <w:p>
      <w:pPr>
        <w:pStyle w:val="Heading3"/>
      </w:pPr>
      <w:r>
        <w:t>3.2 Encoder 架构</w:t>
      </w:r>
    </w:p>
    <w:p>
      <w:r>
        <w:t>阶段一主模型为轻量 BiGRU attention encoder：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input: [batch, sequence_length, 13]</w:t>
        <w:br/>
      </w:r>
      <w:r>
        <w:rPr>
          <w:rFonts w:ascii="Consolas" w:hAnsi="Consolas"/>
          <w:sz w:val="17"/>
        </w:rPr>
        <w:t>projection: Linear(13 -&gt; 64) + LayerNorm + ReLU + Dropout</w:t>
        <w:br/>
      </w:r>
      <w:r>
        <w:rPr>
          <w:rFonts w:ascii="Consolas" w:hAnsi="Consolas"/>
          <w:sz w:val="17"/>
        </w:rPr>
        <w:t>temporal encoder: 1-layer bidirectional GRU, hidden_dim=64</w:t>
        <w:br/>
      </w:r>
      <w:r>
        <w:rPr>
          <w:rFonts w:ascii="Consolas" w:hAnsi="Consolas"/>
          <w:sz w:val="17"/>
        </w:rPr>
        <w:t>event embedding: 128</w:t>
        <w:br/>
      </w:r>
      <w:r>
        <w:rPr>
          <w:rFonts w:ascii="Consolas" w:hAnsi="Consolas"/>
          <w:sz w:val="17"/>
        </w:rPr>
        <w:t>pooling: masked attention pooling</w:t>
      </w:r>
    </w:p>
    <w:p>
      <w:r>
        <w:t>自监督预训练使用 MEM head 重建被遮盖的事件特征；下游任务使用 supervised binary head 输出 EMS SZ/HC 概率。</w:t>
      </w:r>
    </w:p>
    <w:p>
      <w:pPr>
        <w:pStyle w:val="Heading3"/>
      </w:pPr>
      <w:r>
        <w:t>3.3 Masked Event Modeling</w:t>
      </w:r>
    </w:p>
    <w:p>
      <w:r>
        <w:t>MEM 采用 span masking，而不是随机独立遮盖单点事件。当前主设置为：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mask_probability: 0.45</w:t>
        <w:br/>
      </w:r>
      <w:r>
        <w:rPr>
          <w:rFonts w:ascii="Consolas" w:hAnsi="Consolas"/>
          <w:sz w:val="17"/>
        </w:rPr>
        <w:t>mask_span_events: 2-8</w:t>
        <w:br/>
      </w:r>
      <w:r>
        <w:rPr>
          <w:rFonts w:ascii="Consolas" w:hAnsi="Consolas"/>
          <w:sz w:val="17"/>
        </w:rPr>
        <w:t>batch_size: 8</w:t>
        <w:br/>
      </w:r>
      <w:r>
        <w:rPr>
          <w:rFonts w:ascii="Consolas" w:hAnsi="Consolas"/>
          <w:sz w:val="17"/>
        </w:rPr>
        <w:t>max_seq_len: 1500</w:t>
        <w:br/>
      </w:r>
      <w:r>
        <w:rPr>
          <w:rFonts w:ascii="Consolas" w:hAnsi="Consolas"/>
          <w:sz w:val="17"/>
        </w:rPr>
        <w:t>optimizer: AdamW</w:t>
        <w:br/>
      </w:r>
      <w:r>
        <w:rPr>
          <w:rFonts w:ascii="Consolas" w:hAnsi="Consolas"/>
          <w:sz w:val="17"/>
        </w:rPr>
        <w:t>learning_rate: 1e-3</w:t>
        <w:br/>
      </w:r>
      <w:r>
        <w:rPr>
          <w:rFonts w:ascii="Consolas" w:hAnsi="Consolas"/>
          <w:sz w:val="17"/>
        </w:rPr>
        <w:t>weight_decay: 1e-4</w:t>
        <w:br/>
      </w:r>
      <w:r>
        <w:rPr>
          <w:rFonts w:ascii="Consolas" w:hAnsi="Consolas"/>
          <w:sz w:val="17"/>
        </w:rPr>
        <w:t>gradient_clip_norm: 5.0</w:t>
      </w:r>
    </w:p>
    <w:p>
      <w:r>
        <w:t>实现上使用 learnable mask token，避免用 0 替换 masked values 引入数值含义偏差。重建目标位于 dataloader-standardized feature space，避免原始量纲差异主导损失。</w:t>
      </w:r>
    </w:p>
    <w:p>
      <w:pPr>
        <w:pStyle w:val="Heading3"/>
      </w:pPr>
      <w:r>
        <w:t>3.4 Aligned Split 协议</w:t>
      </w:r>
    </w:p>
    <w:p>
      <w:r>
        <w:t>为避免目标数据集 test subjects 在自监督预训练中被看到，我们设计 EMS-anchor aligned split：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对于每个 seed:</w:t>
        <w:br/>
      </w:r>
      <w:r>
        <w:rPr>
          <w:rFonts w:ascii="Consolas" w:hAnsi="Consolas"/>
          <w:sz w:val="17"/>
        </w:rPr>
        <w:t>EMS downstream train subjects -&gt; MEM train</w:t>
        <w:br/>
      </w:r>
      <w:r>
        <w:rPr>
          <w:rFonts w:ascii="Consolas" w:hAnsi="Consolas"/>
          <w:sz w:val="17"/>
        </w:rPr>
        <w:t>EMS downstream valid subjects -&gt; MEM valid</w:t>
        <w:br/>
      </w:r>
      <w:r>
        <w:rPr>
          <w:rFonts w:ascii="Consolas" w:hAnsi="Consolas"/>
          <w:sz w:val="17"/>
        </w:rPr>
        <w:t>EMS downstream test subjects -&gt; MEM test</w:t>
        <w:br/>
      </w:r>
      <w:r>
        <w:rPr>
          <w:rFonts w:ascii="Consolas" w:hAnsi="Consolas"/>
          <w:sz w:val="17"/>
        </w:rPr>
        <w:t>非 EMS 数据集按 subject 独立划分</w:t>
      </w:r>
    </w:p>
    <w:p>
      <w:r>
        <w:t>泄漏审计结果：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checked split rows: 35</w:t>
        <w:br/>
      </w:r>
      <w:r>
        <w:rPr>
          <w:rFonts w:ascii="Consolas" w:hAnsi="Consolas"/>
          <w:sz w:val="17"/>
        </w:rPr>
        <w:t>passed rows: 35</w:t>
        <w:br/>
      </w:r>
      <w:r>
        <w:rPr>
          <w:rFonts w:ascii="Consolas" w:hAnsi="Consolas"/>
          <w:sz w:val="17"/>
        </w:rPr>
        <w:t>max overlap between downstream test subjects and MEM train: 0</w:t>
        <w:br/>
      </w:r>
      <w:r>
        <w:rPr>
          <w:rFonts w:ascii="Consolas" w:hAnsi="Consolas"/>
          <w:sz w:val="17"/>
        </w:rPr>
        <w:t>max overlap between downstream test subjects and MEM valid: 0</w:t>
        <w:br/>
      </w:r>
      <w:r>
        <w:rPr>
          <w:rFonts w:ascii="Consolas" w:hAnsi="Consolas"/>
          <w:sz w:val="17"/>
        </w:rPr>
        <w:t>expected overlap with MEM test: 32 per seed</w:t>
      </w:r>
    </w:p>
    <w:p>
      <w:r>
        <w:t>这保证了阶段一主结果具有明确的 test subject 隔离。</w:t>
      </w:r>
    </w:p>
    <w:p>
      <w:pPr>
        <w:pStyle w:val="Heading3"/>
      </w:pPr>
      <w:r>
        <w:t>3.5 下游评估</w:t>
      </w:r>
    </w:p>
    <w:p>
      <w:r>
        <w:t>EMS 下游评估使用五个 subject-level 60/20/20 split，seeds 为 `0,1,2,3,4`。阈值只在 validation split 上选择，主阈值策略为 validation-selected best balanced accuracy。最终报告 test split 的 AUC、accuracy、balanced accuracy、sensitivity、specificity 和 F1。</w:t>
      </w:r>
    </w:p>
    <w:p>
      <w:pPr>
        <w:pStyle w:val="Heading2"/>
      </w:pPr>
      <w:r>
        <w:t>4. 实验设计</w:t>
      </w:r>
    </w:p>
    <w:p>
      <w:r>
        <w:t>阶段一主表包含以下模型：</w:t>
      </w:r>
    </w:p>
    <w:p>
      <w:pPr>
        <w:pStyle w:val="ListNumber"/>
        <w:spacing w:after="60"/>
      </w:pPr>
      <w:r>
        <w:t>Supervised-only BiGRU encoder，不使用 MEM 预训练。</w:t>
      </w:r>
    </w:p>
    <w:p>
      <w:pPr>
        <w:pStyle w:val="ListNumber"/>
        <w:spacing w:after="60"/>
      </w:pPr>
      <w:r>
        <w:t>EMS-only MEM BiGRU，fine-tune 和 frozen。</w:t>
      </w:r>
    </w:p>
    <w:p>
      <w:pPr>
        <w:pStyle w:val="ListNumber"/>
        <w:spacing w:after="60"/>
      </w:pPr>
      <w:r>
        <w:t>EMS+CRCNS MEM BiGRU，fine-tune 和 frozen。</w:t>
      </w:r>
    </w:p>
    <w:p>
      <w:pPr>
        <w:pStyle w:val="ListNumber"/>
        <w:spacing w:after="60"/>
      </w:pPr>
      <w:r>
        <w:t>EMS+GazeBase+CRCNS MEM BiGRU，fine-tune 和 frozen。</w:t>
      </w:r>
    </w:p>
    <w:p>
      <w:pPr>
        <w:pStyle w:val="ListNumber"/>
        <w:spacing w:after="60"/>
      </w:pPr>
      <w:r>
        <w:t>EMS+GazeBase+CRCNS+OneStop MEM BiGRU，fine-tune 和 frozen。</w:t>
      </w:r>
    </w:p>
    <w:p>
      <w:pPr>
        <w:pStyle w:val="ListNumber"/>
        <w:spacing w:after="60"/>
      </w:pPr>
      <w:r>
        <w:t>EMS+GazeBase+CRCNS+HBN MEM BiGRU，fine-tune 和 frozen。</w:t>
      </w:r>
    </w:p>
    <w:p>
      <w:pPr>
        <w:pStyle w:val="ListNumber"/>
        <w:spacing w:after="60"/>
      </w:pPr>
      <w:r>
        <w:t>EMS+All-public MEM BiGRU，fine-tune 和 frozen。</w:t>
      </w:r>
    </w:p>
    <w:p>
      <w:r>
        <w:t>本阶段最终表排除：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smoke tests</w:t>
        <w:br/>
      </w:r>
      <w:r>
        <w:rPr>
          <w:rFonts w:ascii="Consolas" w:hAnsi="Consolas"/>
          <w:sz w:val="17"/>
        </w:rPr>
        <w:t>single-split screening</w:t>
        <w:br/>
      </w:r>
      <w:r>
        <w:rPr>
          <w:rFonts w:ascii="Consolas" w:hAnsi="Consolas"/>
          <w:sz w:val="17"/>
        </w:rPr>
        <w:t>non-aligned exploratory runs</w:t>
        <w:br/>
      </w:r>
      <w:r>
        <w:rPr>
          <w:rFonts w:ascii="Consolas" w:hAnsi="Consolas"/>
          <w:sz w:val="17"/>
        </w:rPr>
        <w:t>Transformer exploratory runs</w:t>
        <w:br/>
      </w:r>
      <w:r>
        <w:rPr>
          <w:rFonts w:ascii="Consolas" w:hAnsi="Consolas"/>
          <w:sz w:val="17"/>
        </w:rPr>
        <w:t>old dual-stream exploratory runs</w:t>
        <w:br/>
      </w:r>
      <w:r>
        <w:rPr>
          <w:rFonts w:ascii="Consolas" w:hAnsi="Consolas"/>
          <w:sz w:val="17"/>
        </w:rPr>
        <w:t>new summary dual-stream design work</w:t>
      </w:r>
    </w:p>
    <w:p>
      <w:pPr>
        <w:pStyle w:val="Heading2"/>
      </w:pPr>
      <w:r>
        <w:t>5. 结果</w:t>
      </w:r>
    </w:p>
    <w:p>
      <w:pPr>
        <w:pStyle w:val="Heading3"/>
      </w:pPr>
      <w:r>
        <w:t>5.1 阶段一主结果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700"/>
        <w:gridCol w:w="2238"/>
        <w:gridCol w:w="700"/>
        <w:gridCol w:w="700"/>
        <w:gridCol w:w="1119"/>
        <w:gridCol w:w="1068"/>
        <w:gridCol w:w="813"/>
        <w:gridCol w:w="813"/>
        <w:gridCol w:w="-418"/>
      </w:tblGrid>
      <w:tr>
        <w:tc>
          <w:tcPr>
            <w:tcW w:type="dxa" w:w="16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Experiment</w:t>
            </w:r>
          </w:p>
        </w:tc>
        <w:tc>
          <w:tcPr>
            <w:tcW w:type="dxa" w:w="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Mode</w:t>
            </w:r>
          </w:p>
        </w:tc>
        <w:tc>
          <w:tcPr>
            <w:tcW w:type="dxa" w:w="22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Pretraining Data</w:t>
            </w:r>
          </w:p>
        </w:tc>
        <w:tc>
          <w:tcPr>
            <w:tcW w:type="dxa" w:w="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AUC Mean</w:t>
            </w:r>
          </w:p>
        </w:tc>
        <w:tc>
          <w:tcPr>
            <w:tcW w:type="dxa" w:w="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AUC Std</w:t>
            </w:r>
          </w:p>
        </w:tc>
        <w:tc>
          <w:tcPr>
            <w:tcW w:type="dxa" w:w="11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Balanced Accuracy Mean</w:t>
            </w:r>
          </w:p>
        </w:tc>
        <w:tc>
          <w:tcPr>
            <w:tcW w:type="dxa" w:w="10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Balanced Accuracy Std</w:t>
            </w:r>
          </w:p>
        </w:tc>
        <w:tc>
          <w:tcPr>
            <w:tcW w:type="dxa" w:w="8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Sensitivity Mean</w:t>
            </w:r>
          </w:p>
        </w:tc>
        <w:tc>
          <w:tcPr>
            <w:tcW w:type="dxa" w:w="8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Specificity Mean</w:t>
            </w:r>
          </w:p>
        </w:tc>
        <w:tc>
          <w:tcPr>
            <w:tcW w:type="dxa" w:w="-4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F1 Mean</w:t>
            </w:r>
          </w:p>
        </w:tc>
      </w:tr>
      <w:tr>
        <w:tc>
          <w:tcPr>
            <w:tcW w:type="dxa" w:w="16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EMS-only MEM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223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0.798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0.064</w:t>
            </w:r>
          </w:p>
        </w:tc>
        <w:tc>
          <w:tcPr>
            <w:tcW w:type="dxa" w:w="111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0.750</w:t>
            </w:r>
          </w:p>
        </w:tc>
        <w:tc>
          <w:tcPr>
            <w:tcW w:type="dxa" w:w="106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0.058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0.713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0.788</w:t>
            </w:r>
          </w:p>
        </w:tc>
        <w:tc>
          <w:tcPr>
            <w:tcW w:type="dxa" w:w="-41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0.738</w:t>
            </w:r>
          </w:p>
        </w:tc>
      </w:tr>
      <w:tr>
        <w:tc>
          <w:tcPr>
            <w:tcW w:type="dxa" w:w="16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EMS+GazeBase+CRCNS+OneStop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22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 + GazeBase + CRCNS eye-1 + OneStop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0.825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0.044</w:t>
            </w:r>
          </w:p>
        </w:tc>
        <w:tc>
          <w:tcPr>
            <w:tcW w:type="dxa" w:w="111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0.731</w:t>
            </w:r>
          </w:p>
        </w:tc>
        <w:tc>
          <w:tcPr>
            <w:tcW w:type="dxa" w:w="106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0.047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0.775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0.688</w:t>
            </w:r>
          </w:p>
        </w:tc>
        <w:tc>
          <w:tcPr>
            <w:tcW w:type="dxa" w:w="-41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0.740</w:t>
            </w:r>
          </w:p>
        </w:tc>
      </w:tr>
      <w:tr>
        <w:tc>
          <w:tcPr>
            <w:tcW w:type="dxa" w:w="162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EMS+CRCNS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22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 + CRCNS eye-1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0.813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0.062</w:t>
            </w:r>
          </w:p>
        </w:tc>
        <w:tc>
          <w:tcPr>
            <w:tcW w:type="dxa" w:w="111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106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0.060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0.788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0.663</w:t>
            </w:r>
          </w:p>
        </w:tc>
        <w:tc>
          <w:tcPr>
            <w:tcW w:type="dxa" w:w="-41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0.736</w:t>
            </w:r>
          </w:p>
        </w:tc>
      </w:tr>
      <w:tr>
        <w:tc>
          <w:tcPr>
            <w:tcW w:type="dxa" w:w="16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22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 + GazeBase + CRCNS eye-1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0.800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0.049</w:t>
            </w:r>
          </w:p>
        </w:tc>
        <w:tc>
          <w:tcPr>
            <w:tcW w:type="dxa" w:w="111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106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0.026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-41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0.722</w:t>
            </w:r>
          </w:p>
        </w:tc>
      </w:tr>
      <w:tr>
        <w:tc>
          <w:tcPr>
            <w:tcW w:type="dxa" w:w="16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EMS+CRCNS aligned BiGRU, seq3000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22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 + CRCNS eye-1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0.809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0.038</w:t>
            </w:r>
          </w:p>
        </w:tc>
        <w:tc>
          <w:tcPr>
            <w:tcW w:type="dxa" w:w="111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0.706</w:t>
            </w:r>
          </w:p>
        </w:tc>
        <w:tc>
          <w:tcPr>
            <w:tcW w:type="dxa" w:w="106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0.042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0.738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0.675</w:t>
            </w:r>
          </w:p>
        </w:tc>
        <w:tc>
          <w:tcPr>
            <w:tcW w:type="dxa" w:w="-41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0.711</w:t>
            </w:r>
          </w:p>
        </w:tc>
      </w:tr>
      <w:tr>
        <w:tc>
          <w:tcPr>
            <w:tcW w:type="dxa" w:w="16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EMS+GazeBase+CRCNS+HBN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22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 + GazeBase + CRCNS eye-1 + HBN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0.795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0.071</w:t>
            </w:r>
          </w:p>
        </w:tc>
        <w:tc>
          <w:tcPr>
            <w:tcW w:type="dxa" w:w="111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0.700</w:t>
            </w:r>
          </w:p>
        </w:tc>
        <w:tc>
          <w:tcPr>
            <w:tcW w:type="dxa" w:w="106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0.087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0.750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0.650</w:t>
            </w:r>
          </w:p>
        </w:tc>
        <w:tc>
          <w:tcPr>
            <w:tcW w:type="dxa" w:w="-41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0.716</w:t>
            </w:r>
          </w:p>
        </w:tc>
      </w:tr>
      <w:tr>
        <w:tc>
          <w:tcPr>
            <w:tcW w:type="dxa" w:w="16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Supervised-only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supervised</w:t>
            </w:r>
          </w:p>
        </w:tc>
        <w:tc>
          <w:tcPr>
            <w:tcW w:type="dxa" w:w="223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none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0.784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0.069</w:t>
            </w:r>
          </w:p>
        </w:tc>
        <w:tc>
          <w:tcPr>
            <w:tcW w:type="dxa" w:w="111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0.700</w:t>
            </w:r>
          </w:p>
        </w:tc>
        <w:tc>
          <w:tcPr>
            <w:tcW w:type="dxa" w:w="106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0.114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0.800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0.600</w:t>
            </w:r>
          </w:p>
        </w:tc>
        <w:tc>
          <w:tcPr>
            <w:tcW w:type="dxa" w:w="-41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0.732</w:t>
            </w:r>
          </w:p>
        </w:tc>
      </w:tr>
      <w:tr>
        <w:tc>
          <w:tcPr>
            <w:tcW w:type="dxa" w:w="162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EMS+All-public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fine-tune</w:t>
            </w:r>
          </w:p>
        </w:tc>
        <w:tc>
          <w:tcPr>
            <w:tcW w:type="dxa" w:w="223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 + GazeBase + CRCNS eye-1 + OneStop + HBN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0.782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0.074</w:t>
            </w:r>
          </w:p>
        </w:tc>
        <w:tc>
          <w:tcPr>
            <w:tcW w:type="dxa" w:w="111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0.694</w:t>
            </w:r>
          </w:p>
        </w:tc>
        <w:tc>
          <w:tcPr>
            <w:tcW w:type="dxa" w:w="106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0.051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0.788</w:t>
            </w:r>
          </w:p>
        </w:tc>
        <w:tc>
          <w:tcPr>
            <w:tcW w:type="dxa" w:w="813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0.600</w:t>
            </w:r>
          </w:p>
        </w:tc>
        <w:tc>
          <w:tcPr>
            <w:tcW w:type="dxa" w:w="-41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0.720</w:t>
            </w:r>
          </w:p>
        </w:tc>
      </w:tr>
    </w:tbl>
    <w:p/>
    <w:p>
      <w:pPr>
        <w:pStyle w:val="Heading3"/>
      </w:pPr>
      <w:r>
        <w:t>5.2 Frozen Encoder 结果</w:t>
      </w:r>
    </w:p>
    <w:p>
      <w:r>
        <w:t>Frozen probing 整体明显弱于 fine-tuning：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700"/>
        <w:gridCol w:w="748"/>
        <w:gridCol w:w="2059"/>
        <w:gridCol w:w="1497"/>
        <w:gridCol w:w="1361"/>
      </w:tblGrid>
      <w:tr>
        <w:tc>
          <w:tcPr>
            <w:tcW w:type="dxa" w:w="29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Experiment</w:t>
            </w:r>
          </w:p>
        </w:tc>
        <w:tc>
          <w:tcPr>
            <w:tcW w:type="dxa" w:w="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Mode</w:t>
            </w:r>
          </w:p>
        </w:tc>
        <w:tc>
          <w:tcPr>
            <w:tcW w:type="dxa" w:w="7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AUC Mean</w:t>
            </w:r>
          </w:p>
        </w:tc>
        <w:tc>
          <w:tcPr>
            <w:tcW w:type="dxa" w:w="20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Balanced Accuracy Mean</w:t>
            </w:r>
          </w:p>
        </w:tc>
        <w:tc>
          <w:tcPr>
            <w:tcW w:type="dxa" w:w="149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Sensitivity Mean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Specificity Mean</w:t>
            </w:r>
          </w:p>
        </w:tc>
      </w:tr>
      <w:tr>
        <w:tc>
          <w:tcPr>
            <w:tcW w:type="dxa" w:w="29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EMS+GazeBase+CRCNS+OneStop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frozen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0.740</w:t>
            </w:r>
          </w:p>
        </w:tc>
        <w:tc>
          <w:tcPr>
            <w:tcW w:type="dxa" w:w="205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0.644</w:t>
            </w:r>
          </w:p>
        </w:tc>
        <w:tc>
          <w:tcPr>
            <w:tcW w:type="dxa" w:w="149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0.488</w:t>
            </w:r>
          </w:p>
        </w:tc>
      </w:tr>
      <w:tr>
        <w:tc>
          <w:tcPr>
            <w:tcW w:type="dxa" w:w="29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EMS+All-public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frozen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0.741</w:t>
            </w:r>
          </w:p>
        </w:tc>
        <w:tc>
          <w:tcPr>
            <w:tcW w:type="dxa" w:w="205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0.631</w:t>
            </w:r>
          </w:p>
        </w:tc>
        <w:tc>
          <w:tcPr>
            <w:tcW w:type="dxa" w:w="149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0.463</w:t>
            </w:r>
          </w:p>
        </w:tc>
      </w:tr>
      <w:tr>
        <w:tc>
          <w:tcPr>
            <w:tcW w:type="dxa" w:w="29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EMS-only MEM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frozen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0.722</w:t>
            </w:r>
          </w:p>
        </w:tc>
        <w:tc>
          <w:tcPr>
            <w:tcW w:type="dxa" w:w="205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0.631</w:t>
            </w:r>
          </w:p>
        </w:tc>
        <w:tc>
          <w:tcPr>
            <w:tcW w:type="dxa" w:w="149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0.863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0.400</w:t>
            </w:r>
          </w:p>
        </w:tc>
      </w:tr>
      <w:tr>
        <w:tc>
          <w:tcPr>
            <w:tcW w:type="dxa" w:w="29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frozen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0.721</w:t>
            </w:r>
          </w:p>
        </w:tc>
        <w:tc>
          <w:tcPr>
            <w:tcW w:type="dxa" w:w="205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0.613</w:t>
            </w:r>
          </w:p>
        </w:tc>
        <w:tc>
          <w:tcPr>
            <w:tcW w:type="dxa" w:w="149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0.788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0.438</w:t>
            </w:r>
          </w:p>
        </w:tc>
      </w:tr>
      <w:tr>
        <w:tc>
          <w:tcPr>
            <w:tcW w:type="dxa" w:w="299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EMS+CRCNS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frozen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0.719</w:t>
            </w:r>
          </w:p>
        </w:tc>
        <w:tc>
          <w:tcPr>
            <w:tcW w:type="dxa" w:w="205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0.613</w:t>
            </w:r>
          </w:p>
        </w:tc>
        <w:tc>
          <w:tcPr>
            <w:tcW w:type="dxa" w:w="149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0.813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0.413</w:t>
            </w:r>
          </w:p>
        </w:tc>
      </w:tr>
      <w:tr>
        <w:tc>
          <w:tcPr>
            <w:tcW w:type="dxa" w:w="29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EMS+CRCNS aligned BiGRU, seq3000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frozen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0.717</w:t>
            </w:r>
          </w:p>
        </w:tc>
        <w:tc>
          <w:tcPr>
            <w:tcW w:type="dxa" w:w="205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0.613</w:t>
            </w:r>
          </w:p>
        </w:tc>
        <w:tc>
          <w:tcPr>
            <w:tcW w:type="dxa" w:w="149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0.425</w:t>
            </w:r>
          </w:p>
        </w:tc>
      </w:tr>
      <w:tr>
        <w:tc>
          <w:tcPr>
            <w:tcW w:type="dxa" w:w="29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EMS+GazeBase+CRCNS+HBN BiGRU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frozen</w:t>
            </w:r>
          </w:p>
        </w:tc>
        <w:tc>
          <w:tcPr>
            <w:tcW w:type="dxa" w:w="74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0.715</w:t>
            </w:r>
          </w:p>
        </w:tc>
        <w:tc>
          <w:tcPr>
            <w:tcW w:type="dxa" w:w="2059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0.613</w:t>
            </w:r>
          </w:p>
        </w:tc>
        <w:tc>
          <w:tcPr>
            <w:tcW w:type="dxa" w:w="149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0.788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0.438</w:t>
            </w:r>
          </w:p>
        </w:tc>
      </w:tr>
    </w:tbl>
    <w:p/>
    <w:p>
      <w:pPr>
        <w:pStyle w:val="Heading3"/>
      </w:pPr>
      <w:r>
        <w:t>5.3 双流探索结果</w:t>
      </w:r>
    </w:p>
    <w:p>
      <w:r>
        <w:t>旧双流使用 pretrained encoder stream 加 segment-GRU macro stream，并比较 concat/gated fusion。新双流使用 pretrained encoder stream 加 strict subject-summary stream，并比较 concat/gated/residual-logit fusion。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1"/>
        <w:gridCol w:w="700"/>
        <w:gridCol w:w="1450"/>
        <w:gridCol w:w="1384"/>
        <w:gridCol w:w="1054"/>
        <w:gridCol w:w="1054"/>
        <w:gridCol w:w="357"/>
      </w:tblGrid>
      <w:tr>
        <w:tc>
          <w:tcPr>
            <w:tcW w:type="dxa" w:w="3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Model</w:t>
            </w:r>
          </w:p>
        </w:tc>
        <w:tc>
          <w:tcPr>
            <w:tcW w:type="dxa" w:w="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AUC Mean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Balanced Accuracy Mean</w:t>
            </w:r>
          </w:p>
        </w:tc>
        <w:tc>
          <w:tcPr>
            <w:tcW w:type="dxa" w:w="1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Balanced Accuracy Std</w:t>
            </w:r>
          </w:p>
        </w:tc>
        <w:tc>
          <w:tcPr>
            <w:tcW w:type="dxa" w:w="10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Sensitivity Mean</w:t>
            </w:r>
          </w:p>
        </w:tc>
        <w:tc>
          <w:tcPr>
            <w:tcW w:type="dxa" w:w="10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Specificity Mean</w:t>
            </w:r>
          </w:p>
        </w:tc>
        <w:tc>
          <w:tcPr>
            <w:tcW w:type="dxa" w:w="3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F1 Mean</w:t>
            </w:r>
          </w:p>
        </w:tc>
      </w:tr>
      <w:tr>
        <w:tc>
          <w:tcPr>
            <w:tcW w:type="dxa" w:w="33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EMS-only MEM BiGRU fine-tune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0.798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0.750</w:t>
            </w:r>
          </w:p>
        </w:tc>
        <w:tc>
          <w:tcPr>
            <w:tcW w:type="dxa" w:w="138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0.058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0.713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0.788</w:t>
            </w:r>
          </w:p>
        </w:tc>
        <w:tc>
          <w:tcPr>
            <w:tcW w:type="dxa" w:w="35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0.738</w:t>
            </w:r>
          </w:p>
        </w:tc>
      </w:tr>
      <w:tr>
        <w:tc>
          <w:tcPr>
            <w:tcW w:type="dxa" w:w="33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EMS+GazeBase+CRCNS+OneStop BiGRU fine-tune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0.825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0.731</w:t>
            </w:r>
          </w:p>
        </w:tc>
        <w:tc>
          <w:tcPr>
            <w:tcW w:type="dxa" w:w="138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0.047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0.775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0.688</w:t>
            </w:r>
          </w:p>
        </w:tc>
        <w:tc>
          <w:tcPr>
            <w:tcW w:type="dxa" w:w="35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0.740</w:t>
            </w:r>
          </w:p>
        </w:tc>
      </w:tr>
      <w:tr>
        <w:tc>
          <w:tcPr>
            <w:tcW w:type="dxa" w:w="33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Strict summary-only logistic regression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0.805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0.731</w:t>
            </w:r>
          </w:p>
        </w:tc>
        <w:tc>
          <w:tcPr>
            <w:tcW w:type="dxa" w:w="138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0.084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0.763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0.700</w:t>
            </w:r>
          </w:p>
        </w:tc>
        <w:tc>
          <w:tcPr>
            <w:tcW w:type="dxa" w:w="35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0.738</w:t>
            </w:r>
          </w:p>
        </w:tc>
      </w:tr>
      <w:tr>
        <w:tc>
          <w:tcPr>
            <w:tcW w:type="dxa" w:w="33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Strict summary + encoder dual-stream gated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0.806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138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0.046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0.675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0.775</w:t>
            </w:r>
          </w:p>
        </w:tc>
        <w:tc>
          <w:tcPr>
            <w:tcW w:type="dxa" w:w="35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0.699</w:t>
            </w:r>
          </w:p>
        </w:tc>
      </w:tr>
      <w:tr>
        <w:tc>
          <w:tcPr>
            <w:tcW w:type="dxa" w:w="33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Strict summary-only SVM-RBF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0.840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0.719</w:t>
            </w:r>
          </w:p>
        </w:tc>
        <w:tc>
          <w:tcPr>
            <w:tcW w:type="dxa" w:w="138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0.070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0.750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0.688</w:t>
            </w:r>
          </w:p>
        </w:tc>
        <w:tc>
          <w:tcPr>
            <w:tcW w:type="dxa" w:w="35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0.720</w:t>
            </w:r>
          </w:p>
        </w:tc>
      </w:tr>
      <w:tr>
        <w:tc>
          <w:tcPr>
            <w:tcW w:type="dxa" w:w="33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Strict summary + encoder dual-stream residual-logit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0.795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0.713</w:t>
            </w:r>
          </w:p>
        </w:tc>
        <w:tc>
          <w:tcPr>
            <w:tcW w:type="dxa" w:w="138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0.041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0.775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0.650</w:t>
            </w:r>
          </w:p>
        </w:tc>
        <w:tc>
          <w:tcPr>
            <w:tcW w:type="dxa" w:w="35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0.727</w:t>
            </w:r>
          </w:p>
        </w:tc>
      </w:tr>
      <w:tr>
        <w:tc>
          <w:tcPr>
            <w:tcW w:type="dxa" w:w="33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Strict summary + encoder dual-stream concat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0.809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0.706</w:t>
            </w:r>
          </w:p>
        </w:tc>
        <w:tc>
          <w:tcPr>
            <w:tcW w:type="dxa" w:w="138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0.065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0.738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0.675</w:t>
            </w:r>
          </w:p>
        </w:tc>
        <w:tc>
          <w:tcPr>
            <w:tcW w:type="dxa" w:w="35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0.701</w:t>
            </w:r>
          </w:p>
        </w:tc>
      </w:tr>
      <w:tr>
        <w:tc>
          <w:tcPr>
            <w:tcW w:type="dxa" w:w="33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Old encoder + segment-GRU dual-stream gated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0.811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</w:t>
            </w:r>
          </w:p>
        </w:tc>
        <w:tc>
          <w:tcPr>
            <w:tcW w:type="dxa" w:w="138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0.105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0.838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0.613</w:t>
            </w:r>
          </w:p>
        </w:tc>
        <w:tc>
          <w:tcPr>
            <w:tcW w:type="dxa" w:w="35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0.756</w:t>
            </w:r>
          </w:p>
        </w:tc>
      </w:tr>
      <w:tr>
        <w:tc>
          <w:tcPr>
            <w:tcW w:type="dxa" w:w="3361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Old encoder + segment-GRU dual-stream concat</w:t>
            </w:r>
          </w:p>
        </w:tc>
        <w:tc>
          <w:tcPr>
            <w:tcW w:type="dxa" w:w="70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0.799</w:t>
            </w:r>
          </w:p>
        </w:tc>
        <w:tc>
          <w:tcPr>
            <w:tcW w:type="dxa" w:w="1450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0.694</w:t>
            </w:r>
          </w:p>
        </w:tc>
        <w:tc>
          <w:tcPr>
            <w:tcW w:type="dxa" w:w="138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0.078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0.675</w:t>
            </w:r>
          </w:p>
        </w:tc>
        <w:tc>
          <w:tcPr>
            <w:tcW w:type="dxa" w:w="1054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0.713</w:t>
            </w:r>
          </w:p>
        </w:tc>
        <w:tc>
          <w:tcPr>
            <w:tcW w:type="dxa" w:w="35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0.688</w:t>
            </w:r>
          </w:p>
        </w:tc>
      </w:tr>
    </w:tbl>
    <w:p/>
    <w:p>
      <w:pPr>
        <w:pStyle w:val="Heading2"/>
      </w:pPr>
      <w:r>
        <w:t>6. 讨论</w:t>
      </w:r>
    </w:p>
    <w:p>
      <w:pPr>
        <w:pStyle w:val="Heading3"/>
      </w:pPr>
      <w:r>
        <w:t>6.1 MEM 预训练的作用</w:t>
      </w:r>
    </w:p>
    <w:p>
      <w:r>
        <w:t>相比 supervised-only BiGRU，最强 MEM fine-tune 设置在 balanced accuracy 上从 0.700 提升到 0.750。这说明 fixation/event 级自监督预训练能够为 EMS 下游任务提供有用初始化。但 frozen probing 整体较弱，说明当前预训练表征尚不足以直接线性迁移，需要 supervised fine-tuning 适配 EMS 标签。</w:t>
      </w:r>
    </w:p>
    <w:p>
      <w:pPr>
        <w:pStyle w:val="Heading3"/>
      </w:pPr>
      <w:r>
        <w:t>6.2 公共数据融合不是越多越好</w:t>
      </w:r>
    </w:p>
    <w:p>
      <w:r>
        <w:t>EMS+GazeBase+CRCNS+OneStop 获得最高 AUC，但 balanced accuracy 未超过 EMS-only MEM。加入 HBN 或全部 public 后，balanced accuracy 反而下降。这提示公共数据之间存在范式差异、年龄结构差异或噪声差异，简单合并并不能保证迁移收益。</w:t>
      </w:r>
    </w:p>
    <w:p>
      <w:pPr>
        <w:pStyle w:val="Heading3"/>
      </w:pPr>
      <w:r>
        <w:t>6.3 指标选择影响主模型定义</w:t>
      </w:r>
    </w:p>
    <w:p>
      <w:r>
        <w:t>如果主指标是 balanced accuracy，当前阶段一主模型应选择 EMS-only MEM BiGRU fine-tune。如果强调公共数据迁移和排序能力，EMS+GazeBase+CRCNS+OneStop 是最强 AUC 候选。因此论文中应明确区分“balanced accuracy 最优模型”和“public-data AUC 最优候选”。</w:t>
      </w:r>
    </w:p>
    <w:p>
      <w:pPr>
        <w:pStyle w:val="Heading3"/>
      </w:pPr>
      <w:r>
        <w:t>6.4 双流模型的定位</w:t>
      </w:r>
    </w:p>
    <w:p>
      <w:r>
        <w:t>双流实验验证了融合工程链路，也证明 strict subject-summary features 存在独立预测信号。但在当前 EMS 标签规模下，concat、gated 和 residual-logit 都未稳定超过 encoder-only balanced accuracy。因此双流不进入当前主线，只作为探索性负结果和下一阶段设计动机。</w:t>
      </w:r>
    </w:p>
    <w:p>
      <w:pPr>
        <w:pStyle w:val="Heading2"/>
      </w:pPr>
      <w:r>
        <w:t>7. 局限性</w:t>
      </w:r>
    </w:p>
    <w:p>
      <w:r>
        <w:t>第一，EMS 标签数据规模仍较小，只有 160 名有标签受试者。因此当前结果应被视为方法学验证和初步筛查证据，而不是临床诊断性能。</w:t>
      </w:r>
    </w:p>
    <w:p>
      <w:r>
        <w:t>第二，公共数据集虽然已经转换到统一 event schema，但不同数据集之间仍存在任务范式、年龄分布、设备条件和数据采集流程差异。当前结果说明这些差异可能导致负迁移。</w:t>
      </w:r>
    </w:p>
    <w:p>
      <w:r>
        <w:t>第三，当前阶段只系统收敛了 BiGRU encoder。Transformer 和更长序列模型仍属于探索性结果，尚未形成最终对照。</w:t>
      </w:r>
    </w:p>
    <w:p>
      <w:r>
        <w:t>第四，下游标签当前只有 EMS SZ/HC。若未来加入其他临床标签，应采用 dataset-specific heads、multi-task learning 或 external validation，而不是直接混合不同疾病标签。</w:t>
      </w:r>
    </w:p>
    <w:p>
      <w:pPr>
        <w:pStyle w:val="Heading2"/>
      </w:pPr>
      <w:r>
        <w:t>8. 下一步工作</w:t>
      </w:r>
    </w:p>
    <w:p>
      <w:r>
        <w:t>短期工作：</w:t>
      </w:r>
    </w:p>
    <w:p>
      <w:pPr>
        <w:pStyle w:val="ListNumber"/>
        <w:spacing w:after="60"/>
      </w:pPr>
      <w:r>
        <w:t>固化阶段一 encoder 结果表和泄漏审计。</w:t>
      </w:r>
    </w:p>
    <w:p>
      <w:pPr>
        <w:pStyle w:val="ListNumber"/>
        <w:spacing w:after="60"/>
      </w:pPr>
      <w:r>
        <w:t>将 smoke、single-split、exploratory 和 final_aligned_5seed 明确分层。</w:t>
      </w:r>
    </w:p>
    <w:p>
      <w:pPr>
        <w:pStyle w:val="ListNumber"/>
        <w:spacing w:after="60"/>
      </w:pPr>
      <w:r>
        <w:t>完成论文方法、实验和讨论部分初稿。</w:t>
      </w:r>
    </w:p>
    <w:p>
      <w:pPr>
        <w:pStyle w:val="ListNumber"/>
        <w:spacing w:after="60"/>
      </w:pPr>
      <w:r>
        <w:t>更新 README、脚本索引和工程规范，保证后续复现实验入口清晰。</w:t>
      </w:r>
    </w:p>
    <w:p>
      <w:r>
        <w:t>中期工作：</w:t>
      </w:r>
    </w:p>
    <w:p>
      <w:pPr>
        <w:pStyle w:val="ListNumber"/>
        <w:spacing w:after="60"/>
      </w:pPr>
      <w:r>
        <w:t>在阶段一论文主线稳定后，再重新评估 Transformer 消融。</w:t>
      </w:r>
    </w:p>
    <w:p>
      <w:pPr>
        <w:pStyle w:val="ListNumber"/>
        <w:spacing w:after="60"/>
      </w:pPr>
      <w:r>
        <w:t>如果继续做双流，应将 summary stream 作为解释性或辅助校正模块，而不是与 encoder stream 等容量竞争。</w:t>
      </w:r>
    </w:p>
    <w:p>
      <w:pPr>
        <w:pStyle w:val="ListNumber"/>
        <w:spacing w:after="60"/>
      </w:pPr>
      <w:r>
        <w:t>在有新的同类临床标签数据后，再讨论跨数据集 supervised validation。</w:t>
      </w:r>
    </w:p>
    <w:p>
      <w:pPr>
        <w:pStyle w:val="Heading2"/>
      </w:pPr>
      <w:r>
        <w:t>9. 阶段一结论</w:t>
      </w:r>
    </w:p>
    <w:p>
      <w:r>
        <w:t>本阶段最重要的结论是：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EyeNet 的 fixation/event 级自监督 encoder 主线已经形成可复现的阶段一结果。</w:t>
        <w:br/>
      </w:r>
      <w:r>
        <w:rPr>
          <w:rFonts w:ascii="Consolas" w:hAnsi="Consolas"/>
          <w:sz w:val="17"/>
        </w:rPr>
        <w:t>MEM 预训练配合 supervised fine-tuning 优于 supervised-only baseline。</w:t>
        <w:br/>
      </w:r>
      <w:r>
        <w:rPr>
          <w:rFonts w:ascii="Consolas" w:hAnsi="Consolas"/>
          <w:sz w:val="17"/>
        </w:rPr>
        <w:t>EMS-only MEM 是 balanced accuracy 最强结果。</w:t>
        <w:br/>
      </w:r>
      <w:r>
        <w:rPr>
          <w:rFonts w:ascii="Consolas" w:hAnsi="Consolas"/>
          <w:sz w:val="17"/>
        </w:rPr>
        <w:t>EMS+GazeBase+CRCNS+OneStop 是公共数据融合 AUC 最强候选。</w:t>
        <w:br/>
      </w:r>
      <w:r>
        <w:rPr>
          <w:rFonts w:ascii="Consolas" w:hAnsi="Consolas"/>
          <w:sz w:val="17"/>
        </w:rPr>
        <w:t>公共数据不是越多越好，HBN/all-public 当前没有提升。</w:t>
        <w:br/>
      </w:r>
      <w:r>
        <w:rPr>
          <w:rFonts w:ascii="Consolas" w:hAnsi="Consolas"/>
          <w:sz w:val="17"/>
        </w:rPr>
        <w:t>双流没有超过 encoder-only 主线，暂作为探索性 evidence 收尾。</w:t>
      </w:r>
    </w:p>
    <w:p>
      <w:r>
        <w:t>因此，下一阶段应优先完成论文和报告叙事，再谨慎开展新的 Transformer 或双流扩展。</w:t>
      </w:r>
    </w:p>
    <w:sectPr w:rsidR="00FC693F" w:rsidRPr="0006063C" w:rsidSect="00034616">
      <w:footerReference w:type="default" r:id="rId9"/>
      <w:pgSz w:w="12240" w:h="15840"/>
      <w:pgMar w:top="1296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EyeNet phase-1 paper draft | 2026-05-27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