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基于内容解耦眼动表征的精神疾病初步筛查模型研究</w:t>
      </w:r>
    </w:p>
    <w:p>
      <w:pPr>
        <w:jc w:val="center"/>
      </w:pPr>
      <w:r>
        <w:rPr>
          <w:i/>
          <w:color w:val="666666"/>
          <w:sz w:val="20"/>
        </w:rPr>
        <w:t>EMS 下游验证、公共数据自监督预训练与工程化阶段总结 | 2026-05-23</w:t>
      </w:r>
    </w:p>
    <w:p>
      <w:pPr>
        <w:pStyle w:val="Heading1"/>
      </w:pPr>
      <w:r>
        <w:t>摘要草稿</w:t>
      </w:r>
    </w:p>
    <w:p>
      <w:r>
        <w:t>本研究面向精神疾病风险的低负担初步筛查，构建一种不依赖图片、视频语义或任务内容的眼动行为建模流程。当前工程已完成 EMS 下游 SZ/HC 基准、HBN 与 GazeBase 公共眼动数据适配、统一 fixation-event schema、13 维 no-position encoder-ready 表征，以及 masked event modeling (MEM) 自监督预训练。五个 EMS stratified subject split 的结果显示，EMS-only MEM 预训练后进行监督 fine-tuning，相比从零训练 encoder，将平均 test AUC 从 0.784 提升到 0.832，将平均 balanced accuracy 从 0.700 提升到 0.763。HBN 已完成 pipeline 接入，但在当前固定 split 上未超过 EMS-only MEM；GazeBase+EMS 在单 split 上提供更高 specificity 的保守操作点。当前结果支持内容解耦眼动表征路线，但仍属于小样本初步证据，后续需要完成 Saliency4ASD/CRCNS 数据源筛选并进行受控消融。</w:t>
      </w:r>
    </w:p>
    <w:p>
      <w:pPr>
        <w:pStyle w:val="Heading1"/>
      </w:pPr>
      <w:r>
        <w:t>1. 研究目标与边界</w:t>
      </w:r>
    </w:p>
    <w:p>
      <w:r>
        <w:t>本项目的目标不是训练一个只适用于 EMS 图片范式的分类器，而是建立一套可迁移的眼动表征学习流程。模型输入限制在跨设备、跨范式可获得的公共眼动信息，例如 fixation 坐标、duration、transition/saccade 特征、局部事件顺序和 missingness 标记。图片编号、视频内容、AOI 语义、任务答案和疾病无关标签不作为核心 encoder 输入。</w:t>
      </w:r>
    </w:p>
    <w:p>
      <w:pPr>
        <w:pStyle w:val="ListBullet"/>
        <w:spacing w:after="60"/>
      </w:pPr>
      <w:r>
        <w:t>临床定位：初步筛查和风险排序，不替代临床诊断。</w:t>
      </w:r>
    </w:p>
    <w:p>
      <w:pPr>
        <w:pStyle w:val="ListBullet"/>
        <w:spacing w:after="60"/>
      </w:pPr>
      <w:r>
        <w:t>监督边界：EMS 的 SZ/HC 标签是当前下游基准；ASD、HBN 表型或其他疾病标签不能合并成一个通用疾病标签。</w:t>
      </w:r>
    </w:p>
    <w:p>
      <w:pPr>
        <w:pStyle w:val="ListBullet"/>
        <w:spacing w:after="60"/>
      </w:pPr>
      <w:r>
        <w:t>预训练策略：公共数据优先用于自监督 MEM，不直接定义 SZ/HC 决策边界。</w:t>
      </w:r>
    </w:p>
    <w:p>
      <w:pPr>
        <w:pStyle w:val="ListBullet"/>
        <w:spacing w:after="60"/>
      </w:pPr>
      <w:r>
        <w:t>评估原则：模型选择依赖 validation；test 只用于最终报告；小样本结果必须报告 multi-seed mean/std。</w:t>
      </w:r>
    </w:p>
    <w:p>
      <w:pPr>
        <w:pStyle w:val="Heading1"/>
      </w:pPr>
      <w:r>
        <w:t>2. 数据处理与统一输入</w:t>
      </w:r>
    </w:p>
    <w:p>
      <w:r>
        <w:t>当前统一输入单位是 fixation event。HBN 和 GazeBase 这类 raw gaze 数据只作为 adapter 输入，必须先经 I-DT fixation detection 转成共享事件表，再进入 QC、encoder-ready 转换和 MEM 训练。GazeBase 的原始 x/y 已经是 DVA；HBN 是像素坐标。两者原始格式不同，但最终都统一到同一套 fixation-event schema 和 13 维 encoder feature schema。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350"/>
        <w:gridCol w:w="1500"/>
        <w:gridCol w:w="1050"/>
        <w:gridCol w:w="1450"/>
        <w:gridCol w:w="4010"/>
      </w:tblGrid>
      <w:tr>
        <w:tc>
          <w:tcPr>
            <w:tcW w:type="dxa" w:w="135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Dataset</w:t>
            </w:r>
          </w:p>
        </w:tc>
        <w:tc>
          <w:tcPr>
            <w:tcW w:type="dxa" w:w="150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Status</w:t>
            </w:r>
          </w:p>
        </w:tc>
        <w:tc>
          <w:tcPr>
            <w:tcW w:type="dxa" w:w="105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Subjects</w:t>
            </w:r>
          </w:p>
        </w:tc>
        <w:tc>
          <w:tcPr>
            <w:tcW w:type="dxa" w:w="145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Fixation events</w:t>
            </w:r>
          </w:p>
        </w:tc>
        <w:tc>
          <w:tcPr>
            <w:tcW w:type="dxa" w:w="401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Notes</w:t>
            </w:r>
          </w:p>
        </w:tc>
      </w:tr>
      <w:tr>
        <w:tc>
          <w:tcPr>
            <w:tcW w:type="dxa" w:w="13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EMS</w:t>
            </w:r>
          </w:p>
        </w:tc>
        <w:tc>
          <w:tcPr>
            <w:tcW w:type="dxa" w:w="15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Complete</w:t>
            </w:r>
          </w:p>
        </w:tc>
        <w:tc>
          <w:tcPr>
            <w:tcW w:type="dxa" w:w="10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14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225,159</w:t>
            </w:r>
          </w:p>
        </w:tc>
        <w:tc>
          <w:tcPr>
            <w:tcW w:type="dxa" w:w="401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Main SZ/HC downstream benchmark.</w:t>
            </w:r>
          </w:p>
        </w:tc>
      </w:tr>
      <w:tr>
        <w:tc>
          <w:tcPr>
            <w:tcW w:type="dxa" w:w="13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HBN</w:t>
            </w:r>
          </w:p>
        </w:tc>
        <w:tc>
          <w:tcPr>
            <w:tcW w:type="dxa" w:w="15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Adapter complete</w:t>
            </w:r>
          </w:p>
        </w:tc>
        <w:tc>
          <w:tcPr>
            <w:tcW w:type="dxa" w:w="10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1,244 usable</w:t>
            </w:r>
          </w:p>
        </w:tc>
        <w:tc>
          <w:tcPr>
            <w:tcW w:type="dxa" w:w="14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1,684,382 after QC</w:t>
            </w:r>
          </w:p>
        </w:tc>
        <w:tc>
          <w:tcPr>
            <w:tcW w:type="dxa" w:w="401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Public unlabeled pretraining source; did not improve over EMS-only in seed42.</w:t>
            </w:r>
          </w:p>
        </w:tc>
      </w:tr>
      <w:tr>
        <w:tc>
          <w:tcPr>
            <w:tcW w:type="dxa" w:w="13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GazeBase</w:t>
            </w:r>
          </w:p>
        </w:tc>
        <w:tc>
          <w:tcPr>
            <w:tcW w:type="dxa" w:w="15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Adapter complete</w:t>
            </w:r>
          </w:p>
        </w:tc>
        <w:tc>
          <w:tcPr>
            <w:tcW w:type="dxa" w:w="10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14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843,517</w:t>
            </w:r>
          </w:p>
        </w:tc>
        <w:tc>
          <w:tcPr>
            <w:tcW w:type="dxa" w:w="401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Video tasks VD1/VD2; high-specificity downstream operating point.</w:t>
            </w:r>
          </w:p>
        </w:tc>
      </w:tr>
      <w:tr>
        <w:tc>
          <w:tcPr>
            <w:tcW w:type="dxa" w:w="13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Saliency4ASD</w:t>
            </w:r>
          </w:p>
        </w:tc>
        <w:tc>
          <w:tcPr>
            <w:tcW w:type="dxa" w:w="15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Pending</w:t>
            </w:r>
          </w:p>
        </w:tc>
        <w:tc>
          <w:tcPr>
            <w:tcW w:type="dxa" w:w="10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TBD</w:t>
            </w:r>
          </w:p>
        </w:tc>
        <w:tc>
          <w:tcPr>
            <w:tcW w:type="dxa" w:w="14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TBD</w:t>
            </w:r>
          </w:p>
        </w:tc>
        <w:tc>
          <w:tcPr>
            <w:tcW w:type="dxa" w:w="401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Use cautiously; ASD labels must not be merged with SZ/HC.</w:t>
            </w:r>
          </w:p>
        </w:tc>
      </w:tr>
      <w:tr>
        <w:tc>
          <w:tcPr>
            <w:tcW w:type="dxa" w:w="13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CRCNS eye-1</w:t>
            </w:r>
          </w:p>
        </w:tc>
        <w:tc>
          <w:tcPr>
            <w:tcW w:type="dxa" w:w="15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Pending</w:t>
            </w:r>
          </w:p>
        </w:tc>
        <w:tc>
          <w:tcPr>
            <w:tcW w:type="dxa" w:w="10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TBD</w:t>
            </w:r>
          </w:p>
        </w:tc>
        <w:tc>
          <w:tcPr>
            <w:tcW w:type="dxa" w:w="14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TBD</w:t>
            </w:r>
          </w:p>
        </w:tc>
        <w:tc>
          <w:tcPr>
            <w:tcW w:type="dxa" w:w="401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Local raw-file status must be verified.</w:t>
            </w:r>
          </w:p>
        </w:tc>
      </w:tr>
    </w:tbl>
    <w:p/>
    <w:p>
      <w:pPr>
        <w:pStyle w:val="Heading1"/>
      </w:pPr>
      <w:r>
        <w:t>3. 当前 encoder 和 MEM 配置</w:t>
      </w:r>
    </w:p>
    <w:p>
      <w:r>
        <w:t>当前 encoder 是保守的小模型基线：13 维事件特征先投影到 64 维，再经 1-layer bidirectional GRU 和 masked attention pooling 得到 subject embedding。MEM 预训练在 masked fixation spans 上重建原始标准化事件特征。该设置的目的是先建立稳定、可解释、可复现实验基线，而不是一次性追求最大模型容量。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c>
          <w:tcPr>
            <w:tcW w:type="dxa" w:w="250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Component</w:t>
            </w:r>
          </w:p>
        </w:tc>
        <w:tc>
          <w:tcPr>
            <w:tcW w:type="dxa" w:w="686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Current setting</w:t>
            </w:r>
          </w:p>
        </w:tc>
      </w:tr>
      <w:tr>
        <w:tc>
          <w:tcPr>
            <w:tcW w:type="dxa" w:w="25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Input</w:t>
            </w:r>
          </w:p>
        </w:tc>
        <w:tc>
          <w:tcPr>
            <w:tcW w:type="dxa" w:w="68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[batch, sequence_length, 13]</w:t>
            </w:r>
          </w:p>
        </w:tc>
      </w:tr>
      <w:tr>
        <w:tc>
          <w:tcPr>
            <w:tcW w:type="dxa" w:w="25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Projection</w:t>
            </w:r>
          </w:p>
        </w:tc>
        <w:tc>
          <w:tcPr>
            <w:tcW w:type="dxa" w:w="68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Linear(13 -&gt; 64) + LayerNorm + ReLU + Dropout(0.3)</w:t>
            </w:r>
          </w:p>
        </w:tc>
      </w:tr>
      <w:tr>
        <w:tc>
          <w:tcPr>
            <w:tcW w:type="dxa" w:w="25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Temporal encoder</w:t>
            </w:r>
          </w:p>
        </w:tc>
        <w:tc>
          <w:tcPr>
            <w:tcW w:type="dxa" w:w="68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1-layer BiGRU, hidden_dim=64, event embedding=128</w:t>
            </w:r>
          </w:p>
        </w:tc>
      </w:tr>
      <w:tr>
        <w:tc>
          <w:tcPr>
            <w:tcW w:type="dxa" w:w="25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Pooling</w:t>
            </w:r>
          </w:p>
        </w:tc>
        <w:tc>
          <w:tcPr>
            <w:tcW w:type="dxa" w:w="68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Masked attention pooling</w:t>
            </w:r>
          </w:p>
        </w:tc>
      </w:tr>
      <w:tr>
        <w:tc>
          <w:tcPr>
            <w:tcW w:type="dxa" w:w="25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MEM objective</w:t>
            </w:r>
          </w:p>
        </w:tc>
        <w:tc>
          <w:tcPr>
            <w:tcW w:type="dxa" w:w="68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Masked MSE reconstruction on span-masked fixation features</w:t>
            </w:r>
          </w:p>
        </w:tc>
      </w:tr>
      <w:tr>
        <w:tc>
          <w:tcPr>
            <w:tcW w:type="dxa" w:w="25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Optimizer</w:t>
            </w:r>
          </w:p>
        </w:tc>
        <w:tc>
          <w:tcPr>
            <w:tcW w:type="dxa" w:w="68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AdamW, learning_rate=1e-3, weight_decay=1e-4</w:t>
            </w:r>
          </w:p>
        </w:tc>
      </w:tr>
      <w:tr>
        <w:tc>
          <w:tcPr>
            <w:tcW w:type="dxa" w:w="25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Training defaults</w:t>
            </w:r>
          </w:p>
        </w:tc>
        <w:tc>
          <w:tcPr>
            <w:tcW w:type="dxa" w:w="68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batch_size=8, max_seq_len=1500, mask_probability=0.30, span length 2-8</w:t>
            </w:r>
          </w:p>
        </w:tc>
      </w:tr>
    </w:tbl>
    <w:p/>
    <w:p>
      <w:pPr>
        <w:pStyle w:val="Heading1"/>
      </w:pPr>
      <w:r>
        <w:t>4. EMS 多 seed 基准结果</w:t>
      </w:r>
    </w:p>
    <w:p>
      <w:r>
        <w:t>为避免单个 32-subject test split 的偶然性，当前已完成五个 EMS stratified subject splits 的 encoder 对照。主要结论是：EMS-only MEM 作为初始化再进行下游 supervised fine-tuning，优于从零训练；冻结 encoder 的 probing 表现较差，说明自监督表征需要任务标签适配才能转化为 SZ/HC 判别性能。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650"/>
        <w:gridCol w:w="1250"/>
        <w:gridCol w:w="1350"/>
        <w:gridCol w:w="900"/>
        <w:gridCol w:w="900"/>
        <w:gridCol w:w="3310"/>
      </w:tblGrid>
      <w:tr>
        <w:tc>
          <w:tcPr>
            <w:tcW w:type="dxa" w:w="165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Experiment</w:t>
            </w:r>
          </w:p>
        </w:tc>
        <w:tc>
          <w:tcPr>
            <w:tcW w:type="dxa" w:w="125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AUC</w:t>
            </w:r>
          </w:p>
        </w:tc>
        <w:tc>
          <w:tcPr>
            <w:tcW w:type="dxa" w:w="135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Bal Acc</w:t>
            </w:r>
          </w:p>
        </w:tc>
        <w:tc>
          <w:tcPr>
            <w:tcW w:type="dxa" w:w="90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Sens</w:t>
            </w:r>
          </w:p>
        </w:tc>
        <w:tc>
          <w:tcPr>
            <w:tcW w:type="dxa" w:w="90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Spec</w:t>
            </w:r>
          </w:p>
        </w:tc>
        <w:tc>
          <w:tcPr>
            <w:tcW w:type="dxa" w:w="331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Interpretation</w:t>
            </w:r>
          </w:p>
        </w:tc>
      </w:tr>
      <w:tr>
        <w:tc>
          <w:tcPr>
            <w:tcW w:type="dxa" w:w="16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From scratch</w:t>
            </w:r>
          </w:p>
        </w:tc>
        <w:tc>
          <w:tcPr>
            <w:tcW w:type="dxa" w:w="12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0.784 +/- 0.069</w:t>
            </w:r>
          </w:p>
        </w:tc>
        <w:tc>
          <w:tcPr>
            <w:tcW w:type="dxa" w:w="13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0.700 +/- 0.114</w:t>
            </w:r>
          </w:p>
        </w:tc>
        <w:tc>
          <w:tcPr>
            <w:tcW w:type="dxa" w:w="9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0.800</w:t>
            </w:r>
          </w:p>
        </w:tc>
        <w:tc>
          <w:tcPr>
            <w:tcW w:type="dxa" w:w="9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0.600</w:t>
            </w:r>
          </w:p>
        </w:tc>
        <w:tc>
          <w:tcPr>
            <w:tcW w:type="dxa" w:w="331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Supervised encoder baseline.</w:t>
            </w:r>
          </w:p>
        </w:tc>
      </w:tr>
      <w:tr>
        <w:tc>
          <w:tcPr>
            <w:tcW w:type="dxa" w:w="16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EMS MEM frozen</w:t>
            </w:r>
          </w:p>
        </w:tc>
        <w:tc>
          <w:tcPr>
            <w:tcW w:type="dxa" w:w="12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0.716 +/- 0.059</w:t>
            </w:r>
          </w:p>
        </w:tc>
        <w:tc>
          <w:tcPr>
            <w:tcW w:type="dxa" w:w="13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0.619 +/- 0.081</w:t>
            </w:r>
          </w:p>
        </w:tc>
        <w:tc>
          <w:tcPr>
            <w:tcW w:type="dxa" w:w="9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0.813</w:t>
            </w:r>
          </w:p>
        </w:tc>
        <w:tc>
          <w:tcPr>
            <w:tcW w:type="dxa" w:w="9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0.425</w:t>
            </w:r>
          </w:p>
        </w:tc>
        <w:tc>
          <w:tcPr>
            <w:tcW w:type="dxa" w:w="331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Pretrained encoder alone is insufficient.</w:t>
            </w:r>
          </w:p>
        </w:tc>
      </w:tr>
      <w:tr>
        <w:tc>
          <w:tcPr>
            <w:tcW w:type="dxa" w:w="16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EMS MEM fine-tune</w:t>
            </w:r>
          </w:p>
        </w:tc>
        <w:tc>
          <w:tcPr>
            <w:tcW w:type="dxa" w:w="12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0.832 +/- 0.065</w:t>
            </w:r>
          </w:p>
        </w:tc>
        <w:tc>
          <w:tcPr>
            <w:tcW w:type="dxa" w:w="13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0.763 +/- 0.052</w:t>
            </w:r>
          </w:p>
        </w:tc>
        <w:tc>
          <w:tcPr>
            <w:tcW w:type="dxa" w:w="9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0.800</w:t>
            </w:r>
          </w:p>
        </w:tc>
        <w:tc>
          <w:tcPr>
            <w:tcW w:type="dxa" w:w="9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0.725</w:t>
            </w:r>
          </w:p>
        </w:tc>
        <w:tc>
          <w:tcPr>
            <w:tcW w:type="dxa" w:w="331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Best multi-seed encoder route so far.</w:t>
            </w:r>
          </w:p>
        </w:tc>
      </w:tr>
    </w:tbl>
    <w:p/>
    <w:p>
      <w:pPr>
        <w:pStyle w:val="Heading1"/>
      </w:pPr>
      <w:r>
        <w:t>5. 公共数据预训练初步结果</w:t>
      </w:r>
    </w:p>
    <w:p>
      <w:r>
        <w:t>HBN 与 GazeBase 已经完成同一套处理流程：raw gaze -&gt; fixation events -&gt; schema validation -&gt; QC -&gt; encoder-ready -&gt; MEM -&gt; EMS downstream。当前固定 split 结果显示，公共数据不是越多越好；是否有益取决于分布匹配和下游操作点。HBN+EMS 没有超过 EMS-only；GazeBase+EMS 的 AUC 低于 EMS-only seed42，但 specificity 和 balanced accuracy 更高，可能形成更保守的筛查阈值候选。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450"/>
        <w:gridCol w:w="1000"/>
        <w:gridCol w:w="700"/>
        <w:gridCol w:w="850"/>
        <w:gridCol w:w="700"/>
        <w:gridCol w:w="700"/>
        <w:gridCol w:w="3960"/>
      </w:tblGrid>
      <w:tr>
        <w:tc>
          <w:tcPr>
            <w:tcW w:type="dxa" w:w="145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Pretraining</w:t>
            </w:r>
          </w:p>
        </w:tc>
        <w:tc>
          <w:tcPr>
            <w:tcW w:type="dxa" w:w="100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Mode</w:t>
            </w:r>
          </w:p>
        </w:tc>
        <w:tc>
          <w:tcPr>
            <w:tcW w:type="dxa" w:w="70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AUC</w:t>
            </w:r>
          </w:p>
        </w:tc>
        <w:tc>
          <w:tcPr>
            <w:tcW w:type="dxa" w:w="85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Bal Acc</w:t>
            </w:r>
          </w:p>
        </w:tc>
        <w:tc>
          <w:tcPr>
            <w:tcW w:type="dxa" w:w="70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Sens</w:t>
            </w:r>
          </w:p>
        </w:tc>
        <w:tc>
          <w:tcPr>
            <w:tcW w:type="dxa" w:w="70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Spec</w:t>
            </w:r>
          </w:p>
        </w:tc>
        <w:tc>
          <w:tcPr>
            <w:tcW w:type="dxa" w:w="396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Notes</w:t>
            </w:r>
          </w:p>
        </w:tc>
      </w:tr>
      <w:tr>
        <w:tc>
          <w:tcPr>
            <w:tcW w:type="dxa" w:w="14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None</w:t>
            </w:r>
          </w:p>
        </w:tc>
        <w:tc>
          <w:tcPr>
            <w:tcW w:type="dxa" w:w="10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from scratch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0.828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0.719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0.813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0.625</w:t>
            </w:r>
          </w:p>
        </w:tc>
        <w:tc>
          <w:tcPr>
            <w:tcW w:type="dxa" w:w="39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Seed42 supervised encoder baseline.</w:t>
            </w:r>
          </w:p>
        </w:tc>
      </w:tr>
      <w:tr>
        <w:tc>
          <w:tcPr>
            <w:tcW w:type="dxa" w:w="14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EMS-only MEM</w:t>
            </w:r>
          </w:p>
        </w:tc>
        <w:tc>
          <w:tcPr>
            <w:tcW w:type="dxa" w:w="10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fine-tune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0.891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0.750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0.938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0.563</w:t>
            </w:r>
          </w:p>
        </w:tc>
        <w:tc>
          <w:tcPr>
            <w:tcW w:type="dxa" w:w="39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Highest seed42 AUC.</w:t>
            </w:r>
          </w:p>
        </w:tc>
      </w:tr>
      <w:tr>
        <w:tc>
          <w:tcPr>
            <w:tcW w:type="dxa" w:w="14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EMS-only MEM</w:t>
            </w:r>
          </w:p>
        </w:tc>
        <w:tc>
          <w:tcPr>
            <w:tcW w:type="dxa" w:w="10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frozen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0.848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0.688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0.938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0.438</w:t>
            </w:r>
          </w:p>
        </w:tc>
        <w:tc>
          <w:tcPr>
            <w:tcW w:type="dxa" w:w="39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Frozen probing underperforms fine-tuning.</w:t>
            </w:r>
          </w:p>
        </w:tc>
      </w:tr>
      <w:tr>
        <w:tc>
          <w:tcPr>
            <w:tcW w:type="dxa" w:w="14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HBN+EMS MEM</w:t>
            </w:r>
          </w:p>
        </w:tc>
        <w:tc>
          <w:tcPr>
            <w:tcW w:type="dxa" w:w="10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fine-tune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0.859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0.719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0.875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0.563</w:t>
            </w:r>
          </w:p>
        </w:tc>
        <w:tc>
          <w:tcPr>
            <w:tcW w:type="dxa" w:w="39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Pipeline works, but no gain over EMS-only.</w:t>
            </w:r>
          </w:p>
        </w:tc>
      </w:tr>
      <w:tr>
        <w:tc>
          <w:tcPr>
            <w:tcW w:type="dxa" w:w="14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HBN+EMS MEM</w:t>
            </w:r>
          </w:p>
        </w:tc>
        <w:tc>
          <w:tcPr>
            <w:tcW w:type="dxa" w:w="10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frozen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0.824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0.719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0.938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0.500</w:t>
            </w:r>
          </w:p>
        </w:tc>
        <w:tc>
          <w:tcPr>
            <w:tcW w:type="dxa" w:w="39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Some ranking transfer, weak specificity.</w:t>
            </w:r>
          </w:p>
        </w:tc>
      </w:tr>
      <w:tr>
        <w:tc>
          <w:tcPr>
            <w:tcW w:type="dxa" w:w="14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GazeBase+EMS MEM</w:t>
            </w:r>
          </w:p>
        </w:tc>
        <w:tc>
          <w:tcPr>
            <w:tcW w:type="dxa" w:w="10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fine-tune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0.863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0.813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0.750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0.875</w:t>
            </w:r>
          </w:p>
        </w:tc>
        <w:tc>
          <w:tcPr>
            <w:tcW w:type="dxa" w:w="39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More conservative, high specificity.</w:t>
            </w:r>
          </w:p>
        </w:tc>
      </w:tr>
      <w:tr>
        <w:tc>
          <w:tcPr>
            <w:tcW w:type="dxa" w:w="14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GazeBase+EMS MEM</w:t>
            </w:r>
          </w:p>
        </w:tc>
        <w:tc>
          <w:tcPr>
            <w:tcW w:type="dxa" w:w="10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frozen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0.863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0.688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0.938</w:t>
            </w:r>
          </w:p>
        </w:tc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0.438</w:t>
            </w:r>
          </w:p>
        </w:tc>
        <w:tc>
          <w:tcPr>
            <w:tcW w:type="dxa" w:w="39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  <w:t>Ranking transfers; threshold boundary needs adaptation.</w:t>
            </w:r>
          </w:p>
        </w:tc>
      </w:tr>
    </w:tbl>
    <w:p/>
    <w:p>
      <w:pPr>
        <w:pStyle w:val="Heading1"/>
      </w:pPr>
      <w:r>
        <w:t>6. 阶段性判断</w:t>
      </w:r>
    </w:p>
    <w:p>
      <w:pPr>
        <w:pStyle w:val="ListNumber"/>
        <w:spacing w:after="60"/>
      </w:pPr>
      <w:r>
        <w:t>内容解耦 fixation-event pipeline 已经成立，EMS、HBN、GazeBase 可以进入同一 encoder-ready schema。</w:t>
      </w:r>
    </w:p>
    <w:p>
      <w:pPr>
        <w:pStyle w:val="ListNumber"/>
        <w:spacing w:after="60"/>
      </w:pPr>
      <w:r>
        <w:t>当前最稳的 encoder 证据来自 EMS-only MEM fine-tune，多 seed 下平均 AUC 和 balanced accuracy 均优于 from scratch。</w:t>
      </w:r>
    </w:p>
    <w:p>
      <w:pPr>
        <w:pStyle w:val="ListNumber"/>
        <w:spacing w:after="60"/>
      </w:pPr>
      <w:r>
        <w:t>HBN 技术链路已完成，但目前不作为优先优化路线。</w:t>
      </w:r>
    </w:p>
    <w:p>
      <w:pPr>
        <w:pStyle w:val="ListNumber"/>
        <w:spacing w:after="60"/>
      </w:pPr>
      <w:r>
        <w:t>GazeBase 值得保留，因为它提供了与 EMS-only 不同的错误模式：更高 specificity、更低 sensitivity。</w:t>
      </w:r>
    </w:p>
    <w:p>
      <w:pPr>
        <w:pStyle w:val="ListNumber"/>
        <w:spacing w:after="60"/>
      </w:pPr>
      <w:r>
        <w:t>正式超参数消融应推迟到 Saliency4ASD 和 CRCNS 至少完成基础数据源筛选之后。</w:t>
      </w:r>
    </w:p>
    <w:p>
      <w:pPr>
        <w:pStyle w:val="Heading1"/>
      </w:pPr>
      <w:r>
        <w:t>7. 下一阶段计划</w:t>
      </w:r>
    </w:p>
    <w:p>
      <w:r>
        <w:t>下一阶段不应直接进入大规模刷分，而应先完成剩余数据源筛选，再选择一到两条最有希望的预训练路线做受控消融。建议顺序如下：</w:t>
      </w:r>
    </w:p>
    <w:p>
      <w:pPr>
        <w:pStyle w:val="ListNumber"/>
        <w:spacing w:after="60"/>
      </w:pPr>
      <w:r>
        <w:t>接入 Saliency4ASD：确认文件结构，解析 fixation/scanpath，统一到 EyeNet fixation-event schema。ASD 标签只可作为辅助任务候选，不能与 EMS SZ/HC 混合。</w:t>
      </w:r>
    </w:p>
    <w:p>
      <w:pPr>
        <w:pStyle w:val="ListNumber"/>
        <w:spacing w:after="60"/>
      </w:pPr>
      <w:r>
        <w:t>核查 CRCNS eye-1：确认本地数据是否完整，再决定是否实现 adapter。</w:t>
      </w:r>
    </w:p>
    <w:p>
      <w:pPr>
        <w:pStyle w:val="ListNumber"/>
        <w:spacing w:after="60"/>
      </w:pPr>
      <w:r>
        <w:t>对每个新数据源只使用固定 baseline 超参数，不做调参，先跑 source+EMS MEM fine-tune/frozen。</w:t>
      </w:r>
    </w:p>
    <w:p>
      <w:pPr>
        <w:pStyle w:val="ListNumber"/>
        <w:spacing w:after="60"/>
      </w:pPr>
      <w:r>
        <w:t>完成数据源筛选后再做小范围消融：hidden_dim 32/64/128，dropout 0.1/0.3/0.5，max_seq_len 1000/1500/2500。</w:t>
      </w:r>
    </w:p>
    <w:p>
      <w:pPr>
        <w:pStyle w:val="ListNumber"/>
        <w:spacing w:after="60"/>
      </w:pPr>
      <w:r>
        <w:t>最终模型选择必须基于 multi-seed mean/std，而不是某一个 split 的最高 AUC。</w:t>
      </w:r>
    </w:p>
    <w:p>
      <w:pPr>
        <w:pStyle w:val="Heading1"/>
      </w:pPr>
      <w:r>
        <w:t>8. 当前论文表述限制</w:t>
      </w:r>
    </w:p>
    <w:p>
      <w:pPr>
        <w:pStyle w:val="ListBullet"/>
        <w:spacing w:after="60"/>
      </w:pPr>
      <w:r>
        <w:t>不能声称模型已经达到临床诊断水平；当前只支持初步筛查和风险排序表述。</w:t>
      </w:r>
    </w:p>
    <w:p>
      <w:pPr>
        <w:pStyle w:val="ListBullet"/>
        <w:spacing w:after="60"/>
      </w:pPr>
      <w:r>
        <w:t>不能声称公共数据必然提升；HBN 已经显示公共数据可能无增益。</w:t>
      </w:r>
    </w:p>
    <w:p>
      <w:pPr>
        <w:pStyle w:val="ListBullet"/>
        <w:spacing w:after="60"/>
      </w:pPr>
      <w:r>
        <w:t>不能只报告最高单 split；EMS 样本小，必须报告 multi-seed 统计。</w:t>
      </w:r>
    </w:p>
    <w:p>
      <w:pPr>
        <w:pStyle w:val="ListBullet"/>
        <w:spacing w:after="60"/>
      </w:pPr>
      <w:r>
        <w:t>不能混合不同疾病标签形成统一二分类标签。</w:t>
      </w:r>
    </w:p>
    <w:p>
      <w:pPr>
        <w:pStyle w:val="ListBullet"/>
        <w:spacing w:after="60"/>
      </w:pPr>
      <w:r>
        <w:t>不能把 task_id、video_id、image_id 或刺激语义作为 universal encoder 输入。</w:t>
      </w:r>
    </w:p>
    <w:p>
      <w:pPr>
        <w:pStyle w:val="Heading1"/>
      </w:pPr>
      <w:r>
        <w:t>参考文献草稿</w:t>
      </w:r>
    </w:p>
    <w:p>
      <w:pPr>
        <w:pStyle w:val="ListBullet"/>
        <w:spacing w:after="60"/>
      </w:pPr>
      <w:r>
        <w:t>Song et al., 2024. EMS: A Large-Scale Eye Movement Dataset, Benchmark and New Model for Schizophrenia Recognition. IEEE Transactions on Neural Networks and Learning Systems.</w:t>
      </w:r>
    </w:p>
    <w:p>
      <w:pPr>
        <w:pStyle w:val="ListBullet"/>
        <w:spacing w:after="60"/>
      </w:pPr>
      <w:r>
        <w:t>Holmqvist et al., 2011. Eye Tracking: A Comprehensive Guide to Methods and Measures. Oxford University Press.</w:t>
      </w:r>
    </w:p>
    <w:p>
      <w:pPr>
        <w:pStyle w:val="ListBullet"/>
        <w:spacing w:after="60"/>
      </w:pPr>
      <w:r>
        <w:t>Liu &amp; Deubel, 2018. An elaborate algorithm for automatic processing of eye movement data and identifying fixations in eye-tracking experiments. Biomedical Engineering Online.</w:t>
      </w:r>
    </w:p>
    <w:p>
      <w:pPr>
        <w:pStyle w:val="ListBullet"/>
        <w:spacing w:after="60"/>
      </w:pPr>
      <w:r>
        <w:t>Bengio, Courville &amp; Vincent, 2013. Representation learning: A review and new perspectives. IEEE TPAMI.</w:t>
      </w:r>
    </w:p>
    <w:p>
      <w:pPr>
        <w:pStyle w:val="ListBullet"/>
        <w:spacing w:after="60"/>
      </w:pPr>
      <w:r>
        <w:t>Srivastava et al., 2014. Dropout: A simple way to prevent neural networks from overfitting. JMLR.</w:t>
      </w:r>
    </w:p>
    <w:p>
      <w:pPr>
        <w:pStyle w:val="ListBullet"/>
        <w:spacing w:after="60"/>
      </w:pPr>
      <w:r>
        <w:t>Kornblith et al., 2019. Do Better ImageNet Models Transfer Better? CVPR.</w:t>
      </w:r>
    </w:p>
    <w:sectPr w:rsidR="00FC693F" w:rsidRPr="0006063C" w:rsidSect="00034616">
      <w:footerReference w:type="default" r:id="rId9"/>
      <w:pgSz w:w="12240" w:h="15840"/>
      <w:pgMar w:top="1181" w:right="1181" w:bottom="1181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7"/>
      </w:rPr>
      <w:t>EyeNet content-agnostic screening model | working draft | 2026-05-23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0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B254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