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Content-Agnostic Eye-Movement Representation Learning for Screening</w:t>
      </w:r>
    </w:p>
    <w:p>
      <w:pPr>
        <w:jc w:val="center"/>
      </w:pPr>
      <w:r>
        <w:rPr>
          <w:i/>
          <w:color w:val="666666"/>
          <w:sz w:val="20"/>
        </w:rPr>
        <w:t>Working draft: EMS downstream validation and public-data MEM pretraining</w:t>
      </w:r>
    </w:p>
    <w:p>
      <w:pPr>
        <w:pStyle w:val="Heading1"/>
      </w:pPr>
      <w:r>
        <w:t>Abstract</w:t>
      </w:r>
    </w:p>
    <w:p>
      <w:r>
        <w:t>This working draft summarizes the current EyeNet content-agnostic eye-movement screening pipeline. The model uses fixation-event sequences rather than image, video, AOI, or task-content features. EMS is the current schizophrenia versus healthy-control downstream benchmark. Public datasets are first converted into a shared fixation-event schema and then used for masked event modeling (MEM) pretraining.</w:t>
      </w:r>
    </w:p>
    <w:p>
      <w:r>
        <w:t>Across five EMS stratified splits, EMS-only MEM followed by supervised fine-tuning improves over from-scratch encoder training. After screening HBN, GazeBase, OneStop, and CRCNS eye-1, the current primary aligned model is a BiGRU64 encoder pretrained on EMS+CRCNS eye-1 with span masking probability 0.45 and dropout 0.3, then fine-tuned on EMS. The evidence remains preliminary because EMS has only 160 labeled subjects.</w:t>
      </w:r>
    </w:p>
    <w:p>
      <w:pPr>
        <w:pStyle w:val="Heading1"/>
      </w:pPr>
      <w:r>
        <w:t>1. Modeling Boundary</w:t>
      </w:r>
    </w:p>
    <w:p>
      <w:r>
        <w:t>The project is designed for low-burden risk screening and representation learning, not clinical diagnosis. It intentionally excludes stimulus semantics and dataset-specific content fields from the universal encoder. Disease labels from different disorders are not merged into one binary target.</w:t>
      </w:r>
    </w:p>
    <w:p>
      <w:pPr>
        <w:pStyle w:val="ListBullet"/>
        <w:spacing w:after="60"/>
      </w:pPr>
      <w:r>
        <w:t>Universal input unit: fixation event.</w:t>
      </w:r>
    </w:p>
    <w:p>
      <w:pPr>
        <w:pStyle w:val="ListBullet"/>
        <w:spacing w:after="60"/>
      </w:pPr>
      <w:r>
        <w:t>Universal feature schema: encoder_no_position_core, 13 features.</w:t>
      </w:r>
    </w:p>
    <w:p>
      <w:pPr>
        <w:pStyle w:val="ListBullet"/>
        <w:spacing w:after="60"/>
      </w:pPr>
      <w:r>
        <w:t>Primary downstream target: EMS SZ/HC classification.</w:t>
      </w:r>
    </w:p>
    <w:p>
      <w:pPr>
        <w:pStyle w:val="ListBullet"/>
        <w:spacing w:after="60"/>
      </w:pPr>
      <w:r>
        <w:t>Public datasets are used for self-supervised pretraining unless a dataset-specific auxiliary head is explicitly defined.</w:t>
      </w:r>
    </w:p>
    <w:p>
      <w:pPr>
        <w:pStyle w:val="Heading1"/>
      </w:pPr>
      <w:r>
        <w:t>2. Dataset Status</w:t>
      </w:r>
    </w:p>
    <w:tbl>
      <w:tblPr>
        <w:tblStyle w:val="TableGrid"/>
        <w:tblW w:type="dxa" w:w="9240"/>
        <w:jc w:val="center"/>
        <w:tblLayout w:type="fixed"/>
        <w:tblLook w:firstColumn="1" w:firstRow="1" w:lastColumn="0" w:lastRow="0" w:noHBand="0" w:noVBand="1" w:val="04A0"/>
      </w:tblPr>
      <w:tblGrid>
        <w:gridCol w:w="1150"/>
        <w:gridCol w:w="1100"/>
        <w:gridCol w:w="1050"/>
        <w:gridCol w:w="1300"/>
        <w:gridCol w:w="4640"/>
      </w:tblGrid>
      <w:tr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Subjects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Fixation events</w:t>
            </w:r>
          </w:p>
        </w:tc>
        <w:tc>
          <w:tcPr>
            <w:tcW w:type="dxa" w:w="46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b w:val="0"/>
                <w:sz w:val="16"/>
              </w:rPr>
              <w:t>EMS</w:t>
            </w:r>
          </w:p>
        </w:tc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225,159</w:t>
            </w:r>
          </w:p>
        </w:tc>
        <w:tc>
          <w:tcPr>
            <w:tcW w:type="dxa" w:w="4640"/>
          </w:tcPr>
          <w:p>
            <w:pPr>
              <w:spacing w:after="0"/>
            </w:pPr>
            <w:r>
              <w:rPr>
                <w:b w:val="0"/>
                <w:sz w:val="16"/>
              </w:rPr>
              <w:t>Primary SZ/HC downstream benchmark.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b w:val="0"/>
                <w:sz w:val="16"/>
              </w:rPr>
              <w:t>HBN</w:t>
            </w:r>
          </w:p>
        </w:tc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1,244 usable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1,684,382</w:t>
            </w:r>
          </w:p>
        </w:tc>
        <w:tc>
          <w:tcPr>
            <w:tcW w:type="dxa" w:w="4640"/>
          </w:tcPr>
          <w:p>
            <w:pPr>
              <w:spacing w:after="0"/>
            </w:pPr>
            <w:r>
              <w:rPr>
                <w:b w:val="0"/>
                <w:sz w:val="16"/>
              </w:rPr>
              <w:t>Technically integrated; not currently the best transfer source.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b w:val="0"/>
                <w:sz w:val="16"/>
              </w:rPr>
              <w:t>GazeBase</w:t>
            </w:r>
          </w:p>
        </w:tc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843,517</w:t>
            </w:r>
          </w:p>
        </w:tc>
        <w:tc>
          <w:tcPr>
            <w:tcW w:type="dxa" w:w="4640"/>
          </w:tcPr>
          <w:p>
            <w:pPr>
              <w:spacing w:after="0"/>
            </w:pPr>
            <w:r>
              <w:rPr>
                <w:b w:val="0"/>
                <w:sz w:val="16"/>
              </w:rPr>
              <w:t>Video tasks VD1/VD2; high-specificity single-split behavior.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b w:val="0"/>
                <w:sz w:val="16"/>
              </w:rPr>
              <w:t>OneStop</w:t>
            </w:r>
          </w:p>
        </w:tc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360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2,042,834</w:t>
            </w:r>
          </w:p>
        </w:tc>
        <w:tc>
          <w:tcPr>
            <w:tcW w:type="dxa" w:w="4640"/>
          </w:tcPr>
          <w:p>
            <w:pPr>
              <w:spacing w:after="0"/>
            </w:pPr>
            <w:r>
              <w:rPr>
                <w:b w:val="0"/>
                <w:sz w:val="16"/>
              </w:rPr>
              <w:t>Reading corpus; technically integrated, weaker EMS transfer.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b w:val="0"/>
                <w:sz w:val="16"/>
              </w:rPr>
              <w:t>CRCNS eye-1</w:t>
            </w:r>
          </w:p>
        </w:tc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67,172</w:t>
            </w:r>
          </w:p>
        </w:tc>
        <w:tc>
          <w:tcPr>
            <w:tcW w:type="dxa" w:w="4640"/>
          </w:tcPr>
          <w:p>
            <w:pPr>
              <w:spacing w:after="0"/>
            </w:pPr>
            <w:r>
              <w:rPr>
                <w:b w:val="0"/>
                <w:sz w:val="16"/>
              </w:rPr>
              <w:t>Natural movie-viewing source; current best public transfer route.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b w:val="0"/>
                <w:sz w:val="16"/>
              </w:rPr>
              <w:t>Saliency4ASD</w:t>
            </w:r>
          </w:p>
        </w:tc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Deferred</w:t>
            </w:r>
          </w:p>
        </w:tc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TBD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TBD</w:t>
            </w:r>
          </w:p>
        </w:tc>
        <w:tc>
          <w:tcPr>
            <w:tcW w:type="dxa" w:w="4640"/>
          </w:tcPr>
          <w:p>
            <w:pPr>
              <w:spacing w:after="0"/>
            </w:pPr>
            <w:r>
              <w:rPr>
                <w:b w:val="0"/>
                <w:sz w:val="16"/>
              </w:rPr>
              <w:t>Pseudo-subject/session structure; ASD labels must not be merged with SZ/HC.</w:t>
            </w:r>
          </w:p>
        </w:tc>
      </w:tr>
    </w:tbl>
    <w:p/>
    <w:p>
      <w:pPr>
        <w:pStyle w:val="Heading1"/>
      </w:pPr>
      <w:r>
        <w:t>3. Current Encoder</w:t>
      </w:r>
    </w:p>
    <w:p>
      <w:r>
        <w:t>The primary model is deliberately small: a 13-dimensional event vector is projected to 64 dimensions, passed through a one-layer bidirectional GRU, pooled by masked attention, and fine-tuned with a supervised binary head. MEM uses span masking and a learnable mask token rather than replacing masked values with zero.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70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Setting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b w:val="0"/>
                <w:sz w:val="16"/>
              </w:rPr>
              <w:t>Input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b w:val="0"/>
                <w:sz w:val="16"/>
              </w:rPr>
              <w:t>[batch, sequence_length, 13]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b w:val="0"/>
                <w:sz w:val="16"/>
              </w:rPr>
              <w:t>Projection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b w:val="0"/>
                <w:sz w:val="16"/>
              </w:rPr>
              <w:t>Linear(13 -&gt; 64) + LayerNorm + ReLU + Dropout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b w:val="0"/>
                <w:sz w:val="16"/>
              </w:rPr>
              <w:t>Temporal encoder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b w:val="0"/>
                <w:sz w:val="16"/>
              </w:rPr>
              <w:t>1-layer BiGRU, hidden_dim=64, event embedding=128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b w:val="0"/>
                <w:sz w:val="16"/>
              </w:rPr>
              <w:t>Pooling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b w:val="0"/>
                <w:sz w:val="16"/>
              </w:rPr>
              <w:t>Masked attention pooling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b w:val="0"/>
                <w:sz w:val="16"/>
              </w:rPr>
              <w:t>Optimizer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b w:val="0"/>
                <w:sz w:val="16"/>
              </w:rPr>
              <w:t>AdamW, learning_rate=1e-3, weight_decay=1e-4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b w:val="0"/>
                <w:sz w:val="16"/>
              </w:rPr>
              <w:t>Training protocol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b w:val="0"/>
                <w:sz w:val="16"/>
              </w:rPr>
              <w:t>batch_size=8, max_seq_len=1500, gradient_clip_norm=5.0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b w:val="0"/>
                <w:sz w:val="16"/>
              </w:rPr>
              <w:t>MEM masking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b w:val="0"/>
                <w:sz w:val="16"/>
              </w:rPr>
              <w:t>span masking, probability 0.45 in current primary model, span length 2-8</w:t>
            </w:r>
          </w:p>
        </w:tc>
      </w:tr>
    </w:tbl>
    <w:p/>
    <w:p>
      <w:pPr>
        <w:pStyle w:val="Heading1"/>
      </w:pPr>
      <w:r>
        <w:t>4. EMS Multi-Seed Baseline</w:t>
      </w:r>
    </w:p>
    <w:p>
      <w:r>
        <w:t>The first controlled comparison used five EMS subject-level 60/20/20 splits. The threshold reported below is selected on the validation split by balanced accuracy.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1300"/>
        <w:gridCol w:w="1550"/>
        <w:gridCol w:w="1000"/>
        <w:gridCol w:w="1000"/>
        <w:gridCol w:w="3060"/>
      </w:tblGrid>
      <w:tr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Experiment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AUC</w:t>
            </w:r>
          </w:p>
        </w:tc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Balanced accuracy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Sensitivity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Specificity</w:t>
            </w:r>
          </w:p>
        </w:tc>
        <w:tc>
          <w:tcPr>
            <w:tcW w:type="dxa" w:w="30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b w:val="0"/>
                <w:sz w:val="16"/>
              </w:rPr>
              <w:t>From scratch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0.784 +/- 0.069</w:t>
            </w:r>
          </w:p>
        </w:tc>
        <w:tc>
          <w:tcPr>
            <w:tcW w:type="dxa" w:w="15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0.700 +/- 0.114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0.800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0.600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b w:val="0"/>
                <w:sz w:val="16"/>
              </w:rPr>
              <w:t>Supervised encoder baseline.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b w:val="0"/>
                <w:sz w:val="16"/>
              </w:rPr>
              <w:t>EMS MEM frozen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0.716 +/- 0.059</w:t>
            </w:r>
          </w:p>
        </w:tc>
        <w:tc>
          <w:tcPr>
            <w:tcW w:type="dxa" w:w="15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0.619 +/- 0.081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0.813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0.425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b w:val="0"/>
                <w:sz w:val="16"/>
              </w:rPr>
              <w:t>Pretrained encoder alone is insufficient.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b w:val="0"/>
                <w:sz w:val="16"/>
              </w:rPr>
              <w:t>EMS MEM fine-tune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0.832 +/- 0.065</w:t>
            </w:r>
          </w:p>
        </w:tc>
        <w:tc>
          <w:tcPr>
            <w:tcW w:type="dxa" w:w="15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0.763 +/- 0.052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0.800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0.725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b w:val="0"/>
                <w:sz w:val="16"/>
              </w:rPr>
              <w:t>Best EMS-only multi-seed route.</w:t>
            </w:r>
          </w:p>
        </w:tc>
      </w:tr>
    </w:tbl>
    <w:p/>
    <w:p>
      <w:pPr>
        <w:pStyle w:val="Heading1"/>
      </w:pPr>
      <w:r>
        <w:t>5. Public Dataset Screening</w:t>
      </w:r>
    </w:p>
    <w:p>
      <w:r>
        <w:t>Public data did not behave as a monotonic scaling variable. CRCNS eye-1 produced the most promising single-source public transfer result, while GazeBase provided a more conservative high-specificity operating point. HBN and OneStop are technically integrated but are not current priority pretraining sources.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850"/>
        <w:gridCol w:w="1350"/>
        <w:gridCol w:w="1000"/>
        <w:gridCol w:w="1000"/>
        <w:gridCol w:w="3060"/>
      </w:tblGrid>
      <w:tr>
        <w:tc>
          <w:tcPr>
            <w:tcW w:type="dxa" w:w="2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Pretraining source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AUC</w:t>
            </w:r>
          </w:p>
        </w:tc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Balanced accuracy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Sensitivity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Specificity</w:t>
            </w:r>
          </w:p>
        </w:tc>
        <w:tc>
          <w:tcPr>
            <w:tcW w:type="dxa" w:w="30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b w:val="0"/>
                <w:sz w:val="16"/>
              </w:rPr>
              <w:t>EMS-only MEM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0.891</w:t>
            </w:r>
          </w:p>
        </w:tc>
        <w:tc>
          <w:tcPr>
            <w:tcW w:type="dxa" w:w="13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0.750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0.938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0.563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b w:val="0"/>
                <w:sz w:val="16"/>
              </w:rPr>
              <w:t>Strong EMS-only seed42 result.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b w:val="0"/>
                <w:sz w:val="16"/>
              </w:rPr>
              <w:t>HBN+EMS MEM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0.859</w:t>
            </w:r>
          </w:p>
        </w:tc>
        <w:tc>
          <w:tcPr>
            <w:tcW w:type="dxa" w:w="13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0.719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0.875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0.563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b w:val="0"/>
                <w:sz w:val="16"/>
              </w:rPr>
              <w:t>No clear gain over EMS-only.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b w:val="0"/>
                <w:sz w:val="16"/>
              </w:rPr>
              <w:t>GazeBase+EMS MEM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0.863</w:t>
            </w:r>
          </w:p>
        </w:tc>
        <w:tc>
          <w:tcPr>
            <w:tcW w:type="dxa" w:w="13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0.813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0.750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0.875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b w:val="0"/>
                <w:sz w:val="16"/>
              </w:rPr>
              <w:t>High-specificity operating point.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b w:val="0"/>
                <w:sz w:val="16"/>
              </w:rPr>
              <w:t>OneStop+EMS MEM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0.891</w:t>
            </w:r>
          </w:p>
        </w:tc>
        <w:tc>
          <w:tcPr>
            <w:tcW w:type="dxa" w:w="13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0.719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0.938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0.500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b w:val="0"/>
                <w:sz w:val="16"/>
              </w:rPr>
              <w:t>Good AUC, weak specificity.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b w:val="0"/>
                <w:sz w:val="16"/>
              </w:rPr>
              <w:t>CRCNS eye-1+EMS MEM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0.910</w:t>
            </w:r>
          </w:p>
        </w:tc>
        <w:tc>
          <w:tcPr>
            <w:tcW w:type="dxa" w:w="13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0.781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0.750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0.813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b w:val="0"/>
                <w:sz w:val="16"/>
              </w:rPr>
              <w:t>Best public single-source AUC candidate.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b w:val="0"/>
                <w:sz w:val="16"/>
              </w:rPr>
              <w:t>GazeBase+CRCNS+EMS MEM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0.898</w:t>
            </w:r>
          </w:p>
        </w:tc>
        <w:tc>
          <w:tcPr>
            <w:tcW w:type="dxa" w:w="13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0.781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0.938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0.625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b w:val="0"/>
                <w:sz w:val="16"/>
              </w:rPr>
              <w:t>Fusion did not clearly beat CRCNS-only.</w:t>
            </w:r>
          </w:p>
        </w:tc>
      </w:tr>
    </w:tbl>
    <w:p/>
    <w:p>
      <w:pPr>
        <w:pStyle w:val="Heading1"/>
      </w:pPr>
      <w:r>
        <w:t>6. Strict Aligned Model Selection</w:t>
      </w:r>
    </w:p>
    <w:p>
      <w:r>
        <w:t>For final model selection, mixed self-supervised pretraining is aligned to the EMS downstream split: EMS test subjects are not allowed into MEM train. Non-EMS datasets are split independently by subject. This avoids optimistic leakage from target-dataset test subjects during self-supervised pretraining.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850"/>
        <w:gridCol w:w="650"/>
        <w:gridCol w:w="1100"/>
        <w:gridCol w:w="1350"/>
        <w:gridCol w:w="900"/>
        <w:gridCol w:w="900"/>
        <w:gridCol w:w="1710"/>
      </w:tblGrid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Experiment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Mode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Seeds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AUC</w:t>
            </w:r>
          </w:p>
        </w:tc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Balanced accuracy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Sensitivity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Specificity</w:t>
            </w:r>
          </w:p>
        </w:tc>
        <w:tc>
          <w:tcPr>
            <w:tcW w:type="dxa" w:w="17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Decision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b w:val="0"/>
                <w:sz w:val="16"/>
              </w:rPr>
              <w:t>CRCNS+EMS MEM, dropout 0.3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fine-tune</w:t>
            </w:r>
          </w:p>
        </w:tc>
        <w:tc>
          <w:tcPr>
            <w:tcW w:type="dxa" w:w="6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0.813 +/- 0.062</w:t>
            </w:r>
          </w:p>
        </w:tc>
        <w:tc>
          <w:tcPr>
            <w:tcW w:type="dxa" w:w="13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0.725 +/- 0.060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0.788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0.663</w:t>
            </w:r>
          </w:p>
        </w:tc>
        <w:tc>
          <w:tcPr>
            <w:tcW w:type="dxa" w:w="171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Primary model.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b w:val="0"/>
                <w:sz w:val="16"/>
              </w:rPr>
              <w:t>CRCNS+EMS MEM, dropout 0.4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fine-tune</w:t>
            </w:r>
          </w:p>
        </w:tc>
        <w:tc>
          <w:tcPr>
            <w:tcW w:type="dxa" w:w="6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0.804 +/- 0.043</w:t>
            </w:r>
          </w:p>
        </w:tc>
        <w:tc>
          <w:tcPr>
            <w:tcW w:type="dxa" w:w="13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0.719 +/- 0.049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0.713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0.725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b w:val="0"/>
                <w:sz w:val="16"/>
              </w:rPr>
              <w:t>Higher specificity, lower sensitivity.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b w:val="0"/>
                <w:sz w:val="16"/>
              </w:rPr>
              <w:t>CRCNS+EMS MEM, dropout 0.3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frozen</w:t>
            </w:r>
          </w:p>
        </w:tc>
        <w:tc>
          <w:tcPr>
            <w:tcW w:type="dxa" w:w="6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0.719 +/- 0.072</w:t>
            </w:r>
          </w:p>
        </w:tc>
        <w:tc>
          <w:tcPr>
            <w:tcW w:type="dxa" w:w="13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0.613 +/- 0.098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0.813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0.413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b w:val="0"/>
                <w:sz w:val="16"/>
              </w:rPr>
              <w:t>Frozen probing is weak.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b w:val="0"/>
                <w:sz w:val="16"/>
              </w:rPr>
              <w:t>CRCNS+EMS MEM, dropout 0.4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frozen</w:t>
            </w:r>
          </w:p>
        </w:tc>
        <w:tc>
          <w:tcPr>
            <w:tcW w:type="dxa" w:w="6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0.709 +/- 0.067</w:t>
            </w:r>
          </w:p>
        </w:tc>
        <w:tc>
          <w:tcPr>
            <w:tcW w:type="dxa" w:w="135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0.631 +/- 0.060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0.763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0.500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b w:val="0"/>
                <w:sz w:val="16"/>
              </w:rPr>
              <w:t>Frozen probing remains secondary.</w:t>
            </w:r>
          </w:p>
        </w:tc>
      </w:tr>
    </w:tbl>
    <w:p/>
    <w:p>
      <w:pPr>
        <w:pStyle w:val="Heading1"/>
      </w:pPr>
      <w:r>
        <w:t>7. Current Decision</w:t>
      </w:r>
    </w:p>
    <w:p>
      <w:r>
        <w:t>The current primary model is bigru64_ems_crcns_mask045_aligned: BiGRU64, span masking probability 0.45, dropout 0.3, batch size 8, max sequence length 1500, EMS-anchor aligned split, and supervised fine-tuning. Dropout 0.4 is retained as a secondary high-specificity candidate but is not the primary model.</w:t>
      </w:r>
    </w:p>
    <w:p>
      <w:pPr>
        <w:pStyle w:val="ListBullet"/>
        <w:spacing w:after="60"/>
      </w:pPr>
      <w:r>
        <w:t>Do not use frozen probing as the main downstream method.</w:t>
      </w:r>
    </w:p>
    <w:p>
      <w:pPr>
        <w:pStyle w:val="ListBullet"/>
        <w:spacing w:after="60"/>
      </w:pPr>
      <w:r>
        <w:t>Do not include single-seed mask0.30 or batch16 runs in the final comparison.</w:t>
      </w:r>
    </w:p>
    <w:p>
      <w:pPr>
        <w:pStyle w:val="ListBullet"/>
        <w:spacing w:after="60"/>
      </w:pPr>
      <w:r>
        <w:t>Report multi-seed mean and standard deviation rather than the best single split.</w:t>
      </w:r>
    </w:p>
    <w:p>
      <w:pPr>
        <w:pStyle w:val="ListBullet"/>
        <w:spacing w:after="60"/>
      </w:pPr>
      <w:r>
        <w:t>Treat all current EMS results as preliminary because the labeled cohort is small.</w:t>
      </w:r>
    </w:p>
    <w:p>
      <w:pPr>
        <w:pStyle w:val="Heading1"/>
      </w:pPr>
      <w:r>
        <w:t>8. Next Work</w:t>
      </w:r>
    </w:p>
    <w:p>
      <w:r>
        <w:t>The next stage should pause broad architecture search and focus on documentation, protocol cleanup, and one targeted confirmation experiment only if needed.</w:t>
      </w:r>
    </w:p>
    <w:p>
      <w:pPr>
        <w:pStyle w:val="ListNumber"/>
        <w:spacing w:after="60"/>
      </w:pPr>
      <w:r>
        <w:t>Finalize the combined result table comparing from-scratch, EMS-only MEM, and aligned CRCNS+EMS MEM.</w:t>
      </w:r>
    </w:p>
    <w:p>
      <w:pPr>
        <w:pStyle w:val="ListNumber"/>
        <w:spacing w:after="60"/>
      </w:pPr>
      <w:r>
        <w:t>Document the aligned split protocol as the main no-leakage model-selection protocol.</w:t>
      </w:r>
    </w:p>
    <w:p>
      <w:pPr>
        <w:pStyle w:val="ListNumber"/>
        <w:spacing w:after="60"/>
      </w:pPr>
      <w:r>
        <w:t>Optionally test max_seq_len=3000 for the selected dropout 0.3 model while keeping batch size fixed at 8.</w:t>
      </w:r>
    </w:p>
    <w:p>
      <w:pPr>
        <w:pStyle w:val="ListNumber"/>
        <w:spacing w:after="60"/>
      </w:pPr>
      <w:r>
        <w:t>Move to additional dataset work only after the current result is cleanly documented.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7"/>
      </w:rPr>
      <w:t>EyeNet working draft | 2026-05-25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