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6266"/>
          <w:sz w:val="60"/>
        </w:rPr>
        <w:t>WhatsApp Sentiment Lab</w:t>
      </w:r>
    </w:p>
    <w:p>
      <w:pPr>
        <w:jc w:val="center"/>
      </w:pPr>
      <w:r>
        <w:rPr>
          <w:i/>
          <w:color w:val="1F2937"/>
          <w:sz w:val="28"/>
        </w:rPr>
        <w:t>Entraînement d'un modèle local de classification de sentiment</w:t>
        <w:br/>
        <w:t>sur des données réelles issues de WhatsApp</w:t>
      </w:r>
    </w:p>
    <w:p/>
    <w:p>
      <w:pPr>
        <w:jc w:val="center"/>
      </w:pPr>
      <w:r>
        <w:rPr>
          <w:color w:val="555555"/>
          <w:sz w:val="24"/>
        </w:rPr>
        <w:t>Document de présentation académique</w:t>
      </w:r>
    </w:p>
    <w:p/>
    <w:p/>
    <w:p/>
    <w:p/>
    <w:p/>
    <w:p/>
    <w:p>
      <w:pPr>
        <w:jc w:val="center"/>
      </w:pPr>
      <w:r>
        <w:rPr>
          <w:color w:val="1F2937"/>
          <w:sz w:val="24"/>
        </w:rPr>
        <w:t>Auteure : Victoire HABAMUNGU</w:t>
        <w:br/>
        <w:t>Année académique : 2025 - 2026</w:t>
      </w:r>
    </w:p>
    <w:p>
      <w:r>
        <w:br w:type="page"/>
      </w:r>
    </w:p>
    <w:p>
      <w:pPr>
        <w:pStyle w:val="Heading1"/>
      </w:pPr>
      <w:r>
        <w:t>Sommaire</w:t>
      </w:r>
    </w:p>
    <w:p>
      <w:pPr>
        <w:spacing w:after="80"/>
      </w:pPr>
      <w:r>
        <w:rPr>
          <w:b w:val="0"/>
          <w:i w:val="0"/>
          <w:color w:val="1F2937"/>
          <w:sz w:val="24"/>
        </w:rPr>
        <w:t>1. Introduction</w:t>
      </w:r>
    </w:p>
    <w:p>
      <w:pPr>
        <w:spacing w:after="80"/>
      </w:pPr>
      <w:r>
        <w:rPr>
          <w:b w:val="0"/>
          <w:i w:val="0"/>
          <w:color w:val="1F2937"/>
          <w:sz w:val="24"/>
        </w:rPr>
        <w:t>2. Contexte et problématique</w:t>
      </w:r>
    </w:p>
    <w:p>
      <w:pPr>
        <w:spacing w:after="80"/>
      </w:pPr>
      <w:r>
        <w:rPr>
          <w:b w:val="0"/>
          <w:i w:val="0"/>
          <w:color w:val="1F2937"/>
          <w:sz w:val="24"/>
        </w:rPr>
        <w:t>3. Objectifs du projet</w:t>
      </w:r>
    </w:p>
    <w:p>
      <w:pPr>
        <w:spacing w:after="80"/>
      </w:pPr>
      <w:r>
        <w:rPr>
          <w:b w:val="0"/>
          <w:i w:val="0"/>
          <w:color w:val="1F2937"/>
          <w:sz w:val="24"/>
        </w:rPr>
        <w:t>4. Constitution et préparation du corpus d'entraînement</w:t>
      </w:r>
    </w:p>
    <w:p>
      <w:pPr>
        <w:spacing w:after="80"/>
      </w:pPr>
      <w:r>
        <w:rPr>
          <w:b w:val="0"/>
          <w:i w:val="0"/>
          <w:color w:val="1F2937"/>
          <w:sz w:val="24"/>
        </w:rPr>
        <w:t>5. Architecture générale du système</w:t>
      </w:r>
    </w:p>
    <w:p>
      <w:pPr>
        <w:spacing w:after="80"/>
      </w:pPr>
      <w:r>
        <w:rPr>
          <w:b w:val="0"/>
          <w:i w:val="0"/>
          <w:color w:val="1F2937"/>
          <w:sz w:val="24"/>
        </w:rPr>
        <w:t>6. Méthodologie d'entraînement du modèle local</w:t>
      </w:r>
    </w:p>
    <w:p>
      <w:pPr>
        <w:spacing w:after="80"/>
      </w:pPr>
      <w:r>
        <w:rPr>
          <w:b w:val="0"/>
          <w:i w:val="0"/>
          <w:color w:val="1F2937"/>
          <w:sz w:val="24"/>
        </w:rPr>
        <w:t>7. Résultats obtenus</w:t>
      </w:r>
    </w:p>
    <w:p>
      <w:pPr>
        <w:spacing w:after="80"/>
      </w:pPr>
      <w:r>
        <w:rPr>
          <w:b w:val="0"/>
          <w:i w:val="0"/>
          <w:color w:val="1F2937"/>
          <w:sz w:val="24"/>
        </w:rPr>
        <w:t>8. Fonctionnalités de l'application</w:t>
      </w:r>
    </w:p>
    <w:p>
      <w:pPr>
        <w:spacing w:after="80"/>
      </w:pPr>
      <w:r>
        <w:rPr>
          <w:b w:val="0"/>
          <w:i w:val="0"/>
          <w:color w:val="1F2937"/>
          <w:sz w:val="24"/>
        </w:rPr>
        <w:t>9. Difficultés rencontrées et solutions apportées</w:t>
      </w:r>
    </w:p>
    <w:p>
      <w:pPr>
        <w:spacing w:after="80"/>
      </w:pPr>
      <w:r>
        <w:rPr>
          <w:b w:val="0"/>
          <w:i w:val="0"/>
          <w:color w:val="1F2937"/>
          <w:sz w:val="24"/>
        </w:rPr>
        <w:t>10. Limites actuelles</w:t>
      </w:r>
    </w:p>
    <w:p>
      <w:pPr>
        <w:spacing w:after="80"/>
      </w:pPr>
      <w:r>
        <w:rPr>
          <w:b w:val="0"/>
          <w:i w:val="0"/>
          <w:color w:val="1F2937"/>
          <w:sz w:val="24"/>
        </w:rPr>
        <w:t>11. Perspectives d'amélioration</w:t>
      </w:r>
    </w:p>
    <w:p>
      <w:pPr>
        <w:spacing w:after="80"/>
      </w:pPr>
      <w:r>
        <w:rPr>
          <w:b w:val="0"/>
          <w:i w:val="0"/>
          <w:color w:val="1F2937"/>
          <w:sz w:val="24"/>
        </w:rPr>
        <w:t>12. Conclusion</w:t>
      </w:r>
    </w:p>
    <w:p>
      <w:pPr>
        <w:spacing w:after="80"/>
      </w:pPr>
      <w:r>
        <w:rPr>
          <w:b w:val="0"/>
          <w:i w:val="0"/>
          <w:color w:val="1F2937"/>
          <w:sz w:val="24"/>
        </w:rPr>
        <w:t>13. Références</w:t>
      </w:r>
    </w:p>
    <w:p>
      <w:r>
        <w:br w:type="page"/>
      </w:r>
    </w:p>
    <w:p>
      <w:pPr>
        <w:pStyle w:val="Heading1"/>
      </w:pPr>
      <w:r>
        <w:t>1. Introduction</w:t>
      </w:r>
    </w:p>
    <w:p>
      <w:pPr>
        <w:spacing w:after="160"/>
      </w:pPr>
      <w:r>
        <w:rPr>
          <w:b w:val="0"/>
          <w:i w:val="0"/>
          <w:color w:val="1F2937"/>
          <w:sz w:val="22"/>
        </w:rPr>
        <w:t>Les messageries instantanées occupent une place centrale dans la communication quotidienne. WhatsApp, en particulier, est utilisé aussi bien pour les échanges privés que pour les discussions de groupe, et génère un volume considérable de messages porteurs d'informations sur l'état émotionnel des participants et sur le climat relationnel d'un groupe.</w:t>
      </w:r>
    </w:p>
    <w:p>
      <w:pPr>
        <w:spacing w:after="160"/>
      </w:pPr>
      <w:r>
        <w:rPr>
          <w:b w:val="0"/>
          <w:i w:val="0"/>
          <w:color w:val="1F2937"/>
          <w:sz w:val="22"/>
        </w:rPr>
        <w:t>Ce document présente le projet « WhatsApp Sentiment Lab », une application qui importe un export de conversation WhatsApp et classe automatiquement chaque message selon son sentiment (positif, neutre ou négatif) à l'aide d'un modèle de langage entraîné localement. Il retrace la démarche suivie depuis la constitution du corpus jusqu'à l'entraînement du modèle, en détaillant les difficultés rencontrées et les corrections apportées à chaque étape.</w:t>
      </w:r>
    </w:p>
    <w:p>
      <w:pPr>
        <w:pStyle w:val="Heading1"/>
      </w:pPr>
      <w:r>
        <w:t>2. Contexte et problématique</w:t>
      </w:r>
    </w:p>
    <w:p>
      <w:pPr>
        <w:spacing w:after="160"/>
      </w:pPr>
      <w:r>
        <w:rPr>
          <w:b w:val="0"/>
          <w:i w:val="0"/>
          <w:color w:val="1F2937"/>
          <w:sz w:val="22"/>
        </w:rPr>
        <w:t>L'analyse de sentiment appliquée à des conversations de groupe permet de révéler des tendances difficiles à percevoir manuellement lorsque le volume de messages devient important, par exemple une dégradation progressive du climat d'échange. Pour être exploitable dans un cadre académique et fonctionner sans dépendance à un service externe au moment de la classification, un tel système doit reposer sur un modèle réellement entraîné sur un jeu de données constitué pour la tâche, et non sur un service tiers appelé à la volée.</w:t>
      </w:r>
    </w:p>
    <w:p>
      <w:pPr>
        <w:spacing w:after="160"/>
      </w:pPr>
      <w:r>
        <w:rPr>
          <w:b w:val="0"/>
          <w:i w:val="0"/>
          <w:color w:val="1F2937"/>
          <w:sz w:val="22"/>
        </w:rPr>
        <w:t>La problématique du projet est donc la suivante : comment constituer un corpus annoté représentatif d'un groupe WhatsApp réel, mêlant français et swahili de Bukavu avec de l'argot et du changement de langue en cours de message, puis entraîner sur ce corpus un classifieur de sentiment fonctionnant entièrement en local, sans dépendance à un service externe au moment de la classification ?</w:t>
      </w:r>
    </w:p>
    <w:p>
      <w:pPr>
        <w:pStyle w:val="Heading1"/>
      </w:pPr>
      <w:r>
        <w:t>3. Objectifs du projet</w:t>
      </w:r>
    </w:p>
    <w:p>
      <w:pPr>
        <w:pStyle w:val="Heading2"/>
      </w:pPr>
      <w:r>
        <w:t>3.1. Objectif général</w:t>
      </w:r>
    </w:p>
    <w:p>
      <w:pPr>
        <w:spacing w:after="160"/>
      </w:pPr>
      <w:r>
        <w:rPr>
          <w:b w:val="0"/>
          <w:i w:val="0"/>
          <w:color w:val="1F2937"/>
          <w:sz w:val="22"/>
        </w:rPr>
        <w:t>Concevoir, entraîner et intégrer un classifieur de sentiment local, capable de traiter le français et le swahili de Bukavu avec leur argot respectif, à partir de messages réels extraits d'un groupe WhatsApp universitaire.</w:t>
      </w:r>
    </w:p>
    <w:p>
      <w:pPr>
        <w:pStyle w:val="Heading2"/>
      </w:pPr>
      <w:r>
        <w:t>3.2. Objectifs spécifiques</w:t>
      </w:r>
    </w:p>
    <w:p>
      <w:pPr>
        <w:pStyle w:val="ListBullet"/>
        <w:spacing w:after="80"/>
      </w:pPr>
      <w:r>
        <w:rPr>
          <w:color w:val="1F2937"/>
          <w:sz w:val="22"/>
        </w:rPr>
        <w:t>Extraire et nettoyer des exports WhatsApp réels pour constituer un réservoir de messages exploitables.</w:t>
      </w:r>
    </w:p>
    <w:p>
      <w:pPr>
        <w:pStyle w:val="ListBullet"/>
        <w:spacing w:after="80"/>
      </w:pPr>
      <w:r>
        <w:rPr>
          <w:color w:val="1F2937"/>
          <w:sz w:val="22"/>
        </w:rPr>
        <w:t>Annoter un échantillon représentatif de ce réservoir selon trois catégories de sentiment.</w:t>
      </w:r>
    </w:p>
    <w:p>
      <w:pPr>
        <w:pStyle w:val="ListBullet"/>
        <w:spacing w:after="80"/>
      </w:pPr>
      <w:r>
        <w:rPr>
          <w:color w:val="1F2937"/>
          <w:sz w:val="22"/>
        </w:rPr>
        <w:t>Entraîner un classifieur local à partir d'un modèle multilingue pré-entraîné.</w:t>
      </w:r>
    </w:p>
    <w:p>
      <w:pPr>
        <w:pStyle w:val="ListBullet"/>
        <w:spacing w:after="80"/>
      </w:pPr>
      <w:r>
        <w:rPr>
          <w:color w:val="1F2937"/>
          <w:sz w:val="22"/>
        </w:rPr>
        <w:t>Diagnostiquer et corriger les problèmes rencontrés au fil de l'entraînement plutôt que de se contenter d'un premier résultat.</w:t>
      </w:r>
    </w:p>
    <w:p>
      <w:pPr>
        <w:pStyle w:val="ListBullet"/>
        <w:spacing w:after="80"/>
      </w:pPr>
      <w:r>
        <w:rPr>
          <w:color w:val="1F2937"/>
          <w:sz w:val="22"/>
        </w:rPr>
        <w:t>Intégrer le modèle entraîné dans une application de tableau de bord.</w:t>
      </w:r>
    </w:p>
    <w:p>
      <w:pPr>
        <w:pStyle w:val="Heading1"/>
      </w:pPr>
      <w:r>
        <w:t>4. Constitution et préparation du corpus d'entraînement</w:t>
      </w:r>
    </w:p>
    <w:p>
      <w:pPr>
        <w:pStyle w:val="Heading2"/>
      </w:pPr>
      <w:r>
        <w:t>4.1. Sources de données</w:t>
      </w:r>
    </w:p>
    <w:p>
      <w:pPr>
        <w:spacing w:after="160"/>
      </w:pPr>
      <w:r>
        <w:rPr>
          <w:b w:val="0"/>
          <w:i w:val="0"/>
          <w:color w:val="1F2937"/>
          <w:sz w:val="22"/>
        </w:rPr>
        <w:t>J'ai utilisé quatre exports WhatsApp réels. Le groupe cible du projet, « UCB Bac 2 Informatique », est celui sur lequel le modèle final doit être jugé. Trois autres groupes ont servi à enrichir la diversité linguistique et de registre du corpus d'entraînement, sans être eux-mêmes l'objectif final de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402"/>
            <w:shd w:val="clear" w:color="auto" w:fill="0F6266"/>
          </w:tcPr>
          <w:p>
            <w:r/>
            <w:r>
              <w:rPr>
                <w:b/>
                <w:color w:val="FFFFFF"/>
                <w:sz w:val="20"/>
              </w:rPr>
              <w:t>Source</w:t>
            </w:r>
          </w:p>
        </w:tc>
        <w:tc>
          <w:tcPr>
            <w:tcW w:type="dxa" w:w="2835"/>
            <w:shd w:val="clear" w:color="auto" w:fill="0F6266"/>
          </w:tcPr>
          <w:p>
            <w:r/>
            <w:r>
              <w:rPr>
                <w:b/>
                <w:color w:val="FFFFFF"/>
                <w:sz w:val="20"/>
              </w:rPr>
              <w:t>Rôle</w:t>
            </w:r>
          </w:p>
        </w:tc>
        <w:tc>
          <w:tcPr>
            <w:tcW w:type="dxa" w:w="3118"/>
            <w:shd w:val="clear" w:color="auto" w:fill="0F6266"/>
          </w:tcPr>
          <w:p>
            <w:r/>
            <w:r>
              <w:rPr>
                <w:b/>
                <w:color w:val="FFFFFF"/>
                <w:sz w:val="20"/>
              </w:rPr>
              <w:t>Messages exploitables après nettoyage</w:t>
            </w:r>
          </w:p>
        </w:tc>
      </w:tr>
      <w:tr>
        <w:tc>
          <w:tcPr>
            <w:tcW w:type="dxa" w:w="3402"/>
          </w:tcPr>
          <w:p>
            <w:r/>
            <w:r>
              <w:rPr>
                <w:color w:val="1F2937"/>
                <w:sz w:val="20"/>
              </w:rPr>
              <w:t>UCB Bac 2 Informatique</w:t>
            </w:r>
          </w:p>
        </w:tc>
        <w:tc>
          <w:tcPr>
            <w:tcW w:type="dxa" w:w="2835"/>
          </w:tcPr>
          <w:p>
            <w:r/>
            <w:r>
              <w:rPr>
                <w:color w:val="1F2937"/>
                <w:sz w:val="20"/>
              </w:rPr>
              <w:t>Groupe cible</w:t>
            </w:r>
          </w:p>
        </w:tc>
        <w:tc>
          <w:tcPr>
            <w:tcW w:type="dxa" w:w="3118"/>
          </w:tcPr>
          <w:p>
            <w:r/>
            <w:r>
              <w:rPr>
                <w:color w:val="1F2937"/>
                <w:sz w:val="20"/>
              </w:rPr>
              <w:t>22 985</w:t>
            </w:r>
          </w:p>
        </w:tc>
      </w:tr>
      <w:tr>
        <w:tc>
          <w:tcPr>
            <w:tcW w:type="dxa" w:w="3402"/>
          </w:tcPr>
          <w:p>
            <w:r/>
            <w:r>
              <w:rPr>
                <w:color w:val="1F2937"/>
                <w:sz w:val="20"/>
              </w:rPr>
              <w:t>Groupe sportif (PRINCE OBIB)</w:t>
            </w:r>
          </w:p>
        </w:tc>
        <w:tc>
          <w:tcPr>
            <w:tcW w:type="dxa" w:w="2835"/>
          </w:tcPr>
          <w:p>
            <w:r/>
            <w:r>
              <w:rPr>
                <w:color w:val="1F2937"/>
                <w:sz w:val="20"/>
              </w:rPr>
              <w:t>Diversité linguistique</w:t>
            </w:r>
          </w:p>
        </w:tc>
        <w:tc>
          <w:tcPr>
            <w:tcW w:type="dxa" w:w="3118"/>
          </w:tcPr>
          <w:p>
            <w:r/>
            <w:r>
              <w:rPr>
                <w:color w:val="1F2937"/>
                <w:sz w:val="20"/>
              </w:rPr>
              <w:t>19 599</w:t>
            </w:r>
          </w:p>
        </w:tc>
      </w:tr>
      <w:tr>
        <w:tc>
          <w:tcPr>
            <w:tcW w:type="dxa" w:w="3402"/>
          </w:tcPr>
          <w:p>
            <w:r/>
            <w:r>
              <w:rPr>
                <w:color w:val="1F2937"/>
                <w:sz w:val="20"/>
              </w:rPr>
              <w:t>Équipe produit Kelor Tech</w:t>
            </w:r>
          </w:p>
        </w:tc>
        <w:tc>
          <w:tcPr>
            <w:tcW w:type="dxa" w:w="2835"/>
          </w:tcPr>
          <w:p>
            <w:r/>
            <w:r>
              <w:rPr>
                <w:color w:val="1F2937"/>
                <w:sz w:val="20"/>
              </w:rPr>
              <w:t>Diversité linguistique</w:t>
            </w:r>
          </w:p>
        </w:tc>
        <w:tc>
          <w:tcPr>
            <w:tcW w:type="dxa" w:w="3118"/>
          </w:tcPr>
          <w:p>
            <w:r/>
            <w:r>
              <w:rPr>
                <w:color w:val="1F2937"/>
                <w:sz w:val="20"/>
              </w:rPr>
              <w:t>432</w:t>
            </w:r>
          </w:p>
        </w:tc>
      </w:tr>
      <w:tr>
        <w:tc>
          <w:tcPr>
            <w:tcW w:type="dxa" w:w="3402"/>
          </w:tcPr>
          <w:p>
            <w:r/>
            <w:r>
              <w:rPr>
                <w:color w:val="1F2937"/>
                <w:sz w:val="20"/>
              </w:rPr>
              <w:t>Promotion A6 19-20</w:t>
            </w:r>
          </w:p>
        </w:tc>
        <w:tc>
          <w:tcPr>
            <w:tcW w:type="dxa" w:w="2835"/>
          </w:tcPr>
          <w:p>
            <w:r/>
            <w:r>
              <w:rPr>
                <w:color w:val="1F2937"/>
                <w:sz w:val="20"/>
              </w:rPr>
              <w:t>Diversité linguistique</w:t>
            </w:r>
          </w:p>
        </w:tc>
        <w:tc>
          <w:tcPr>
            <w:tcW w:type="dxa" w:w="3118"/>
          </w:tcPr>
          <w:p>
            <w:r/>
            <w:r>
              <w:rPr>
                <w:color w:val="1F2937"/>
                <w:sz w:val="20"/>
              </w:rPr>
              <w:t>64</w:t>
            </w:r>
          </w:p>
        </w:tc>
      </w:tr>
    </w:tbl>
    <w:p>
      <w:pPr>
        <w:spacing w:after="160"/>
      </w:pPr>
      <w:r>
        <w:rPr>
          <w:b w:val="0"/>
          <w:i w:val="0"/>
          <w:color w:val="1F2937"/>
          <w:sz w:val="22"/>
        </w:rPr>
        <w:t>Au total, 43 080 messages exploitables ont été extraits de ces quatre sources, après élimination des messages système de WhatsApp (ajouts au groupe, médias omis, avis de chiffrement, marqueurs de message modifié) et des doublons exacts.</w:t>
      </w:r>
    </w:p>
    <w:p>
      <w:pPr>
        <w:pStyle w:val="Heading2"/>
      </w:pPr>
      <w:r>
        <w:t>4.2. Extraction et nettoyage</w:t>
      </w:r>
    </w:p>
    <w:p>
      <w:pPr>
        <w:spacing w:after="160"/>
      </w:pPr>
      <w:r>
        <w:rPr>
          <w:b w:val="0"/>
          <w:i w:val="0"/>
          <w:color w:val="1F2937"/>
          <w:sz w:val="22"/>
        </w:rPr>
        <w:t>L'extraction réutilise l'analyseur de conversation déjà présent dans l'application (reconnaissance des deux formats de ligne WhatsApp et des différents formats de date). Ce travail d'extraction sur des données réelles a révélé deux anomalies du code qui n'étaient pas visibles avec des exemples fabriqués à la main : un format de date américain sur 24 heures non reconnu, provoquant l'échec de l'analyse dès la première ligne concernée, et un message au texte vide (par exemple un message supprimé) qui faisait échouer l'extraction de son contenu. Les deux anomalies ont été corrigées directement dans le code d'analyse.</w:t>
      </w:r>
    </w:p>
    <w:p>
      <w:pPr>
        <w:pStyle w:val="Heading2"/>
      </w:pPr>
      <w:r>
        <w:t>4.3. Premières annotations et déséquilibre linguistique</w:t>
      </w:r>
    </w:p>
    <w:p>
      <w:pPr>
        <w:spacing w:after="160"/>
      </w:pPr>
      <w:r>
        <w:rPr>
          <w:b w:val="0"/>
          <w:i w:val="0"/>
          <w:color w:val="1F2937"/>
          <w:sz w:val="22"/>
        </w:rPr>
        <w:t>J'ai prélevé un premier échantillon stratifié de 964 messages, pondéré vers le groupe cible (500 messages sur 22 985), et je l'ai annoté selon trois catégories : positif, neutre, négatif. Cette première annotation a donné 225 messages positifs, 534 neutres et 205 négatifs.</w:t>
      </w:r>
    </w:p>
    <w:p>
      <w:pPr>
        <w:spacing w:after="160"/>
      </w:pPr>
      <w:r>
        <w:rPr>
          <w:b w:val="0"/>
          <w:i w:val="0"/>
          <w:color w:val="1F2937"/>
          <w:sz w:val="22"/>
        </w:rPr>
        <w:t>En comparant la composition linguistique de cet échantillon à la langue principale réelle du groupe, j'ai constaté que le français n'y représentait qu'environ 27 % des messages, une proportion insuffisante puisque le français est la langue principale du groupe cible. J'ai donc prélevé un second lot de 604 messages supplémentaires, sélectionnés spécifiquement pour leur dominante française, et je les ai annotés de la même manière. Le corpus final compte ainsi 1 568 messages annotés.</w:t>
      </w:r>
    </w:p>
    <w:p>
      <w:pPr>
        <w:pStyle w:val="Heading1"/>
      </w:pPr>
      <w:r>
        <w:t>5. Architecture générale du système</w:t>
      </w:r>
    </w:p>
    <w:p>
      <w:pPr>
        <w:spacing w:after="160"/>
      </w:pPr>
      <w:r>
        <w:rPr>
          <w:b w:val="0"/>
          <w:i w:val="0"/>
          <w:color w:val="1F2937"/>
          <w:sz w:val="22"/>
        </w:rPr>
        <w:t>L'architecture reste celle d'une application client-serveur : un backend FastAPI expose une API HTTP consommée par un client Next.js. Le seul changement structurel porte sur le module de classification, qui n'appelle plus une API externe mais charge un modèle entraîné localement à partir d'un dossier sur disque.</w:t>
      </w:r>
    </w:p>
    <w:tbl>
      <w:tblPr>
        <w:tblStyle w:val="TableGrid"/>
        <w:tblW w:type="auto" w:w="0"/>
        <w:jc w:val="center"/>
        <w:tblLook w:firstColumn="1" w:firstRow="1" w:lastColumn="0" w:lastRow="0" w:noHBand="0" w:noVBand="1" w:val="04A0"/>
      </w:tblPr>
      <w:tblGrid>
        <w:gridCol w:w="4703"/>
        <w:gridCol w:w="4703"/>
      </w:tblGrid>
      <w:tr>
        <w:tc>
          <w:tcPr>
            <w:tcW w:type="dxa" w:w="3969"/>
            <w:shd w:val="clear" w:color="auto" w:fill="0F6266"/>
          </w:tcPr>
          <w:p>
            <w:r/>
            <w:r>
              <w:rPr>
                <w:b/>
                <w:color w:val="FFFFFF"/>
                <w:sz w:val="20"/>
              </w:rPr>
              <w:t>Module</w:t>
            </w:r>
          </w:p>
        </w:tc>
        <w:tc>
          <w:tcPr>
            <w:tcW w:type="dxa" w:w="5386"/>
            <w:shd w:val="clear" w:color="auto" w:fill="0F6266"/>
          </w:tcPr>
          <w:p>
            <w:r/>
            <w:r>
              <w:rPr>
                <w:b/>
                <w:color w:val="FFFFFF"/>
                <w:sz w:val="20"/>
              </w:rPr>
              <w:t>Rôle</w:t>
            </w:r>
          </w:p>
        </w:tc>
      </w:tr>
      <w:tr>
        <w:tc>
          <w:tcPr>
            <w:tcW w:type="dxa" w:w="3969"/>
          </w:tcPr>
          <w:p>
            <w:r/>
            <w:r>
              <w:rPr>
                <w:color w:val="1F2937"/>
                <w:sz w:val="20"/>
              </w:rPr>
              <w:t>app.py</w:t>
            </w:r>
          </w:p>
        </w:tc>
        <w:tc>
          <w:tcPr>
            <w:tcW w:type="dxa" w:w="5386"/>
          </w:tcPr>
          <w:p>
            <w:r/>
            <w:r>
              <w:rPr>
                <w:color w:val="1F2937"/>
                <w:sz w:val="20"/>
              </w:rPr>
              <w:t>Routes de l'API et orchestration des requêtes</w:t>
            </w:r>
          </w:p>
        </w:tc>
      </w:tr>
      <w:tr>
        <w:tc>
          <w:tcPr>
            <w:tcW w:type="dxa" w:w="3969"/>
          </w:tcPr>
          <w:p>
            <w:r/>
            <w:r>
              <w:rPr>
                <w:color w:val="1F2937"/>
                <w:sz w:val="20"/>
              </w:rPr>
              <w:t>uploads.py</w:t>
            </w:r>
          </w:p>
        </w:tc>
        <w:tc>
          <w:tcPr>
            <w:tcW w:type="dxa" w:w="5386"/>
          </w:tcPr>
          <w:p>
            <w:r/>
            <w:r>
              <w:rPr>
                <w:color w:val="1F2937"/>
                <w:sz w:val="20"/>
              </w:rPr>
              <w:t>Extraction des fichiers et analyse du texte exporté</w:t>
            </w:r>
          </w:p>
        </w:tc>
      </w:tr>
      <w:tr>
        <w:tc>
          <w:tcPr>
            <w:tcW w:type="dxa" w:w="3969"/>
          </w:tcPr>
          <w:p>
            <w:r/>
            <w:r>
              <w:rPr>
                <w:color w:val="1F2937"/>
                <w:sz w:val="20"/>
              </w:rPr>
              <w:t>local_model.py</w:t>
            </w:r>
          </w:p>
        </w:tc>
        <w:tc>
          <w:tcPr>
            <w:tcW w:type="dxa" w:w="5386"/>
          </w:tcPr>
          <w:p>
            <w:r/>
            <w:r>
              <w:rPr>
                <w:color w:val="1F2937"/>
                <w:sz w:val="20"/>
              </w:rPr>
              <w:t>Chargement du modèle entraîné et inférence locale</w:t>
            </w:r>
          </w:p>
        </w:tc>
      </w:tr>
      <w:tr>
        <w:tc>
          <w:tcPr>
            <w:tcW w:type="dxa" w:w="3969"/>
          </w:tcPr>
          <w:p>
            <w:r/>
            <w:r>
              <w:rPr>
                <w:color w:val="1F2937"/>
                <w:sz w:val="20"/>
              </w:rPr>
              <w:t>train_model.py</w:t>
            </w:r>
          </w:p>
        </w:tc>
        <w:tc>
          <w:tcPr>
            <w:tcW w:type="dxa" w:w="5386"/>
          </w:tcPr>
          <w:p>
            <w:r/>
            <w:r>
              <w:rPr>
                <w:color w:val="1F2937"/>
                <w:sz w:val="20"/>
              </w:rPr>
              <w:t>Script d'entraînement du classifieur</w:t>
            </w:r>
          </w:p>
        </w:tc>
      </w:tr>
      <w:tr>
        <w:tc>
          <w:tcPr>
            <w:tcW w:type="dxa" w:w="3969"/>
          </w:tcPr>
          <w:p>
            <w:r/>
            <w:r>
              <w:rPr>
                <w:color w:val="1F2937"/>
                <w:sz w:val="20"/>
              </w:rPr>
              <w:t>prepare_training_data.py</w:t>
            </w:r>
          </w:p>
        </w:tc>
        <w:tc>
          <w:tcPr>
            <w:tcW w:type="dxa" w:w="5386"/>
          </w:tcPr>
          <w:p>
            <w:r/>
            <w:r>
              <w:rPr>
                <w:color w:val="1F2937"/>
                <w:sz w:val="20"/>
              </w:rPr>
              <w:t>Extraction et nettoyage des exports bruts</w:t>
            </w:r>
          </w:p>
        </w:tc>
      </w:tr>
      <w:tr>
        <w:tc>
          <w:tcPr>
            <w:tcW w:type="dxa" w:w="3969"/>
          </w:tcPr>
          <w:p>
            <w:r/>
            <w:r>
              <w:rPr>
                <w:color w:val="1F2937"/>
                <w:sz w:val="20"/>
              </w:rPr>
              <w:t>sample_for_annotation.py / sample_more_french.py</w:t>
            </w:r>
          </w:p>
        </w:tc>
        <w:tc>
          <w:tcPr>
            <w:tcW w:type="dxa" w:w="5386"/>
          </w:tcPr>
          <w:p>
            <w:r/>
            <w:r>
              <w:rPr>
                <w:color w:val="1F2937"/>
                <w:sz w:val="20"/>
              </w:rPr>
              <w:t>Échantillonnage stratifié pour l'annotation</w:t>
            </w:r>
          </w:p>
        </w:tc>
      </w:tr>
      <w:tr>
        <w:tc>
          <w:tcPr>
            <w:tcW w:type="dxa" w:w="3969"/>
          </w:tcPr>
          <w:p>
            <w:r/>
            <w:r>
              <w:rPr>
                <w:color w:val="1F2937"/>
                <w:sz w:val="20"/>
              </w:rPr>
              <w:t>analytics.py</w:t>
            </w:r>
          </w:p>
        </w:tc>
        <w:tc>
          <w:tcPr>
            <w:tcW w:type="dxa" w:w="5386"/>
          </w:tcPr>
          <w:p>
            <w:r/>
            <w:r>
              <w:rPr>
                <w:color w:val="1F2937"/>
                <w:sz w:val="20"/>
              </w:rPr>
              <w:t>Calcul des indicateurs du tableau de bord</w:t>
            </w:r>
          </w:p>
        </w:tc>
      </w:tr>
      <w:tr>
        <w:tc>
          <w:tcPr>
            <w:tcW w:type="dxa" w:w="3969"/>
          </w:tcPr>
          <w:p>
            <w:r/>
            <w:r>
              <w:rPr>
                <w:color w:val="1F2937"/>
                <w:sz w:val="20"/>
              </w:rPr>
              <w:t>storage.py</w:t>
            </w:r>
          </w:p>
        </w:tc>
        <w:tc>
          <w:tcPr>
            <w:tcW w:type="dxa" w:w="5386"/>
          </w:tcPr>
          <w:p>
            <w:r/>
            <w:r>
              <w:rPr>
                <w:color w:val="1F2937"/>
                <w:sz w:val="20"/>
              </w:rPr>
              <w:t>Accès à la base de données SQLite</w:t>
            </w:r>
          </w:p>
        </w:tc>
      </w:tr>
    </w:tbl>
    <w:p>
      <w:pPr>
        <w:pStyle w:val="Heading1"/>
      </w:pPr>
      <w:r>
        <w:t>6. Méthodologie d'entraînement du modèle local</w:t>
      </w:r>
    </w:p>
    <w:p>
      <w:pPr>
        <w:spacing w:after="160"/>
      </w:pPr>
      <w:r>
        <w:rPr>
          <w:b w:val="0"/>
          <w:i w:val="0"/>
          <w:color w:val="1F2937"/>
          <w:sz w:val="22"/>
        </w:rPr>
        <w:t>Cette section retrace l'entraînement dans l'ordre où il s'est déroulé. Chaque tentative a été évaluée sur un ensemble de validation et un ensemble de test distincts (15 % des données chacun), afin de mesurer objectivement si une modification apportait une réelle amélioration.</w:t>
      </w:r>
    </w:p>
    <w:p>
      <w:pPr>
        <w:pStyle w:val="Heading2"/>
      </w:pPr>
      <w:r>
        <w:t>6.1. Choix du modèle de base</w:t>
      </w:r>
    </w:p>
    <w:p>
      <w:pPr>
        <w:spacing w:after="160"/>
      </w:pPr>
      <w:r>
        <w:rPr>
          <w:b w:val="0"/>
          <w:i w:val="0"/>
          <w:color w:val="1F2937"/>
          <w:sz w:val="22"/>
        </w:rPr>
        <w:t>J'ai choisi AfroXLMR-small (Davlan/afro-xlmr-small) comme encodeur de départ. Ce modèle, dérivé de XLM-RoBERTa, a été pré-entraîné sur un ensemble de langues africaines et convient donc mieux au swahili de Bukavu qu'un modèle multilingue générique. Sa taille réduite permet un entraînement sur processeur, sans carte graphique.</w:t>
      </w:r>
    </w:p>
    <w:p>
      <w:pPr>
        <w:pStyle w:val="Heading2"/>
      </w:pPr>
      <w:r>
        <w:t>6.2. Première tentative : classifieur figé et taux d'apprentissage inadapté</w:t>
      </w:r>
    </w:p>
    <w:p>
      <w:pPr>
        <w:spacing w:after="160"/>
      </w:pPr>
      <w:r>
        <w:rPr>
          <w:b w:val="0"/>
          <w:i w:val="0"/>
          <w:color w:val="1F2937"/>
          <w:sz w:val="22"/>
        </w:rPr>
        <w:t>La première tentative gelait les poids de l'encodeur et n'entraînait qu'une tête de classification linéaire ajoutée au-dessus, avec un taux d'apprentissage de 2e-5 sur 3 époques. La perte d'entraînement n'a presque pas bougé (de 1,038 à 1,001), et le modèle obtenu se contentait de toujours prédire la classe majoritaire : exactitude de 53 %, F1 macro de seulement 0,23, deux valeurs qui correspondent exactement à ce qu'obtiendrait un classifieur prédisant systématiquement « neutre ».</w:t>
      </w:r>
    </w:p>
    <w:p>
      <w:pPr>
        <w:spacing w:after="160"/>
      </w:pPr>
      <w:r>
        <w:rPr>
          <w:b w:val="0"/>
          <w:i w:val="0"/>
          <w:color w:val="1F2937"/>
          <w:sz w:val="22"/>
        </w:rPr>
        <w:t>J'ai identifié la cause : un taux d'apprentissage de 2e-5, adapté à l'ajustement d'un modèle déjà entraîné, est beaucoup trop faible pour entraîner une tête de classification initialisée aléatoirement.</w:t>
      </w:r>
    </w:p>
    <w:p>
      <w:pPr>
        <w:pStyle w:val="Heading2"/>
      </w:pPr>
      <w:r>
        <w:t>6.3. Deuxième tentative : ajustement du taux d'apprentissage</w:t>
      </w:r>
    </w:p>
    <w:p>
      <w:pPr>
        <w:spacing w:after="160"/>
      </w:pPr>
      <w:r>
        <w:rPr>
          <w:b w:val="0"/>
          <w:i w:val="0"/>
          <w:color w:val="1F2937"/>
          <w:sz w:val="22"/>
        </w:rPr>
        <w:t>J'ai relevé le taux d'apprentissage à 1e-3 pour l'entraînement de la tête seule et porté l'entraînement à 8 époques. Le F1 macro de validation est passé à 0,47, mais la perte a stagné autour de 0,92 après la troisième époque et l'écart entre validation (62 % d'exactitude) et test (49 %) restait important. J'en ai conclu que les représentations figées de l'encodeur, issues d'un pré-entraînement par masquage de mots et non par une tâche de sentiment, n'étaient pas suffisamment séparables pour cette tâche avec une simple tête linéaire.</w:t>
      </w:r>
    </w:p>
    <w:p>
      <w:pPr>
        <w:pStyle w:val="Heading2"/>
      </w:pPr>
      <w:r>
        <w:t>6.4. Ajustement complet du modèle et surapprentissage</w:t>
      </w:r>
    </w:p>
    <w:p>
      <w:pPr>
        <w:spacing w:after="160"/>
      </w:pPr>
      <w:r>
        <w:rPr>
          <w:b w:val="0"/>
          <w:i w:val="0"/>
          <w:color w:val="1F2937"/>
          <w:sz w:val="22"/>
        </w:rPr>
        <w:t>J'ai alors dégelé l'ensemble du modèle (option d'ajustement complet), avec un taux d'apprentissage de 2e-5 adapté à ce régime et une taille de lot réduite à 4 pour tenir compte de la mémoire disponible. Sur 4 époques, la perte a diminué régulièrement (de 1,00 à 0,67) et le F1 macro de test a atteint 0,505, la meilleure valeur obtenue jusque-là. Une vérification qualitative sur des messages réels non vus du groupe cible a toutefois révélé des erreurs nettes : des messages factuels (un montant de transfert, une simple question) étaient classés négatifs avec une confiance élevée.</w:t>
      </w:r>
    </w:p>
    <w:p>
      <w:pPr>
        <w:spacing w:after="160"/>
      </w:pPr>
      <w:r>
        <w:rPr>
          <w:b w:val="0"/>
          <w:i w:val="0"/>
          <w:color w:val="1F2937"/>
          <w:sz w:val="22"/>
        </w:rPr>
        <w:t>En poursuivant l'entraînement jusqu'à 10 époques sans autre changement, la perte d'entraînement est descendue jusqu'à 0,087, signe d'une mémorisation quasi complète du jeu d'entraînement, mais le F1 macro de test a légèrement reculé à 0,467 : le modèle avait dépassé son point optimal aux alentours de la quatrième ou cinquième époque et surapprenait au-delà.</w:t>
      </w:r>
    </w:p>
    <w:p>
      <w:pPr>
        <w:pStyle w:val="Heading2"/>
      </w:pPr>
      <w:r>
        <w:t>6.5. Sélection automatique du meilleur point de contrôle</w:t>
      </w:r>
    </w:p>
    <w:p>
      <w:pPr>
        <w:spacing w:after="160"/>
      </w:pPr>
      <w:r>
        <w:rPr>
          <w:b w:val="0"/>
          <w:i w:val="0"/>
          <w:color w:val="1F2937"/>
          <w:sz w:val="22"/>
        </w:rPr>
        <w:t>Pour ne plus dépendre d'un nombre d'époques fixé à l'avance, j'ai modifié le script d'entraînement afin qu'il évalue le F1 macro de validation après chaque époque et n'enregistre le modèle sur disque que lorsque ce score s'améliore. Le point de contrôle finalement conservé est donc le meilleur observé pendant l'entraînement, et non celui de la dernière époque. Une nouvelle exécution sur 6 époques a confirmé et reproduit ce mécanisme : la meilleure époque était la quatrième, avec les mêmes résultats que la tentative précédente (F1 macro de test de 0,505).</w:t>
      </w:r>
    </w:p>
    <w:p>
      <w:pPr>
        <w:pStyle w:val="Heading2"/>
      </w:pPr>
      <w:r>
        <w:t>6.6. Analyse des erreurs par langue et incohérence d'annotation</w:t>
      </w:r>
    </w:p>
    <w:p>
      <w:pPr>
        <w:spacing w:after="160"/>
      </w:pPr>
      <w:r>
        <w:rPr>
          <w:b w:val="0"/>
          <w:i w:val="0"/>
          <w:color w:val="1F2937"/>
          <w:sz w:val="22"/>
        </w:rPr>
        <w:t>Face à des résultats encore modestes, j'ai réparti les messages de l'ensemble de test en deux groupes selon leur langue dominante (français ou swahili de Bukavu, détectée par un comptage de mots-outils) pour vérifier si le français, langue majoritaire du corpus, obtenait de meilleurs résultats. L'exactitude était de 53,3 % sur les messages à dominante française contre 50,6 % sur les messages à dominante swahili, un écart trop faible pour expliquer les résultats limités : les deux groupes présentaient le même défaut, une confusion fréquente entre les messages réellement neutres et la classe négative.</w:t>
      </w:r>
    </w:p>
    <w:p>
      <w:pPr>
        <w:spacing w:after="160"/>
      </w:pPr>
      <w:r>
        <w:rPr>
          <w:b w:val="0"/>
          <w:i w:val="0"/>
          <w:color w:val="1F2937"/>
          <w:sz w:val="22"/>
        </w:rPr>
        <w:t>En examinant l'origine de cette confusion, j'ai relié le problème à la manière dont les données avaient été annotées par lots séparés : certains lots classaient beaucoup plus de messages en négatif que d'autres pour un contenu comparable, un signe d'incohérence entre lots plutôt qu'une difficulté propre à une langue.</w:t>
      </w:r>
    </w:p>
    <w:p>
      <w:pPr>
        <w:pStyle w:val="Heading2"/>
      </w:pPr>
      <w:r>
        <w:t>6.7. Réannotation du sous-corpus français</w:t>
      </w:r>
    </w:p>
    <w:p>
      <w:pPr>
        <w:spacing w:after="160"/>
      </w:pPr>
      <w:r>
        <w:rPr>
          <w:b w:val="0"/>
          <w:i w:val="0"/>
          <w:color w:val="1F2937"/>
          <w:sz w:val="22"/>
        </w:rPr>
        <w:t>J'ai réannoté les 883 messages à dominante française du corpus avec une grille unique et stricte, précisant explicitement que les affirmations factuelles, les scores sportifs et les formules de réassurance devaient être classés neutres par défaut, et réservant la classe négative aux plaintes, critiques ou marques d'hostilité exprimées par le locuteur lui-même. Cette réannotation a fait passer la part de messages négatifs dans ce sous-corpus d'environ 21 % à environ 6 %. Le corpus complet compte, après cette correction, 320 messages positifs, 1 056 neutres et 192 négatifs pour un total inchangé de 1 568 messages.</w:t>
      </w:r>
    </w:p>
    <w:p>
      <w:pPr>
        <w:pStyle w:val="Heading2"/>
      </w:pPr>
      <w:r>
        <w:t>6.8. Déséquilibre des classes et pondération de la fonction de perte</w:t>
      </w:r>
    </w:p>
    <w:p>
      <w:pPr>
        <w:spacing w:after="160"/>
      </w:pPr>
      <w:r>
        <w:rPr>
          <w:b w:val="0"/>
          <w:i w:val="0"/>
          <w:color w:val="1F2937"/>
          <w:sz w:val="22"/>
        </w:rPr>
        <w:t>Un nouvel entraînement sur ce corpus corrigé a fait progresser l'exactitude à 65-69 %, mais le F1 macro a légèrement reculé (0,44 à 0,48). L'examen de la matrice de confusion a montré la cause : la classe neutre représentant désormais 67 % des exemples d'entraînement, le modèle obtenait une bonne exactitude apparente en prédisant « neutre » par défaut, au prix d'un rappel très faible sur les classes positive (23 %) et négative (21 %).</w:t>
      </w:r>
    </w:p>
    <w:p>
      <w:pPr>
        <w:spacing w:after="160"/>
      </w:pPr>
      <w:r>
        <w:rPr>
          <w:b w:val="0"/>
          <w:i w:val="0"/>
          <w:color w:val="1F2937"/>
          <w:sz w:val="22"/>
        </w:rPr>
        <w:t>La fonction de perte utilisée jusque-là était une entropie croisée non pondérée, qui laisse un modèle minimiser sa perte moyenne en favorisant la classe majoritaire lorsque les classes sont déséquilibrées. J'ai corrigé le script d'entraînement pour pondérer chaque classe par l'inverse de sa fréquence dans l'ensemble d'entraînement, de sorte qu'une erreur sur un message négatif ou positif pèse proportionnellement plus qu'une erreur sur un message neutre. Cette correction était la dernière apportée au script au moment de la rédaction de ce document ; sa validation par un nouvel entraînement complet reste à effectuer.</w:t>
      </w:r>
    </w:p>
    <w:p>
      <w:pPr>
        <w:pStyle w:val="Heading1"/>
      </w:pPr>
      <w:r>
        <w:t>7. Résultats obtenus</w:t>
      </w:r>
    </w:p>
    <w:p>
      <w:pPr>
        <w:spacing w:after="160"/>
      </w:pPr>
      <w:r>
        <w:rPr>
          <w:b w:val="0"/>
          <w:i w:val="0"/>
          <w:color w:val="1F2937"/>
          <w:sz w:val="22"/>
        </w:rPr>
        <w:t>Le tableau suivant résume la progression des indicateurs de validation et de test au long des principales étapes d'entraînement décrites ci-dessus.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0F6266"/>
          </w:tcPr>
          <w:p>
            <w:r/>
            <w:r>
              <w:rPr>
                <w:b/>
                <w:color w:val="FFFFFF"/>
                <w:sz w:val="20"/>
              </w:rPr>
              <w:t>Étape</w:t>
            </w:r>
          </w:p>
        </w:tc>
        <w:tc>
          <w:tcPr>
            <w:tcW w:type="dxa" w:w="1701"/>
            <w:shd w:val="clear" w:color="auto" w:fill="0F6266"/>
          </w:tcPr>
          <w:p>
            <w:r/>
            <w:r>
              <w:rPr>
                <w:b/>
                <w:color w:val="FFFFFF"/>
                <w:sz w:val="20"/>
              </w:rPr>
              <w:t>Exactitude (test)</w:t>
            </w:r>
          </w:p>
        </w:tc>
        <w:tc>
          <w:tcPr>
            <w:tcW w:type="dxa" w:w="1701"/>
            <w:shd w:val="clear" w:color="auto" w:fill="0F6266"/>
          </w:tcPr>
          <w:p>
            <w:r/>
            <w:r>
              <w:rPr>
                <w:b/>
                <w:color w:val="FFFFFF"/>
                <w:sz w:val="20"/>
              </w:rPr>
              <w:t>F1 macro (test)</w:t>
            </w:r>
          </w:p>
        </w:tc>
        <w:tc>
          <w:tcPr>
            <w:tcW w:type="dxa" w:w="2835"/>
            <w:shd w:val="clear" w:color="auto" w:fill="0F6266"/>
          </w:tcPr>
          <w:p>
            <w:r/>
            <w:r>
              <w:rPr>
                <w:b/>
                <w:color w:val="FFFFFF"/>
                <w:sz w:val="20"/>
              </w:rPr>
              <w:t>Constat principal</w:t>
            </w:r>
          </w:p>
        </w:tc>
      </w:tr>
      <w:tr>
        <w:tc>
          <w:tcPr>
            <w:tcW w:type="dxa" w:w="3118"/>
          </w:tcPr>
          <w:p>
            <w:r/>
            <w:r>
              <w:rPr>
                <w:color w:val="1F2937"/>
                <w:sz w:val="20"/>
              </w:rPr>
              <w:t>Tête figée, taux 2e-5</w:t>
            </w:r>
          </w:p>
        </w:tc>
        <w:tc>
          <w:tcPr>
            <w:tcW w:type="dxa" w:w="1701"/>
          </w:tcPr>
          <w:p>
            <w:r/>
            <w:r>
              <w:rPr>
                <w:color w:val="1F2937"/>
                <w:sz w:val="20"/>
              </w:rPr>
              <w:t>53 %</w:t>
            </w:r>
          </w:p>
        </w:tc>
        <w:tc>
          <w:tcPr>
            <w:tcW w:type="dxa" w:w="1701"/>
          </w:tcPr>
          <w:p>
            <w:r/>
            <w:r>
              <w:rPr>
                <w:color w:val="1F2937"/>
                <w:sz w:val="20"/>
              </w:rPr>
              <w:t>0,23</w:t>
            </w:r>
          </w:p>
        </w:tc>
        <w:tc>
          <w:tcPr>
            <w:tcW w:type="dxa" w:w="2835"/>
          </w:tcPr>
          <w:p>
            <w:r/>
            <w:r>
              <w:rPr>
                <w:color w:val="1F2937"/>
                <w:sz w:val="20"/>
              </w:rPr>
              <w:t>Effondrement sur la classe majoritaire</w:t>
            </w:r>
          </w:p>
        </w:tc>
      </w:tr>
      <w:tr>
        <w:tc>
          <w:tcPr>
            <w:tcW w:type="dxa" w:w="3118"/>
          </w:tcPr>
          <w:p>
            <w:r/>
            <w:r>
              <w:rPr>
                <w:color w:val="1F2937"/>
                <w:sz w:val="20"/>
              </w:rPr>
              <w:t>Tête figée, taux 1e-3</w:t>
            </w:r>
          </w:p>
        </w:tc>
        <w:tc>
          <w:tcPr>
            <w:tcW w:type="dxa" w:w="1701"/>
          </w:tcPr>
          <w:p>
            <w:r/>
            <w:r>
              <w:rPr>
                <w:color w:val="1F2937"/>
                <w:sz w:val="20"/>
              </w:rPr>
              <w:t>49 %</w:t>
            </w:r>
          </w:p>
        </w:tc>
        <w:tc>
          <w:tcPr>
            <w:tcW w:type="dxa" w:w="1701"/>
          </w:tcPr>
          <w:p>
            <w:r/>
            <w:r>
              <w:rPr>
                <w:color w:val="1F2937"/>
                <w:sz w:val="20"/>
              </w:rPr>
              <w:t>0,37</w:t>
            </w:r>
          </w:p>
        </w:tc>
        <w:tc>
          <w:tcPr>
            <w:tcW w:type="dxa" w:w="2835"/>
          </w:tcPr>
          <w:p>
            <w:r/>
            <w:r>
              <w:rPr>
                <w:color w:val="1F2937"/>
                <w:sz w:val="20"/>
              </w:rPr>
              <w:t>Représentations figées insuffisantes</w:t>
            </w:r>
          </w:p>
        </w:tc>
      </w:tr>
      <w:tr>
        <w:tc>
          <w:tcPr>
            <w:tcW w:type="dxa" w:w="3118"/>
          </w:tcPr>
          <w:p>
            <w:r/>
            <w:r>
              <w:rPr>
                <w:color w:val="1F2937"/>
                <w:sz w:val="20"/>
              </w:rPr>
              <w:t>Ajustement complet, 4 époques</w:t>
            </w:r>
          </w:p>
        </w:tc>
        <w:tc>
          <w:tcPr>
            <w:tcW w:type="dxa" w:w="1701"/>
          </w:tcPr>
          <w:p>
            <w:r/>
            <w:r>
              <w:rPr>
                <w:color w:val="1F2937"/>
                <w:sz w:val="20"/>
              </w:rPr>
              <w:t>52 %</w:t>
            </w:r>
          </w:p>
        </w:tc>
        <w:tc>
          <w:tcPr>
            <w:tcW w:type="dxa" w:w="1701"/>
          </w:tcPr>
          <w:p>
            <w:r/>
            <w:r>
              <w:rPr>
                <w:color w:val="1F2937"/>
                <w:sz w:val="20"/>
              </w:rPr>
              <w:t>0,505</w:t>
            </w:r>
          </w:p>
        </w:tc>
        <w:tc>
          <w:tcPr>
            <w:tcW w:type="dxa" w:w="2835"/>
          </w:tcPr>
          <w:p>
            <w:r/>
            <w:r>
              <w:rPr>
                <w:color w:val="1F2937"/>
                <w:sz w:val="20"/>
              </w:rPr>
              <w:t>Meilleur résultat avant correction des labels</w:t>
            </w:r>
          </w:p>
        </w:tc>
      </w:tr>
      <w:tr>
        <w:tc>
          <w:tcPr>
            <w:tcW w:type="dxa" w:w="3118"/>
          </w:tcPr>
          <w:p>
            <w:r/>
            <w:r>
              <w:rPr>
                <w:color w:val="1F2937"/>
                <w:sz w:val="20"/>
              </w:rPr>
              <w:t>Ajustement complet, 10 époques</w:t>
            </w:r>
          </w:p>
        </w:tc>
        <w:tc>
          <w:tcPr>
            <w:tcW w:type="dxa" w:w="1701"/>
          </w:tcPr>
          <w:p>
            <w:r/>
            <w:r>
              <w:rPr>
                <w:color w:val="1F2937"/>
                <w:sz w:val="20"/>
              </w:rPr>
              <w:t>51 %</w:t>
            </w:r>
          </w:p>
        </w:tc>
        <w:tc>
          <w:tcPr>
            <w:tcW w:type="dxa" w:w="1701"/>
          </w:tcPr>
          <w:p>
            <w:r/>
            <w:r>
              <w:rPr>
                <w:color w:val="1F2937"/>
                <w:sz w:val="20"/>
              </w:rPr>
              <w:t>0,467</w:t>
            </w:r>
          </w:p>
        </w:tc>
        <w:tc>
          <w:tcPr>
            <w:tcW w:type="dxa" w:w="2835"/>
          </w:tcPr>
          <w:p>
            <w:r/>
            <w:r>
              <w:rPr>
                <w:color w:val="1F2937"/>
                <w:sz w:val="20"/>
              </w:rPr>
              <w:t>Surapprentissage au-delà de l'époque 4-5</w:t>
            </w:r>
          </w:p>
        </w:tc>
      </w:tr>
      <w:tr>
        <w:tc>
          <w:tcPr>
            <w:tcW w:type="dxa" w:w="3118"/>
          </w:tcPr>
          <w:p>
            <w:r/>
            <w:r>
              <w:rPr>
                <w:color w:val="1F2937"/>
                <w:sz w:val="20"/>
              </w:rPr>
              <w:t>Après réannotation du français</w:t>
            </w:r>
          </w:p>
        </w:tc>
        <w:tc>
          <w:tcPr>
            <w:tcW w:type="dxa" w:w="1701"/>
          </w:tcPr>
          <w:p>
            <w:r/>
            <w:r>
              <w:rPr>
                <w:color w:val="1F2937"/>
                <w:sz w:val="20"/>
              </w:rPr>
              <w:t>65 %</w:t>
            </w:r>
          </w:p>
        </w:tc>
        <w:tc>
          <w:tcPr>
            <w:tcW w:type="dxa" w:w="1701"/>
          </w:tcPr>
          <w:p>
            <w:r/>
            <w:r>
              <w:rPr>
                <w:color w:val="1F2937"/>
                <w:sz w:val="20"/>
              </w:rPr>
              <w:t>0,445</w:t>
            </w:r>
          </w:p>
        </w:tc>
        <w:tc>
          <w:tcPr>
            <w:tcW w:type="dxa" w:w="2835"/>
          </w:tcPr>
          <w:p>
            <w:r/>
            <w:r>
              <w:rPr>
                <w:color w:val="1F2937"/>
                <w:sz w:val="20"/>
              </w:rPr>
              <w:t>Biais vers la classe neutre majoritaire</w:t>
            </w:r>
          </w:p>
        </w:tc>
      </w:tr>
    </w:tbl>
    <w:p>
      <w:pPr>
        <w:spacing w:after="160"/>
      </w:pPr>
      <w:r>
        <w:rPr>
          <w:b w:val="0"/>
          <w:i w:val="0"/>
          <w:color w:val="1F2937"/>
          <w:sz w:val="22"/>
        </w:rPr>
        <w:t>Ces résultats restent modestes pour une tâche à trois classes, et cela reflète des contraintes réelles plutôt qu'un simple manque d'ajustement : un corpus d'entraînement de 1 098 messages est réduit pour ajuster complètement un modèle de type transformeur, l'annotation rapide d'un tel volume introduit nécessairement du bruit, et le mélange de français, de swahili de Bukavu et d'argot dans un même message est une difficulté linguistique intrinsèque, non un artefact du modèle.</w:t>
      </w:r>
    </w:p>
    <w:p>
      <w:pPr>
        <w:pStyle w:val="Heading1"/>
      </w:pPr>
      <w:r>
        <w:t>8. Fonctionnalités de l'application</w:t>
      </w:r>
    </w:p>
    <w:p>
      <w:pPr>
        <w:pStyle w:val="ListBullet"/>
        <w:spacing w:after="80"/>
      </w:pPr>
      <w:r>
        <w:rPr>
          <w:color w:val="1F2937"/>
          <w:sz w:val="22"/>
        </w:rPr>
        <w:t>Importation de fichiers WhatsApp .txt et .zip.</w:t>
      </w:r>
    </w:p>
    <w:p>
      <w:pPr>
        <w:pStyle w:val="ListBullet"/>
        <w:spacing w:after="80"/>
      </w:pPr>
      <w:r>
        <w:rPr>
          <w:color w:val="1F2937"/>
          <w:sz w:val="22"/>
        </w:rPr>
        <w:t>Classification locale en trois catégories : positif, neutre, négatif.</w:t>
      </w:r>
    </w:p>
    <w:p>
      <w:pPr>
        <w:pStyle w:val="ListBullet"/>
        <w:spacing w:after="80"/>
      </w:pPr>
      <w:r>
        <w:rPr>
          <w:color w:val="1F2937"/>
          <w:sz w:val="22"/>
        </w:rPr>
        <w:t>Filtre par période prédéfinie (24 heures, 7, 30, 90 jours) ou par plage de dates personnalisée.</w:t>
      </w:r>
    </w:p>
    <w:p>
      <w:pPr>
        <w:pStyle w:val="ListBullet"/>
        <w:spacing w:after="80"/>
      </w:pPr>
      <w:r>
        <w:rPr>
          <w:color w:val="1F2937"/>
          <w:sz w:val="22"/>
        </w:rPr>
        <w:t>Tableau de bord synchronisé sur la période effectivement sélectionnée (tendance, répartition par sentiment, texture émotionnelle).</w:t>
      </w:r>
    </w:p>
    <w:p>
      <w:pPr>
        <w:pStyle w:val="ListBullet"/>
        <w:spacing w:after="80"/>
      </w:pPr>
      <w:r>
        <w:rPr>
          <w:color w:val="1F2937"/>
          <w:sz w:val="22"/>
        </w:rPr>
        <w:t>Détection et signalement d'un pic de sentiment négatif.</w:t>
      </w:r>
    </w:p>
    <w:p>
      <w:pPr>
        <w:pStyle w:val="ListBullet"/>
        <w:spacing w:after="80"/>
      </w:pPr>
      <w:r>
        <w:rPr>
          <w:color w:val="1F2937"/>
          <w:sz w:val="22"/>
        </w:rPr>
        <w:t>Recherche et filtre des messages par sentiment.</w:t>
      </w:r>
    </w:p>
    <w:p>
      <w:pPr>
        <w:pStyle w:val="ListBullet"/>
        <w:spacing w:after="80"/>
      </w:pPr>
      <w:r>
        <w:rPr>
          <w:color w:val="1F2937"/>
          <w:sz w:val="22"/>
        </w:rPr>
        <w:t>Suppression complète des messages stockés, avec confirmation explicite.</w:t>
      </w:r>
    </w:p>
    <w:p>
      <w:pPr>
        <w:pStyle w:val="Heading1"/>
      </w:pPr>
      <w:r>
        <w:t>9. Difficultés rencontrées et solutions apportées</w:t>
      </w:r>
    </w:p>
    <w:tbl>
      <w:tblPr>
        <w:tblStyle w:val="TableGrid"/>
        <w:tblW w:type="auto" w:w="0"/>
        <w:jc w:val="center"/>
        <w:tblLook w:firstColumn="1" w:firstRow="1" w:lastColumn="0" w:lastRow="0" w:noHBand="0" w:noVBand="1" w:val="04A0"/>
      </w:tblPr>
      <w:tblGrid>
        <w:gridCol w:w="4703"/>
        <w:gridCol w:w="4703"/>
      </w:tblGrid>
      <w:tr>
        <w:tc>
          <w:tcPr>
            <w:tcW w:type="dxa" w:w="4535"/>
            <w:shd w:val="clear" w:color="auto" w:fill="0F6266"/>
          </w:tcPr>
          <w:p>
            <w:r/>
            <w:r>
              <w:rPr>
                <w:b/>
                <w:color w:val="FFFFFF"/>
                <w:sz w:val="20"/>
              </w:rPr>
              <w:t>Difficulté rencontrée</w:t>
            </w:r>
          </w:p>
        </w:tc>
        <w:tc>
          <w:tcPr>
            <w:tcW w:type="dxa" w:w="4819"/>
            <w:shd w:val="clear" w:color="auto" w:fill="0F6266"/>
          </w:tcPr>
          <w:p>
            <w:r/>
            <w:r>
              <w:rPr>
                <w:b/>
                <w:color w:val="FFFFFF"/>
                <w:sz w:val="20"/>
              </w:rPr>
              <w:t>Solution apportée</w:t>
            </w:r>
          </w:p>
        </w:tc>
      </w:tr>
      <w:tr>
        <w:tc>
          <w:tcPr>
            <w:tcW w:type="dxa" w:w="4535"/>
          </w:tcPr>
          <w:p>
            <w:r/>
            <w:r>
              <w:rPr>
                <w:color w:val="1F2937"/>
                <w:sz w:val="20"/>
              </w:rPr>
              <w:t>Format de date WhatsApp non reconnu (export américain sur 24 heures), faisant échouer l'analyse.</w:t>
            </w:r>
          </w:p>
        </w:tc>
        <w:tc>
          <w:tcPr>
            <w:tcW w:type="dxa" w:w="4819"/>
          </w:tcPr>
          <w:p>
            <w:r/>
            <w:r>
              <w:rPr>
                <w:color w:val="1F2937"/>
                <w:sz w:val="20"/>
              </w:rPr>
              <w:t>Ajout des formats de date manquants dans l'analyseur.</w:t>
            </w:r>
          </w:p>
        </w:tc>
      </w:tr>
      <w:tr>
        <w:tc>
          <w:tcPr>
            <w:tcW w:type="dxa" w:w="4535"/>
          </w:tcPr>
          <w:p>
            <w:r/>
            <w:r>
              <w:rPr>
                <w:color w:val="1F2937"/>
                <w:sz w:val="20"/>
              </w:rPr>
              <w:t>Message au texte vide provoquant une erreur d'extraction.</w:t>
            </w:r>
          </w:p>
        </w:tc>
        <w:tc>
          <w:tcPr>
            <w:tcW w:type="dxa" w:w="4819"/>
          </w:tcPr>
          <w:p>
            <w:r/>
            <w:r>
              <w:rPr>
                <w:color w:val="1F2937"/>
                <w:sz w:val="20"/>
              </w:rPr>
              <w:t>Correction de la logique d'extraction du texte du message.</w:t>
            </w:r>
          </w:p>
        </w:tc>
      </w:tr>
      <w:tr>
        <w:tc>
          <w:tcPr>
            <w:tcW w:type="dxa" w:w="4535"/>
          </w:tcPr>
          <w:p>
            <w:r/>
            <w:r>
              <w:rPr>
                <w:color w:val="1F2937"/>
                <w:sz w:val="20"/>
              </w:rPr>
              <w:t>Sous-représentation du français dans le premier échantillon annoté.</w:t>
            </w:r>
          </w:p>
        </w:tc>
        <w:tc>
          <w:tcPr>
            <w:tcW w:type="dxa" w:w="4819"/>
          </w:tcPr>
          <w:p>
            <w:r/>
            <w:r>
              <w:rPr>
                <w:color w:val="1F2937"/>
                <w:sz w:val="20"/>
              </w:rPr>
              <w:t>Prélèvement et annotation d'un second lot ciblant les messages à dominante française.</w:t>
            </w:r>
          </w:p>
        </w:tc>
      </w:tr>
      <w:tr>
        <w:tc>
          <w:tcPr>
            <w:tcW w:type="dxa" w:w="4535"/>
          </w:tcPr>
          <w:p>
            <w:r/>
            <w:r>
              <w:rPr>
                <w:color w:val="1F2937"/>
                <w:sz w:val="20"/>
              </w:rPr>
              <w:t>Effondrement du modèle sur la classe majoritaire dès la première tentative.</w:t>
            </w:r>
          </w:p>
        </w:tc>
        <w:tc>
          <w:tcPr>
            <w:tcW w:type="dxa" w:w="4819"/>
          </w:tcPr>
          <w:p>
            <w:r/>
            <w:r>
              <w:rPr>
                <w:color w:val="1F2937"/>
                <w:sz w:val="20"/>
              </w:rPr>
              <w:t>Diagnostic d'un taux d'apprentissage inadapté à une tête entraînée depuis zéro, puis correction.</w:t>
            </w:r>
          </w:p>
        </w:tc>
      </w:tr>
      <w:tr>
        <w:tc>
          <w:tcPr>
            <w:tcW w:type="dxa" w:w="4535"/>
          </w:tcPr>
          <w:p>
            <w:r/>
            <w:r>
              <w:rPr>
                <w:color w:val="1F2937"/>
                <w:sz w:val="20"/>
              </w:rPr>
              <w:t>Surapprentissage au-delà d'un certain nombre d'époques.</w:t>
            </w:r>
          </w:p>
        </w:tc>
        <w:tc>
          <w:tcPr>
            <w:tcW w:type="dxa" w:w="4819"/>
          </w:tcPr>
          <w:p>
            <w:r/>
            <w:r>
              <w:rPr>
                <w:color w:val="1F2937"/>
                <w:sz w:val="20"/>
              </w:rPr>
              <w:t>Ajout d'une évaluation de validation après chaque époque et sauvegarde du seul meilleur point de contrôle.</w:t>
            </w:r>
          </w:p>
        </w:tc>
      </w:tr>
      <w:tr>
        <w:tc>
          <w:tcPr>
            <w:tcW w:type="dxa" w:w="4535"/>
          </w:tcPr>
          <w:p>
            <w:r/>
            <w:r>
              <w:rPr>
                <w:color w:val="1F2937"/>
                <w:sz w:val="20"/>
              </w:rPr>
              <w:t>Confusion fréquente entre messages neutres et négatifs.</w:t>
            </w:r>
          </w:p>
        </w:tc>
        <w:tc>
          <w:tcPr>
            <w:tcW w:type="dxa" w:w="4819"/>
          </w:tcPr>
          <w:p>
            <w:r/>
            <w:r>
              <w:rPr>
                <w:color w:val="1F2937"/>
                <w:sz w:val="20"/>
              </w:rPr>
              <w:t>Analyse par langue montrant une incohérence d'annotation entre lots, suivie d'une réannotation avec grille unique.</w:t>
            </w:r>
          </w:p>
        </w:tc>
      </w:tr>
      <w:tr>
        <w:tc>
          <w:tcPr>
            <w:tcW w:type="dxa" w:w="4535"/>
          </w:tcPr>
          <w:p>
            <w:r/>
            <w:r>
              <w:rPr>
                <w:color w:val="1F2937"/>
                <w:sz w:val="20"/>
              </w:rPr>
              <w:t>Biais vers la classe neutre après correction des labels.</w:t>
            </w:r>
          </w:p>
        </w:tc>
        <w:tc>
          <w:tcPr>
            <w:tcW w:type="dxa" w:w="4819"/>
          </w:tcPr>
          <w:p>
            <w:r/>
            <w:r>
              <w:rPr>
                <w:color w:val="1F2937"/>
                <w:sz w:val="20"/>
              </w:rPr>
              <w:t>Pondération de la fonction de perte selon l'inverse de la fréquence de chaque classe.</w:t>
            </w:r>
          </w:p>
        </w:tc>
      </w:tr>
      <w:tr>
        <w:tc>
          <w:tcPr>
            <w:tcW w:type="dxa" w:w="4535"/>
          </w:tcPr>
          <w:p>
            <w:r/>
            <w:r>
              <w:rPr>
                <w:color w:val="1F2937"/>
                <w:sz w:val="20"/>
              </w:rPr>
              <w:t>Échec d'importation lorsque deux messages partagent le même horodatage et le même texte.</w:t>
            </w:r>
          </w:p>
        </w:tc>
        <w:tc>
          <w:tcPr>
            <w:tcW w:type="dxa" w:w="4819"/>
          </w:tcPr>
          <w:p>
            <w:r/>
            <w:r>
              <w:rPr>
                <w:color w:val="1F2937"/>
                <w:sz w:val="20"/>
              </w:rPr>
              <w:t>Retrait volontaire du mécanisme de détection de doublons, remplacé par une insertion systématique de chaque message.</w:t>
            </w:r>
          </w:p>
        </w:tc>
      </w:tr>
    </w:tbl>
    <w:p>
      <w:pPr>
        <w:pStyle w:val="Heading1"/>
      </w:pPr>
      <w:r>
        <w:t>10. Limites actuelles</w:t>
      </w:r>
    </w:p>
    <w:p>
      <w:pPr>
        <w:pStyle w:val="ListBullet"/>
        <w:spacing w:after="80"/>
      </w:pPr>
      <w:r>
        <w:rPr>
          <w:color w:val="1F2937"/>
          <w:sz w:val="22"/>
        </w:rPr>
        <w:t>La correction par pondération de la fonction de perte n'a pas encore été validée par un entraînement complet au moment de la rédaction de ce document.</w:t>
      </w:r>
    </w:p>
    <w:p>
      <w:pPr>
        <w:pStyle w:val="ListBullet"/>
        <w:spacing w:after="80"/>
      </w:pPr>
      <w:r>
        <w:rPr>
          <w:color w:val="1F2937"/>
          <w:sz w:val="22"/>
        </w:rPr>
        <w:t>Le corpus annoté (1 568 messages) reste modeste pour un ajustement complet de transformeur sur trois classes.</w:t>
      </w:r>
    </w:p>
    <w:p>
      <w:pPr>
        <w:pStyle w:val="ListBullet"/>
        <w:spacing w:after="80"/>
      </w:pPr>
      <w:r>
        <w:rPr>
          <w:color w:val="1F2937"/>
          <w:sz w:val="22"/>
        </w:rPr>
        <w:t>L'annotation rapide d'un tel volume introduit un bruit résiduel, notamment sur les messages courts ou fortement ambigus.</w:t>
      </w:r>
    </w:p>
    <w:p>
      <w:pPr>
        <w:pStyle w:val="ListBullet"/>
        <w:spacing w:after="80"/>
      </w:pPr>
      <w:r>
        <w:rPr>
          <w:color w:val="1F2937"/>
          <w:sz w:val="22"/>
        </w:rPr>
        <w:t>Le modèle reste sensible à l'argot spécifique au swahili de Bukavu, pour lequel aucune ressource linguistique de référence n'a été utilisée en dehors des messages réels du corpus.</w:t>
      </w:r>
    </w:p>
    <w:p>
      <w:pPr>
        <w:pStyle w:val="ListBullet"/>
        <w:spacing w:after="80"/>
      </w:pPr>
      <w:r>
        <w:rPr>
          <w:color w:val="1F2937"/>
          <w:sz w:val="22"/>
        </w:rPr>
        <w:t>L'inférence s'effectue sur processeur, ce qui limite le débit de classification pour un import volumineux.</w:t>
      </w:r>
    </w:p>
    <w:p>
      <w:pPr>
        <w:pStyle w:val="Heading1"/>
      </w:pPr>
      <w:r>
        <w:t>11. Perspectives d'amélioration</w:t>
      </w:r>
    </w:p>
    <w:p>
      <w:pPr>
        <w:pStyle w:val="ListBullet"/>
        <w:spacing w:after="80"/>
      </w:pPr>
      <w:r>
        <w:rPr>
          <w:color w:val="1F2937"/>
          <w:sz w:val="22"/>
        </w:rPr>
        <w:t>Valider la pondération de la fonction de perte par un entraînement complet et comparer son F1 macro à celui obtenu sans pondération.</w:t>
      </w:r>
    </w:p>
    <w:p>
      <w:pPr>
        <w:pStyle w:val="ListBullet"/>
        <w:spacing w:after="80"/>
      </w:pPr>
      <w:r>
        <w:rPr>
          <w:color w:val="1F2937"/>
          <w:sz w:val="22"/>
        </w:rPr>
        <w:t>Étendre le corpus annoté, en particulier sur les classes positive et négative qui restent minoritaires.</w:t>
      </w:r>
    </w:p>
    <w:p>
      <w:pPr>
        <w:pStyle w:val="ListBullet"/>
        <w:spacing w:after="80"/>
      </w:pPr>
      <w:r>
        <w:rPr>
          <w:color w:val="1F2937"/>
          <w:sz w:val="22"/>
        </w:rPr>
        <w:t>Réannoter également le sous-corpus swahili de Bukavu avec la grille stricte utilisée pour le français, par cohérence.</w:t>
      </w:r>
    </w:p>
    <w:p>
      <w:pPr>
        <w:pStyle w:val="ListBullet"/>
        <w:spacing w:after="80"/>
      </w:pPr>
      <w:r>
        <w:rPr>
          <w:color w:val="1F2937"/>
          <w:sz w:val="22"/>
        </w:rPr>
        <w:t>Constituer un ensemble de test supplémentaire, entièrement composé de messages récents du groupe cible non utilisés à l'entraînement, pour une évaluation finale indépendante.</w:t>
      </w:r>
    </w:p>
    <w:p>
      <w:pPr>
        <w:pStyle w:val="ListBullet"/>
        <w:spacing w:after="80"/>
      </w:pPr>
      <w:r>
        <w:rPr>
          <w:color w:val="1F2937"/>
          <w:sz w:val="22"/>
        </w:rPr>
        <w:t>Explorer une accélération de l'inférence pour les imports volumineux.</w:t>
      </w:r>
    </w:p>
    <w:p>
      <w:pPr>
        <w:pStyle w:val="Heading1"/>
      </w:pPr>
      <w:r>
        <w:t>12. Conclusion</w:t>
      </w:r>
    </w:p>
    <w:p>
      <w:pPr>
        <w:spacing w:after="160"/>
      </w:pPr>
      <w:r>
        <w:rPr>
          <w:b w:val="0"/>
          <w:i w:val="0"/>
          <w:color w:val="1F2937"/>
          <w:sz w:val="22"/>
        </w:rPr>
        <w:t>Ce projet a consisté à remplacer une classification par appel à un service externe par un classifieur de sentiment réellement entraîné sur des données réelles d'un groupe WhatsApp. La démarche suivie n'a pas été linéaire : chaque tentative d'entraînement a révélé un problème précis (taux d'apprentissage inadapté, surapprentissage, incohérence d'annotation, déséquilibre des classes), diagnostiqué puis corrigé avant de passer à l'étape suivante. Cette itération, bien que plus longue qu'un entraînement unique, a permis de comprendre les résultats obtenus plutôt que de les subir.</w:t>
      </w:r>
    </w:p>
    <w:p>
      <w:pPr>
        <w:spacing w:after="160"/>
      </w:pPr>
      <w:r>
        <w:rPr>
          <w:b w:val="0"/>
          <w:i w:val="0"/>
          <w:color w:val="1F2937"/>
          <w:sz w:val="22"/>
        </w:rPr>
        <w:t>Les résultats actuels restent modestes et une correction reste à valider, mais le processus complet, de l'extraction des données réelles jusqu'au diagnostic des erreurs du modèle, correspond à une démarche d'apprentissage automatique complète, bien au-delà d'un simple appel à un modèle de langage préexistant.</w:t>
      </w:r>
    </w:p>
    <w:p>
      <w:pPr>
        <w:pStyle w:val="Heading1"/>
      </w:pPr>
      <w:r>
        <w:t>13. Références</w:t>
      </w:r>
    </w:p>
    <w:p>
      <w:pPr>
        <w:pStyle w:val="ListBullet"/>
        <w:spacing w:after="80"/>
      </w:pPr>
      <w:r>
        <w:rPr>
          <w:color w:val="1F2937"/>
          <w:sz w:val="22"/>
        </w:rPr>
        <w:t>Documentation du modèle AfroXLMR, Davlan/afro-xlmr-small, Hugging Face.</w:t>
      </w:r>
    </w:p>
    <w:p>
      <w:pPr>
        <w:pStyle w:val="ListBullet"/>
        <w:spacing w:after="80"/>
      </w:pPr>
      <w:r>
        <w:rPr>
          <w:color w:val="1F2937"/>
          <w:sz w:val="22"/>
        </w:rPr>
        <w:t>Documentation de la bibliothèque Transformers, https://huggingface.co/docs/transformers</w:t>
      </w:r>
    </w:p>
    <w:p>
      <w:pPr>
        <w:pStyle w:val="ListBullet"/>
        <w:spacing w:after="80"/>
      </w:pPr>
      <w:r>
        <w:rPr>
          <w:color w:val="1F2937"/>
          <w:sz w:val="22"/>
        </w:rPr>
        <w:t>Documentation de PyTorch, https://pytorch.org/docs</w:t>
      </w:r>
    </w:p>
    <w:p>
      <w:pPr>
        <w:pStyle w:val="ListBullet"/>
        <w:spacing w:after="80"/>
      </w:pPr>
      <w:r>
        <w:rPr>
          <w:color w:val="1F2937"/>
          <w:sz w:val="22"/>
        </w:rPr>
        <w:t>Documentation officielle de FastAPI, https://fastapi.tiangolo.com</w:t>
      </w:r>
    </w:p>
    <w:p>
      <w:pPr>
        <w:pStyle w:val="ListBullet"/>
        <w:spacing w:after="80"/>
      </w:pPr>
      <w:r>
        <w:rPr>
          <w:color w:val="1F2937"/>
          <w:sz w:val="22"/>
        </w:rPr>
        <w:t>Documentation officielle de Next.js, https://nextjs.org/docs</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00"/>
      <w:outlineLvl w:val="0"/>
    </w:pPr>
    <w:rPr>
      <w:rFonts w:asciiTheme="majorHAnsi" w:eastAsiaTheme="majorEastAsia" w:hAnsiTheme="majorHAnsi" w:cstheme="majorBidi" w:ascii="Calibri" w:hAnsi="Calibri"/>
      <w:b/>
      <w:bCs/>
      <w:color w:val="0F6266"/>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F626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