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0.png" ContentType="image/png"/>
  <Override PartName="/word/media/rId42.png" ContentType="image/png"/>
  <Override PartName="/word/media/rId45.png" ContentType="image/png"/>
  <Override PartName="/word/media/rId47.png" ContentType="image/png"/>
  <Override PartName="/word/media/rId25.png" ContentType="image/png"/>
  <Override PartName="/word/media/rId26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3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Antidepressant</w:t>
      </w:r>
      <w:r>
        <w:t xml:space="preserve"> </w:t>
      </w:r>
      <w:r>
        <w:t xml:space="preserve">Analysis:</w:t>
      </w:r>
      <w:r>
        <w:t xml:space="preserve"> </w:t>
      </w:r>
      <w:r>
        <w:t xml:space="preserve">compare</w:t>
      </w:r>
      <w:r>
        <w:t xml:space="preserve"> </w:t>
      </w:r>
      <w:r>
        <w:t xml:space="preserve">the</w:t>
      </w:r>
      <w:r>
        <w:t xml:space="preserve"> </w:t>
      </w:r>
      <w:r>
        <w:t xml:space="preserve">dose-response</w:t>
      </w:r>
      <w:r>
        <w:t xml:space="preserve"> </w:t>
      </w:r>
      <w:r>
        <w:t xml:space="preserve">meta-analysis</w:t>
      </w:r>
      <w:r>
        <w:t xml:space="preserve"> </w:t>
      </w:r>
      <w:r>
        <w:t xml:space="preserve">models</w:t>
      </w:r>
    </w:p>
    <w:p>
      <w:pPr>
        <w:pStyle w:val="FirstParagraph"/>
      </w:pPr>
      <w:r>
        <w:t xml:space="preserve">The number of included studies is:</w:t>
      </w:r>
    </w:p>
    <w:p>
      <w:pPr>
        <w:pStyle w:val="SourceCode"/>
      </w:pPr>
      <w:r>
        <w:rPr>
          <w:rStyle w:val="VerbatimChar"/>
        </w:rPr>
        <w:t xml:space="preserve">## 60</w:t>
      </w:r>
    </w:p>
    <w:p>
      <w:pPr>
        <w:pStyle w:val="Heading1"/>
      </w:pPr>
      <w:bookmarkStart w:id="20" w:name="analysis-for-risk-ratio-rr-linear-and-splines"/>
      <w:r>
        <w:t xml:space="preserve">Analysis for Risk ratio (RR): linear and splines</w:t>
      </w:r>
      <w:bookmarkEnd w:id="20"/>
    </w:p>
    <w:p>
      <w:pPr>
        <w:pStyle w:val="Heading2"/>
      </w:pPr>
      <w:bookmarkStart w:id="21" w:name="estimation"/>
      <w:r>
        <w:t xml:space="preserve">Estimation</w:t>
      </w:r>
      <w:bookmarkEnd w:id="21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bayesBin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bayesNor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Freq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rhatS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rhatS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dose.s</w:t>
            </w:r>
          </w:p>
        </w:tc>
        <w:tc>
          <w:p>
            <w:pPr>
              <w:pStyle w:val="Compact"/>
              <w:jc w:val="center"/>
            </w:pPr>
            <w:r>
              <w:t xml:space="preserve">0.01162</w:t>
            </w:r>
          </w:p>
        </w:tc>
        <w:tc>
          <w:p>
            <w:pPr>
              <w:pStyle w:val="Compact"/>
              <w:jc w:val="center"/>
            </w:pPr>
            <w:r>
              <w:t xml:space="preserve">0.01443</w:t>
            </w:r>
          </w:p>
        </w:tc>
        <w:tc>
          <w:p>
            <w:pPr>
              <w:pStyle w:val="Compact"/>
              <w:jc w:val="center"/>
            </w:pPr>
            <w:r>
              <w:t xml:space="preserve">0.01109</w:t>
            </w:r>
          </w:p>
        </w:tc>
        <w:tc>
          <w:p>
            <w:pPr>
              <w:pStyle w:val="Compact"/>
              <w:jc w:val="center"/>
            </w:pPr>
            <w:r>
              <w:t xml:space="preserve">1.00149</w:t>
            </w:r>
          </w:p>
        </w:tc>
        <w:tc>
          <w:p>
            <w:pPr>
              <w:pStyle w:val="Compact"/>
              <w:jc w:val="center"/>
            </w:pPr>
            <w:r>
              <w:t xml:space="preserve">1.00103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dose.trans.s</w:t>
            </w:r>
          </w:p>
        </w:tc>
        <w:tc>
          <w:p>
            <w:pPr>
              <w:pStyle w:val="Compact"/>
              <w:jc w:val="center"/>
            </w:pPr>
            <w:r>
              <w:t xml:space="preserve">-0.01575</w:t>
            </w:r>
          </w:p>
        </w:tc>
        <w:tc>
          <w:p>
            <w:pPr>
              <w:pStyle w:val="Compact"/>
              <w:jc w:val="center"/>
            </w:pPr>
            <w:r>
              <w:t xml:space="preserve">-0.02723</w:t>
            </w:r>
          </w:p>
        </w:tc>
        <w:tc>
          <w:p>
            <w:pPr>
              <w:pStyle w:val="Compact"/>
              <w:jc w:val="center"/>
            </w:pPr>
            <w:r>
              <w:t xml:space="preserve">-0.02013</w:t>
            </w:r>
          </w:p>
        </w:tc>
        <w:tc>
          <w:p>
            <w:pPr>
              <w:pStyle w:val="Compact"/>
              <w:jc w:val="center"/>
            </w:pPr>
            <w:r>
              <w:t xml:space="preserve">1.00170</w:t>
            </w:r>
          </w:p>
        </w:tc>
        <w:tc>
          <w:p>
            <w:pPr>
              <w:pStyle w:val="Compact"/>
              <w:jc w:val="center"/>
            </w:pPr>
            <w:r>
              <w:t xml:space="preserve">1.00108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tau.s</w:t>
            </w:r>
          </w:p>
        </w:tc>
        <w:tc>
          <w:p>
            <w:pPr>
              <w:pStyle w:val="Compact"/>
              <w:jc w:val="center"/>
            </w:pPr>
            <w:r>
              <w:t xml:space="preserve">0.00413</w:t>
            </w:r>
          </w:p>
        </w:tc>
        <w:tc>
          <w:p>
            <w:pPr>
              <w:pStyle w:val="Compact"/>
              <w:jc w:val="center"/>
            </w:pPr>
            <w:r>
              <w:t xml:space="preserve">0.01040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1.00102</w:t>
            </w:r>
          </w:p>
        </w:tc>
        <w:tc>
          <w:p>
            <w:pPr>
              <w:pStyle w:val="Compact"/>
              <w:jc w:val="center"/>
            </w:pPr>
            <w:r>
              <w:t xml:space="preserve">1.00102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dose.l</w:t>
            </w:r>
          </w:p>
        </w:tc>
        <w:tc>
          <w:p>
            <w:pPr>
              <w:pStyle w:val="Compact"/>
              <w:jc w:val="center"/>
            </w:pPr>
            <w:r>
              <w:t xml:space="preserve">0.00933</w:t>
            </w:r>
          </w:p>
        </w:tc>
        <w:tc>
          <w:p>
            <w:pPr>
              <w:pStyle w:val="Compact"/>
              <w:jc w:val="center"/>
            </w:pPr>
            <w:r>
              <w:t xml:space="preserve">0.00770</w:t>
            </w:r>
          </w:p>
        </w:tc>
        <w:tc>
          <w:p>
            <w:pPr>
              <w:pStyle w:val="Compact"/>
              <w:jc w:val="center"/>
            </w:pPr>
            <w:r>
              <w:t xml:space="preserve">0.00620</w:t>
            </w:r>
          </w:p>
        </w:tc>
        <w:tc>
          <w:p>
            <w:pPr>
              <w:pStyle w:val="Compact"/>
              <w:jc w:val="center"/>
            </w:pPr>
            <w:r>
              <w:t xml:space="preserve">1.00100</w:t>
            </w:r>
          </w:p>
        </w:tc>
        <w:tc>
          <w:p>
            <w:pPr>
              <w:pStyle w:val="Compact"/>
              <w:jc w:val="center"/>
            </w:pPr>
            <w:r>
              <w:t xml:space="preserve">1.00100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tau.l</w:t>
            </w:r>
          </w:p>
        </w:tc>
        <w:tc>
          <w:p>
            <w:pPr>
              <w:pStyle w:val="Compact"/>
              <w:jc w:val="center"/>
            </w:pPr>
            <w:r>
              <w:t xml:space="preserve">0.00350</w:t>
            </w:r>
          </w:p>
        </w:tc>
        <w:tc>
          <w:p>
            <w:pPr>
              <w:pStyle w:val="Compact"/>
              <w:jc w:val="center"/>
            </w:pPr>
            <w:r>
              <w:t xml:space="preserve">0.01048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1.00101</w:t>
            </w:r>
          </w:p>
        </w:tc>
        <w:tc>
          <w:p>
            <w:pPr>
              <w:pStyle w:val="Compact"/>
              <w:jc w:val="center"/>
            </w:pPr>
            <w:r>
              <w:t xml:space="preserve">1.00102</w:t>
            </w:r>
          </w:p>
        </w:tc>
      </w:tr>
    </w:tbl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Heading3"/>
      </w:pPr>
      <w:bookmarkStart w:id="23" w:name="check-autocorrelation"/>
      <w:r>
        <w:t xml:space="preserve">Check autocorrelation</w:t>
      </w:r>
      <w:bookmarkEnd w:id="23"/>
    </w:p>
    <w:p>
      <w:pPr>
        <w:pStyle w:val="Heading4"/>
      </w:pPr>
      <w:bookmarkStart w:id="24" w:name="spline"/>
      <w:r>
        <w:t xml:space="preserve">Spline</w:t>
      </w:r>
      <w:bookmarkEnd w:id="24"/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tiDepressantDRmeta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#### Linear</w:t>
      </w:r>
      <w:r>
        <w:t xml:space="preserve"> </w:t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tiDepressantDRmeta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### Trace plots</w:t>
      </w:r>
    </w:p>
    <w:p>
      <w:pPr>
        <w:pStyle w:val="Heading4"/>
      </w:pPr>
      <w:bookmarkStart w:id="27" w:name="spline-1"/>
      <w:r>
        <w:t xml:space="preserve">Spline</w:t>
      </w:r>
      <w:bookmarkEnd w:id="27"/>
    </w:p>
    <w:p>
      <w:pPr>
        <w:pStyle w:val="FirstParagraph"/>
      </w:pPr>
      <w:r>
        <w:drawing>
          <wp:inline>
            <wp:extent cx="5334000" cy="3810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tiDepressantDRmeta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810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tiDepressantDRmeta_files/figure-docx/unnamed-chunk-8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810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tiDepressantDRmeta_files/figure-docx/unnamed-chunk-8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810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tiDepressantDRmeta_files/figure-docx/unnamed-chunk-8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810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tiDepressantDRmeta_files/figure-docx/unnamed-chunk-8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810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tiDepressantDRmeta_files/figure-docx/unnamed-chunk-8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#### Linear</w:t>
      </w:r>
      <w:r>
        <w:t xml:space="preserve"> </w:t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tiDepressantDRmeta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tiDepressantDRmeta_files/figure-docx/unnamed-chunk-9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tiDepressantDRmeta_files/figure-docx/unnamed-chunk-9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tiDepressantDRmeta_files/figure-docx/unnamed-chunk-9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8" w:name="parameters-distribution"/>
      <w:r>
        <w:t xml:space="preserve">Parameters distribution</w:t>
      </w:r>
      <w:bookmarkEnd w:id="38"/>
    </w:p>
    <w:p>
      <w:pPr>
        <w:pStyle w:val="Heading4"/>
      </w:pPr>
      <w:bookmarkStart w:id="39" w:name="spline-2"/>
      <w:r>
        <w:t xml:space="preserve">Spline</w:t>
      </w:r>
      <w:bookmarkEnd w:id="39"/>
    </w:p>
    <w:p>
      <w:pPr>
        <w:pStyle w:val="FirstParagraph"/>
      </w:pPr>
      <w:r>
        <w:drawing>
          <wp:inline>
            <wp:extent cx="5334000" cy="3810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tiDepressantDRmeta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4"/>
      </w:pPr>
      <w:bookmarkStart w:id="41" w:name="linear"/>
      <w:r>
        <w:t xml:space="preserve">Linear</w:t>
      </w:r>
      <w:bookmarkEnd w:id="41"/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tiDepressantDRmeta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43" w:name="compare-the-three-models"/>
      <w:r>
        <w:t xml:space="preserve">Compare the three models</w:t>
      </w:r>
      <w:bookmarkEnd w:id="43"/>
    </w:p>
    <w:p>
      <w:pPr>
        <w:pStyle w:val="Heading4"/>
      </w:pPr>
      <w:bookmarkStart w:id="44" w:name="spline-3"/>
      <w:r>
        <w:t xml:space="preserve">Spline</w:t>
      </w:r>
      <w:bookmarkEnd w:id="44"/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tiDepressantDRmeta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4"/>
      </w:pPr>
      <w:bookmarkStart w:id="46" w:name="linear-1"/>
      <w:r>
        <w:t xml:space="preserve">Linear</w:t>
      </w:r>
      <w:bookmarkEnd w:id="46"/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tiDepressantDRmeta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48" w:name="analysis-for-odds-ratio-or-linear-and-splines"/>
      <w:r>
        <w:t xml:space="preserve">Analysis for odds ratio (OR): linear and splines</w:t>
      </w:r>
      <w:bookmarkEnd w:id="48"/>
    </w:p>
    <w:p>
      <w:pPr>
        <w:pStyle w:val="Heading2"/>
      </w:pPr>
      <w:bookmarkStart w:id="49" w:name="estimation-1"/>
      <w:r>
        <w:t xml:space="preserve">Estimation</w:t>
      </w:r>
      <w:bookmarkEnd w:id="49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0" Target="media/rId40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7" Target="media/rId47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Antidepressant Analysis: compare the dose-response meta-analysis models</dc:title>
  <dc:creator/>
  <cp:keywords/>
  <dcterms:created xsi:type="dcterms:W3CDTF">2019-12-04T09:16:25Z</dcterms:created>
  <dcterms:modified xsi:type="dcterms:W3CDTF">2019-12-04T09:16:25Z</dcterms:modified>
</cp:coreProperties>
</file>