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DAC4F" w14:textId="7DC75785" w:rsidR="007F350B" w:rsidRPr="007F350B" w:rsidRDefault="007F350B" w:rsidP="007F350B">
      <w:pPr>
        <w:rPr>
          <w:rFonts w:ascii="Calibri" w:hAnsi="Calibri" w:cs="Calibri"/>
          <w:b/>
          <w:bCs/>
        </w:rPr>
      </w:pPr>
      <w:r w:rsidRPr="007F350B">
        <w:rPr>
          <w:rFonts w:ascii="Calibri" w:hAnsi="Calibri" w:cs="Calibri"/>
          <w:b/>
          <w:bCs/>
        </w:rPr>
        <w:t>SE-SBM Reproduction Instructions</w:t>
      </w:r>
    </w:p>
    <w:p w14:paraId="39FF22CB" w14:textId="30B63338" w:rsidR="007F350B" w:rsidRPr="007F350B" w:rsidRDefault="007F350B" w:rsidP="007F350B">
      <w:pPr>
        <w:rPr>
          <w:rFonts w:ascii="Calibri" w:hAnsi="Calibri" w:cs="Calibri"/>
        </w:rPr>
      </w:pPr>
      <w:r w:rsidRPr="007F350B">
        <w:rPr>
          <w:rFonts w:ascii="Calibri" w:hAnsi="Calibri" w:cs="Calibri"/>
        </w:rPr>
        <w:t>This folder provides the processed data and reproduction information for the SE-SBM assessment of agricultural land-use efficiency.</w:t>
      </w:r>
    </w:p>
    <w:p w14:paraId="25AB1B86" w14:textId="58D7AC15" w:rsidR="007F350B" w:rsidRPr="007F350B" w:rsidRDefault="007F350B" w:rsidP="007F350B">
      <w:pPr>
        <w:rPr>
          <w:rFonts w:ascii="Calibri" w:hAnsi="Calibri" w:cs="Calibri"/>
          <w:b/>
          <w:bCs/>
        </w:rPr>
      </w:pPr>
      <w:r w:rsidRPr="007F350B">
        <w:rPr>
          <w:rFonts w:ascii="Calibri" w:hAnsi="Calibri" w:cs="Calibri"/>
          <w:b/>
          <w:bCs/>
        </w:rPr>
        <w:t>1. Purpose</w:t>
      </w:r>
    </w:p>
    <w:p w14:paraId="63BE13FB" w14:textId="77777777" w:rsidR="007F350B" w:rsidRPr="007F350B" w:rsidRDefault="007F350B" w:rsidP="007F350B">
      <w:pPr>
        <w:rPr>
          <w:rFonts w:ascii="Calibri" w:hAnsi="Calibri" w:cs="Calibri"/>
        </w:rPr>
      </w:pPr>
      <w:r w:rsidRPr="007F350B">
        <w:rPr>
          <w:rFonts w:ascii="Calibri" w:hAnsi="Calibri" w:cs="Calibri"/>
        </w:rPr>
        <w:t>The files in this folder allow readers to reproduce the land-use efficiency scores and slack-ratio results reported in the manuscript. The SE-SBM model was applied to 48 decision-making units for the years 2011, 2015, 2019, and 2022.</w:t>
      </w:r>
    </w:p>
    <w:p w14:paraId="4C0035F6" w14:textId="64F17911" w:rsidR="007F350B" w:rsidRPr="007F350B" w:rsidRDefault="007F350B" w:rsidP="007F350B">
      <w:pPr>
        <w:rPr>
          <w:rFonts w:ascii="Calibri" w:hAnsi="Calibri" w:cs="Calibri"/>
          <w:b/>
          <w:bCs/>
        </w:rPr>
      </w:pPr>
      <w:r w:rsidRPr="007F350B">
        <w:rPr>
          <w:rFonts w:ascii="Calibri" w:hAnsi="Calibri" w:cs="Calibri"/>
          <w:b/>
          <w:bCs/>
        </w:rPr>
        <w:t>2. Data Files</w:t>
      </w:r>
    </w:p>
    <w:p w14:paraId="52EE59DA" w14:textId="16847007" w:rsidR="007F350B" w:rsidRPr="007F350B" w:rsidRDefault="007F350B" w:rsidP="007F350B">
      <w:pPr>
        <w:rPr>
          <w:rFonts w:ascii="Calibri" w:hAnsi="Calibri" w:cs="Calibri"/>
        </w:rPr>
      </w:pPr>
      <w:r w:rsidRPr="007F350B">
        <w:rPr>
          <w:rFonts w:ascii="Calibri" w:hAnsi="Calibri" w:cs="Calibri"/>
        </w:rPr>
        <w:t>Data S7. Processed SE-SBM Input</w:t>
      </w:r>
      <w:r>
        <w:rPr>
          <w:rFonts w:ascii="Calibri" w:hAnsi="Calibri" w:cs="Calibri"/>
        </w:rPr>
        <w:t>-</w:t>
      </w:r>
      <w:r w:rsidRPr="007F350B">
        <w:rPr>
          <w:rFonts w:ascii="Calibri" w:hAnsi="Calibri" w:cs="Calibri"/>
        </w:rPr>
        <w:t>Output Data.xlsx</w:t>
      </w:r>
    </w:p>
    <w:p w14:paraId="391CFDAC" w14:textId="542A287C" w:rsidR="007F350B" w:rsidRPr="007F350B" w:rsidRDefault="007F350B" w:rsidP="007F350B">
      <w:pPr>
        <w:rPr>
          <w:rFonts w:ascii="Calibri" w:hAnsi="Calibri" w:cs="Calibri"/>
        </w:rPr>
      </w:pPr>
      <w:r w:rsidRPr="007F350B">
        <w:rPr>
          <w:rFonts w:ascii="Calibri" w:hAnsi="Calibri" w:cs="Calibri"/>
        </w:rPr>
        <w:t>Data S9. SE-SBM Land-Use Efficiency Scores.xlsx</w:t>
      </w:r>
    </w:p>
    <w:p w14:paraId="283C8415" w14:textId="70600AD0" w:rsidR="007F350B" w:rsidRPr="007F350B" w:rsidRDefault="007F350B" w:rsidP="007F350B">
      <w:pPr>
        <w:rPr>
          <w:rFonts w:ascii="Calibri" w:hAnsi="Calibri" w:cs="Calibri"/>
        </w:rPr>
      </w:pPr>
      <w:r w:rsidRPr="007F350B">
        <w:rPr>
          <w:rFonts w:ascii="Calibri" w:hAnsi="Calibri" w:cs="Calibri"/>
        </w:rPr>
        <w:t>Data S10. SE-SBM Slack Ratios by Region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 w:hint="eastAsia"/>
        </w:rPr>
        <w:t>and</w:t>
      </w:r>
      <w:r>
        <w:rPr>
          <w:rFonts w:ascii="Calibri" w:hAnsi="Calibri" w:cs="Calibri"/>
        </w:rPr>
        <w:t xml:space="preserve"> </w:t>
      </w:r>
      <w:r w:rsidRPr="007F350B">
        <w:rPr>
          <w:rFonts w:ascii="Calibri" w:hAnsi="Calibri" w:cs="Calibri"/>
        </w:rPr>
        <w:t>Variable,</w:t>
      </w:r>
      <w:r>
        <w:rPr>
          <w:rFonts w:ascii="Calibri" w:hAnsi="Calibri" w:cs="Calibri"/>
        </w:rPr>
        <w:t xml:space="preserve"> 2022</w:t>
      </w:r>
      <w:r w:rsidRPr="007F350B">
        <w:rPr>
          <w:rFonts w:ascii="Calibri" w:hAnsi="Calibri" w:cs="Calibri"/>
        </w:rPr>
        <w:t>.xlsx</w:t>
      </w:r>
    </w:p>
    <w:p w14:paraId="2FFA879F" w14:textId="65276B99" w:rsidR="007F350B" w:rsidRPr="00675012" w:rsidRDefault="00675012" w:rsidP="007F350B">
      <w:pPr>
        <w:rPr>
          <w:rFonts w:ascii="Calibri" w:hAnsi="Calibri" w:cs="Calibri"/>
          <w:b/>
          <w:bCs/>
        </w:rPr>
      </w:pPr>
      <w:r w:rsidRPr="00675012">
        <w:rPr>
          <w:rFonts w:ascii="Calibri" w:hAnsi="Calibri" w:cs="Calibri"/>
          <w:b/>
          <w:bCs/>
        </w:rPr>
        <w:t>3</w:t>
      </w:r>
      <w:r w:rsidR="007F350B" w:rsidRPr="00675012">
        <w:rPr>
          <w:rFonts w:ascii="Calibri" w:hAnsi="Calibri" w:cs="Calibri"/>
          <w:b/>
          <w:bCs/>
        </w:rPr>
        <w:t>. Decision-Making Units and Years</w:t>
      </w:r>
    </w:p>
    <w:p w14:paraId="40170510" w14:textId="77777777" w:rsidR="007F350B" w:rsidRPr="007F350B" w:rsidRDefault="007F350B" w:rsidP="007F350B">
      <w:pPr>
        <w:rPr>
          <w:rFonts w:ascii="Calibri" w:hAnsi="Calibri" w:cs="Calibri"/>
        </w:rPr>
      </w:pPr>
      <w:r w:rsidRPr="007F350B">
        <w:rPr>
          <w:rFonts w:ascii="Calibri" w:hAnsi="Calibri" w:cs="Calibri"/>
        </w:rPr>
        <w:t>The model was estimated for 48 decision-making units, including individual EXIOBASE regions and five aggregated regions: Rest of Africa, Rest of Latin America, Rest of Europe, Rest of Asia, and Rest of Middle East.</w:t>
      </w:r>
    </w:p>
    <w:p w14:paraId="5DAC537F" w14:textId="77777777" w:rsidR="0085640C" w:rsidRDefault="007F350B" w:rsidP="0085640C">
      <w:pPr>
        <w:rPr>
          <w:rFonts w:ascii="Calibri" w:hAnsi="Calibri" w:cs="Calibri"/>
        </w:rPr>
      </w:pPr>
      <w:r w:rsidRPr="007F350B">
        <w:rPr>
          <w:rFonts w:ascii="Calibri" w:hAnsi="Calibri" w:cs="Calibri"/>
        </w:rPr>
        <w:t>The assessment years are 2011, 2015, 2019, and 2022.</w:t>
      </w:r>
    </w:p>
    <w:p w14:paraId="2578C2A8" w14:textId="641D9364" w:rsidR="0085640C" w:rsidRPr="0085640C" w:rsidRDefault="0085640C" w:rsidP="0085640C">
      <w:pPr>
        <w:rPr>
          <w:rFonts w:ascii="Calibri" w:hAnsi="Calibri" w:cs="Calibri"/>
          <w:b/>
          <w:bCs/>
        </w:rPr>
      </w:pPr>
      <w:r w:rsidRPr="0085640C">
        <w:rPr>
          <w:rFonts w:ascii="Calibri" w:hAnsi="Calibri" w:cs="Calibri"/>
          <w:b/>
          <w:bCs/>
        </w:rPr>
        <w:t>4. Computational Procedure</w:t>
      </w:r>
    </w:p>
    <w:p w14:paraId="6DCFFDF9" w14:textId="77777777" w:rsidR="0085640C" w:rsidRPr="0085640C" w:rsidRDefault="0085640C" w:rsidP="0085640C">
      <w:pPr>
        <w:rPr>
          <w:rFonts w:ascii="Calibri" w:hAnsi="Calibri" w:cs="Calibri"/>
        </w:rPr>
      </w:pPr>
      <w:r w:rsidRPr="0085640C">
        <w:rPr>
          <w:rFonts w:ascii="Calibri" w:hAnsi="Calibri" w:cs="Calibri"/>
        </w:rPr>
        <w:t>The SE-SBM model was implemented under a global DEA framework. Instead of constructing a separate production frontier for each year, observations from all assessment years were pooled to construct a common global production possibility set. This allows land-use efficiency scores to be compared across both regions and years.</w:t>
      </w:r>
    </w:p>
    <w:p w14:paraId="7DBFD600" w14:textId="77777777" w:rsidR="0085640C" w:rsidRPr="0085640C" w:rsidRDefault="0085640C" w:rsidP="0085640C">
      <w:pPr>
        <w:rPr>
          <w:rFonts w:ascii="Calibri" w:hAnsi="Calibri" w:cs="Calibri"/>
        </w:rPr>
      </w:pPr>
      <w:r w:rsidRPr="0085640C">
        <w:rPr>
          <w:rFonts w:ascii="Calibri" w:hAnsi="Calibri" w:cs="Calibri"/>
        </w:rPr>
        <w:t>The following steps were applied:</w:t>
      </w:r>
    </w:p>
    <w:p w14:paraId="61E0D46E" w14:textId="77777777" w:rsidR="0085640C" w:rsidRPr="0085640C" w:rsidRDefault="0085640C" w:rsidP="0085640C">
      <w:pPr>
        <w:rPr>
          <w:rFonts w:ascii="Calibri" w:hAnsi="Calibri" w:cs="Calibri"/>
        </w:rPr>
      </w:pPr>
      <w:r w:rsidRPr="0085640C">
        <w:rPr>
          <w:rFonts w:ascii="Calibri" w:hAnsi="Calibri" w:cs="Calibri"/>
        </w:rPr>
        <w:t>1. Read the processed input, desirable-output, and undesirable-output data for all assessment years.</w:t>
      </w:r>
    </w:p>
    <w:p w14:paraId="09425C6D" w14:textId="77777777" w:rsidR="0085640C" w:rsidRPr="0085640C" w:rsidRDefault="0085640C" w:rsidP="0085640C">
      <w:pPr>
        <w:rPr>
          <w:rFonts w:ascii="Calibri" w:hAnsi="Calibri" w:cs="Calibri"/>
        </w:rPr>
      </w:pPr>
      <w:r w:rsidRPr="0085640C">
        <w:rPr>
          <w:rFonts w:ascii="Calibri" w:hAnsi="Calibri" w:cs="Calibri"/>
        </w:rPr>
        <w:t>2. Stack the region-year observations into a pooled panel dataset.</w:t>
      </w:r>
    </w:p>
    <w:p w14:paraId="51E07A9E" w14:textId="77777777" w:rsidR="0085640C" w:rsidRPr="0085640C" w:rsidRDefault="0085640C" w:rsidP="0085640C">
      <w:pPr>
        <w:rPr>
          <w:rFonts w:ascii="Calibri" w:hAnsi="Calibri" w:cs="Calibri"/>
        </w:rPr>
      </w:pPr>
      <w:r w:rsidRPr="0085640C">
        <w:rPr>
          <w:rFonts w:ascii="Calibri" w:hAnsi="Calibri" w:cs="Calibri"/>
        </w:rPr>
        <w:t>3. Construct the global SE-SBM production possibility set using all region-year observations.</w:t>
      </w:r>
    </w:p>
    <w:p w14:paraId="2BCCE201" w14:textId="77777777" w:rsidR="0085640C" w:rsidRPr="0085640C" w:rsidRDefault="0085640C" w:rsidP="0085640C">
      <w:pPr>
        <w:rPr>
          <w:rFonts w:ascii="Calibri" w:hAnsi="Calibri" w:cs="Calibri"/>
        </w:rPr>
      </w:pPr>
      <w:r w:rsidRPr="0085640C">
        <w:rPr>
          <w:rFonts w:ascii="Calibri" w:hAnsi="Calibri" w:cs="Calibri"/>
        </w:rPr>
        <w:t>4. Evaluate each region-year observation against the global reference technology.</w:t>
      </w:r>
    </w:p>
    <w:p w14:paraId="6E071BB3" w14:textId="77777777" w:rsidR="0085640C" w:rsidRPr="0085640C" w:rsidRDefault="0085640C" w:rsidP="0085640C">
      <w:pPr>
        <w:rPr>
          <w:rFonts w:ascii="Calibri" w:hAnsi="Calibri" w:cs="Calibri"/>
        </w:rPr>
      </w:pPr>
      <w:r w:rsidRPr="0085640C">
        <w:rPr>
          <w:rFonts w:ascii="Calibri" w:hAnsi="Calibri" w:cs="Calibri"/>
        </w:rPr>
        <w:t>5. For the super-efficiency specification, exclude the evaluated region-year observation from its own reference set.</w:t>
      </w:r>
    </w:p>
    <w:p w14:paraId="21BE8BFA" w14:textId="77777777" w:rsidR="0085640C" w:rsidRPr="0085640C" w:rsidRDefault="0085640C" w:rsidP="0085640C">
      <w:pPr>
        <w:rPr>
          <w:rFonts w:ascii="Calibri" w:hAnsi="Calibri" w:cs="Calibri"/>
        </w:rPr>
      </w:pPr>
      <w:r w:rsidRPr="0085640C">
        <w:rPr>
          <w:rFonts w:ascii="Calibri" w:hAnsi="Calibri" w:cs="Calibri"/>
        </w:rPr>
        <w:t>6. Export the land-use efficiency score for each region and year.</w:t>
      </w:r>
    </w:p>
    <w:p w14:paraId="260CC9AB" w14:textId="77777777" w:rsidR="0085640C" w:rsidRPr="0085640C" w:rsidRDefault="0085640C" w:rsidP="0085640C">
      <w:pPr>
        <w:rPr>
          <w:rFonts w:ascii="Calibri" w:hAnsi="Calibri" w:cs="Calibri"/>
        </w:rPr>
      </w:pPr>
      <w:r w:rsidRPr="0085640C">
        <w:rPr>
          <w:rFonts w:ascii="Calibri" w:hAnsi="Calibri" w:cs="Calibri"/>
        </w:rPr>
        <w:t>7. Calculate slack ratios by dividing each slack variable by its corresponding observed input or undesirable-output value.</w:t>
      </w:r>
    </w:p>
    <w:p w14:paraId="6884F8D9" w14:textId="60A93FC3" w:rsidR="007F350B" w:rsidRPr="0085640C" w:rsidRDefault="0085640C" w:rsidP="007F350B">
      <w:pPr>
        <w:rPr>
          <w:rFonts w:ascii="Calibri" w:hAnsi="Calibri" w:cs="Calibri"/>
          <w:b/>
          <w:bCs/>
        </w:rPr>
      </w:pPr>
      <w:r w:rsidRPr="0085640C">
        <w:rPr>
          <w:rFonts w:ascii="Calibri" w:hAnsi="Calibri" w:cs="Calibri"/>
          <w:b/>
          <w:bCs/>
        </w:rPr>
        <w:t xml:space="preserve">5. </w:t>
      </w:r>
      <w:r w:rsidR="007F350B" w:rsidRPr="0085640C">
        <w:rPr>
          <w:rFonts w:ascii="Calibri" w:hAnsi="Calibri" w:cs="Calibri"/>
          <w:b/>
          <w:bCs/>
        </w:rPr>
        <w:t>Code Availability</w:t>
      </w:r>
    </w:p>
    <w:p w14:paraId="7FD713CF" w14:textId="77777777" w:rsidR="007F350B" w:rsidRPr="007F350B" w:rsidRDefault="007F350B" w:rsidP="007F350B">
      <w:pPr>
        <w:rPr>
          <w:rFonts w:ascii="Calibri" w:hAnsi="Calibri" w:cs="Calibri"/>
        </w:rPr>
      </w:pPr>
      <w:r w:rsidRPr="007F350B">
        <w:rPr>
          <w:rFonts w:ascii="Calibri" w:hAnsi="Calibri" w:cs="Calibri"/>
        </w:rPr>
        <w:t>The original SE-SBM computational routine used in this study was obtained from a third party and is not redistributed because it is not licensed for public redistribution.</w:t>
      </w:r>
    </w:p>
    <w:p w14:paraId="580DA521" w14:textId="77777777" w:rsidR="007F350B" w:rsidRPr="007F350B" w:rsidRDefault="007F350B" w:rsidP="007F350B">
      <w:pPr>
        <w:rPr>
          <w:rFonts w:ascii="Calibri" w:hAnsi="Calibri" w:cs="Calibri"/>
        </w:rPr>
      </w:pPr>
      <w:r w:rsidRPr="007F350B">
        <w:rPr>
          <w:rFonts w:ascii="Calibri" w:hAnsi="Calibri" w:cs="Calibri"/>
        </w:rPr>
        <w:t>To support reproducibility, we provide the processed input data, undesirable-output data, model specification, variable settings, solver settings, and output results. The results can be reproduced by applying any equivalent implementation of the specified super-efficiency SBM model with undesirable output to the provided data.</w:t>
      </w:r>
    </w:p>
    <w:p w14:paraId="64C2E8E5" w14:textId="035C546D" w:rsidR="007F350B" w:rsidRPr="0085640C" w:rsidRDefault="0085640C" w:rsidP="007F350B">
      <w:pPr>
        <w:rPr>
          <w:rFonts w:ascii="Calibri" w:hAnsi="Calibri" w:cs="Calibri"/>
          <w:b/>
          <w:bCs/>
        </w:rPr>
      </w:pPr>
      <w:r w:rsidRPr="0085640C">
        <w:rPr>
          <w:rFonts w:ascii="Calibri" w:hAnsi="Calibri" w:cs="Calibri"/>
          <w:b/>
          <w:bCs/>
        </w:rPr>
        <w:t xml:space="preserve">6. </w:t>
      </w:r>
      <w:r w:rsidR="007F350B" w:rsidRPr="0085640C">
        <w:rPr>
          <w:rFonts w:ascii="Calibri" w:hAnsi="Calibri" w:cs="Calibri"/>
          <w:b/>
          <w:bCs/>
        </w:rPr>
        <w:t>Software and Solver</w:t>
      </w:r>
    </w:p>
    <w:p w14:paraId="16B78203" w14:textId="77777777" w:rsidR="007F350B" w:rsidRPr="007F350B" w:rsidRDefault="007F350B" w:rsidP="007F350B">
      <w:pPr>
        <w:rPr>
          <w:rFonts w:ascii="Calibri" w:hAnsi="Calibri" w:cs="Calibri"/>
        </w:rPr>
      </w:pPr>
      <w:r w:rsidRPr="007F350B">
        <w:rPr>
          <w:rFonts w:ascii="Calibri" w:hAnsi="Calibri" w:cs="Calibri"/>
        </w:rPr>
        <w:t>The SE-SBM model can be solved using any software capable of linear programming or DEA computation, such as MATLAB, R, Python, GAMS, MaxDEA, DEA-Solver, or equivalent tools.</w:t>
      </w:r>
    </w:p>
    <w:p w14:paraId="22324559" w14:textId="77777777" w:rsidR="0085640C" w:rsidRDefault="007F350B" w:rsidP="007F350B">
      <w:pPr>
        <w:rPr>
          <w:rFonts w:ascii="Calibri" w:hAnsi="Calibri" w:cs="Calibri"/>
        </w:rPr>
      </w:pPr>
      <w:r w:rsidRPr="007F350B">
        <w:rPr>
          <w:rFonts w:ascii="Calibri" w:hAnsi="Calibri" w:cs="Calibri"/>
        </w:rPr>
        <w:t>In this study, the following settings were used:</w:t>
      </w:r>
    </w:p>
    <w:p w14:paraId="1BF21160" w14:textId="260A34D6" w:rsidR="007F350B" w:rsidRPr="007F350B" w:rsidRDefault="007F350B" w:rsidP="007F350B">
      <w:pPr>
        <w:rPr>
          <w:rFonts w:ascii="Calibri" w:hAnsi="Calibri" w:cs="Calibri"/>
        </w:rPr>
      </w:pPr>
      <w:r w:rsidRPr="007F350B">
        <w:rPr>
          <w:rFonts w:ascii="Calibri" w:hAnsi="Calibri" w:cs="Calibri"/>
        </w:rPr>
        <w:t>Model</w:t>
      </w:r>
      <w:r w:rsidR="0085640C">
        <w:rPr>
          <w:rFonts w:ascii="Calibri" w:hAnsi="Calibri" w:cs="Calibri" w:hint="cs"/>
        </w:rPr>
        <w:t>:</w:t>
      </w:r>
      <w:r w:rsidR="0085640C">
        <w:rPr>
          <w:rFonts w:ascii="Calibri" w:hAnsi="Calibri" w:cs="Calibri"/>
        </w:rPr>
        <w:t xml:space="preserve"> </w:t>
      </w:r>
      <w:r w:rsidRPr="007F350B">
        <w:rPr>
          <w:rFonts w:ascii="Calibri" w:hAnsi="Calibri" w:cs="Calibri"/>
        </w:rPr>
        <w:t>Super-efficiency slack-based measure model</w:t>
      </w:r>
    </w:p>
    <w:p w14:paraId="50BD5AC3" w14:textId="01BD3C96" w:rsidR="007F350B" w:rsidRPr="007F350B" w:rsidRDefault="007F350B" w:rsidP="007F350B">
      <w:pPr>
        <w:rPr>
          <w:rFonts w:ascii="Calibri" w:hAnsi="Calibri" w:cs="Calibri"/>
        </w:rPr>
      </w:pPr>
      <w:r w:rsidRPr="007F350B">
        <w:rPr>
          <w:rFonts w:ascii="Calibri" w:hAnsi="Calibri" w:cs="Calibri"/>
        </w:rPr>
        <w:lastRenderedPageBreak/>
        <w:t>Orientation: non-oriented</w:t>
      </w:r>
    </w:p>
    <w:p w14:paraId="0B4FCB93" w14:textId="1CCEE949" w:rsidR="007F350B" w:rsidRPr="007F350B" w:rsidRDefault="007F350B" w:rsidP="007F350B">
      <w:pPr>
        <w:rPr>
          <w:rFonts w:ascii="Calibri" w:hAnsi="Calibri" w:cs="Calibri"/>
        </w:rPr>
      </w:pPr>
      <w:r w:rsidRPr="007F350B">
        <w:rPr>
          <w:rFonts w:ascii="Calibri" w:hAnsi="Calibri" w:cs="Calibri"/>
        </w:rPr>
        <w:t>Returns to scale: VRS</w:t>
      </w:r>
    </w:p>
    <w:p w14:paraId="533AD5A7" w14:textId="3A552D9D" w:rsidR="007F350B" w:rsidRPr="0085640C" w:rsidRDefault="0085640C" w:rsidP="007F350B">
      <w:pPr>
        <w:rPr>
          <w:rFonts w:ascii="Calibri" w:hAnsi="Calibri" w:cs="Calibri"/>
          <w:b/>
          <w:bCs/>
        </w:rPr>
      </w:pPr>
      <w:r w:rsidRPr="0085640C">
        <w:rPr>
          <w:rFonts w:ascii="Calibri" w:hAnsi="Calibri" w:cs="Calibri"/>
          <w:b/>
          <w:bCs/>
        </w:rPr>
        <w:t xml:space="preserve">7. </w:t>
      </w:r>
      <w:r w:rsidR="007F350B" w:rsidRPr="0085640C">
        <w:rPr>
          <w:rFonts w:ascii="Calibri" w:hAnsi="Calibri" w:cs="Calibri"/>
          <w:b/>
          <w:bCs/>
        </w:rPr>
        <w:t>Expected Outputs</w:t>
      </w:r>
    </w:p>
    <w:p w14:paraId="4BA8DD7C" w14:textId="77777777" w:rsidR="007F350B" w:rsidRPr="007F350B" w:rsidRDefault="007F350B" w:rsidP="007F350B">
      <w:pPr>
        <w:rPr>
          <w:rFonts w:ascii="Calibri" w:hAnsi="Calibri" w:cs="Calibri"/>
        </w:rPr>
      </w:pPr>
      <w:r w:rsidRPr="007F350B">
        <w:rPr>
          <w:rFonts w:ascii="Calibri" w:hAnsi="Calibri" w:cs="Calibri"/>
        </w:rPr>
        <w:t>The reproduction procedure should generate the following outputs:</w:t>
      </w:r>
    </w:p>
    <w:p w14:paraId="27D02960" w14:textId="291431BB" w:rsidR="007F350B" w:rsidRPr="007F350B" w:rsidRDefault="007F350B" w:rsidP="007F350B">
      <w:pPr>
        <w:rPr>
          <w:rFonts w:ascii="Calibri" w:hAnsi="Calibri" w:cs="Calibri"/>
        </w:rPr>
      </w:pPr>
      <w:r w:rsidRPr="007F350B">
        <w:rPr>
          <w:rFonts w:ascii="Calibri" w:hAnsi="Calibri" w:cs="Calibri"/>
        </w:rPr>
        <w:t>LUE score</w:t>
      </w:r>
      <w:r w:rsidR="0085640C">
        <w:rPr>
          <w:rFonts w:ascii="Calibri" w:hAnsi="Calibri" w:cs="Calibri"/>
        </w:rPr>
        <w:t xml:space="preserve">: </w:t>
      </w:r>
      <w:r w:rsidRPr="007F350B">
        <w:rPr>
          <w:rFonts w:ascii="Calibri" w:hAnsi="Calibri" w:cs="Calibri"/>
        </w:rPr>
        <w:t>Land-use efficiency score for each region and year</w:t>
      </w:r>
    </w:p>
    <w:p w14:paraId="77D01CC4" w14:textId="3D11B40F" w:rsidR="007F350B" w:rsidRPr="007F350B" w:rsidRDefault="007F350B" w:rsidP="007F350B">
      <w:pPr>
        <w:rPr>
          <w:rFonts w:ascii="Calibri" w:hAnsi="Calibri" w:cs="Calibri"/>
        </w:rPr>
      </w:pPr>
      <w:r w:rsidRPr="007F350B">
        <w:rPr>
          <w:rFonts w:ascii="Calibri" w:hAnsi="Calibri" w:cs="Calibri"/>
        </w:rPr>
        <w:t>Input slack ratio</w:t>
      </w:r>
      <w:r w:rsidR="0085640C">
        <w:rPr>
          <w:rFonts w:ascii="Calibri" w:hAnsi="Calibri" w:cs="Calibri"/>
        </w:rPr>
        <w:t xml:space="preserve">: </w:t>
      </w:r>
      <w:r w:rsidRPr="007F350B">
        <w:rPr>
          <w:rFonts w:ascii="Calibri" w:hAnsi="Calibri" w:cs="Calibri"/>
        </w:rPr>
        <w:t>Input slack divided by the observed input value</w:t>
      </w:r>
    </w:p>
    <w:p w14:paraId="05EC83B1" w14:textId="7B73AFD0" w:rsidR="007F350B" w:rsidRPr="007F350B" w:rsidRDefault="007F350B" w:rsidP="007F350B">
      <w:pPr>
        <w:rPr>
          <w:rFonts w:ascii="Calibri" w:hAnsi="Calibri" w:cs="Calibri"/>
        </w:rPr>
      </w:pPr>
      <w:r w:rsidRPr="007F350B">
        <w:rPr>
          <w:rFonts w:ascii="Calibri" w:hAnsi="Calibri" w:cs="Calibri"/>
        </w:rPr>
        <w:t>Undesirable-output slack ratio</w:t>
      </w:r>
      <w:r w:rsidR="0085640C">
        <w:rPr>
          <w:rFonts w:ascii="Calibri" w:hAnsi="Calibri" w:cs="Calibri"/>
        </w:rPr>
        <w:t xml:space="preserve">: </w:t>
      </w:r>
      <w:r w:rsidRPr="007F350B">
        <w:rPr>
          <w:rFonts w:ascii="Calibri" w:hAnsi="Calibri" w:cs="Calibri"/>
        </w:rPr>
        <w:t>Undesirable-output slack divided by the observed undesirable-output value</w:t>
      </w:r>
    </w:p>
    <w:p w14:paraId="4BBD2ECB" w14:textId="2A260D0D" w:rsidR="007F350B" w:rsidRPr="0085640C" w:rsidRDefault="0085640C" w:rsidP="007F350B">
      <w:pPr>
        <w:rPr>
          <w:rFonts w:ascii="Calibri" w:hAnsi="Calibri" w:cs="Calibri"/>
          <w:b/>
          <w:bCs/>
        </w:rPr>
      </w:pPr>
      <w:r w:rsidRPr="0085640C">
        <w:rPr>
          <w:rFonts w:ascii="Calibri" w:hAnsi="Calibri" w:cs="Calibri"/>
          <w:b/>
          <w:bCs/>
        </w:rPr>
        <w:t xml:space="preserve">8. </w:t>
      </w:r>
      <w:r w:rsidR="007F350B" w:rsidRPr="0085640C">
        <w:rPr>
          <w:rFonts w:ascii="Calibri" w:hAnsi="Calibri" w:cs="Calibri"/>
          <w:b/>
          <w:bCs/>
        </w:rPr>
        <w:t>Notes</w:t>
      </w:r>
    </w:p>
    <w:p w14:paraId="625A8683" w14:textId="58D24F99" w:rsidR="001B3096" w:rsidRPr="007F350B" w:rsidRDefault="007F350B" w:rsidP="007F350B">
      <w:pPr>
        <w:rPr>
          <w:rFonts w:ascii="Calibri" w:hAnsi="Calibri" w:cs="Calibri"/>
        </w:rPr>
      </w:pPr>
      <w:r w:rsidRPr="007F350B">
        <w:rPr>
          <w:rFonts w:ascii="Calibri" w:hAnsi="Calibri" w:cs="Calibri"/>
        </w:rPr>
        <w:t>Values greater than 1 may occur in the LUE score because the super-efficiency SBM model is used. Very small positive or negative values around zero are numerical precision artifacts and should be treated as zero.</w:t>
      </w:r>
    </w:p>
    <w:sectPr w:rsidR="001B3096" w:rsidRPr="007F35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42FC04" w14:textId="77777777" w:rsidR="00A46CD6" w:rsidRDefault="00A46CD6" w:rsidP="007F350B">
      <w:r>
        <w:separator/>
      </w:r>
    </w:p>
  </w:endnote>
  <w:endnote w:type="continuationSeparator" w:id="0">
    <w:p w14:paraId="435CFEA6" w14:textId="77777777" w:rsidR="00A46CD6" w:rsidRDefault="00A46CD6" w:rsidP="007F3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3D696" w14:textId="77777777" w:rsidR="00A46CD6" w:rsidRDefault="00A46CD6" w:rsidP="007F350B">
      <w:r>
        <w:separator/>
      </w:r>
    </w:p>
  </w:footnote>
  <w:footnote w:type="continuationSeparator" w:id="0">
    <w:p w14:paraId="6C5DC37C" w14:textId="77777777" w:rsidR="00A46CD6" w:rsidRDefault="00A46CD6" w:rsidP="007F35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268"/>
    <w:rsid w:val="001B3096"/>
    <w:rsid w:val="00675012"/>
    <w:rsid w:val="007F350B"/>
    <w:rsid w:val="0085640C"/>
    <w:rsid w:val="00A46CD6"/>
    <w:rsid w:val="00A54CD4"/>
    <w:rsid w:val="00E6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D5FB8C9"/>
  <w14:defaultImageDpi w14:val="32767"/>
  <w15:chartTrackingRefBased/>
  <w15:docId w15:val="{44B29595-8A4A-4F9F-8C7B-190238025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F35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F350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F35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F35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497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tingyu hu</dc:creator>
  <cp:keywords/>
  <dc:description/>
  <cp:lastModifiedBy>tingyu hu</cp:lastModifiedBy>
  <cp:revision>5</cp:revision>
  <dcterms:created xsi:type="dcterms:W3CDTF">2026-07-11T10:56:00Z</dcterms:created>
  <dcterms:modified xsi:type="dcterms:W3CDTF">2026-07-11T11:14:00Z</dcterms:modified>
</cp:coreProperties>
</file>