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A913C">
      <w:pPr>
        <w:spacing w:after="120"/>
        <w:jc w:val="center"/>
      </w:pPr>
      <w:r>
        <w:rPr>
          <w:rFonts w:ascii="Times New Roman" w:hAnsi="Times New Roman" w:eastAsia="Times New Roman" w:cs="Times New Roman"/>
          <w:b/>
          <w:bCs/>
          <w:sz w:val="36"/>
          <w:szCs w:val="36"/>
        </w:rPr>
        <w:t>Replication Code</w:t>
      </w:r>
    </w:p>
    <w:p w14:paraId="49F42C87">
      <w:pPr>
        <w:spacing w:after="120"/>
        <w:jc w:val="center"/>
      </w:pPr>
      <w:r>
        <w:rPr>
          <w:rFonts w:ascii="Times New Roman" w:hAnsi="Times New Roman" w:eastAsia="Times New Roman" w:cs="Times New Roman"/>
          <w:sz w:val="28"/>
          <w:szCs w:val="28"/>
        </w:rPr>
        <w:t>Environmental Regulation and Industrial Composition</w:t>
      </w:r>
    </w:p>
    <w:p w14:paraId="7BE5E8AD">
      <w:pPr>
        <w:spacing w:after="400"/>
        <w:jc w:val="center"/>
      </w:pPr>
      <w:r>
        <w:rPr>
          <w:rFonts w:ascii="Times New Roman" w:hAnsi="Times New Roman" w:eastAsia="Times New Roman" w:cs="Times New Roman"/>
          <w:sz w:val="22"/>
          <w:szCs w:val="22"/>
        </w:rPr>
        <w:t>Haotian Yu  |  hy657@cornell.edu</w:t>
      </w:r>
    </w:p>
    <w:p w14:paraId="78C6E863">
      <w:pPr>
        <w:pStyle w:val="2"/>
      </w:pPr>
      <w:r>
        <w:t>Overview</w:t>
      </w:r>
    </w:p>
    <w:p w14:paraId="5792BF26">
      <w:pPr>
        <w:spacing w:after="200"/>
      </w:pPr>
      <w:r>
        <w:t xml:space="preserve">This repository </w:t>
      </w:r>
      <w:r>
        <w:rPr>
          <w:rFonts w:hint="eastAsia" w:eastAsia="宋体"/>
          <w:lang w:val="en-US" w:eastAsia="zh-CN"/>
        </w:rPr>
        <w:t xml:space="preserve">has </w:t>
      </w:r>
      <w:r>
        <w:t>Stata code for a difference-in-differences analysis of how an exogenous policy shock affected sectoral composition at the Chinese prefecture level. The empirical strategy combines propensity score matching (kernel) with two-way fixed effects estimation. Data are publicly available from the China City Statistical Yearbook and CSMAR.</w:t>
      </w:r>
    </w:p>
    <w:p w14:paraId="1C2EF61C">
      <w:pPr>
        <w:pStyle w:val="2"/>
      </w:pPr>
      <w:r>
        <w:t>Requirements</w:t>
      </w:r>
    </w:p>
    <w:p w14:paraId="7CF493AF">
      <w:pPr>
        <w:spacing w:after="100"/>
      </w:pPr>
      <w:r>
        <w:t>Stata 16 or later, with the following packages:</w:t>
      </w:r>
    </w:p>
    <w:p w14:paraId="7CDC19C6">
      <w:pPr>
        <w:pStyle w:val="14"/>
        <w:numPr>
          <w:ilvl w:val="0"/>
          <w:numId w:val="1"/>
        </w:numPr>
        <w:spacing w:after="40"/>
      </w:pPr>
      <w:r>
        <w:rPr>
          <w:sz w:val="22"/>
          <w:szCs w:val="22"/>
        </w:rPr>
        <w:t xml:space="preserve">reghdfe (Correia, 2019) </w:t>
      </w:r>
      <w:r>
        <w:rPr>
          <w:rFonts w:hint="eastAsia" w:eastAsia="宋体"/>
          <w:sz w:val="22"/>
          <w:szCs w:val="22"/>
          <w:lang w:val="en-US" w:eastAsia="zh-CN"/>
        </w:rPr>
        <w:t>-</w:t>
      </w:r>
      <w:r>
        <w:rPr>
          <w:sz w:val="22"/>
          <w:szCs w:val="22"/>
        </w:rPr>
        <w:t xml:space="preserve"> high-dimensional fixed effects</w:t>
      </w:r>
    </w:p>
    <w:p w14:paraId="60B163B2">
      <w:pPr>
        <w:pStyle w:val="14"/>
        <w:numPr>
          <w:ilvl w:val="0"/>
          <w:numId w:val="1"/>
        </w:numPr>
        <w:spacing w:after="40"/>
      </w:pPr>
      <w:r>
        <w:rPr>
          <w:sz w:val="22"/>
          <w:szCs w:val="22"/>
        </w:rPr>
        <w:t xml:space="preserve">ftools </w:t>
      </w:r>
      <w:r>
        <w:rPr>
          <w:rFonts w:hint="eastAsia" w:eastAsia="宋体"/>
          <w:sz w:val="22"/>
          <w:szCs w:val="22"/>
          <w:lang w:val="en-US" w:eastAsia="zh-CN"/>
        </w:rPr>
        <w:t>-</w:t>
      </w:r>
      <w:r>
        <w:rPr>
          <w:sz w:val="22"/>
          <w:szCs w:val="22"/>
        </w:rPr>
        <w:t xml:space="preserve"> required by reghdfe</w:t>
      </w:r>
    </w:p>
    <w:p w14:paraId="1E19E7D3">
      <w:pPr>
        <w:pStyle w:val="14"/>
        <w:numPr>
          <w:ilvl w:val="0"/>
          <w:numId w:val="1"/>
        </w:numPr>
        <w:spacing w:after="40"/>
      </w:pPr>
      <w:r>
        <w:rPr>
          <w:sz w:val="22"/>
          <w:szCs w:val="22"/>
        </w:rPr>
        <w:t xml:space="preserve">psmatch2 (Leuven &amp; Sianesi) </w:t>
      </w:r>
      <w:r>
        <w:rPr>
          <w:rFonts w:hint="eastAsia" w:eastAsia="宋体"/>
          <w:sz w:val="22"/>
          <w:szCs w:val="22"/>
          <w:lang w:val="en-US" w:eastAsia="zh-CN"/>
        </w:rPr>
        <w:t>-</w:t>
      </w:r>
      <w:r>
        <w:rPr>
          <w:sz w:val="22"/>
          <w:szCs w:val="22"/>
        </w:rPr>
        <w:t xml:space="preserve"> propensity score matching</w:t>
      </w:r>
    </w:p>
    <w:p w14:paraId="3BB95553">
      <w:pPr>
        <w:pStyle w:val="14"/>
        <w:numPr>
          <w:ilvl w:val="0"/>
          <w:numId w:val="1"/>
        </w:numPr>
        <w:spacing w:after="40"/>
      </w:pPr>
      <w:r>
        <w:rPr>
          <w:sz w:val="22"/>
          <w:szCs w:val="22"/>
        </w:rPr>
        <w:t xml:space="preserve">estout / esttab (Jann) </w:t>
      </w:r>
      <w:r>
        <w:rPr>
          <w:rFonts w:hint="eastAsia" w:eastAsia="宋体"/>
          <w:sz w:val="22"/>
          <w:szCs w:val="22"/>
          <w:lang w:val="en-US" w:eastAsia="zh-CN"/>
        </w:rPr>
        <w:t>-</w:t>
      </w:r>
      <w:r>
        <w:rPr>
          <w:sz w:val="22"/>
          <w:szCs w:val="22"/>
        </w:rPr>
        <w:t xml:space="preserve"> table export</w:t>
      </w:r>
    </w:p>
    <w:p w14:paraId="3D41F057">
      <w:pPr>
        <w:pStyle w:val="14"/>
        <w:numPr>
          <w:ilvl w:val="0"/>
          <w:numId w:val="1"/>
        </w:numPr>
        <w:spacing w:after="40"/>
      </w:pPr>
      <w:r>
        <w:rPr>
          <w:sz w:val="22"/>
          <w:szCs w:val="22"/>
        </w:rPr>
        <w:t xml:space="preserve">coefplot (Jann) </w:t>
      </w:r>
      <w:r>
        <w:rPr>
          <w:rFonts w:hint="eastAsia" w:eastAsia="宋体"/>
          <w:sz w:val="22"/>
          <w:szCs w:val="22"/>
          <w:lang w:val="en-US" w:eastAsia="zh-CN"/>
        </w:rPr>
        <w:t>-</w:t>
      </w:r>
      <w:r>
        <w:rPr>
          <w:sz w:val="22"/>
          <w:szCs w:val="22"/>
        </w:rPr>
        <w:t xml:space="preserve"> coefficient plots</w:t>
      </w:r>
    </w:p>
    <w:p w14:paraId="561FFD05">
      <w:pPr>
        <w:pStyle w:val="14"/>
        <w:numPr>
          <w:ilvl w:val="0"/>
          <w:numId w:val="1"/>
        </w:numPr>
        <w:spacing w:after="40"/>
      </w:pPr>
      <w:r>
        <w:rPr>
          <w:sz w:val="22"/>
          <w:szCs w:val="22"/>
        </w:rPr>
        <w:t xml:space="preserve">boottest (Roodman et al.) </w:t>
      </w:r>
      <w:r>
        <w:rPr>
          <w:rFonts w:hint="eastAsia" w:eastAsia="宋体"/>
          <w:sz w:val="22"/>
          <w:szCs w:val="22"/>
          <w:lang w:val="en-US" w:eastAsia="zh-CN"/>
        </w:rPr>
        <w:t>-</w:t>
      </w:r>
      <w:r>
        <w:rPr>
          <w:sz w:val="22"/>
          <w:szCs w:val="22"/>
        </w:rPr>
        <w:t xml:space="preserve"> wild cluster bootstrap</w:t>
      </w:r>
    </w:p>
    <w:p w14:paraId="2FE50700">
      <w:pPr>
        <w:spacing w:before="100" w:after="200"/>
        <w:rPr>
          <w:i w:val="0"/>
          <w:iCs w:val="0"/>
        </w:rPr>
      </w:pPr>
      <w:r>
        <w:rPr>
          <w:i w:val="0"/>
          <w:iCs w:val="0"/>
          <w:sz w:val="22"/>
          <w:szCs w:val="22"/>
        </w:rPr>
        <w:t xml:space="preserve">All packages can be installed </w:t>
      </w:r>
      <w:r>
        <w:rPr>
          <w:rFonts w:hint="eastAsia" w:eastAsia="宋体"/>
          <w:i w:val="0"/>
          <w:iCs w:val="0"/>
          <w:sz w:val="22"/>
          <w:szCs w:val="22"/>
          <w:lang w:val="en-US" w:eastAsia="zh-CN"/>
        </w:rPr>
        <w:t xml:space="preserve"> by</w:t>
      </w:r>
      <w:bookmarkStart w:id="0" w:name="_GoBack"/>
      <w:bookmarkEnd w:id="0"/>
      <w:r>
        <w:rPr>
          <w:i w:val="0"/>
          <w:iCs w:val="0"/>
          <w:sz w:val="22"/>
          <w:szCs w:val="22"/>
        </w:rPr>
        <w:t xml:space="preserve"> ssc install [package]</w:t>
      </w:r>
    </w:p>
    <w:p w14:paraId="5A67225C">
      <w:pPr>
        <w:pStyle w:val="2"/>
      </w:pPr>
      <w:r>
        <w:t>Usage</w:t>
      </w:r>
    </w:p>
    <w:p w14:paraId="792F632B">
      <w:pPr>
        <w:pStyle w:val="14"/>
        <w:numPr>
          <w:ilvl w:val="0"/>
          <w:numId w:val="2"/>
        </w:numPr>
        <w:spacing w:after="40"/>
      </w:pPr>
      <w:r>
        <w:rPr>
          <w:sz w:val="24"/>
          <w:szCs w:val="24"/>
        </w:rPr>
        <w:t>Open 00</w:t>
      </w:r>
      <w:r>
        <w:rPr>
          <w:rFonts w:hint="eastAsia" w:eastAsia="宋体"/>
          <w:sz w:val="24"/>
          <w:szCs w:val="24"/>
          <w:lang w:val="en-US" w:eastAsia="zh-CN"/>
        </w:rPr>
        <w:t>_</w:t>
      </w:r>
      <w:r>
        <w:rPr>
          <w:sz w:val="24"/>
          <w:szCs w:val="24"/>
        </w:rPr>
        <w:t>master.do</w:t>
      </w:r>
    </w:p>
    <w:p w14:paraId="5AC91D6A">
      <w:pPr>
        <w:pStyle w:val="14"/>
        <w:numPr>
          <w:ilvl w:val="0"/>
          <w:numId w:val="2"/>
        </w:numPr>
        <w:spacing w:after="40"/>
      </w:pPr>
      <w:r>
        <w:rPr>
          <w:sz w:val="24"/>
          <w:szCs w:val="24"/>
        </w:rPr>
        <w:t>Change the path on line 12 to your local directory</w:t>
      </w:r>
    </w:p>
    <w:p w14:paraId="3D8376CC">
      <w:pPr>
        <w:pStyle w:val="14"/>
        <w:numPr>
          <w:ilvl w:val="0"/>
          <w:numId w:val="2"/>
        </w:numPr>
        <w:spacing w:after="40"/>
      </w:pPr>
      <w:r>
        <w:rPr>
          <w:sz w:val="24"/>
          <w:szCs w:val="24"/>
        </w:rPr>
        <w:t>Run the file</w:t>
      </w:r>
      <w:r>
        <w:rPr>
          <w:rFonts w:hint="eastAsia" w:eastAsia="宋体"/>
          <w:sz w:val="24"/>
          <w:szCs w:val="24"/>
          <w:lang w:val="en-US" w:eastAsia="zh-CN"/>
        </w:rPr>
        <w:t xml:space="preserve">, </w:t>
      </w:r>
      <w:r>
        <w:rPr>
          <w:sz w:val="24"/>
          <w:szCs w:val="24"/>
        </w:rPr>
        <w:t>it calls all do-files in order</w:t>
      </w:r>
    </w:p>
    <w:p w14:paraId="7B23A46E">
      <w:pPr>
        <w:spacing w:after="200"/>
      </w:pPr>
    </w:p>
    <w:p w14:paraId="14635530">
      <w:pPr>
        <w:pStyle w:val="2"/>
      </w:pPr>
      <w:r>
        <w:t>File Structure</w:t>
      </w:r>
    </w:p>
    <w:p w14:paraId="4D9A5BE0">
      <w:pPr>
        <w:pStyle w:val="3"/>
      </w:pPr>
      <w:r>
        <w:t>Data Construction</w:t>
      </w:r>
    </w:p>
    <w:p w14:paraId="546E6C34">
      <w:pPr>
        <w:spacing w:after="120"/>
      </w:pPr>
      <w:r>
        <w:rPr>
          <w:b/>
          <w:bCs/>
          <w:sz w:val="22"/>
          <w:szCs w:val="22"/>
        </w:rPr>
        <w:t>01_clean_merge.do</w:t>
      </w:r>
      <w:r>
        <w:rPr>
          <w:sz w:val="22"/>
          <w:szCs w:val="22"/>
        </w:rPr>
        <w:t xml:space="preserve"> </w:t>
      </w:r>
      <w:r>
        <w:rPr>
          <w:rFonts w:hint="eastAsia" w:eastAsia="宋体"/>
          <w:sz w:val="22"/>
          <w:szCs w:val="22"/>
          <w:lang w:val="en-US" w:eastAsia="zh-CN"/>
        </w:rPr>
        <w:t xml:space="preserve">- </w:t>
      </w:r>
      <w:r>
        <w:rPr>
          <w:sz w:val="22"/>
          <w:szCs w:val="22"/>
        </w:rPr>
        <w:t>Merges 14 annual yearbook cross-sections into a single panel. Handles variable name changes across editions (gdp vs. grp prefixes), drops aggregate rows and cities</w:t>
      </w:r>
      <w:r>
        <w:rPr>
          <w:rFonts w:hint="eastAsia" w:eastAsia="宋体"/>
          <w:sz w:val="22"/>
          <w:szCs w:val="22"/>
          <w:lang w:val="en-US" w:eastAsia="zh-CN"/>
        </w:rPr>
        <w:t xml:space="preserve">, </w:t>
      </w:r>
      <w:r>
        <w:rPr>
          <w:sz w:val="22"/>
          <w:szCs w:val="22"/>
        </w:rPr>
        <w:t>boundary changes, and winsorizes controls at 1st/99th percentiles.</w:t>
      </w:r>
    </w:p>
    <w:p w14:paraId="132B1546">
      <w:pPr>
        <w:spacing w:after="120"/>
      </w:pPr>
      <w:r>
        <w:rPr>
          <w:b/>
          <w:bCs/>
          <w:sz w:val="22"/>
          <w:szCs w:val="22"/>
        </w:rPr>
        <w:t>02_create_analysis.do</w:t>
      </w:r>
      <w:r>
        <w:rPr>
          <w:sz w:val="22"/>
          <w:szCs w:val="22"/>
        </w:rPr>
        <w:t xml:space="preserve"> </w:t>
      </w:r>
      <w:r>
        <w:rPr>
          <w:rFonts w:hint="eastAsia" w:eastAsia="宋体"/>
          <w:sz w:val="22"/>
          <w:szCs w:val="22"/>
          <w:lang w:val="en-US" w:eastAsia="zh-CN"/>
        </w:rPr>
        <w:t>-</w:t>
      </w:r>
      <w:r>
        <w:rPr>
          <w:sz w:val="22"/>
          <w:szCs w:val="22"/>
        </w:rPr>
        <w:t xml:space="preserve"> Generates analysis variables (log transforms, financial depth ratio, mechanism DVs), merges treatment assignment from an external exposure database, assigns four-region classification, saves a pre-interpolation version for robustness, and interpolates missing control values (~10% of observations).</w:t>
      </w:r>
    </w:p>
    <w:p w14:paraId="1FF19E9D">
      <w:pPr>
        <w:pStyle w:val="3"/>
      </w:pPr>
      <w:r>
        <w:t>Analysis</w:t>
      </w:r>
    </w:p>
    <w:p w14:paraId="607AB3A0">
      <w:pPr>
        <w:spacing w:after="120"/>
      </w:pPr>
      <w:r>
        <w:rPr>
          <w:b/>
          <w:bCs/>
          <w:sz w:val="22"/>
          <w:szCs w:val="22"/>
        </w:rPr>
        <w:t>03_main_analysis.do</w:t>
      </w:r>
      <w:r>
        <w:rPr>
          <w:sz w:val="22"/>
          <w:szCs w:val="22"/>
        </w:rPr>
        <w:t xml:space="preserve"> </w:t>
      </w:r>
      <w:r>
        <w:rPr>
          <w:rFonts w:hint="eastAsia" w:eastAsia="宋体"/>
          <w:sz w:val="22"/>
          <w:szCs w:val="22"/>
          <w:lang w:val="en-US" w:eastAsia="zh-CN"/>
        </w:rPr>
        <w:t>-</w:t>
      </w:r>
      <w:r>
        <w:rPr>
          <w:sz w:val="22"/>
          <w:szCs w:val="22"/>
        </w:rPr>
        <w:t xml:space="preserve"> Estimates kernel propensity score matching on baseline covariates, then runs the pooled DID regression with city and year fixed effects under three control specifications. Implements the event study with parallel trends F-tests and produces the coefficient plot.</w:t>
      </w:r>
    </w:p>
    <w:p w14:paraId="799BC4CE">
      <w:pPr>
        <w:spacing w:after="120"/>
      </w:pPr>
      <w:r>
        <w:rPr>
          <w:b/>
          <w:bCs/>
          <w:sz w:val="22"/>
          <w:szCs w:val="22"/>
        </w:rPr>
        <w:t>04_robustness.do</w:t>
      </w:r>
      <w:r>
        <w:rPr>
          <w:sz w:val="22"/>
          <w:szCs w:val="22"/>
        </w:rPr>
        <w:t xml:space="preserve"> </w:t>
      </w:r>
      <w:r>
        <w:rPr>
          <w:rFonts w:hint="eastAsia" w:eastAsia="宋体"/>
          <w:sz w:val="22"/>
          <w:szCs w:val="22"/>
          <w:lang w:val="en-US" w:eastAsia="zh-CN"/>
        </w:rPr>
        <w:t>-</w:t>
      </w:r>
      <w:r>
        <w:rPr>
          <w:sz w:val="22"/>
          <w:szCs w:val="22"/>
        </w:rPr>
        <w:t xml:space="preserve"> Ten robustness checks: city-specific linear trends, OLS </w:t>
      </w:r>
      <w:r>
        <w:rPr>
          <w:rFonts w:hint="eastAsia" w:eastAsia="宋体"/>
          <w:sz w:val="22"/>
          <w:szCs w:val="22"/>
          <w:lang w:val="en-US" w:eastAsia="zh-CN"/>
        </w:rPr>
        <w:t xml:space="preserve">no </w:t>
      </w:r>
      <w:r>
        <w:rPr>
          <w:sz w:val="22"/>
          <w:szCs w:val="22"/>
        </w:rPr>
        <w:t xml:space="preserve">PSM, three alternative treatment thresholds (dose-response), continuous DID with raw exposure intensity, placebo test, municipality exclusion, short estimation window, and no-interpolation sample. Also runs log-level regressions to test </w:t>
      </w:r>
      <w:r>
        <w:rPr>
          <w:rFonts w:hint="eastAsia" w:eastAsia="宋体"/>
          <w:sz w:val="22"/>
          <w:szCs w:val="22"/>
          <w:lang w:val="en-US" w:eastAsia="zh-CN"/>
        </w:rPr>
        <w:t xml:space="preserve">if </w:t>
      </w:r>
      <w:r>
        <w:rPr>
          <w:sz w:val="22"/>
          <w:szCs w:val="22"/>
        </w:rPr>
        <w:t>the share decline reflects genuine sectoral contraction.</w:t>
      </w:r>
    </w:p>
    <w:p w14:paraId="41513BFF">
      <w:pPr>
        <w:spacing w:after="120"/>
      </w:pPr>
      <w:r>
        <w:rPr>
          <w:b/>
          <w:bCs/>
          <w:sz w:val="22"/>
          <w:szCs w:val="22"/>
        </w:rPr>
        <w:t>05_mechanisms.do</w:t>
      </w:r>
      <w:r>
        <w:rPr>
          <w:sz w:val="22"/>
          <w:szCs w:val="22"/>
        </w:rPr>
        <w:t xml:space="preserve"> </w:t>
      </w:r>
      <w:r>
        <w:rPr>
          <w:rFonts w:hint="eastAsia" w:eastAsia="宋体"/>
          <w:sz w:val="22"/>
          <w:szCs w:val="22"/>
          <w:lang w:val="en-US" w:eastAsia="zh-CN"/>
        </w:rPr>
        <w:t>-</w:t>
      </w:r>
      <w:r>
        <w:rPr>
          <w:sz w:val="22"/>
          <w:szCs w:val="22"/>
        </w:rPr>
        <w:t xml:space="preserve"> Mechanism regressions replacing the dependent variable with FDI, industrial profits, real estate investment, and retail consumption. Tests the FDI extensive margin using enterprise counts from a separate prefecture database. Regional heterogeneity analysis by four macro-regions, including a Northeast subsample with city-specific trends.</w:t>
      </w:r>
    </w:p>
    <w:p w14:paraId="20C8ABEB">
      <w:pPr>
        <w:spacing w:after="120"/>
      </w:pPr>
      <w:r>
        <w:rPr>
          <w:b/>
          <w:bCs/>
          <w:sz w:val="22"/>
          <w:szCs w:val="22"/>
        </w:rPr>
        <w:t>06_extensions.do</w:t>
      </w:r>
      <w:r>
        <w:rPr>
          <w:sz w:val="22"/>
          <w:szCs w:val="22"/>
        </w:rPr>
        <w:t xml:space="preserve"> </w:t>
      </w:r>
      <w:r>
        <w:rPr>
          <w:rFonts w:hint="eastAsia" w:eastAsia="宋体"/>
          <w:sz w:val="22"/>
          <w:szCs w:val="22"/>
          <w:lang w:val="en-US" w:eastAsia="zh-CN"/>
        </w:rPr>
        <w:t>-</w:t>
      </w:r>
      <w:r>
        <w:rPr>
          <w:sz w:val="22"/>
          <w:szCs w:val="22"/>
        </w:rPr>
        <w:t xml:space="preserve"> Wild cluster bootstrap inference, permutation test with 1000 random treatment reassignments, inverse probability of treatment weighting as an alternative to kernel PSM, and PSM balance diagnostics.</w:t>
      </w:r>
    </w:p>
    <w:p w14:paraId="0170AD24">
      <w:pPr>
        <w:pStyle w:val="2"/>
      </w:pPr>
      <w:r>
        <w:t>Identification Strategy</w:t>
      </w:r>
    </w:p>
    <w:p w14:paraId="7166BBA7">
      <w:pPr>
        <w:spacing w:after="200"/>
      </w:pPr>
      <w:r>
        <w:t xml:space="preserve">Treatment is defined as the top 30% of pre-policy exposure intensity across prefectures. Kernel propensity score matching on five baseline covariates (GDP per capita, population, financial depth, fiscal revenue, average wage) produces a reweighted sample with improved covariate balance. The main specification is a two-way fixed effects DID with city and year fixed effects, PSM kernel weights, and standard errors clustered at the city level. One census revision year is excluded </w:t>
      </w:r>
      <w:r>
        <w:rPr>
          <w:rFonts w:hint="eastAsia" w:eastAsia="宋体"/>
          <w:lang w:val="en-US" w:eastAsia="zh-CN"/>
        </w:rPr>
        <w:t>because of inconsistent sectoral accounting. The event study confirms the absence of differential pre-trends in the policy-relevant window and shows the effect emerging gradually after onset.</w:t>
      </w:r>
    </w:p>
    <w:p w14:paraId="5F756FCF">
      <w:pPr>
        <w:pStyle w:val="2"/>
      </w:pPr>
      <w:r>
        <w:t>Data Sources</w:t>
      </w:r>
    </w:p>
    <w:p w14:paraId="057469FE">
      <w:pPr>
        <w:pStyle w:val="14"/>
        <w:numPr>
          <w:ilvl w:val="0"/>
          <w:numId w:val="1"/>
        </w:numPr>
        <w:spacing w:after="40"/>
      </w:pPr>
      <w:r>
        <w:rPr>
          <w:sz w:val="22"/>
          <w:szCs w:val="22"/>
        </w:rPr>
        <w:t>China City Statistical Yearbook (2011–2024 editions, covering data years 2010–2023)</w:t>
      </w:r>
    </w:p>
    <w:p w14:paraId="31D333F4">
      <w:pPr>
        <w:pStyle w:val="14"/>
        <w:numPr>
          <w:ilvl w:val="0"/>
          <w:numId w:val="1"/>
        </w:numPr>
        <w:spacing w:after="40"/>
      </w:pPr>
      <w:r>
        <w:rPr>
          <w:sz w:val="22"/>
          <w:szCs w:val="22"/>
        </w:rPr>
        <w:t>CSMAR city-level database (treatment assignment variable)</w:t>
      </w:r>
    </w:p>
    <w:p w14:paraId="77260A83">
      <w:pPr>
        <w:pStyle w:val="14"/>
        <w:numPr>
          <w:ilvl w:val="0"/>
          <w:numId w:val="1"/>
        </w:numPr>
        <w:spacing w:after="40"/>
      </w:pPr>
      <w:r>
        <w:rPr>
          <w:sz w:val="22"/>
          <w:szCs w:val="22"/>
        </w:rPr>
        <w:t>Prefecture-level enterprise and FDI database (mechanism analysis)</w:t>
      </w:r>
    </w:p>
    <w:p w14:paraId="477E4A80">
      <w:pPr>
        <w:pStyle w:val="14"/>
        <w:numPr>
          <w:ilvl w:val="0"/>
          <w:numId w:val="0"/>
        </w:numPr>
        <w:spacing w:after="40"/>
        <w:rPr>
          <w:sz w:val="22"/>
          <w:szCs w:val="22"/>
        </w:rPr>
      </w:pPr>
    </w:p>
    <w:p w14:paraId="1A2B3C4D">
      <w:pPr>
        <w:spacing w:after="200"/>
        <w:rPr>
          <w:sz w:val="22"/>
          <w:szCs w:val="22"/>
        </w:rPr>
      </w:pPr>
      <w:r>
        <w:rPr>
          <w:sz w:val="22"/>
          <w:szCs w:val="22"/>
        </w:rPr>
        <w:t>The data/raw/ folder contains synthetic sample data so the code can run without the original datasets. Running 00_master.do processes these files through the full pipeline and populates data/output/.</w:t>
      </w:r>
    </w:p>
    <w:p w14:paraId="4B923B75">
      <w:pPr>
        <w:spacing w:after="200"/>
        <w:rPr>
          <w:sz w:val="22"/>
          <w:szCs w:val="22"/>
        </w:rPr>
      </w:pPr>
      <w:r>
        <w:rPr>
          <w:b/>
          <w:bCs/>
          <w:i/>
          <w:iCs/>
          <w:sz w:val="22"/>
          <w:szCs w:val="22"/>
        </w:rPr>
        <w:t xml:space="preserve">Note: </w:t>
      </w:r>
      <w:r>
        <w:rPr>
          <w:i/>
          <w:iCs/>
          <w:sz w:val="22"/>
          <w:szCs w:val="22"/>
        </w:rPr>
        <w:t>Claude (Anthropic) was used as a coding assistant for portions of this replication package.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useFELayout/>
    <w:compatSetting w:name="compatibilityMode" w:uri="http://schemas.microsoft.com/office/word" w:val="15"/>
  </w:compat>
  <w:rsids>
    <w:rsidRoot w:val="00000000"/>
    <w:rsid w:val="12ED5CBA"/>
    <w:rsid w:val="38561A88"/>
    <w:rsid w:val="392829AB"/>
    <w:rsid w:val="64B41760"/>
    <w:rsid w:val="66F902A7"/>
    <w:rsid w:val="68A250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pPr>
      <w:spacing w:before="360" w:after="20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40" w:after="120"/>
      <w:outlineLvl w:val="1"/>
    </w:pPr>
    <w:rPr>
      <w:rFonts w:ascii="Times New Roman" w:hAnsi="Times New Roman" w:eastAsia="Times New Roman" w:cs="Times New Roman"/>
      <w:b/>
      <w:bCs/>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Title"/>
    <w:qFormat/>
    <w:uiPriority w:val="0"/>
    <w:rPr>
      <w:rFonts w:ascii="Times New Roman" w:hAnsi="Times New Roman" w:eastAsia="Times New Roman" w:cs="Times New Roman"/>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imes New Roman" w:hAnsi="Times New Roman" w:eastAsia="Times New Roman" w:cs="Times New Roman"/>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540</Words>
  <Characters>3496</Characters>
  <TotalTime>0</TotalTime>
  <ScaleCrop>false</ScaleCrop>
  <LinksUpToDate>false</LinksUpToDate>
  <CharactersWithSpaces>4004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2026-02-19T16:53:00Z</dcterms:created>
  <dc:creator>Un-named</dc:creator>
  <cp:lastModifiedBy>北极光.\</cp:lastModifiedBy>
  <dcterms:modified xsi:type="dcterms:W3CDTF">2026-02-24T17:35:53Z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eyJoZGlkIjoiOTAyNDVkYmUyNWY1MDExMGQyYmVlNjU1YTFhZDgzNDMiLCJ1c2VySWQiOiIxNjIwNDQ4ODE3In0=</vt:lpwstr>
  </property>
  <property fmtid="{D5CDD505-2E9C-101B-9397-08002B2CF9AE}" pid="3" name="KSOProductBuildVer">
    <vt:lpwstr>2052-12.1.0.25225</vt:lpwstr>
  </property>
  <property fmtid="{D5CDD505-2E9C-101B-9397-08002B2CF9AE}" pid="4" name="ICV">
    <vt:lpwstr>B9544E8F17CC45D2AC0B3ED3FDBA2260_13</vt:lpwstr>
  </property>
</Properties>
</file>