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394BE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iGameCore目录下是核心模块，包括数据结构、算法、渲染等子模块；Qt目录下是前端页面模块</w:t>
      </w:r>
    </w:p>
    <w:p w14:paraId="6E2D7AB7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CellModel目录包含基本的元素对象类，如Triangle、Quad、Tetra等，需要继承自Cell对象</w:t>
      </w:r>
    </w:p>
    <w:p w14:paraId="6D736444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Common目录包含框架内基本的对象，如Object、ArrayObject等</w:t>
      </w:r>
    </w:p>
    <w:p w14:paraId="3AF766CB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DataModel目录包含数据结构对象，如SurfaceMesh、VolumeMesh等，需要继承自DataObject对象</w:t>
      </w:r>
    </w:p>
    <w:p w14:paraId="4646A710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Filters目录包含所有的算法对象，需要继承自Filter对象</w:t>
      </w:r>
    </w:p>
    <w:p w14:paraId="07E2C88C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IO目录包含所有的输入输出对象</w:t>
      </w:r>
    </w:p>
    <w:p w14:paraId="5A48C47D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Rendering目录包含渲染相关的类</w:t>
      </w:r>
    </w:p>
    <w:p w14:paraId="43C0648B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39B8A6DB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本文关注 iGameCore 中用于表示 CAE 数据的对象，不逐项介绍所有类、算法和文件格式。重点说明几何、拓扑、属性和层次关系的组织方式，以及数据编辑和处理时的一致性约束。</w:t>
      </w:r>
    </w:p>
    <w:p w14:paraId="267DECF9">
      <w:p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1997DF32">
      <w:pPr>
        <w:numPr>
          <w:ilvl w:val="0"/>
          <w:numId w:val="1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总览</w:t>
      </w:r>
    </w:p>
    <w:p w14:paraId="5808E56B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645785" cy="3714115"/>
            <wp:effectExtent l="0" t="0" r="8255" b="4445"/>
            <wp:docPr id="2" name="图片 2" descr="mermaid-diagram-2026-08-13-23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-2026-08-13-2330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7F56">
      <w:p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从整体继承关系来看，AbstractObject 位于对象体系的顶层，Object 在其基础上形成统一的基础对象抽象，并进一步派生出 Scene、Cell、DataObject、Filter、ArrayObject 等核心类。</w:t>
      </w:r>
    </w:p>
    <w:p w14:paraId="35F8AA12">
      <w:p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不同派生体系承担不同的功能：Scene 用于场景相关对象的组织与管理；Cell 用于描述网格中的几何与拓扑单元；DataObject 用于组织具体的数据对象，并进一步形成 DrawObject、PointSet 以及 SurfaceMesh、VolumeMesh、UnstructuredMesh 等数据结构；Filter 作为数据处理类的基础，进一步形成 FileReader、FileWriter、MeshFilter 等具体处理对象；ArrayObject 及其相关类则用于数组数据的组织。</w:t>
      </w:r>
    </w:p>
    <w:p w14:paraId="547CB34E">
      <w:p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其中，DataObject 体系形成了由通用数据对象向具体数据结构逐步扩展的继承关系。DrawObject 在 DataObject 基础上增加可渲染数据及相关管理能力，PointSet 进一步具体化为点集数据对象，并向下形成 SurfaceMesh、UnstructuredMesh 等具体网格类型，其中 VolumeMesh 进一步继承自 SurfaceMesh。Cell 和 Filter 则分别形成网格单元和数据处理相关的类层次。</w:t>
      </w:r>
    </w:p>
    <w:p w14:paraId="70E9884C">
      <w:p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因此，整个 iGameCore 的核心对象体系可以概括为：以 AbstractObject 和 Object 建立统一的对象基础，以 Cell 描述网格单元，以 DataObject 组织数据对象，以 Filter 承载数据处理，并通过进一步的继承关系形成具体的数据结构和功能对象。</w:t>
      </w:r>
    </w:p>
    <w:p w14:paraId="0648D003">
      <w:p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30A0D0EE">
      <w:pPr>
        <w:numPr>
          <w:ilvl w:val="0"/>
          <w:numId w:val="1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DataObject 对象体系</w:t>
      </w:r>
    </w:p>
    <w:p w14:paraId="22851F25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8180" cy="2348865"/>
            <wp:effectExtent l="0" t="0" r="2540" b="13335"/>
            <wp:docPr id="1" name="图片 1" descr="mermaid-diagram-2026-08-14-232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6-08-14-232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3B8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DataObject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既是各种数据对象的统一基础，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负责管理数据对象共有的状态和关系，包括唯一 ID、属性集、元数据、属性树、包围盒、时间序列、形变数据、颜色映射以及子数据对象等。</w:t>
      </w:r>
    </w:p>
    <w:p w14:paraId="593103A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其中，子数据对象通过 DataObjectId 进行组织，使一个数据对象可以包含多个具有层次关系的子对象。DataObject 同时提供数据拷贝、数据范围同步、动画更新和内存统计等通用能力，为点集、网格以及其他数据对象提供统一的数据管理基础。</w:t>
      </w:r>
    </w:p>
    <w:p w14:paraId="0195A285">
      <w:pPr>
        <w:numPr>
          <w:ilvl w:val="0"/>
          <w:numId w:val="0"/>
        </w:numP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2.1 DrawObject</w:t>
      </w:r>
    </w:p>
    <w:p w14:paraId="080EF1B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DrawObject在通用数据对象的基础上增加可绘制和渲染相关能力。</w:t>
      </w:r>
    </w:p>
    <w:p w14:paraId="61E4539C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它主要负责管理顶点、颜色、法线、纹理、索引等绘制数据，以及可见性、显示模式、透明度等渲染属性，并提供可绘制数据转换和 GPU 数据同步功能。其下进一步派生出 PointSet，形成具体的几何和网格数据体系。</w:t>
      </w:r>
    </w:p>
    <w:p w14:paraId="04D7FF4A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2.2 PointSet</w:t>
      </w:r>
    </w:p>
    <w:p w14:paraId="281EEE2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PointSet 在 DataObject 和 DrawObject 提供的通用能力基础上，进一步负责点数据的存储和编辑，主要维护点坐标、点删除标记、编辑状态、点映射以及选择集，是后续所有网格结构共享的几何底座：点坐标由 m_Points 保存，拓扑结构只保存点 ID，不重复保存坐标。</w:t>
      </w:r>
    </w:p>
    <w:p w14:paraId="52515CE2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2.3 SurfaceMesh</w:t>
      </w:r>
    </w:p>
    <w:p w14:paraId="7605D9F2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SurfaceMesh : PointSet 在点数据基础上进一步建立表面网格拓扑，主要维护点—边、点—面以及边—面之间的连接关系：</w:t>
      </w:r>
    </w:p>
    <w:p w14:paraId="1D39D395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m_Edges / m_EdgeLinks：边与点之间的连接关系；</w:t>
      </w:r>
    </w:p>
    <w:p w14:paraId="45BD04C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m_Faces / m_FaceLinks：面与点之间的连接关系；</w:t>
      </w:r>
    </w:p>
    <w:p w14:paraId="07E6781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m_FaceEdges / m_FaceEdgeLinks：面与边之间的连接关系。</w:t>
      </w:r>
    </w:p>
    <w:p w14:paraId="1FCFBAE5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因此，SurfaceMesh 在 PointSet 的点数据基础上增加了完整的表面拓扑组织能力，是表面网格及进一步体网格数据的基础。</w:t>
      </w:r>
    </w:p>
    <w:p w14:paraId="316BF7B0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这种设计以额外存储空间为代价，避免在每次邻接查询时遍历全部单元，适合需要频繁编辑、选择和拓扑分析的算法；相应地，网格修改后必须同步维护或重新生成这些关系。</w:t>
      </w:r>
    </w:p>
    <w:p w14:paraId="68DDEB0E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2.4 VolumeMesh</w:t>
      </w:r>
    </w:p>
    <w:p w14:paraId="2303D5E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VolumeMesh : SurfaceMesh 在表面拓扑基础上进一步增加体单元及其拓扑关系，主要维护：</w:t>
      </w:r>
    </w:p>
    <w:p w14:paraId="49A5CA8E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m_Volumes / m_VolumeLinks：体与点；</w:t>
      </w:r>
    </w:p>
    <w:p w14:paraId="2F7EBEA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m_VolumeEdges / m_VolumeEdgeLinks：体与边；</w:t>
      </w:r>
    </w:p>
    <w:p w14:paraId="451B9A6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m_VolumeFaces / m_VolumeFaceLinks：体与面。</w:t>
      </w:r>
    </w:p>
    <w:p w14:paraId="2E464F5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通过这些关系可以支持体、面、边和点之间的邻接查询及拓扑操作。VolumeMesh 进一步将网格数据从二维表面扩展到三维体单元。</w:t>
      </w:r>
    </w:p>
    <w:p w14:paraId="66368B0B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2.5 UnstructuredMesh</w:t>
      </w:r>
    </w:p>
    <w:p w14:paraId="45E12F9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UnstructuredMesh : PointSet 采用单元连接关系和单元类型分离存储的方式组织非结构化网格：</w:t>
      </w:r>
    </w:p>
    <w:p w14:paraId="16E3F9C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m_Cells[cellId]  → 单元包含的点 ID</w:t>
      </w:r>
    </w:p>
    <w:p w14:paraId="039C30AA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m_Types[cellId]  → 单元类型</w:t>
      </w:r>
    </w:p>
    <w:p w14:paraId="0E1A7F0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其中，m_Cells 描述单元的点连接关系，m_Types 描述对应单元的类型。该结构能够在同一网格中组织不同类型的单元，并支持面网格、体网格等数据之间的转换与提取。</w:t>
      </w:r>
    </w:p>
    <w:p w14:paraId="58CF051B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UnstructuredMesh 不要求所有单元具有相同类型。单元的连接数据统一保存在 m_Cells 中，类型由相同下标的 m_Types 指定，因此一个对象可以同时保存三角形、四边形、四面体、六面体等单元。代价是算法访问单元时通常需要根据 m_Types[cellId] 解释对应的连接数据。</w:t>
      </w:r>
    </w:p>
    <w:p w14:paraId="17A25D5D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2.6 StructuredMesh</w:t>
      </w:r>
    </w:p>
    <w:p w14:paraId="201AE86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StructuredMesh : VolumeMesh 面向具有规则拓扑关系的结构化网格，不需要显式存储完整的单元连接关系，而是通过 size、extent 以及 (i,j,k) 到线性索引的映射描述网格结构，并可进一步生成对应的单元连接关系。</w:t>
      </w:r>
    </w:p>
    <w:p w14:paraId="14B4F7AF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因此，StructuredMesh 与 UnstructuredMesh 采用了不同的网格组织方式：前者利用规则索引隐式表达拓扑，后者通过显式的单元连接关系描述拓扑。</w:t>
      </w:r>
    </w:p>
    <w:p w14:paraId="32110E3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430"/>
        <w:gridCol w:w="1430"/>
        <w:gridCol w:w="1374"/>
        <w:gridCol w:w="1432"/>
      </w:tblGrid>
      <w:tr w14:paraId="306C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  <w:vAlign w:val="center"/>
          </w:tcPr>
          <w:p w14:paraId="3EAB7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1430" w:type="dxa"/>
            <w:vAlign w:val="center"/>
          </w:tcPr>
          <w:p w14:paraId="25835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基础表示</w:t>
            </w:r>
          </w:p>
        </w:tc>
        <w:tc>
          <w:tcPr>
            <w:tcW w:w="1430" w:type="dxa"/>
            <w:vAlign w:val="center"/>
          </w:tcPr>
          <w:p w14:paraId="7E9CB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是否显式存储拓扑</w:t>
            </w:r>
          </w:p>
        </w:tc>
        <w:tc>
          <w:tcPr>
            <w:tcW w:w="1374" w:type="dxa"/>
            <w:vAlign w:val="center"/>
          </w:tcPr>
          <w:p w14:paraId="327E7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主要优势</w:t>
            </w:r>
          </w:p>
        </w:tc>
        <w:tc>
          <w:tcPr>
            <w:tcW w:w="1432" w:type="dxa"/>
            <w:vAlign w:val="center"/>
          </w:tcPr>
          <w:p w14:paraId="3BFB9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典型用途</w:t>
            </w:r>
          </w:p>
        </w:tc>
      </w:tr>
      <w:tr w14:paraId="27DFE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  <w:vAlign w:val="center"/>
          </w:tcPr>
          <w:p w14:paraId="6C83C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PointSet</w:t>
            </w:r>
          </w:p>
        </w:tc>
        <w:tc>
          <w:tcPr>
            <w:tcW w:w="1430" w:type="dxa"/>
            <w:vAlign w:val="center"/>
          </w:tcPr>
          <w:p w14:paraId="6C1A1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点坐标</w:t>
            </w:r>
          </w:p>
        </w:tc>
        <w:tc>
          <w:tcPr>
            <w:tcW w:w="1430" w:type="dxa"/>
            <w:vAlign w:val="center"/>
          </w:tcPr>
          <w:p w14:paraId="5505B6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374" w:type="dxa"/>
            <w:vAlign w:val="center"/>
          </w:tcPr>
          <w:p w14:paraId="69899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结构简单</w:t>
            </w:r>
          </w:p>
        </w:tc>
        <w:tc>
          <w:tcPr>
            <w:tcW w:w="1432" w:type="dxa"/>
            <w:vAlign w:val="center"/>
          </w:tcPr>
          <w:p w14:paraId="5C7FC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点云、粒子</w:t>
            </w:r>
          </w:p>
        </w:tc>
      </w:tr>
      <w:tr w14:paraId="231E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  <w:vAlign w:val="center"/>
          </w:tcPr>
          <w:p w14:paraId="46550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SurfaceMesh</w:t>
            </w:r>
          </w:p>
        </w:tc>
        <w:tc>
          <w:tcPr>
            <w:tcW w:w="1430" w:type="dxa"/>
            <w:vAlign w:val="center"/>
          </w:tcPr>
          <w:p w14:paraId="56440E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点、边、面及邻接关系</w:t>
            </w:r>
          </w:p>
        </w:tc>
        <w:tc>
          <w:tcPr>
            <w:tcW w:w="1430" w:type="dxa"/>
            <w:vAlign w:val="center"/>
          </w:tcPr>
          <w:p w14:paraId="39B73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374" w:type="dxa"/>
            <w:vAlign w:val="center"/>
          </w:tcPr>
          <w:p w14:paraId="12332E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表面邻接查询和编辑方便</w:t>
            </w:r>
          </w:p>
        </w:tc>
        <w:tc>
          <w:tcPr>
            <w:tcW w:w="1432" w:type="dxa"/>
            <w:vAlign w:val="center"/>
          </w:tcPr>
          <w:p w14:paraId="6856DA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表面处理</w:t>
            </w:r>
          </w:p>
        </w:tc>
      </w:tr>
      <w:tr w14:paraId="738E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  <w:vAlign w:val="center"/>
          </w:tcPr>
          <w:p w14:paraId="491FF5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VolumeMesh</w:t>
            </w:r>
          </w:p>
        </w:tc>
        <w:tc>
          <w:tcPr>
            <w:tcW w:w="1430" w:type="dxa"/>
            <w:vAlign w:val="center"/>
          </w:tcPr>
          <w:p w14:paraId="28F1C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点、边、面、体及邻接关系</w:t>
            </w:r>
          </w:p>
        </w:tc>
        <w:tc>
          <w:tcPr>
            <w:tcW w:w="1430" w:type="dxa"/>
            <w:vAlign w:val="center"/>
          </w:tcPr>
          <w:p w14:paraId="14131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374" w:type="dxa"/>
            <w:vAlign w:val="center"/>
          </w:tcPr>
          <w:p w14:paraId="55F03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支持体网格拓扑操作</w:t>
            </w:r>
          </w:p>
        </w:tc>
        <w:tc>
          <w:tcPr>
            <w:tcW w:w="1432" w:type="dxa"/>
            <w:vAlign w:val="center"/>
          </w:tcPr>
          <w:p w14:paraId="0C5E62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体网格分析</w:t>
            </w:r>
          </w:p>
        </w:tc>
      </w:tr>
      <w:tr w14:paraId="1271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  <w:vAlign w:val="center"/>
          </w:tcPr>
          <w:p w14:paraId="7F4D82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UnstructuredMesh</w:t>
            </w:r>
          </w:p>
        </w:tc>
        <w:tc>
          <w:tcPr>
            <w:tcW w:w="1430" w:type="dxa"/>
            <w:vAlign w:val="center"/>
          </w:tcPr>
          <w:p w14:paraId="552FA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单元连接表＋类型表</w:t>
            </w:r>
          </w:p>
        </w:tc>
        <w:tc>
          <w:tcPr>
            <w:tcW w:w="1430" w:type="dxa"/>
            <w:vAlign w:val="center"/>
          </w:tcPr>
          <w:p w14:paraId="20D4E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374" w:type="dxa"/>
            <w:vAlign w:val="center"/>
          </w:tcPr>
          <w:p w14:paraId="37EEA4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可混合多种单元</w:t>
            </w:r>
          </w:p>
        </w:tc>
        <w:tc>
          <w:tcPr>
            <w:tcW w:w="1432" w:type="dxa"/>
            <w:vAlign w:val="center"/>
          </w:tcPr>
          <w:p w14:paraId="7DEE5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非结构化网格</w:t>
            </w:r>
          </w:p>
        </w:tc>
      </w:tr>
      <w:tr w14:paraId="2DF1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  <w:vAlign w:val="center"/>
          </w:tcPr>
          <w:p w14:paraId="646B49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StructuredMesh</w:t>
            </w:r>
          </w:p>
        </w:tc>
        <w:tc>
          <w:tcPr>
            <w:tcW w:w="1430" w:type="dxa"/>
            <w:vAlign w:val="center"/>
          </w:tcPr>
          <w:p w14:paraId="52C0AA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规则尺寸、范围和索引</w:t>
            </w:r>
          </w:p>
        </w:tc>
        <w:tc>
          <w:tcPr>
            <w:tcW w:w="1430" w:type="dxa"/>
            <w:vAlign w:val="center"/>
          </w:tcPr>
          <w:p w14:paraId="1D43C2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规则拓扑可推导、连接可按需生成</w:t>
            </w:r>
          </w:p>
        </w:tc>
        <w:tc>
          <w:tcPr>
            <w:tcW w:w="1374" w:type="dxa"/>
            <w:vAlign w:val="center"/>
          </w:tcPr>
          <w:p w14:paraId="0FA954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存储和定位规则</w:t>
            </w:r>
          </w:p>
        </w:tc>
        <w:tc>
          <w:tcPr>
            <w:tcW w:w="1432" w:type="dxa"/>
            <w:vAlign w:val="center"/>
          </w:tcPr>
          <w:p w14:paraId="72FB5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结构化网格</w:t>
            </w:r>
          </w:p>
        </w:tc>
      </w:tr>
      <w:tr w14:paraId="36A2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  <w:vAlign w:val="center"/>
          </w:tcPr>
          <w:p w14:paraId="4770B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LagrangeUnstructuredMesh</w:t>
            </w:r>
          </w:p>
        </w:tc>
        <w:tc>
          <w:tcPr>
            <w:tcW w:w="1430" w:type="dxa"/>
            <w:vAlign w:val="center"/>
          </w:tcPr>
          <w:p w14:paraId="62AE0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高阶连接、单元形状、阶次</w:t>
            </w:r>
          </w:p>
        </w:tc>
        <w:tc>
          <w:tcPr>
            <w:tcW w:w="1430" w:type="dxa"/>
            <w:vAlign w:val="center"/>
          </w:tcPr>
          <w:p w14:paraId="2C3643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374" w:type="dxa"/>
            <w:vAlign w:val="center"/>
          </w:tcPr>
          <w:p w14:paraId="17E43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保留高阶有限元信息</w:t>
            </w:r>
          </w:p>
        </w:tc>
        <w:tc>
          <w:tcPr>
            <w:tcW w:w="1432" w:type="dxa"/>
            <w:vAlign w:val="center"/>
          </w:tcPr>
          <w:p w14:paraId="47AD8C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高阶单元可视化</w:t>
            </w:r>
          </w:p>
        </w:tc>
      </w:tr>
    </w:tbl>
    <w:p w14:paraId="44B9D429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2CE939"/>
    <w:multiLevelType w:val="multilevel"/>
    <w:tmpl w:val="6D2CE9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D5ABB"/>
    <w:rsid w:val="0CC04D37"/>
    <w:rsid w:val="21622589"/>
    <w:rsid w:val="262D15A0"/>
    <w:rsid w:val="275D120E"/>
    <w:rsid w:val="45A74E62"/>
    <w:rsid w:val="4CB521AF"/>
    <w:rsid w:val="5A9234A3"/>
    <w:rsid w:val="73555051"/>
    <w:rsid w:val="7D01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1931</Words>
  <Characters>2976</Characters>
  <Lines>0</Lines>
  <Paragraphs>0</Paragraphs>
  <TotalTime>14</TotalTime>
  <ScaleCrop>false</ScaleCrop>
  <LinksUpToDate>false</LinksUpToDate>
  <CharactersWithSpaces>3103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2026-08-09T09:30:00Z</dcterms:created>
  <dc:creator>31242</dc:creator>
  <cp:lastModifiedBy>长晏</cp:lastModifiedBy>
  <dcterms:modified xsi:type="dcterms:W3CDTF">2026-08-27T04:47:27Z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eyJoZGlkIjoiYzI5ZjJiYjYzMzNjMDgyMjE3MWQxZTBhZjU1MzVlNzciLCJ1c2VySWQiOiIxMjMzMjkyOTA0In0=</vt:lpwstr>
  </property>
  <property fmtid="{D5CDD505-2E9C-101B-9397-08002B2CF9AE}" pid="4" name="ICV">
    <vt:lpwstr>6122C394076F43F68A5CB2A1569BD446_12</vt:lpwstr>
  </property>
</Properties>
</file>