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0" w:after="40" w:line="240" w:lineRule="auto"/>
        <w:rPr>
          <w:lang w:eastAsia="zh-CN"/>
        </w:rPr>
      </w:pPr>
      <w:r>
        <w:rPr>
          <w:b/>
          <w:color w:val="52C41A"/>
          <w:lang w:eastAsia="zh-CN"/>
        </w:rPr>
        <w:t>合同附件 2</w:t>
      </w:r>
    </w:p>
    <w:p>
      <w:pPr>
        <w:spacing w:after="40" w:line="240" w:lineRule="auto"/>
        <w:rPr>
          <w:b/>
          <w:color w:val="0B4B3A"/>
          <w:sz w:val="36"/>
          <w:lang w:eastAsia="zh-CN"/>
        </w:rPr>
      </w:pPr>
      <w:r>
        <w:rPr>
          <w:rFonts w:hint="eastAsia"/>
          <w:b/>
          <w:color w:val="0B4B3A"/>
          <w:sz w:val="36"/>
          <w:lang w:eastAsia="zh-CN"/>
        </w:rPr>
        <w:t>AI 电价负载预测系统</w:t>
      </w:r>
      <w:r>
        <w:rPr>
          <w:b/>
          <w:color w:val="0B4B3A"/>
          <w:sz w:val="36"/>
          <w:lang w:eastAsia="zh-CN"/>
        </w:rPr>
        <w:t>分阶段纳管设备及数据点位清单</w:t>
      </w:r>
    </w:p>
    <w:p>
      <w:pPr>
        <w:spacing w:after="140" w:line="240" w:lineRule="auto"/>
      </w:pPr>
      <w:r>
        <w:rPr>
          <w:color w:val="6B7785"/>
          <w:sz w:val="21"/>
        </w:rPr>
        <w:t>简化填报与确认模板</w:t>
      </w:r>
    </w:p>
    <w:tbl>
      <w:tblPr>
        <w:tblStyle w:val="32"/>
        <w:tblW w:w="15274" w:type="dxa"/>
        <w:tblInd w:w="90" w:type="dxa"/>
        <w:tblBorders>
          <w:top w:val="single" w:color="B7C9C1" w:sz="6" w:space="0"/>
          <w:left w:val="single" w:color="B7C9C1" w:sz="6" w:space="0"/>
          <w:bottom w:val="single" w:color="B7C9C1" w:sz="6" w:space="0"/>
          <w:right w:val="single" w:color="B7C9C1" w:sz="6" w:space="0"/>
          <w:insideH w:val="single" w:color="B7C9C1" w:sz="6" w:space="0"/>
          <w:insideV w:val="single" w:color="B7C9C1" w:sz="6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700"/>
        <w:gridCol w:w="6200"/>
        <w:gridCol w:w="1700"/>
        <w:gridCol w:w="5674"/>
      </w:tblGrid>
      <w:tr>
        <w:tblPrEx>
          <w:tblBorders>
            <w:top w:val="single" w:color="B7C9C1" w:sz="6" w:space="0"/>
            <w:left w:val="single" w:color="B7C9C1" w:sz="6" w:space="0"/>
            <w:bottom w:val="single" w:color="B7C9C1" w:sz="6" w:space="0"/>
            <w:right w:val="single" w:color="B7C9C1" w:sz="6" w:space="0"/>
            <w:insideH w:val="single" w:color="B7C9C1" w:sz="6" w:space="0"/>
            <w:insideV w:val="single" w:color="B7C9C1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</w:trPr>
        <w:tc>
          <w:tcPr>
            <w:tcW w:w="1700" w:type="dxa"/>
            <w:shd w:val="clear" w:color="auto" w:fill="EAF7F0"/>
            <w:vAlign w:val="center"/>
          </w:tcPr>
          <w:p>
            <w:pPr>
              <w:spacing w:after="40" w:line="259" w:lineRule="auto"/>
            </w:pPr>
            <w:r>
              <w:rPr>
                <w:b/>
                <w:color w:val="0B4B3A"/>
                <w:sz w:val="17"/>
              </w:rPr>
              <w:t>合同名称</w:t>
            </w:r>
          </w:p>
        </w:tc>
        <w:tc>
          <w:tcPr>
            <w:tcW w:w="6200" w:type="dxa"/>
            <w:shd w:val="clear" w:color="auto" w:fill="FFFFFF"/>
            <w:vAlign w:val="center"/>
          </w:tcPr>
          <w:p>
            <w:pPr>
              <w:spacing w:after="40" w:line="259" w:lineRule="auto"/>
              <w:rPr>
                <w:rFonts w:hint="default"/>
                <w:lang w:val="en-US" w:eastAsia="zh-CN"/>
              </w:rPr>
            </w:pPr>
            <w:r>
              <w:rPr>
                <w:sz w:val="17"/>
                <w:lang w:eastAsia="zh-CN"/>
              </w:rPr>
              <w:t>威法556kW光伏电站工程及</w:t>
            </w:r>
            <w:r>
              <w:rPr>
                <w:rFonts w:hint="eastAsia"/>
                <w:sz w:val="17"/>
                <w:lang w:eastAsia="zh-CN"/>
              </w:rPr>
              <w:t>AI 电价负载预测系统</w:t>
            </w:r>
            <w:r>
              <w:rPr>
                <w:rFonts w:hint="eastAsia"/>
                <w:sz w:val="17"/>
                <w:lang w:val="en-US" w:eastAsia="zh-CN"/>
              </w:rPr>
              <w:t>合同</w:t>
            </w:r>
          </w:p>
        </w:tc>
        <w:tc>
          <w:tcPr>
            <w:tcW w:w="1700" w:type="dxa"/>
            <w:shd w:val="clear" w:color="auto" w:fill="EAF7F0"/>
            <w:vAlign w:val="center"/>
          </w:tcPr>
          <w:p>
            <w:pPr>
              <w:spacing w:after="40" w:line="259" w:lineRule="auto"/>
            </w:pPr>
            <w:r>
              <w:rPr>
                <w:b/>
                <w:color w:val="0B4B3A"/>
                <w:sz w:val="17"/>
              </w:rPr>
              <w:t>合同编号</w:t>
            </w:r>
          </w:p>
        </w:tc>
        <w:tc>
          <w:tcPr>
            <w:tcW w:w="5674" w:type="dxa"/>
            <w:shd w:val="clear" w:color="auto" w:fill="FFFFFF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LVK2026061501</w:t>
            </w:r>
          </w:p>
        </w:tc>
      </w:tr>
      <w:tr>
        <w:tblPrEx>
          <w:tblBorders>
            <w:top w:val="single" w:color="B7C9C1" w:sz="6" w:space="0"/>
            <w:left w:val="single" w:color="B7C9C1" w:sz="6" w:space="0"/>
            <w:bottom w:val="single" w:color="B7C9C1" w:sz="6" w:space="0"/>
            <w:right w:val="single" w:color="B7C9C1" w:sz="6" w:space="0"/>
            <w:insideH w:val="single" w:color="B7C9C1" w:sz="6" w:space="0"/>
            <w:insideV w:val="single" w:color="B7C9C1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</w:trPr>
        <w:tc>
          <w:tcPr>
            <w:tcW w:w="1700" w:type="dxa"/>
            <w:shd w:val="clear" w:color="auto" w:fill="EAF7F0"/>
            <w:vAlign w:val="center"/>
          </w:tcPr>
          <w:p>
            <w:pPr>
              <w:spacing w:after="40" w:line="259" w:lineRule="auto"/>
            </w:pPr>
            <w:r>
              <w:rPr>
                <w:b/>
                <w:color w:val="0B4B3A"/>
                <w:sz w:val="17"/>
              </w:rPr>
              <w:t>需方（甲方）</w:t>
            </w:r>
          </w:p>
        </w:tc>
        <w:tc>
          <w:tcPr>
            <w:tcW w:w="6200" w:type="dxa"/>
            <w:shd w:val="clear" w:color="auto" w:fill="FFFFFF"/>
            <w:vAlign w:val="center"/>
          </w:tcPr>
          <w:p>
            <w:pPr>
              <w:spacing w:after="4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广东威法定制家居股份有限公司</w:t>
            </w:r>
          </w:p>
        </w:tc>
        <w:tc>
          <w:tcPr>
            <w:tcW w:w="1700" w:type="dxa"/>
            <w:shd w:val="clear" w:color="auto" w:fill="EAF7F0"/>
            <w:vAlign w:val="center"/>
          </w:tcPr>
          <w:p>
            <w:pPr>
              <w:spacing w:after="40" w:line="259" w:lineRule="auto"/>
            </w:pPr>
            <w:r>
              <w:rPr>
                <w:b/>
                <w:color w:val="0B4B3A"/>
                <w:sz w:val="17"/>
              </w:rPr>
              <w:t>供方（乙方）</w:t>
            </w:r>
          </w:p>
        </w:tc>
        <w:tc>
          <w:tcPr>
            <w:tcW w:w="5674" w:type="dxa"/>
            <w:shd w:val="clear" w:color="auto" w:fill="FFFFFF"/>
            <w:vAlign w:val="center"/>
          </w:tcPr>
          <w:p>
            <w:pPr>
              <w:spacing w:after="4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广东龙维新电科技有限公司</w:t>
            </w:r>
          </w:p>
        </w:tc>
      </w:tr>
      <w:tr>
        <w:tblPrEx>
          <w:tblBorders>
            <w:top w:val="single" w:color="B7C9C1" w:sz="6" w:space="0"/>
            <w:left w:val="single" w:color="B7C9C1" w:sz="6" w:space="0"/>
            <w:bottom w:val="single" w:color="B7C9C1" w:sz="6" w:space="0"/>
            <w:right w:val="single" w:color="B7C9C1" w:sz="6" w:space="0"/>
            <w:insideH w:val="single" w:color="B7C9C1" w:sz="6" w:space="0"/>
            <w:insideV w:val="single" w:color="B7C9C1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</w:trPr>
        <w:tc>
          <w:tcPr>
            <w:tcW w:w="1700" w:type="dxa"/>
            <w:shd w:val="clear" w:color="auto" w:fill="EAF7F0"/>
            <w:vAlign w:val="center"/>
          </w:tcPr>
          <w:p>
            <w:pPr>
              <w:spacing w:after="40" w:line="259" w:lineRule="auto"/>
            </w:pPr>
            <w:r>
              <w:rPr>
                <w:b/>
                <w:color w:val="0B4B3A"/>
                <w:sz w:val="17"/>
              </w:rPr>
              <w:t>项目地点</w:t>
            </w:r>
          </w:p>
        </w:tc>
        <w:tc>
          <w:tcPr>
            <w:tcW w:w="6200" w:type="dxa"/>
            <w:shd w:val="clear" w:color="auto" w:fill="FFFFFF"/>
            <w:vAlign w:val="center"/>
          </w:tcPr>
          <w:p>
            <w:pPr>
              <w:spacing w:after="4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中山市小榄镇威法路16号</w:t>
            </w:r>
          </w:p>
        </w:tc>
        <w:tc>
          <w:tcPr>
            <w:tcW w:w="1700" w:type="dxa"/>
            <w:shd w:val="clear" w:color="auto" w:fill="EAF7F0"/>
            <w:vAlign w:val="center"/>
          </w:tcPr>
          <w:p>
            <w:pPr>
              <w:spacing w:after="40" w:line="259" w:lineRule="auto"/>
            </w:pPr>
            <w:r>
              <w:rPr>
                <w:b/>
                <w:color w:val="0B4B3A"/>
                <w:sz w:val="17"/>
              </w:rPr>
              <w:t>版本/日期</w:t>
            </w:r>
          </w:p>
        </w:tc>
        <w:tc>
          <w:tcPr>
            <w:tcW w:w="567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V1.1（简化版）/ ______年____月____日</w:t>
            </w:r>
          </w:p>
        </w:tc>
      </w:tr>
      <w:tr>
        <w:tblPrEx>
          <w:tblBorders>
            <w:top w:val="single" w:color="B7C9C1" w:sz="6" w:space="0"/>
            <w:left w:val="single" w:color="B7C9C1" w:sz="6" w:space="0"/>
            <w:bottom w:val="single" w:color="B7C9C1" w:sz="6" w:space="0"/>
            <w:right w:val="single" w:color="B7C9C1" w:sz="6" w:space="0"/>
            <w:insideH w:val="single" w:color="B7C9C1" w:sz="6" w:space="0"/>
            <w:insideV w:val="single" w:color="B7C9C1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</w:trPr>
        <w:tc>
          <w:tcPr>
            <w:tcW w:w="1700" w:type="dxa"/>
            <w:shd w:val="clear" w:color="auto" w:fill="EAF7F0"/>
            <w:vAlign w:val="center"/>
          </w:tcPr>
          <w:p>
            <w:pPr>
              <w:spacing w:after="40" w:line="259" w:lineRule="auto"/>
            </w:pPr>
            <w:r>
              <w:rPr>
                <w:b/>
                <w:color w:val="0B4B3A"/>
                <w:sz w:val="17"/>
              </w:rPr>
              <w:t>编制/复核</w:t>
            </w:r>
          </w:p>
        </w:tc>
        <w:tc>
          <w:tcPr>
            <w:tcW w:w="6200" w:type="dxa"/>
            <w:shd w:val="clear" w:color="auto" w:fill="FFFFFF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乙方：________________</w:t>
            </w:r>
          </w:p>
        </w:tc>
        <w:tc>
          <w:tcPr>
            <w:tcW w:w="1700" w:type="dxa"/>
            <w:shd w:val="clear" w:color="auto" w:fill="EAF7F0"/>
            <w:vAlign w:val="center"/>
          </w:tcPr>
          <w:p>
            <w:pPr>
              <w:spacing w:after="40" w:line="259" w:lineRule="auto"/>
            </w:pPr>
            <w:r>
              <w:rPr>
                <w:b/>
                <w:color w:val="0B4B3A"/>
                <w:sz w:val="17"/>
              </w:rPr>
              <w:t>甲方确认</w:t>
            </w:r>
          </w:p>
        </w:tc>
        <w:tc>
          <w:tcPr>
            <w:tcW w:w="5674" w:type="dxa"/>
            <w:shd w:val="clear" w:color="auto" w:fill="FFFFFF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________________</w:t>
            </w:r>
          </w:p>
        </w:tc>
      </w:tr>
    </w:tbl>
    <w:p>
      <w:pPr>
        <w:pStyle w:val="3"/>
        <w:spacing w:before="160" w:after="80"/>
      </w:pPr>
      <w:r>
        <w:rPr>
          <w:rFonts w:ascii="微软雅黑" w:hAnsi="微软雅黑" w:eastAsia="微软雅黑"/>
          <w:sz w:val="24"/>
        </w:rPr>
        <w:t>一、用途及分阶段要求</w:t>
      </w:r>
    </w:p>
    <w:p>
      <w:pPr>
        <w:spacing w:line="300" w:lineRule="auto"/>
        <w:rPr>
          <w:lang w:eastAsia="zh-CN"/>
        </w:rPr>
      </w:pPr>
      <w:r>
        <w:rPr>
          <w:sz w:val="20"/>
          <w:lang w:eastAsia="zh-CN"/>
        </w:rPr>
        <w:t>本附件用于确认威法</w:t>
      </w:r>
      <w:r>
        <w:rPr>
          <w:rFonts w:hint="eastAsia"/>
          <w:sz w:val="20"/>
          <w:lang w:eastAsia="zh-CN"/>
        </w:rPr>
        <w:t>AI 电价负载预测系统</w:t>
      </w:r>
      <w:r>
        <w:rPr>
          <w:sz w:val="20"/>
          <w:lang w:eastAsia="zh-CN"/>
        </w:rPr>
        <w:t>分阶段纳管的设备范围、接口条件、接入测试和交付资料，与合同主文及附件1共同使用。附件1负责L4功能和技术指标验收；本附件负责记录设备接入及连续运行结果。价格、付款、发票、质保和法律责任以合同主文为准。</w:t>
      </w:r>
    </w:p>
    <w:tbl>
      <w:tblPr>
        <w:tblStyle w:val="32"/>
        <w:tblW w:w="1533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232"/>
        <w:gridCol w:w="4392"/>
        <w:gridCol w:w="4536"/>
        <w:gridCol w:w="27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阶段/节点</w:t>
            </w:r>
          </w:p>
        </w:tc>
        <w:tc>
          <w:tcPr>
            <w:tcW w:w="223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对象</w:t>
            </w:r>
          </w:p>
        </w:tc>
        <w:tc>
          <w:tcPr>
            <w:tcW w:w="43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主要范围</w:t>
            </w:r>
          </w:p>
        </w:tc>
        <w:tc>
          <w:tcPr>
            <w:tcW w:w="453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完成标准</w:t>
            </w:r>
          </w:p>
        </w:tc>
        <w:tc>
          <w:tcPr>
            <w:tcW w:w="273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合同衔接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第一阶段</w:t>
            </w:r>
          </w:p>
        </w:tc>
        <w:tc>
          <w:tcPr>
            <w:tcW w:w="223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甲方现有</w:t>
            </w:r>
            <w:bookmarkStart w:id="0" w:name="_GoBack"/>
            <w:r>
              <w:rPr>
                <w:sz w:val="17"/>
              </w:rPr>
              <w:t>能源</w:t>
            </w:r>
            <w:bookmarkEnd w:id="0"/>
            <w:r>
              <w:rPr>
                <w:sz w:val="17"/>
              </w:rPr>
              <w:t>系统</w:t>
            </w:r>
          </w:p>
        </w:tc>
        <w:tc>
          <w:tcPr>
            <w:tcW w:w="43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1#、2#配电站及储能设备、两组原有光伏、市电及关口计量、厂区总负载和双方确认的用电支路。</w:t>
            </w:r>
          </w:p>
        </w:tc>
        <w:tc>
          <w:tcPr>
            <w:tcW w:w="453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完成约定设备、数据和接口接入后，须连续稳定运行14个自然日无故障，并形成第一阶段测试报告。</w:t>
            </w:r>
          </w:p>
        </w:tc>
        <w:tc>
          <w:tcPr>
            <w:tcW w:w="273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作为合同约定的AI子项目现场部署及阶段测试确认依据。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L4验收节点</w:t>
            </w:r>
          </w:p>
        </w:tc>
        <w:tc>
          <w:tcPr>
            <w:tcW w:w="223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AI 电价负载预测系统</w:t>
            </w:r>
          </w:p>
        </w:tc>
        <w:tc>
          <w:tcPr>
            <w:tcW w:w="43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最迟于2026年9月30日前完成全部可实施功能，并按照附件1完成初验及L4级“威法AI能源管理场景”验收。</w:t>
            </w:r>
          </w:p>
        </w:tc>
        <w:tc>
          <w:tcPr>
            <w:tcW w:w="453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威法556kW光伏电站工程尚不具备接入条件时，不计入本阶段覆盖率，不影响L4验收结论。</w:t>
            </w:r>
          </w:p>
        </w:tc>
        <w:tc>
          <w:tcPr>
            <w:tcW w:w="273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验收方式、指标和证据以附件1为准。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第二阶段</w:t>
            </w:r>
          </w:p>
        </w:tc>
        <w:tc>
          <w:tcPr>
            <w:tcW w:w="223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威法556kW光伏电站工程</w:t>
            </w:r>
          </w:p>
        </w:tc>
        <w:tc>
          <w:tcPr>
            <w:tcW w:w="43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完成数据采集、通信、分析、预测、告警、授权控制及优化调度接入，实现甲方新旧能源系统统一管理。</w:t>
            </w:r>
          </w:p>
        </w:tc>
        <w:tc>
          <w:tcPr>
            <w:tcW w:w="453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接入后须连续稳定运行14个自然日无故障，并形成第二阶段测试报告。</w:t>
            </w:r>
          </w:p>
        </w:tc>
        <w:tc>
          <w:tcPr>
            <w:tcW w:w="273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作为合同约定的AI子项目付款至97%及正式质保期起算条件之一。</w:t>
            </w:r>
          </w:p>
        </w:tc>
      </w:tr>
    </w:tbl>
    <w:p>
      <w:pPr>
        <w:pStyle w:val="3"/>
        <w:spacing w:before="160" w:after="80"/>
        <w:rPr>
          <w:lang w:eastAsia="zh-CN"/>
        </w:rPr>
      </w:pPr>
      <w:r>
        <w:rPr>
          <w:rFonts w:ascii="微软雅黑" w:hAnsi="微软雅黑" w:eastAsia="微软雅黑"/>
          <w:sz w:val="24"/>
          <w:lang w:eastAsia="zh-CN"/>
        </w:rPr>
        <w:t>二、双方责任</w:t>
      </w:r>
    </w:p>
    <w:p>
      <w:pPr>
        <w:spacing w:line="300" w:lineRule="auto"/>
        <w:rPr>
          <w:lang w:eastAsia="zh-CN"/>
        </w:rPr>
      </w:pPr>
      <w:r>
        <w:rPr>
          <w:b/>
          <w:sz w:val="20"/>
          <w:lang w:eastAsia="zh-CN"/>
        </w:rPr>
        <w:t>甲方：</w:t>
      </w:r>
      <w:r>
        <w:rPr>
          <w:sz w:val="20"/>
          <w:lang w:eastAsia="zh-CN"/>
        </w:rPr>
        <w:t>提供必要的场地、网络、设备资料、计量数据、接口条件及经确认的控制权限，协调生产和调试窗口，并组织确认。</w:t>
      </w:r>
    </w:p>
    <w:p>
      <w:pPr>
        <w:spacing w:line="300" w:lineRule="auto"/>
        <w:rPr>
          <w:lang w:eastAsia="zh-CN"/>
        </w:rPr>
      </w:pPr>
      <w:r>
        <w:rPr>
          <w:b/>
          <w:sz w:val="20"/>
          <w:lang w:eastAsia="zh-CN"/>
        </w:rPr>
        <w:t>乙方：</w:t>
      </w:r>
      <w:r>
        <w:rPr>
          <w:sz w:val="20"/>
          <w:lang w:eastAsia="zh-CN"/>
        </w:rPr>
        <w:t>负责现场勘察、设备和点位梳理、接口开发、协议适配、数据采集、模型配置、授权范围内的策略下发、联调测试、整改和资料移交。第三方设备或系统供应商是否配合，不免除乙方承担的集成责任。</w:t>
      </w:r>
    </w:p>
    <w:p>
      <w:pPr>
        <w:pStyle w:val="3"/>
        <w:spacing w:before="160" w:after="80"/>
      </w:pPr>
      <w:r>
        <w:rPr>
          <w:rFonts w:ascii="微软雅黑" w:hAnsi="微软雅黑" w:eastAsia="微软雅黑"/>
          <w:sz w:val="24"/>
        </w:rPr>
        <w:t>三、纳管设备清单</w:t>
      </w:r>
    </w:p>
    <w:tbl>
      <w:tblPr>
        <w:tblStyle w:val="32"/>
        <w:tblW w:w="1533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2232"/>
        <w:gridCol w:w="3096"/>
        <w:gridCol w:w="4680"/>
        <w:gridCol w:w="1656"/>
        <w:gridCol w:w="194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4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序号</w:t>
            </w:r>
          </w:p>
        </w:tc>
        <w:tc>
          <w:tcPr>
            <w:tcW w:w="1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阶段</w:t>
            </w:r>
          </w:p>
        </w:tc>
        <w:tc>
          <w:tcPr>
            <w:tcW w:w="223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站点/系统</w:t>
            </w:r>
          </w:p>
        </w:tc>
        <w:tc>
          <w:tcPr>
            <w:tcW w:w="309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主要设备及容量</w:t>
            </w:r>
          </w:p>
        </w:tc>
        <w:tc>
          <w:tcPr>
            <w:tcW w:w="46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纳管要求</w:t>
            </w:r>
          </w:p>
        </w:tc>
        <w:tc>
          <w:tcPr>
            <w:tcW w:w="165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接入完成日</w:t>
            </w:r>
          </w:p>
        </w:tc>
        <w:tc>
          <w:tcPr>
            <w:tcW w:w="194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结果/备注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第一阶段</w:t>
            </w:r>
          </w:p>
        </w:tc>
        <w:tc>
          <w:tcPr>
            <w:tcW w:w="223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1#配电站及储能</w:t>
            </w:r>
          </w:p>
        </w:tc>
        <w:tc>
          <w:tcPr>
            <w:tcW w:w="309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变压器800kVA；储能1000kWh</w:t>
            </w:r>
          </w:p>
        </w:tc>
        <w:tc>
          <w:tcPr>
            <w:tcW w:w="46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配电计量、BMS/PCS、运行状态、告警及授权控制</w:t>
            </w:r>
          </w:p>
        </w:tc>
        <w:tc>
          <w:tcPr>
            <w:tcW w:w="165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____/__/__</w:t>
            </w:r>
          </w:p>
        </w:tc>
        <w:tc>
          <w:tcPr>
            <w:tcW w:w="194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□完成 □整改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第一阶段</w:t>
            </w:r>
          </w:p>
        </w:tc>
        <w:tc>
          <w:tcPr>
            <w:tcW w:w="223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2#配电站及储能</w:t>
            </w:r>
          </w:p>
        </w:tc>
        <w:tc>
          <w:tcPr>
            <w:tcW w:w="309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变压器1250kVA；储能3000kWh</w:t>
            </w:r>
          </w:p>
        </w:tc>
        <w:tc>
          <w:tcPr>
            <w:tcW w:w="46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配电计量、BMS/PCS、运行状态、告警及授权控制</w:t>
            </w:r>
          </w:p>
        </w:tc>
        <w:tc>
          <w:tcPr>
            <w:tcW w:w="165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____/__/__</w:t>
            </w:r>
          </w:p>
        </w:tc>
        <w:tc>
          <w:tcPr>
            <w:tcW w:w="194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□完成 □整改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第一阶段</w:t>
            </w:r>
          </w:p>
        </w:tc>
        <w:tc>
          <w:tcPr>
            <w:tcW w:w="223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智造部原有光伏电站</w:t>
            </w:r>
          </w:p>
        </w:tc>
        <w:tc>
          <w:tcPr>
            <w:tcW w:w="309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579kW；年发电量约68万kWh</w:t>
            </w:r>
          </w:p>
        </w:tc>
        <w:tc>
          <w:tcPr>
            <w:tcW w:w="46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逆变器、发电量、运行状态、效率、告警及预测分析</w:t>
            </w:r>
          </w:p>
        </w:tc>
        <w:tc>
          <w:tcPr>
            <w:tcW w:w="165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____/__/__</w:t>
            </w:r>
          </w:p>
        </w:tc>
        <w:tc>
          <w:tcPr>
            <w:tcW w:w="194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□完成 □整改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第一阶段</w:t>
            </w:r>
          </w:p>
        </w:tc>
        <w:tc>
          <w:tcPr>
            <w:tcW w:w="223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办公楼原有光伏电站</w:t>
            </w:r>
          </w:p>
        </w:tc>
        <w:tc>
          <w:tcPr>
            <w:tcW w:w="309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32.6kW；年发电量约1万kWh</w:t>
            </w:r>
          </w:p>
        </w:tc>
        <w:tc>
          <w:tcPr>
            <w:tcW w:w="46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逆变器、发电量、运行状态、效率、告警及预测分析</w:t>
            </w:r>
          </w:p>
        </w:tc>
        <w:tc>
          <w:tcPr>
            <w:tcW w:w="165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____/__/__</w:t>
            </w:r>
          </w:p>
        </w:tc>
        <w:tc>
          <w:tcPr>
            <w:tcW w:w="194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□完成 □整改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第一阶段</w:t>
            </w:r>
          </w:p>
        </w:tc>
        <w:tc>
          <w:tcPr>
            <w:tcW w:w="223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市电、关口计量及厂区负载</w:t>
            </w:r>
          </w:p>
        </w:tc>
        <w:tc>
          <w:tcPr>
            <w:tcW w:w="309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年购电量约300万kWh（不含光伏）；总负载及约定支路</w:t>
            </w:r>
          </w:p>
        </w:tc>
        <w:tc>
          <w:tcPr>
            <w:tcW w:w="46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电量、功率、需量、分时数据、负荷曲线、状态及告警</w:t>
            </w:r>
          </w:p>
        </w:tc>
        <w:tc>
          <w:tcPr>
            <w:tcW w:w="165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____/__/__</w:t>
            </w:r>
          </w:p>
        </w:tc>
        <w:tc>
          <w:tcPr>
            <w:tcW w:w="194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□完成 □整改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第二阶段</w:t>
            </w:r>
          </w:p>
        </w:tc>
        <w:tc>
          <w:tcPr>
            <w:tcW w:w="223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威法556kW光伏电站工程</w:t>
            </w:r>
          </w:p>
        </w:tc>
        <w:tc>
          <w:tcPr>
            <w:tcW w:w="309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556.4kWp（856片×650Wp）</w:t>
            </w:r>
          </w:p>
        </w:tc>
        <w:tc>
          <w:tcPr>
            <w:tcW w:w="46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逆变器、并网及计量数据、发电状态、告警、授权控制及优化调度</w:t>
            </w:r>
          </w:p>
        </w:tc>
        <w:tc>
          <w:tcPr>
            <w:tcW w:w="165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____/__/__</w:t>
            </w:r>
          </w:p>
        </w:tc>
        <w:tc>
          <w:tcPr>
            <w:tcW w:w="194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□完成 □整改</w:t>
            </w:r>
          </w:p>
        </w:tc>
      </w:tr>
    </w:tbl>
    <w:p>
      <w:pPr>
        <w:pStyle w:val="3"/>
        <w:spacing w:before="160" w:after="80"/>
      </w:pPr>
      <w:r>
        <w:rPr>
          <w:rFonts w:ascii="微软雅黑" w:hAnsi="微软雅黑" w:eastAsia="微软雅黑"/>
          <w:sz w:val="24"/>
        </w:rPr>
        <w:t>四、数据及接口要求</w:t>
      </w:r>
    </w:p>
    <w:tbl>
      <w:tblPr>
        <w:tblStyle w:val="32"/>
        <w:tblW w:w="1533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608"/>
        <w:gridCol w:w="3384"/>
        <w:gridCol w:w="3672"/>
        <w:gridCol w:w="187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对象</w:t>
            </w:r>
          </w:p>
        </w:tc>
        <w:tc>
          <w:tcPr>
            <w:tcW w:w="460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最低数据及状态</w:t>
            </w:r>
          </w:p>
        </w:tc>
        <w:tc>
          <w:tcPr>
            <w:tcW w:w="33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授权后控制</w:t>
            </w:r>
          </w:p>
        </w:tc>
        <w:tc>
          <w:tcPr>
            <w:tcW w:w="36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主要AI用途</w:t>
            </w:r>
          </w:p>
        </w:tc>
        <w:tc>
          <w:tcPr>
            <w:tcW w:w="1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接口确认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配电、市电及负载</w:t>
            </w:r>
          </w:p>
        </w:tc>
        <w:tc>
          <w:tcPr>
            <w:tcW w:w="460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电压、电流、功率、功率因数、频率、电量、需量、负荷曲线、开关及通信状态、越限和故障告警。</w:t>
            </w:r>
          </w:p>
        </w:tc>
        <w:tc>
          <w:tcPr>
            <w:tcW w:w="33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原则上只读；需量或负荷控制仅限双方书面确认的对象、时段和上下限。</w:t>
            </w:r>
          </w:p>
        </w:tc>
        <w:tc>
          <w:tcPr>
            <w:tcW w:w="36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负荷监测、成本分析、需量管理、负荷预测及异常识别。</w:t>
            </w:r>
          </w:p>
        </w:tc>
        <w:tc>
          <w:tcPr>
            <w:tcW w:w="1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协议/地址：________</w:t>
            </w:r>
            <w:r>
              <w:rPr>
                <w:sz w:val="17"/>
                <w:lang w:eastAsia="zh-CN"/>
              </w:rPr>
              <w:br w:type="textWrapping"/>
            </w:r>
            <w:r>
              <w:rPr>
                <w:sz w:val="17"/>
                <w:lang w:eastAsia="zh-CN"/>
              </w:rPr>
              <w:t>□完成 □整改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储能设备</w:t>
            </w:r>
          </w:p>
        </w:tc>
        <w:tc>
          <w:tcPr>
            <w:tcW w:w="460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充放电功率、SOC、SOH（具备时）、电压、电流、温度、充放电量、BMS/PCS状态、故障及告警。</w:t>
            </w:r>
          </w:p>
        </w:tc>
        <w:tc>
          <w:tcPr>
            <w:tcW w:w="33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充放电功率、模式、启停或计划曲线；现场人工、急停及设备保护优先。</w:t>
            </w:r>
          </w:p>
        </w:tc>
        <w:tc>
          <w:tcPr>
            <w:tcW w:w="36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SOC预测、峰谷策略、光储协同、削峰填谷及闭环验证。</w:t>
            </w:r>
          </w:p>
        </w:tc>
        <w:tc>
          <w:tcPr>
            <w:tcW w:w="1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协议/地址：________</w:t>
            </w:r>
            <w:r>
              <w:rPr>
                <w:sz w:val="17"/>
                <w:lang w:eastAsia="zh-CN"/>
              </w:rPr>
              <w:br w:type="textWrapping"/>
            </w:r>
            <w:r>
              <w:rPr>
                <w:sz w:val="17"/>
                <w:lang w:eastAsia="zh-CN"/>
              </w:rPr>
              <w:t>□完成 □整改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原有及本次光伏</w:t>
            </w:r>
          </w:p>
        </w:tc>
        <w:tc>
          <w:tcPr>
            <w:tcW w:w="460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逆变器功率、电压、电流、当日及累计发电量、效率、并网点功率、运行状态、故障及通信告警。</w:t>
            </w:r>
          </w:p>
        </w:tc>
        <w:tc>
          <w:tcPr>
            <w:tcW w:w="33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供电要求且甲方授权时，可设置功率限值、启停或无功参数，不得绕过并网及设备保护。</w:t>
            </w:r>
          </w:p>
        </w:tc>
        <w:tc>
          <w:tcPr>
            <w:tcW w:w="36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发电监测、效率分析、发电预测、光储协同和异常告警。</w:t>
            </w:r>
          </w:p>
        </w:tc>
        <w:tc>
          <w:tcPr>
            <w:tcW w:w="1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协议/地址：________</w:t>
            </w:r>
            <w:r>
              <w:rPr>
                <w:sz w:val="17"/>
                <w:lang w:eastAsia="zh-CN"/>
              </w:rPr>
              <w:br w:type="textWrapping"/>
            </w:r>
            <w:r>
              <w:rPr>
                <w:sz w:val="17"/>
                <w:lang w:eastAsia="zh-CN"/>
              </w:rPr>
              <w:t>□完成 □整改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电价及辅助数据</w:t>
            </w:r>
          </w:p>
        </w:tc>
        <w:tc>
          <w:tcPr>
            <w:tcW w:w="460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峰谷平及尖峰电价、节假日日历、生产班次；采用时包括天气等辅助数据。</w:t>
            </w:r>
          </w:p>
        </w:tc>
        <w:tc>
          <w:tcPr>
            <w:tcW w:w="33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电价、日历和模型参数的维护权限按甲方确认执行。</w:t>
            </w:r>
          </w:p>
        </w:tc>
        <w:tc>
          <w:tcPr>
            <w:tcW w:w="36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成本预测、策略决策、同口径基准模型及模型调优。</w:t>
            </w:r>
          </w:p>
        </w:tc>
        <w:tc>
          <w:tcPr>
            <w:tcW w:w="1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数据源：________</w:t>
            </w:r>
            <w:r>
              <w:rPr>
                <w:sz w:val="17"/>
                <w:lang w:eastAsia="zh-CN"/>
              </w:rPr>
              <w:br w:type="textWrapping"/>
            </w:r>
            <w:r>
              <w:rPr>
                <w:sz w:val="17"/>
                <w:lang w:eastAsia="zh-CN"/>
              </w:rPr>
              <w:t>□完成 □整改</w:t>
            </w:r>
          </w:p>
        </w:tc>
      </w:tr>
    </w:tbl>
    <w:p>
      <w:pPr>
        <w:spacing w:line="300" w:lineRule="auto"/>
        <w:rPr>
          <w:lang w:eastAsia="zh-CN"/>
        </w:rPr>
      </w:pPr>
      <w:r>
        <w:rPr>
          <w:b/>
          <w:sz w:val="20"/>
          <w:lang w:eastAsia="zh-CN"/>
        </w:rPr>
        <w:t>说明：</w:t>
      </w:r>
      <w:r>
        <w:rPr>
          <w:sz w:val="20"/>
          <w:lang w:eastAsia="zh-CN"/>
        </w:rPr>
        <w:t>乙方应另行提供可编辑电子点表、数据字典和协议映射，至少载明设备、点位名称、编码/寄存器、单位、读写权限、采集周期、协议及地址。该电子资料经双方确认后作为本附件的配套资料，无须在本附件逐项重复填写。实时监测关键点位采集周期原则上不大于30秒；账号、密码和密钥应通过受控方式另行移交。</w:t>
      </w:r>
    </w:p>
    <w:p>
      <w:pPr>
        <w:pStyle w:val="3"/>
        <w:spacing w:before="160" w:after="80"/>
        <w:rPr>
          <w:lang w:eastAsia="zh-CN"/>
        </w:rPr>
      </w:pPr>
      <w:r>
        <w:rPr>
          <w:rFonts w:ascii="微软雅黑" w:hAnsi="微软雅黑" w:eastAsia="微软雅黑"/>
          <w:sz w:val="24"/>
          <w:lang w:eastAsia="zh-CN"/>
        </w:rPr>
        <w:t>五、连续14日测试及验收确认</w:t>
      </w:r>
    </w:p>
    <w:p>
      <w:pPr>
        <w:spacing w:line="300" w:lineRule="auto"/>
        <w:rPr>
          <w:lang w:eastAsia="zh-CN"/>
        </w:rPr>
      </w:pPr>
      <w:r>
        <w:rPr>
          <w:sz w:val="20"/>
          <w:lang w:eastAsia="zh-CN"/>
        </w:rPr>
        <w:t>第一阶段和第二阶段均须在相应范围完成接入后，连续稳定运行14个自然日无故障。因甲方停产、供电部门停电、不可抗力或甲方原因中断的，中断时间不计入测试期，恢复后接续计算；因乙方软件、设备、算法、接口或集成原因发生故障的，自修复并恢复运行之日起重新计算14个自然日。第一阶段14日测试合格不替代附件1的L4验收，第二阶段14日测试不推翻已经通过的L4验收结论。</w:t>
      </w:r>
    </w:p>
    <w:tbl>
      <w:tblPr>
        <w:tblStyle w:val="32"/>
        <w:tblW w:w="152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584"/>
        <w:gridCol w:w="2520"/>
        <w:gridCol w:w="3960"/>
        <w:gridCol w:w="2160"/>
        <w:gridCol w:w="1512"/>
        <w:gridCol w:w="158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节点</w:t>
            </w:r>
          </w:p>
        </w:tc>
        <w:tc>
          <w:tcPr>
            <w:tcW w:w="15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接入完成日</w:t>
            </w:r>
          </w:p>
        </w:tc>
        <w:tc>
          <w:tcPr>
            <w:tcW w:w="2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连续14日测试期</w:t>
            </w:r>
          </w:p>
        </w:tc>
        <w:tc>
          <w:tcPr>
            <w:tcW w:w="39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中断/故障记录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结论</w:t>
            </w:r>
          </w:p>
        </w:tc>
        <w:tc>
          <w:tcPr>
            <w:tcW w:w="151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报告编号</w:t>
            </w:r>
          </w:p>
        </w:tc>
        <w:tc>
          <w:tcPr>
            <w:tcW w:w="15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双方确认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第一阶段接入测试</w:t>
            </w:r>
          </w:p>
        </w:tc>
        <w:tc>
          <w:tcPr>
            <w:tcW w:w="15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____/__/__</w:t>
            </w:r>
          </w:p>
        </w:tc>
        <w:tc>
          <w:tcPr>
            <w:tcW w:w="2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____/__/__至____/__/__</w:t>
            </w:r>
          </w:p>
        </w:tc>
        <w:tc>
          <w:tcPr>
            <w:tcW w:w="39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中断____日；乙方原因故障____次；说明/整改单：________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□通过 □整改后复验 □不通过</w:t>
            </w:r>
          </w:p>
        </w:tc>
        <w:tc>
          <w:tcPr>
            <w:tcW w:w="151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________</w:t>
            </w:r>
          </w:p>
        </w:tc>
        <w:tc>
          <w:tcPr>
            <w:tcW w:w="15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甲：___ 乙：___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附件1/L4验收</w:t>
            </w:r>
          </w:p>
        </w:tc>
        <w:tc>
          <w:tcPr>
            <w:tcW w:w="15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不适用</w:t>
            </w:r>
          </w:p>
        </w:tc>
        <w:tc>
          <w:tcPr>
            <w:tcW w:w="2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按附件1及验收报告</w:t>
            </w:r>
          </w:p>
        </w:tc>
        <w:tc>
          <w:tcPr>
            <w:tcW w:w="39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验收日期：____/__/__；结论及遗留问题：________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□通过 □整改后复验 □不通过</w:t>
            </w:r>
          </w:p>
        </w:tc>
        <w:tc>
          <w:tcPr>
            <w:tcW w:w="151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________</w:t>
            </w:r>
          </w:p>
        </w:tc>
        <w:tc>
          <w:tcPr>
            <w:tcW w:w="15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甲：___ 乙：___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第二阶段接入测试</w:t>
            </w:r>
          </w:p>
        </w:tc>
        <w:tc>
          <w:tcPr>
            <w:tcW w:w="15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____/__/__</w:t>
            </w:r>
          </w:p>
        </w:tc>
        <w:tc>
          <w:tcPr>
            <w:tcW w:w="2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____/__/__至____/__/__</w:t>
            </w:r>
          </w:p>
        </w:tc>
        <w:tc>
          <w:tcPr>
            <w:tcW w:w="39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中断____日；乙方原因故障____次；说明/整改单：________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□通过 □整改后复验 □不通过</w:t>
            </w:r>
          </w:p>
        </w:tc>
        <w:tc>
          <w:tcPr>
            <w:tcW w:w="151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________</w:t>
            </w:r>
          </w:p>
        </w:tc>
        <w:tc>
          <w:tcPr>
            <w:tcW w:w="15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甲：___ 乙：___</w:t>
            </w:r>
          </w:p>
        </w:tc>
      </w:tr>
    </w:tbl>
    <w:p>
      <w:pPr>
        <w:spacing w:line="300" w:lineRule="auto"/>
        <w:rPr>
          <w:lang w:eastAsia="zh-CN"/>
        </w:rPr>
      </w:pPr>
      <w:r>
        <w:rPr>
          <w:b/>
          <w:sz w:val="20"/>
          <w:lang w:eastAsia="zh-CN"/>
        </w:rPr>
        <w:t>记录方式：</w:t>
      </w:r>
      <w:r>
        <w:rPr>
          <w:sz w:val="20"/>
          <w:lang w:eastAsia="zh-CN"/>
        </w:rPr>
        <w:t>14日运行情况以系统日志、历史曲线、告警及故障记录和阶段测试报告为主要证据，不再要求在本附件逐日重复签字；双方认为必要时，可将系统导出记录作为测试报告附件。</w:t>
      </w:r>
    </w:p>
    <w:p>
      <w:pPr>
        <w:pStyle w:val="3"/>
        <w:spacing w:before="160" w:after="80"/>
        <w:rPr>
          <w:lang w:eastAsia="zh-CN"/>
        </w:rPr>
      </w:pPr>
      <w:r>
        <w:rPr>
          <w:rFonts w:ascii="微软雅黑" w:hAnsi="微软雅黑" w:eastAsia="微软雅黑"/>
          <w:sz w:val="24"/>
          <w:lang w:eastAsia="zh-CN"/>
        </w:rPr>
        <w:t>六、问题整改及变更记录</w:t>
      </w:r>
    </w:p>
    <w:tbl>
      <w:tblPr>
        <w:tblStyle w:val="32"/>
        <w:tblW w:w="1533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296"/>
        <w:gridCol w:w="5832"/>
        <w:gridCol w:w="1152"/>
        <w:gridCol w:w="2448"/>
        <w:gridCol w:w="381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序号</w:t>
            </w:r>
          </w:p>
        </w:tc>
        <w:tc>
          <w:tcPr>
            <w:tcW w:w="129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阶段</w:t>
            </w:r>
          </w:p>
        </w:tc>
        <w:tc>
          <w:tcPr>
            <w:tcW w:w="583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问题/变更内容</w:t>
            </w:r>
          </w:p>
        </w:tc>
        <w:tc>
          <w:tcPr>
            <w:tcW w:w="115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责任方</w:t>
            </w:r>
          </w:p>
        </w:tc>
        <w:tc>
          <w:tcPr>
            <w:tcW w:w="244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计划/完成日</w:t>
            </w:r>
          </w:p>
        </w:tc>
        <w:tc>
          <w:tcPr>
            <w:tcW w:w="38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复验及关闭确认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</w:t>
            </w:r>
          </w:p>
        </w:tc>
        <w:tc>
          <w:tcPr>
            <w:tcW w:w="583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________________________</w:t>
            </w:r>
          </w:p>
        </w:tc>
        <w:tc>
          <w:tcPr>
            <w:tcW w:w="115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</w:t>
            </w:r>
          </w:p>
        </w:tc>
        <w:tc>
          <w:tcPr>
            <w:tcW w:w="244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计划：____/__/__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完成：____/__/__</w:t>
            </w:r>
          </w:p>
        </w:tc>
        <w:tc>
          <w:tcPr>
            <w:tcW w:w="38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________________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</w:t>
            </w:r>
          </w:p>
        </w:tc>
        <w:tc>
          <w:tcPr>
            <w:tcW w:w="583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________________________</w:t>
            </w:r>
          </w:p>
        </w:tc>
        <w:tc>
          <w:tcPr>
            <w:tcW w:w="115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</w:t>
            </w:r>
          </w:p>
        </w:tc>
        <w:tc>
          <w:tcPr>
            <w:tcW w:w="244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计划：____/__/__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完成：____/__/__</w:t>
            </w:r>
          </w:p>
        </w:tc>
        <w:tc>
          <w:tcPr>
            <w:tcW w:w="38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________________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29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</w:t>
            </w:r>
          </w:p>
        </w:tc>
        <w:tc>
          <w:tcPr>
            <w:tcW w:w="583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________________________</w:t>
            </w:r>
          </w:p>
        </w:tc>
        <w:tc>
          <w:tcPr>
            <w:tcW w:w="115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</w:t>
            </w:r>
          </w:p>
        </w:tc>
        <w:tc>
          <w:tcPr>
            <w:tcW w:w="244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计划：____/__/__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完成：____/__/__</w:t>
            </w:r>
          </w:p>
        </w:tc>
        <w:tc>
          <w:tcPr>
            <w:tcW w:w="38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________________</w:t>
            </w:r>
          </w:p>
        </w:tc>
      </w:tr>
    </w:tbl>
    <w:p>
      <w:pPr>
        <w:pStyle w:val="3"/>
        <w:spacing w:before="160" w:after="80"/>
      </w:pPr>
      <w:r>
        <w:rPr>
          <w:rFonts w:ascii="微软雅黑" w:hAnsi="微软雅黑" w:eastAsia="微软雅黑"/>
          <w:sz w:val="24"/>
        </w:rPr>
        <w:t>七、交付资料</w:t>
      </w:r>
    </w:p>
    <w:tbl>
      <w:tblPr>
        <w:tblStyle w:val="32"/>
        <w:tblW w:w="1533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6480"/>
        <w:gridCol w:w="3384"/>
        <w:gridCol w:w="2304"/>
        <w:gridCol w:w="237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序号</w:t>
            </w:r>
          </w:p>
        </w:tc>
        <w:tc>
          <w:tcPr>
            <w:tcW w:w="64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资料名称</w:t>
            </w:r>
          </w:p>
        </w:tc>
        <w:tc>
          <w:tcPr>
            <w:tcW w:w="33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形式</w:t>
            </w:r>
          </w:p>
        </w:tc>
        <w:tc>
          <w:tcPr>
            <w:tcW w:w="230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文件/版本编号</w:t>
            </w:r>
          </w:p>
        </w:tc>
        <w:tc>
          <w:tcPr>
            <w:tcW w:w="23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4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最终版纳管设备清单</w:t>
            </w:r>
          </w:p>
        </w:tc>
        <w:tc>
          <w:tcPr>
            <w:tcW w:w="33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电子版+签字版</w:t>
            </w:r>
          </w:p>
        </w:tc>
        <w:tc>
          <w:tcPr>
            <w:tcW w:w="230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________</w:t>
            </w:r>
          </w:p>
        </w:tc>
        <w:tc>
          <w:tcPr>
            <w:tcW w:w="23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□已交 □待补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4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电子点表、数据字典及协议映射</w:t>
            </w:r>
          </w:p>
        </w:tc>
        <w:tc>
          <w:tcPr>
            <w:tcW w:w="33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可编辑电子版+签字版</w:t>
            </w:r>
          </w:p>
        </w:tc>
        <w:tc>
          <w:tcPr>
            <w:tcW w:w="230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________</w:t>
            </w:r>
          </w:p>
        </w:tc>
        <w:tc>
          <w:tcPr>
            <w:tcW w:w="23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□已交 □待补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4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系统、网络和通信拓扑图及接口资料</w:t>
            </w:r>
          </w:p>
        </w:tc>
        <w:tc>
          <w:tcPr>
            <w:tcW w:w="33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电子版；账号权限受控移交</w:t>
            </w:r>
          </w:p>
        </w:tc>
        <w:tc>
          <w:tcPr>
            <w:tcW w:w="230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________</w:t>
            </w:r>
          </w:p>
        </w:tc>
        <w:tc>
          <w:tcPr>
            <w:tcW w:w="23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□已交 □待补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64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第一阶段14日测试报告及附件1验收资料</w:t>
            </w:r>
          </w:p>
        </w:tc>
        <w:tc>
          <w:tcPr>
            <w:tcW w:w="33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电子版+签字版</w:t>
            </w:r>
          </w:p>
        </w:tc>
        <w:tc>
          <w:tcPr>
            <w:tcW w:w="230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________</w:t>
            </w:r>
          </w:p>
        </w:tc>
        <w:tc>
          <w:tcPr>
            <w:tcW w:w="23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□已交 □待补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4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第二阶段接入及14日测试报告</w:t>
            </w:r>
          </w:p>
        </w:tc>
        <w:tc>
          <w:tcPr>
            <w:tcW w:w="33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电子版+签字版</w:t>
            </w:r>
          </w:p>
        </w:tc>
        <w:tc>
          <w:tcPr>
            <w:tcW w:w="230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________</w:t>
            </w:r>
          </w:p>
        </w:tc>
        <w:tc>
          <w:tcPr>
            <w:tcW w:w="23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□已交 □待补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64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配置清单、模型和控制策略说明、操作手册、培训及问题整改记录</w:t>
            </w:r>
          </w:p>
        </w:tc>
        <w:tc>
          <w:tcPr>
            <w:tcW w:w="33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电子版+签字版</w:t>
            </w:r>
          </w:p>
        </w:tc>
        <w:tc>
          <w:tcPr>
            <w:tcW w:w="230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________</w:t>
            </w:r>
          </w:p>
        </w:tc>
        <w:tc>
          <w:tcPr>
            <w:tcW w:w="23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□已交 □待补</w:t>
            </w:r>
          </w:p>
        </w:tc>
      </w:tr>
    </w:tbl>
    <w:p>
      <w:pPr>
        <w:pStyle w:val="3"/>
        <w:pageBreakBefore/>
        <w:spacing w:before="160" w:after="80"/>
      </w:pPr>
      <w:r>
        <w:rPr>
          <w:rFonts w:ascii="微软雅黑" w:hAnsi="微软雅黑" w:eastAsia="微软雅黑"/>
          <w:sz w:val="24"/>
        </w:rPr>
        <w:t>八、双方确认</w:t>
      </w:r>
    </w:p>
    <w:p>
      <w:pPr>
        <w:spacing w:line="300" w:lineRule="auto"/>
        <w:rPr>
          <w:lang w:eastAsia="zh-CN"/>
        </w:rPr>
      </w:pPr>
      <w:r>
        <w:rPr>
          <w:sz w:val="20"/>
          <w:lang w:eastAsia="zh-CN"/>
        </w:rPr>
        <w:t>双方确认本附件及其配套电子资料真实反映当前实施状态。设备、点位、协议、控制权限或测试结论发生变化的，应通过双方签署的补充清单、变更单或确认单更新。</w:t>
      </w:r>
    </w:p>
    <w:tbl>
      <w:tblPr>
        <w:tblStyle w:val="32"/>
        <w:tblW w:w="1533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8"/>
        <w:gridCol w:w="766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需方（甲方）：广东威法定制家居股份有限公司</w:t>
            </w:r>
          </w:p>
        </w:tc>
        <w:tc>
          <w:tcPr>
            <w:tcW w:w="7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供方（乙方）：广东龙维新电科技有限公司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授权代表：________________</w:t>
            </w:r>
          </w:p>
        </w:tc>
        <w:tc>
          <w:tcPr>
            <w:tcW w:w="7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授权代表：________________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技术确认人：________________</w:t>
            </w:r>
          </w:p>
        </w:tc>
        <w:tc>
          <w:tcPr>
            <w:tcW w:w="7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技术确认人：________________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日期：____年__月__日</w:t>
            </w:r>
          </w:p>
        </w:tc>
        <w:tc>
          <w:tcPr>
            <w:tcW w:w="7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日期：____年__月__日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（盖章）</w:t>
            </w:r>
          </w:p>
        </w:tc>
        <w:tc>
          <w:tcPr>
            <w:tcW w:w="7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（盖章）</w:t>
            </w:r>
          </w:p>
        </w:tc>
      </w:tr>
    </w:tbl>
    <w:p/>
    <w:sectPr>
      <w:headerReference r:id="rId5" w:type="default"/>
      <w:footerReference r:id="rId6" w:type="default"/>
      <w:pgSz w:w="16838" w:h="11906" w:orient="landscape"/>
      <w:pgMar w:top="794" w:right="737" w:bottom="794" w:left="737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0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color w:val="6B7785"/>
        <w:sz w:val="16"/>
      </w:rPr>
      <w:t xml:space="preserve">第 </w:t>
    </w:r>
    <w:r>
      <w:rPr>
        <w:color w:val="6B7785"/>
        <w:sz w:val="16"/>
      </w:rPr>
      <w:fldChar w:fldCharType="begin"/>
    </w:r>
    <w:r>
      <w:rPr>
        <w:color w:val="6B7785"/>
        <w:sz w:val="16"/>
      </w:rPr>
      <w:instrText xml:space="preserve">PAGE</w:instrText>
    </w:r>
    <w:r>
      <w:rPr>
        <w:color w:val="6B7785"/>
        <w:sz w:val="16"/>
      </w:rPr>
      <w:fldChar w:fldCharType="separate"/>
    </w:r>
    <w:r>
      <w:rPr>
        <w:color w:val="6B7785"/>
        <w:sz w:val="16"/>
      </w:rPr>
      <w:t>1</w:t>
    </w:r>
    <w:r>
      <w:rPr>
        <w:color w:val="6B7785"/>
        <w:sz w:val="16"/>
      </w:rPr>
      <w:fldChar w:fldCharType="end"/>
    </w:r>
    <w:r>
      <w:rPr>
        <w:color w:val="6B7785"/>
        <w:sz w:val="16"/>
      </w:rPr>
      <w:t xml:space="preserve"> 页 / 共 </w:t>
    </w:r>
    <w:r>
      <w:rPr>
        <w:color w:val="6B7785"/>
        <w:sz w:val="16"/>
      </w:rPr>
      <w:fldChar w:fldCharType="begin"/>
    </w:r>
    <w:r>
      <w:rPr>
        <w:color w:val="6B7785"/>
        <w:sz w:val="16"/>
      </w:rPr>
      <w:instrText xml:space="preserve">NUMPAGES</w:instrText>
    </w:r>
    <w:r>
      <w:rPr>
        <w:color w:val="6B7785"/>
        <w:sz w:val="16"/>
      </w:rPr>
      <w:fldChar w:fldCharType="separate"/>
    </w:r>
    <w:r>
      <w:rPr>
        <w:color w:val="6B7785"/>
        <w:sz w:val="16"/>
      </w:rPr>
      <w:t>1</w:t>
    </w:r>
    <w:r>
      <w:rPr>
        <w:color w:val="6B7785"/>
        <w:sz w:val="16"/>
      </w:rPr>
      <w:fldChar w:fldCharType="end"/>
    </w:r>
    <w:r>
      <w:rPr>
        <w:color w:val="6B7785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</w:pPr>
  </w:p>
  <w:tbl>
    <w:tblPr>
      <w:tblStyle w:val="32"/>
      <w:tblW w:w="15274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600"/>
      <w:gridCol w:w="767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7600" w:type="dxa"/>
          <w:vAlign w:val="center"/>
        </w:tcPr>
        <w:p>
          <w:pPr>
            <w:spacing w:after="0" w:line="259" w:lineRule="auto"/>
            <w:rPr>
              <w:lang w:eastAsia="zh-CN"/>
            </w:rPr>
          </w:pPr>
          <w:r>
            <w:rPr>
              <w:b/>
              <w:color w:val="0B4B3A"/>
              <w:sz w:val="16"/>
              <w:lang w:eastAsia="zh-CN"/>
            </w:rPr>
            <w:t>附件2 | 威法AI能源管理系统</w:t>
          </w:r>
        </w:p>
      </w:tc>
      <w:tc>
        <w:tcPr>
          <w:tcW w:w="7674" w:type="dxa"/>
          <w:vAlign w:val="center"/>
        </w:tcPr>
        <w:p>
          <w:pPr>
            <w:spacing w:after="0" w:line="259" w:lineRule="auto"/>
            <w:jc w:val="right"/>
          </w:pPr>
          <w:r>
            <w:rPr>
              <w:color w:val="6B7785"/>
              <w:sz w:val="16"/>
            </w:rPr>
            <w:t>合同编号：LVK2026061501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0MTdmZWI2M2FlNDVlOGZiZDBkYjFlMGFiMzEwZDEifQ=="/>
  </w:docVars>
  <w:rsids>
    <w:rsidRoot w:val="00B47730"/>
    <w:rsid w:val="000243F0"/>
    <w:rsid w:val="00034616"/>
    <w:rsid w:val="0006063C"/>
    <w:rsid w:val="0015074B"/>
    <w:rsid w:val="0029639D"/>
    <w:rsid w:val="00326F90"/>
    <w:rsid w:val="00554D11"/>
    <w:rsid w:val="00670613"/>
    <w:rsid w:val="008955F5"/>
    <w:rsid w:val="00927EEC"/>
    <w:rsid w:val="00AA1D8D"/>
    <w:rsid w:val="00B47730"/>
    <w:rsid w:val="00CB0664"/>
    <w:rsid w:val="00F60AF7"/>
    <w:rsid w:val="00FC693F"/>
    <w:rsid w:val="0152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微软雅黑" w:hAnsi="微软雅黑" w:eastAsia="微软雅黑" w:cstheme="minorBidi"/>
      <w:color w:val="1F2933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100"/>
      <w:outlineLvl w:val="0"/>
    </w:pPr>
    <w:rPr>
      <w:rFonts w:asciiTheme="majorHAnsi" w:hAnsiTheme="majorHAnsi" w:eastAsiaTheme="majorEastAsia" w:cstheme="majorBidi"/>
      <w:b/>
      <w:bCs/>
      <w:color w:val="0B4B3A"/>
      <w:sz w:val="27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/>
      <w:outlineLvl w:val="1"/>
    </w:pPr>
    <w:rPr>
      <w:rFonts w:asciiTheme="majorHAnsi" w:hAnsiTheme="majorHAnsi" w:eastAsiaTheme="majorEastAsia" w:cstheme="majorBidi"/>
      <w:b/>
      <w:bCs/>
      <w:color w:val="0B4B3A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00" w:after="60"/>
      <w:outlineLvl w:val="2"/>
    </w:pPr>
    <w:rPr>
      <w:rFonts w:asciiTheme="majorHAnsi" w:hAnsiTheme="majorHAnsi" w:eastAsiaTheme="majorEastAsia" w:cstheme="majorBidi"/>
      <w:b/>
      <w:bCs/>
      <w:color w:val="0B4B3A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556</Words>
  <Characters>3172</Characters>
  <Lines>26</Lines>
  <Paragraphs>7</Paragraphs>
  <TotalTime>0</TotalTime>
  <ScaleCrop>false</ScaleCrop>
  <LinksUpToDate>false</LinksUpToDate>
  <CharactersWithSpaces>3721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漫步人生</cp:lastModifiedBy>
  <dcterms:modified xsi:type="dcterms:W3CDTF">2026-07-23T03:12:02Z</dcterms:modified>
  <dc:subject>合同附件2：分阶段接入、连续14日测试及交付确认</dc:subject>
  <dc:title>附件2 威法AI能源管理系统分阶段纳管设备及数据点位清单（简化版）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551CF4CE47F648D084502FF26FEE8BCC_12</vt:lpwstr>
  </property>
</Properties>
</file>