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314AB">
      <w:pPr>
        <w:pStyle w:val="32"/>
      </w:pPr>
      <w:r>
        <w:t>M3 / M4使用说明</w:t>
      </w:r>
    </w:p>
    <w:p w14:paraId="778ABACE">
      <w:pPr>
        <w:pStyle w:val="165"/>
      </w:pPr>
      <w:r>
        <w:t>负荷与储能电量预测 · 优化充放电计划</w:t>
      </w:r>
    </w:p>
    <w:p w14:paraId="09A22BA6">
      <w:pPr>
        <w:pStyle w:val="166"/>
      </w:pPr>
      <w:r>
        <w:t>版本 V1.4  |  编制日期：2026年10月13日  |  适用对象：电站使用方与授权操作人员</w:t>
      </w:r>
    </w:p>
    <w:p w14:paraId="7A35F170">
      <w:pPr>
        <w:pStyle w:val="166"/>
      </w:pPr>
      <w:r>
        <w:t>截图取自2026年10月13日实际页面，数值仅作阅读示例；使用时以当日页面为准。M4执行状态按本项目EMS计划表执行记录理解。</w:t>
      </w:r>
    </w:p>
    <w:p w14:paraId="21D481E2">
      <w:pPr>
        <w:pStyle w:val="3"/>
        <w:pageBreakBefore w:val="0"/>
      </w:pPr>
      <w:bookmarkStart w:id="0" w:name="_Toc1728787659"/>
      <w:r>
        <w:t>01  模块用途与使用范围</w:t>
      </w:r>
      <w:bookmarkEnd w:id="0"/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3855"/>
        <w:gridCol w:w="3231"/>
      </w:tblGrid>
      <w:tr w14:paraId="7BCE3CEE">
        <w:trPr>
          <w:cantSplit/>
          <w:tblHeader/>
        </w:trPr>
        <w:tc>
          <w:tcPr>
            <w:tcW w:w="2438" w:type="dxa"/>
            <w:shd w:val="clear" w:color="auto" w:fill="EAF1F6"/>
          </w:tcPr>
          <w:p w14:paraId="404FC675">
            <w:pPr>
              <w:keepNext/>
              <w:spacing w:before="60" w:after="60"/>
            </w:pPr>
            <w:r>
              <w:rPr>
                <w:rFonts w:ascii="微软雅黑" w:hAnsi="微软雅黑" w:eastAsia="微软雅黑"/>
                <w:b/>
                <w:color w:val="23465A"/>
                <w:sz w:val="19"/>
              </w:rPr>
              <w:t>模块</w:t>
            </w:r>
          </w:p>
        </w:tc>
        <w:tc>
          <w:tcPr>
            <w:tcW w:w="3855" w:type="dxa"/>
            <w:shd w:val="clear" w:color="auto" w:fill="EAF1F6"/>
          </w:tcPr>
          <w:p w14:paraId="057BFBCD">
            <w:pPr>
              <w:keepNext/>
              <w:spacing w:before="60" w:after="60"/>
            </w:pPr>
            <w:r>
              <w:rPr>
                <w:rFonts w:ascii="微软雅黑" w:hAnsi="微软雅黑" w:eastAsia="微软雅黑"/>
                <w:b/>
                <w:color w:val="23465A"/>
                <w:sz w:val="19"/>
              </w:rPr>
              <w:t>主要用途</w:t>
            </w:r>
          </w:p>
        </w:tc>
        <w:tc>
          <w:tcPr>
            <w:tcW w:w="3231" w:type="dxa"/>
            <w:shd w:val="clear" w:color="auto" w:fill="EAF1F6"/>
          </w:tcPr>
          <w:p w14:paraId="3CDE9068">
            <w:pPr>
              <w:keepNext/>
              <w:spacing w:before="60" w:after="60"/>
            </w:pPr>
            <w:r>
              <w:rPr>
                <w:rFonts w:ascii="微软雅黑" w:hAnsi="微软雅黑" w:eastAsia="微软雅黑"/>
                <w:b/>
                <w:color w:val="23465A"/>
                <w:sz w:val="19"/>
              </w:rPr>
              <w:t>客户重点关注</w:t>
            </w:r>
          </w:p>
        </w:tc>
      </w:tr>
      <w:tr w14:paraId="1C7E3FA8">
        <w:trPr>
          <w:cantSplit/>
        </w:trPr>
        <w:tc>
          <w:tcPr>
            <w:tcW w:w="2438" w:type="dxa"/>
          </w:tcPr>
          <w:p w14:paraId="5EF2FEA6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M3 能耗预测</w:t>
            </w:r>
          </w:p>
        </w:tc>
        <w:tc>
          <w:tcPr>
            <w:tcW w:w="3855" w:type="dxa"/>
          </w:tcPr>
          <w:p w14:paraId="74844B70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预测用电负荷和储能SOC趋势，为用电安排及M4调度提供参考。</w:t>
            </w:r>
          </w:p>
        </w:tc>
        <w:tc>
          <w:tcPr>
            <w:tcW w:w="3231" w:type="dxa"/>
          </w:tcPr>
          <w:p w14:paraId="275943C8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电站、预测区间、曲线、更新时间及异常提示。</w:t>
            </w:r>
          </w:p>
        </w:tc>
      </w:tr>
      <w:tr w14:paraId="1E75BE6B">
        <w:trPr>
          <w:cantSplit/>
        </w:trPr>
        <w:tc>
          <w:tcPr>
            <w:tcW w:w="2438" w:type="dxa"/>
          </w:tcPr>
          <w:p w14:paraId="53E3E070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M4 优化调度</w:t>
            </w:r>
          </w:p>
        </w:tc>
        <w:tc>
          <w:tcPr>
            <w:tcW w:w="3855" w:type="dxa"/>
          </w:tcPr>
          <w:p w14:paraId="3A5E9249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结合预测、电价和储能电量制定优化安排，在已启用电站交由EMS执行。</w:t>
            </w:r>
          </w:p>
        </w:tc>
        <w:tc>
          <w:tcPr>
            <w:tcW w:w="3231" w:type="dxa"/>
          </w:tcPr>
          <w:p w14:paraId="7ED0FA00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当天安排、计划功率、EMS确认与执行状态、预计费用。</w:t>
            </w:r>
          </w:p>
        </w:tc>
      </w:tr>
    </w:tbl>
    <w:p w14:paraId="3CC50CA0">
      <w:r>
        <w:rPr>
          <w:b/>
        </w:rPr>
        <w:t>M3负责预测，M4负责制定优化计划，EMS负责按计划执行设备动作。</w:t>
      </w:r>
      <w:r>
        <w:t xml:space="preserve"> 日常以查看页面和维护排班为主，不需要反复提交计算。</w:t>
      </w:r>
    </w:p>
    <w:p w14:paraId="1DDDD8C9">
      <w:pPr>
        <w:pStyle w:val="16"/>
      </w:pPr>
      <w:r>
        <w:t>本项目由EMS按计划表驱动设备，计划表“已执行”作为对应时段的设备执行确认；未下发的“日计划”不作为执行记录。</w:t>
      </w:r>
    </w:p>
    <w:p w14:paraId="3CA1F3BD">
      <w:pPr>
        <w:pStyle w:val="16"/>
      </w:pPr>
      <w:r>
        <w:t>页面费用与节省金额为预计值，不代表实际结算或已经到账的收益。</w:t>
      </w:r>
      <w:bookmarkStart w:id="1" w:name="_Toc280440903"/>
    </w:p>
    <w:p w14:paraId="5D3A3A4E">
      <w:pPr>
        <w:pStyle w:val="3"/>
        <w:bidi w:val="0"/>
      </w:pPr>
      <w:bookmarkStart w:id="5" w:name="_GoBack"/>
      <w:bookmarkEnd w:id="5"/>
      <w:r>
        <w:t>02  共用入口</w:t>
      </w:r>
      <w:bookmarkEnd w:id="1"/>
    </w:p>
    <w:p w14:paraId="6B24B4E2">
      <w:r>
        <w:t>1. 打开 https://vifa.hlszh.com，使用自己的平台账号登录。</w:t>
      </w:r>
    </w:p>
    <w:p w14:paraId="11916608">
      <w:r>
        <w:t>2. 点击顶部“AI电价负载预测系统”，从左侧进入“M3 负载预测”或“M4 能源调度”。</w:t>
      </w:r>
    </w:p>
    <w:p w14:paraId="0F997C30">
      <w:r>
        <w:t>3. 先确认电站，再确认预测区间或计划日期。文档中的时间按北京时间理解。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D9FDB77">
        <w:trPr>
          <w:cantSplit/>
          <w:trHeight w:val="57" w:hRule="atLeast"/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1A64E">
            <w:pPr>
              <w:keepNext w:val="0"/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6047740" cy="2363470"/>
                  <wp:effectExtent l="0" t="0" r="22860" b="2413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000" cy="2363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F31906">
      <w:pPr>
        <w:pStyle w:val="167"/>
      </w:pPr>
      <w:r>
        <w:t>图1  平台入口。先进入AI电价负载预测系统，再选择M3或M4；临时加班从光储能源管理进入。</w:t>
      </w:r>
    </w:p>
    <w:p w14:paraId="5AEC7EBA">
      <w:r>
        <w:t>登录失效时回到平台重新登录、重新进入。缺少菜单或提示无权限时联系管理员，页面读取中不要连续刷新。</w:t>
      </w:r>
    </w:p>
    <w:p w14:paraId="660A1C9B">
      <w:pPr>
        <w:pStyle w:val="3"/>
        <w:pageBreakBefore/>
      </w:pPr>
      <w:bookmarkStart w:id="2" w:name="_Toc1791135203"/>
      <w:r>
        <w:t>03  M3：应用场景、操作说明与举例</w:t>
      </w:r>
      <w:bookmarkEnd w:id="2"/>
    </w:p>
    <w:p w14:paraId="46F33103">
      <w:pPr>
        <w:pStyle w:val="4"/>
      </w:pPr>
      <w:r>
        <w:t>3.1 应用场景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3855"/>
        <w:gridCol w:w="3231"/>
      </w:tblGrid>
      <w:tr w14:paraId="330C8826">
        <w:trPr>
          <w:cantSplit/>
          <w:tblHeader/>
        </w:trPr>
        <w:tc>
          <w:tcPr>
            <w:tcW w:w="2438" w:type="dxa"/>
            <w:shd w:val="clear" w:color="auto" w:fill="EAF1F6"/>
          </w:tcPr>
          <w:p w14:paraId="0455FD66">
            <w:pPr>
              <w:keepNext/>
              <w:spacing w:before="60" w:after="60"/>
            </w:pPr>
            <w:r>
              <w:rPr>
                <w:rFonts w:ascii="微软雅黑" w:hAnsi="微软雅黑" w:eastAsia="微软雅黑"/>
                <w:b/>
                <w:color w:val="23465A"/>
                <w:sz w:val="19"/>
              </w:rPr>
              <w:t>场景</w:t>
            </w:r>
          </w:p>
        </w:tc>
        <w:tc>
          <w:tcPr>
            <w:tcW w:w="3855" w:type="dxa"/>
            <w:shd w:val="clear" w:color="auto" w:fill="EAF1F6"/>
          </w:tcPr>
          <w:p w14:paraId="3EE3ADFF">
            <w:pPr>
              <w:keepNext/>
              <w:spacing w:before="60" w:after="60"/>
            </w:pPr>
            <w:r>
              <w:rPr>
                <w:rFonts w:ascii="微软雅黑" w:hAnsi="微软雅黑" w:eastAsia="微软雅黑"/>
                <w:b/>
                <w:color w:val="23465A"/>
                <w:sz w:val="19"/>
              </w:rPr>
              <w:t>M3的作用</w:t>
            </w:r>
          </w:p>
        </w:tc>
        <w:tc>
          <w:tcPr>
            <w:tcW w:w="3231" w:type="dxa"/>
            <w:shd w:val="clear" w:color="auto" w:fill="EAF1F6"/>
          </w:tcPr>
          <w:p w14:paraId="2C370E7D">
            <w:pPr>
              <w:keepNext/>
              <w:spacing w:before="60" w:after="60"/>
            </w:pPr>
            <w:r>
              <w:rPr>
                <w:rFonts w:ascii="微软雅黑" w:hAnsi="微软雅黑" w:eastAsia="微软雅黑"/>
                <w:b/>
                <w:color w:val="23465A"/>
                <w:sz w:val="19"/>
              </w:rPr>
              <w:t>客户需要做什么</w:t>
            </w:r>
          </w:p>
        </w:tc>
      </w:tr>
      <w:tr w14:paraId="14372642">
        <w:trPr>
          <w:cantSplit/>
        </w:trPr>
        <w:tc>
          <w:tcPr>
            <w:tcW w:w="2438" w:type="dxa"/>
          </w:tcPr>
          <w:p w14:paraId="0C2C3C42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正常生产前了解用电趋势</w:t>
            </w:r>
          </w:p>
        </w:tc>
        <w:tc>
          <w:tcPr>
            <w:tcW w:w="3855" w:type="dxa"/>
          </w:tcPr>
          <w:p w14:paraId="1F2A1B68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查看预测负荷的高峰、低谷及变化。</w:t>
            </w:r>
          </w:p>
        </w:tc>
        <w:tc>
          <w:tcPr>
            <w:tcW w:w="3231" w:type="dxa"/>
          </w:tcPr>
          <w:p w14:paraId="082AE3CF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确认电站与预测区间，查看负荷曲线和更新时间。</w:t>
            </w:r>
          </w:p>
        </w:tc>
      </w:tr>
      <w:tr w14:paraId="7A72F5D4">
        <w:trPr>
          <w:cantSplit/>
        </w:trPr>
        <w:tc>
          <w:tcPr>
            <w:tcW w:w="2438" w:type="dxa"/>
          </w:tcPr>
          <w:p w14:paraId="496C2527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了解储能电量变化</w:t>
            </w:r>
          </w:p>
        </w:tc>
        <w:tc>
          <w:tcPr>
            <w:tcW w:w="3855" w:type="dxa"/>
          </w:tcPr>
          <w:p w14:paraId="0C12C823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查看SOC预计趋势，为后续用电与调度提供参考。</w:t>
            </w:r>
          </w:p>
        </w:tc>
        <w:tc>
          <w:tcPr>
            <w:tcW w:w="3231" w:type="dxa"/>
          </w:tcPr>
          <w:p w14:paraId="7797F0E0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查看SOC曲线，按图例区分预测与实际。</w:t>
            </w:r>
          </w:p>
        </w:tc>
      </w:tr>
      <w:tr w14:paraId="429B6365">
        <w:trPr>
          <w:cantSplit/>
        </w:trPr>
        <w:tc>
          <w:tcPr>
            <w:tcW w:w="2438" w:type="dxa"/>
          </w:tcPr>
          <w:p w14:paraId="6F31B6C5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临时加班或班次变更</w:t>
            </w:r>
          </w:p>
        </w:tc>
        <w:tc>
          <w:tcPr>
            <w:tcW w:w="3855" w:type="dxa"/>
          </w:tcPr>
          <w:p w14:paraId="1F76B468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后续预测读取已确认的排班例外。</w:t>
            </w:r>
          </w:p>
        </w:tc>
        <w:tc>
          <w:tcPr>
            <w:tcW w:w="3231" w:type="dxa"/>
          </w:tcPr>
          <w:p w14:paraId="57DDB036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提前录入并确认加班；取消时及时更新。</w:t>
            </w:r>
          </w:p>
        </w:tc>
      </w:tr>
      <w:tr w14:paraId="0E11647A">
        <w:trPr>
          <w:cantSplit/>
        </w:trPr>
        <w:tc>
          <w:tcPr>
            <w:tcW w:w="2438" w:type="dxa"/>
          </w:tcPr>
          <w:p w14:paraId="43019C45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需要补算或调整预测窗口</w:t>
            </w:r>
          </w:p>
        </w:tc>
        <w:tc>
          <w:tcPr>
            <w:tcW w:w="3855" w:type="dxa"/>
          </w:tcPr>
          <w:p w14:paraId="0A30E901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由授权人员按需提交手动预测。</w:t>
            </w:r>
          </w:p>
        </w:tc>
        <w:tc>
          <w:tcPr>
            <w:tcW w:w="3231" w:type="dxa"/>
          </w:tcPr>
          <w:p w14:paraId="3AF93793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按确认的参数提交一次，等待任务完成，不重复点击。</w:t>
            </w:r>
          </w:p>
        </w:tc>
      </w:tr>
    </w:tbl>
    <w:p w14:paraId="4616E2AE">
      <w:r>
        <w:t>M3预测不是设备控制指令，不直接决定设备立即充电或放电。当前M3看板主要展示负荷与SOC，电站2光伏预测在M4对应区域查看。</w:t>
      </w:r>
    </w:p>
    <w:p w14:paraId="5A8D6BCF">
      <w:pPr>
        <w:pStyle w:val="4"/>
        <w:pageBreakBefore/>
      </w:pPr>
      <w:r>
        <w:t>3.2 操作说明</w:t>
      </w:r>
    </w:p>
    <w:p w14:paraId="0A27AC38">
      <w:pPr>
        <w:pStyle w:val="5"/>
      </w:pPr>
      <w:r>
        <w:t>日常查看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CCBDCA7">
        <w:trPr>
          <w:cantSplit/>
          <w:trHeight w:val="57" w:hRule="atLeast"/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22532">
            <w:pPr>
              <w:keepNext w:val="0"/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6047740" cy="3415665"/>
                  <wp:effectExtent l="0" t="0" r="22860" b="133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000" cy="341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931D1">
            <w:pPr>
              <w:keepNext w:val="0"/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6047740" cy="2977515"/>
                  <wp:effectExtent l="0" t="0" r="22860" b="196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000" cy="2978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52F925">
      <w:pPr>
        <w:pStyle w:val="167"/>
      </w:pPr>
      <w:r>
        <w:t>图2  M3负荷与SOC预测。按图例区分预测和实际，尚未发生的时刻没有实际值。</w:t>
      </w:r>
    </w:p>
    <w:p w14:paraId="566FD98D">
      <w:r>
        <w:t>1. 进入“M3 负载预测”，选择实际需要查看的电站。</w:t>
      </w:r>
    </w:p>
    <w:p w14:paraId="7B40354B">
      <w:r>
        <w:t>2. 确认结果覆盖需要查看的区间。日常优先使用默认参数。</w:t>
      </w:r>
    </w:p>
    <w:p w14:paraId="4145923A">
      <w:r>
        <w:t>3. 查看负荷预测曲线，了解用电高峰及负荷变化；按图例区分预测和实际。</w:t>
      </w:r>
    </w:p>
    <w:p w14:paraId="68863C1F">
      <w:r>
        <w:t>4. 查看SOC预测曲线，了解预计电量变化。</w:t>
      </w:r>
    </w:p>
    <w:p w14:paraId="47364291">
      <w:r>
        <w:t>5. 查看更新时间、预测摘要及页面提示。尚未发生的时刻没有实际值；评分显示“—”不代表零误差。</w:t>
      </w:r>
    </w:p>
    <w:p w14:paraId="1EB86072">
      <w:r>
        <w:t>若显示“今天暂无匹配预测结果”，先核对电站、预测时长与粒度；仍无结果或出现失败提示时，记录提示并联系运维。</w:t>
      </w:r>
    </w:p>
    <w:p w14:paraId="0658E669">
      <w:pPr>
        <w:pStyle w:val="5"/>
      </w:pPr>
      <w:r>
        <w:t>按需手动预测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3C08617">
        <w:trPr>
          <w:cantSplit/>
          <w:trHeight w:val="57" w:hRule="atLeast"/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9B1F4">
            <w:pPr>
              <w:keepNext w:val="0"/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6047740" cy="23050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000" cy="2305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C888CE">
      <w:pPr>
        <w:pStyle w:val="167"/>
      </w:pPr>
      <w:r>
        <w:t>图3  M3手动预测参数。确认历史范围、预测时长和粒度后，仅在需要且获授权时提交任务。</w:t>
      </w:r>
    </w:p>
    <w:p w14:paraId="49C47F2B">
      <w:r>
        <w:t>1. 由授权人员确认需要预测的电站。</w:t>
      </w:r>
    </w:p>
    <w:p w14:paraId="23DBCD46">
      <w:r>
        <w:t>2. 按运维确认的范围设置历史训练数据、预测时长和粒度。</w:t>
      </w:r>
    </w:p>
    <w:p w14:paraId="38B6BE6E">
      <w:r>
        <w:t>3. 点击“开始预测”一次，等待任务状态更新。</w:t>
      </w:r>
    </w:p>
    <w:p w14:paraId="18A6B503">
      <w:r>
        <w:t>4. 完成后确认预测区间并查看结果；失败时保留提示并联系运维，不反复提交。</w:t>
      </w:r>
    </w:p>
    <w:p w14:paraId="113F611E">
      <w:r>
        <w:t>手动预测不会关闭自动预测，但符合当天业务条件的结果可能被后续M4计划计算使用，不应当作与生产完全隔离的试算。</w:t>
      </w:r>
    </w:p>
    <w:p w14:paraId="7634FE0B">
      <w:pPr>
        <w:pStyle w:val="5"/>
      </w:pPr>
      <w:r>
        <w:t>维护排班与临时加班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585C036">
        <w:trPr>
          <w:cantSplit/>
          <w:trHeight w:val="57" w:hRule="atLeast"/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0C480">
            <w:pPr>
              <w:keepNext w:val="0"/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3887470" cy="434848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8000" cy="4349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B08EE8">
      <w:pPr>
        <w:pStyle w:val="167"/>
      </w:pPr>
      <w:r>
        <w:t>图4  临时加班表单。核对电站、日期、时段和状态；草稿不会用于预测。图中为空表单，未提交记录。</w:t>
      </w:r>
    </w:p>
    <w:p w14:paraId="6EE037E3">
      <w:r>
        <w:t>1. 点击顶部“光储能源管理”，进入左侧“临时加班”，点击“添加”。</w:t>
      </w:r>
    </w:p>
    <w:p w14:paraId="617006DB">
      <w:r>
        <w:t>2. 选择实际加班电站和日期。</w:t>
      </w:r>
    </w:p>
    <w:p w14:paraId="6ED88E51">
      <w:r>
        <w:t>3. 选择全天、上午、下午或晚上等实际时段，按需要填写备注。</w:t>
      </w:r>
    </w:p>
    <w:p w14:paraId="6B830D1B">
      <w:r>
        <w:t>4. 将状态设为“已确认”，核对后点击“提交”。草稿不会参与预测。</w:t>
      </w:r>
    </w:p>
    <w:p w14:paraId="7037AC64">
      <w:r>
        <w:t>5. 加班取消时编辑原记录，设为“已取消”并提交；电站或时间变化时及时修正。</w:t>
      </w:r>
    </w:p>
    <w:p w14:paraId="1EC2D331">
      <w:r>
        <w:t>“全天”按配置的生产班次理解，不是连续24小时生产。不要重复确认相同电站、日期和重叠时段。修改排班影响后续预测读取，不会立即更新已有预测，也不会自动替换已确认的M4计划；需要当天及时调整时联系运维协调。</w:t>
      </w:r>
    </w:p>
    <w:p w14:paraId="29A8CC2E">
      <w:pPr>
        <w:pStyle w:val="4"/>
        <w:pageBreakBefore/>
      </w:pPr>
      <w:r>
        <w:t>3.3 举例</w:t>
      </w:r>
    </w:p>
    <w:p w14:paraId="32CE7B3D">
      <w:pPr>
        <w:pStyle w:val="5"/>
      </w:pPr>
      <w:r>
        <w:t>例1：班前查看电站2预测（操作示意）</w:t>
      </w:r>
    </w:p>
    <w:p w14:paraId="6DE76B4E">
      <w:pPr>
        <w:pStyle w:val="16"/>
      </w:pPr>
      <w:r>
        <w:rPr>
          <w:b/>
        </w:rPr>
        <w:t>应用情况</w:t>
      </w:r>
      <w:r>
        <w:t>：负责人希望了解今天的用电高峰和储能电量变化。</w:t>
      </w:r>
    </w:p>
    <w:p w14:paraId="531146D1">
      <w:pPr>
        <w:pStyle w:val="16"/>
      </w:pPr>
      <w:r>
        <w:rPr>
          <w:b/>
        </w:rPr>
        <w:t>操作</w:t>
      </w:r>
      <w:r>
        <w:t>：进入“M3 负载预测”→选择电站2→确认预测覆盖今天→查看负荷和SOC曲线→检查更新时间和页面提示。</w:t>
      </w:r>
    </w:p>
    <w:p w14:paraId="14DBBC2B">
      <w:pPr>
        <w:pStyle w:val="16"/>
      </w:pPr>
      <w:r>
        <w:rPr>
          <w:b/>
        </w:rPr>
        <w:t>怎么看结果</w:t>
      </w:r>
      <w:r>
        <w:t>：负荷曲线帮助了解高峰时段；SOC曲线帮助了解预计电量变化。未发生时刻的实际曲线为空是正常情况，不据此判断预测失败。</w:t>
      </w:r>
    </w:p>
    <w:p w14:paraId="6BAC70BC">
      <w:pPr>
        <w:pStyle w:val="5"/>
      </w:pPr>
      <w:r>
        <w:t>例2：电站2周六下午临时加班（操作示意）</w:t>
      </w:r>
    </w:p>
    <w:p w14:paraId="34FE0076">
      <w:pPr>
        <w:pStyle w:val="16"/>
      </w:pPr>
      <w:r>
        <w:rPr>
          <w:b/>
        </w:rPr>
        <w:t>应用情况</w:t>
      </w:r>
      <w:r>
        <w:t>：假设电站2某周六下午安排加班。</w:t>
      </w:r>
    </w:p>
    <w:p w14:paraId="7376AD35">
      <w:pPr>
        <w:pStyle w:val="16"/>
      </w:pPr>
      <w:r>
        <w:rPr>
          <w:b/>
        </w:rPr>
        <w:t>操作</w:t>
      </w:r>
      <w:r>
        <w:t>：进入“临时加班”→添加记录→选择实际日期、电站2和“下午”→设为“已确认”→提交。若取消，编辑该记录并设为“已取消”。</w:t>
      </w:r>
    </w:p>
    <w:p w14:paraId="184AD14A">
      <w:pPr>
        <w:pStyle w:val="16"/>
      </w:pPr>
      <w:r>
        <w:rPr>
          <w:b/>
        </w:rPr>
        <w:t>后续处理</w:t>
      </w:r>
      <w:r>
        <w:t>：后续预测读取这条排班例外。已有结果不会立即改变；若当天需要及时反映，联系运维协调预测与M4计划处理。</w:t>
      </w:r>
    </w:p>
    <w:p w14:paraId="43BA2987">
      <w:pPr>
        <w:pStyle w:val="5"/>
      </w:pPr>
      <w:r>
        <w:t>例3：补充一天预测（操作示意）</w:t>
      </w:r>
    </w:p>
    <w:p w14:paraId="2CB9CA29">
      <w:pPr>
        <w:pStyle w:val="16"/>
      </w:pPr>
      <w:r>
        <w:rPr>
          <w:b/>
        </w:rPr>
        <w:t>应用情况</w:t>
      </w:r>
      <w:r>
        <w:t>：假设授权人员确认需要补充电站2的一天预测。</w:t>
      </w:r>
    </w:p>
    <w:p w14:paraId="3DA548E5">
      <w:pPr>
        <w:pStyle w:val="16"/>
      </w:pPr>
      <w:r>
        <w:rPr>
          <w:b/>
        </w:rPr>
        <w:t>操作</w:t>
      </w:r>
      <w:r>
        <w:t>：选择电站2→采用已确认的历史训练范围→设置预测时长1天、粒度15分钟→点击“开始预测”一次→等待完成并核对结果区间。</w:t>
      </w:r>
    </w:p>
    <w:p w14:paraId="368DE1F4">
      <w:pPr>
        <w:pStyle w:val="16"/>
      </w:pPr>
      <w:r>
        <w:rPr>
          <w:b/>
        </w:rPr>
        <w:t>注意</w:t>
      </w:r>
      <w:r>
        <w:t>：这是操作示意，不表示本说明已提交预测任务；任务失败时不连续重试，保留提示并联系运维。</w:t>
      </w:r>
    </w:p>
    <w:p w14:paraId="15D36757">
      <w:pPr>
        <w:pStyle w:val="3"/>
        <w:pageBreakBefore/>
      </w:pPr>
      <w:bookmarkStart w:id="3" w:name="_Toc183593175"/>
      <w:r>
        <w:t>04  M4：应用场景、操作说明与举例</w:t>
      </w:r>
      <w:bookmarkEnd w:id="3"/>
    </w:p>
    <w:p w14:paraId="481A3D5E">
      <w:pPr>
        <w:pStyle w:val="4"/>
      </w:pPr>
      <w:r>
        <w:t>4.1 应用场景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3855"/>
        <w:gridCol w:w="3231"/>
      </w:tblGrid>
      <w:tr w14:paraId="49C155A3">
        <w:trPr>
          <w:cantSplit/>
          <w:tblHeader/>
        </w:trPr>
        <w:tc>
          <w:tcPr>
            <w:tcW w:w="2438" w:type="dxa"/>
            <w:shd w:val="clear" w:color="auto" w:fill="EAF1F6"/>
          </w:tcPr>
          <w:p w14:paraId="38C963B6">
            <w:pPr>
              <w:keepNext/>
              <w:spacing w:before="60" w:after="60"/>
            </w:pPr>
            <w:r>
              <w:rPr>
                <w:rFonts w:ascii="微软雅黑" w:hAnsi="微软雅黑" w:eastAsia="微软雅黑"/>
                <w:b/>
                <w:color w:val="23465A"/>
                <w:sz w:val="19"/>
              </w:rPr>
              <w:t>场景</w:t>
            </w:r>
          </w:p>
        </w:tc>
        <w:tc>
          <w:tcPr>
            <w:tcW w:w="3855" w:type="dxa"/>
            <w:shd w:val="clear" w:color="auto" w:fill="EAF1F6"/>
          </w:tcPr>
          <w:p w14:paraId="5394DCA0">
            <w:pPr>
              <w:keepNext/>
              <w:spacing w:before="60" w:after="60"/>
            </w:pPr>
            <w:r>
              <w:rPr>
                <w:rFonts w:ascii="微软雅黑" w:hAnsi="微软雅黑" w:eastAsia="微软雅黑"/>
                <w:b/>
                <w:color w:val="23465A"/>
                <w:sz w:val="19"/>
              </w:rPr>
              <w:t>M4的作用</w:t>
            </w:r>
          </w:p>
        </w:tc>
        <w:tc>
          <w:tcPr>
            <w:tcW w:w="3231" w:type="dxa"/>
            <w:shd w:val="clear" w:color="auto" w:fill="EAF1F6"/>
          </w:tcPr>
          <w:p w14:paraId="52BAC0B1">
            <w:pPr>
              <w:keepNext/>
              <w:spacing w:before="60" w:after="60"/>
            </w:pPr>
            <w:r>
              <w:rPr>
                <w:rFonts w:ascii="微软雅黑" w:hAnsi="微软雅黑" w:eastAsia="微软雅黑"/>
                <w:b/>
                <w:color w:val="23465A"/>
                <w:sz w:val="19"/>
              </w:rPr>
              <w:t>客户需要做什么</w:t>
            </w:r>
          </w:p>
        </w:tc>
      </w:tr>
      <w:tr w14:paraId="2E113D9A">
        <w:trPr>
          <w:cantSplit/>
        </w:trPr>
        <w:tc>
          <w:tcPr>
            <w:tcW w:w="2438" w:type="dxa"/>
          </w:tcPr>
          <w:p w14:paraId="6E937630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谷段补能、峰段供电</w:t>
            </w:r>
          </w:p>
        </w:tc>
        <w:tc>
          <w:tcPr>
            <w:tcW w:w="3855" w:type="dxa"/>
          </w:tcPr>
          <w:p w14:paraId="334276E2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结合预测、电价与储能电量安排充电、放电或待机。</w:t>
            </w:r>
          </w:p>
        </w:tc>
        <w:tc>
          <w:tcPr>
            <w:tcW w:w="3231" w:type="dxa"/>
          </w:tcPr>
          <w:p w14:paraId="0A919CC0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查看当天安排、原因及执行状态，不把示例时段当每日固定规则。</w:t>
            </w:r>
          </w:p>
        </w:tc>
      </w:tr>
    </w:tbl>
    <w:p w14:paraId="202D2703">
      <w:pPr>
        <w:spacing w:before="60" w:after="60"/>
        <w:rPr>
          <w:rFonts w:ascii="微软雅黑" w:hAnsi="微软雅黑" w:eastAsia="微软雅黑"/>
          <w:sz w:val="19"/>
        </w:rPr>
      </w:pP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3855"/>
        <w:gridCol w:w="3231"/>
      </w:tblGrid>
      <w:tr w14:paraId="2C817F4A">
        <w:trPr>
          <w:cantSplit/>
        </w:trPr>
        <w:tc>
          <w:tcPr>
            <w:tcW w:w="2438" w:type="dxa"/>
          </w:tcPr>
          <w:p w14:paraId="08E56CA5">
            <w:pPr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需量削峰</w:t>
            </w:r>
          </w:p>
        </w:tc>
        <w:tc>
          <w:tcPr>
            <w:tcW w:w="3855" w:type="dxa"/>
          </w:tcPr>
          <w:p w14:paraId="6890A7F8">
            <w:pPr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根据本站需量目标与购电上限规划充放电，利用储能减少电网取电高峰。</w:t>
            </w:r>
          </w:p>
        </w:tc>
        <w:tc>
          <w:tcPr>
            <w:tcW w:w="3231" w:type="dxa"/>
          </w:tcPr>
          <w:p w14:paraId="5FB62ACE">
            <w:pPr>
              <w:spacing w:before="60" w:after="60"/>
              <w:rPr>
                <w:rFonts w:ascii="微软雅黑" w:hAnsi="微软雅黑" w:eastAsia="微软雅黑"/>
                <w:sz w:val="19"/>
              </w:rPr>
            </w:pPr>
            <w:r>
              <w:rPr>
                <w:rFonts w:ascii="微软雅黑" w:hAnsi="微软雅黑" w:eastAsia="微软雅黑"/>
                <w:sz w:val="19"/>
              </w:rPr>
              <w:t>核对目标、相关时段安排和购电功率；实时保护由EMS处理，异常联系运维。</w:t>
            </w:r>
          </w:p>
        </w:tc>
      </w:tr>
      <w:tr w14:paraId="108779CB">
        <w:trPr>
          <w:cantSplit/>
        </w:trPr>
        <w:tc>
          <w:tcPr>
            <w:tcW w:w="2438" w:type="dxa"/>
          </w:tcPr>
          <w:p w14:paraId="35995D7E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光伏与储能协同</w:t>
            </w:r>
          </w:p>
        </w:tc>
        <w:tc>
          <w:tcPr>
            <w:tcW w:w="3855" w:type="dxa"/>
          </w:tcPr>
          <w:p w14:paraId="0C3D7907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按当天有效配置及计划安排光伏供负荷、余电入储或上网。</w:t>
            </w:r>
          </w:p>
        </w:tc>
        <w:tc>
          <w:tcPr>
            <w:tcW w:w="3231" w:type="dxa"/>
          </w:tcPr>
          <w:p w14:paraId="7557A57E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查看光伏曲线和安排说明，不把上网安排当储能放电。</w:t>
            </w:r>
          </w:p>
        </w:tc>
      </w:tr>
      <w:tr w14:paraId="132E884F">
        <w:trPr>
          <w:cantSplit/>
        </w:trPr>
        <w:tc>
          <w:tcPr>
            <w:tcW w:w="2438" w:type="dxa"/>
          </w:tcPr>
          <w:p w14:paraId="61F0E491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比较优化方案与原计划</w:t>
            </w:r>
          </w:p>
        </w:tc>
        <w:tc>
          <w:tcPr>
            <w:tcW w:w="3855" w:type="dxa"/>
          </w:tcPr>
          <w:p w14:paraId="4CB58B4E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比较预计费用，决定采用优化方案或沿用原安排。</w:t>
            </w:r>
          </w:p>
        </w:tc>
        <w:tc>
          <w:tcPr>
            <w:tcW w:w="3231" w:type="dxa"/>
          </w:tcPr>
          <w:p w14:paraId="349E55CA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查看计划提示与预计费用，不把预计节省当实际收益。</w:t>
            </w:r>
          </w:p>
        </w:tc>
      </w:tr>
      <w:tr w14:paraId="0F1E7A84">
        <w:trPr>
          <w:cantSplit/>
        </w:trPr>
        <w:tc>
          <w:tcPr>
            <w:tcW w:w="2438" w:type="dxa"/>
          </w:tcPr>
          <w:p w14:paraId="5F1A8EE2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了解计划执行进度</w:t>
            </w:r>
          </w:p>
        </w:tc>
        <w:tc>
          <w:tcPr>
            <w:tcW w:w="3855" w:type="dxa"/>
          </w:tcPr>
          <w:p w14:paraId="7DEFCD6B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将已确认计划交给EMS，按时段展示执行状态。</w:t>
            </w:r>
          </w:p>
        </w:tc>
        <w:tc>
          <w:tcPr>
            <w:tcW w:w="3231" w:type="dxa"/>
          </w:tcPr>
          <w:p w14:paraId="3F98FED9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区分日计划、待生效、执行中和已执行。</w:t>
            </w:r>
          </w:p>
        </w:tc>
      </w:tr>
      <w:tr w14:paraId="3A4B0CA9">
        <w:trPr>
          <w:cantSplit/>
        </w:trPr>
        <w:tc>
          <w:tcPr>
            <w:tcW w:w="2438" w:type="dxa"/>
          </w:tcPr>
          <w:p w14:paraId="1F1788D4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生产变化或出现异常</w:t>
            </w:r>
          </w:p>
        </w:tc>
        <w:tc>
          <w:tcPr>
            <w:tcW w:w="3855" w:type="dxa"/>
          </w:tcPr>
          <w:p w14:paraId="09D19757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在保护条件下处理新计划需求或暂停未确认写入。</w:t>
            </w:r>
          </w:p>
        </w:tc>
        <w:tc>
          <w:tcPr>
            <w:tcW w:w="3231" w:type="dxa"/>
          </w:tcPr>
          <w:p w14:paraId="59B7389C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记录提示并联系运维，已确认计划不因排班变化自动替换。</w:t>
            </w:r>
          </w:p>
        </w:tc>
      </w:tr>
    </w:tbl>
    <w:p w14:paraId="04D08BD0">
      <w:r>
        <w:t>M4不只是显示曲线：它决定何时充电、放电或待机，将已采用的安排交给EMS。EMS负责柜间分配、设备动作与现场保护。</w:t>
      </w:r>
    </w:p>
    <w:p w14:paraId="4EAD9E07">
      <w:pPr>
        <w:pStyle w:val="166"/>
      </w:pPr>
      <w:r>
        <w:rPr>
          <w:b/>
        </w:rPr>
        <w:t>峰谷调度与需量削峰不同</w:t>
      </w:r>
      <w:r>
        <w:t>：峰谷调度侧重在合适电价时段充放电；需量削峰侧重降低电网取电高峰，不能只凭“高峰电价时放电”就认定完成需量削峰。</w:t>
      </w:r>
    </w:p>
    <w:p w14:paraId="1DB28D7D">
      <w:pPr>
        <w:pStyle w:val="4"/>
        <w:pageBreakBefore/>
      </w:pPr>
      <w:r>
        <w:t>4.2 操作说明</w:t>
      </w:r>
    </w:p>
    <w:p w14:paraId="1807BEB4">
      <w:pPr>
        <w:pStyle w:val="5"/>
      </w:pPr>
      <w:r>
        <w:t>日常查看步骤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AE2BC51">
        <w:trPr>
          <w:cantSplit/>
          <w:trHeight w:val="57" w:hRule="atLeast"/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75381">
            <w:pPr>
              <w:keepNext w:val="0"/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6047740" cy="3810000"/>
                  <wp:effectExtent l="0" t="0" r="2286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000" cy="3810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CCAFD">
      <w:pPr>
        <w:pStyle w:val="167"/>
      </w:pPr>
      <w:r>
        <w:t>图5  M4调度曲线与费用对比。上方为日计划建议，金额为预计值，不是结算账单。</w:t>
      </w:r>
    </w:p>
    <w:p w14:paraId="2D4F87D9">
      <w:r>
        <w:t>1. 进入“M4 能源调度”，确认电站与计划日期。</w:t>
      </w:r>
    </w:p>
    <w:p w14:paraId="38E42E05">
      <w:r>
        <w:t>2. 查看当天计划提示，确认已有方案、沿用原安排，还是需要处理异常。</w:t>
      </w:r>
    </w:p>
    <w:p w14:paraId="08E61186">
      <w:r>
        <w:t>3. 查看“24小时调度安排”，了解负荷、光伏和日计划建议功率；负值表示充电，正值表示放电，零值表示待机。</w:t>
      </w:r>
    </w:p>
    <w:p w14:paraId="3F127DA9">
      <w:r>
        <w:t>4. 查看“今日充放电安排”的时段、动作、说明和状态。连续相同安排可能合并展示。</w:t>
      </w:r>
    </w:p>
    <w:p w14:paraId="73FD6809">
      <w:r>
        <w:t>5. 需要核对具体计划功率时，请运维提供同一电站、同一天的EMS确认记录。</w:t>
      </w:r>
    </w:p>
    <w:p w14:paraId="06C61FE9">
      <w:r>
        <w:t>6. 查看“日计划费用对比”，了解预计费用变化；再查看当前SOC和实际功率，了解现场运行状态。</w:t>
      </w:r>
    </w:p>
    <w:p w14:paraId="4F248E70">
      <w:r>
        <w:t>7. 正常运行无需操作。无计划、写入失败或持续待确认时，截图记录提示并联系运维，不连续重算或重复下发。</w:t>
      </w:r>
    </w:p>
    <w:p w14:paraId="5CFA5873">
      <w:pPr>
        <w:pStyle w:val="5"/>
      </w:pPr>
      <w:r>
        <w:t>需量削峰查看与处理</w:t>
      </w:r>
    </w:p>
    <w:p w14:paraId="54B44EF1">
      <w:r>
        <w:t>1. 向运维核对本站已确认的需量控制目标与安全购电上限，不自行调整参数。</w:t>
      </w:r>
    </w:p>
    <w:p w14:paraId="79CD4B08">
      <w:r>
        <w:t>2. 在M4选择同一电站和日期，查看相关时段的计划购电功率与储能安排；计划功率、完整购电曲线和目标值可请运维提供对应EMS记录。</w:t>
      </w:r>
    </w:p>
    <w:p w14:paraId="31961A84">
      <w:r>
        <w:t>3. 结合EMS实际购电曲线和计划表执行记录，核对取电高峰是否降低。预测负荷不等于电网取电功率，计划放电也不单独证明实际削峰幅度。</w:t>
      </w:r>
    </w:p>
    <w:p w14:paraId="7EEF8336">
      <w:r>
        <w:t>4. 取电持续超出目标、储能电量不足或出现保护告警时，记录时段、提示与运行数据，联系运维；安全告警按现场规程处理，不为了削峰放宽安全条件。</w:t>
      </w:r>
    </w:p>
    <w:p w14:paraId="7BC1E5E5">
      <w:r>
        <w:t>M4在计划层面考虑需量；EMS按现场配置负责实时需量保护。已确认的M4日计划不会随瞬时负荷变化自动替换。需量控制目标不等同于安全购电上限，不承诺每个时段都能达到目标；具体安排仍受可用电量、设备能力和本站运行规则限制。</w:t>
      </w:r>
    </w:p>
    <w:p w14:paraId="47E3C133">
      <w:pPr>
        <w:pStyle w:val="5"/>
      </w:pPr>
      <w:r>
        <w:t>自动运行与启用范围</w:t>
      </w:r>
    </w:p>
    <w:p w14:paraId="34C498EB">
      <w:r>
        <w:rPr>
          <w:b/>
        </w:rPr>
        <w:t>读取预测与运行数据→生成优化计划→安全校验→写入EMS计划表→回读确认→EMS按时段执行。</w:t>
      </w:r>
    </w:p>
    <w:p w14:paraId="04A20540">
      <w:r>
        <w:t>M4每15分钟检查运行条件，不表示每15分钟都替换计划。已确认计划保持不变，重新计算的候选不会自动覆盖当前安排。电站2已开启自动写表；电站1目前仅计算和展示，不自动写表。</w:t>
      </w:r>
    </w:p>
    <w:p w14:paraId="2BBBD6DA">
      <w:pPr>
        <w:pStyle w:val="5"/>
      </w:pPr>
      <w:r>
        <w:t>执行状态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39541AD">
        <w:trPr>
          <w:cantSplit/>
          <w:trHeight w:val="57" w:hRule="atLeast"/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9EFBB">
            <w:pPr>
              <w:keepNext w:val="0"/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6047740" cy="437832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000" cy="4378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38298D">
      <w:pPr>
        <w:pStyle w:val="167"/>
      </w:pPr>
    </w:p>
    <w:p w14:paraId="595BCB0E">
      <w:pPr>
        <w:pStyle w:val="167"/>
      </w:pPr>
    </w:p>
    <w:p w14:paraId="2AF08BA9">
      <w:pPr>
        <w:pStyle w:val="167"/>
      </w:pPr>
    </w:p>
    <w:p w14:paraId="28F463AE">
      <w:pPr>
        <w:pStyle w:val="167"/>
      </w:pPr>
    </w:p>
    <w:p w14:paraId="79DB7A84">
      <w:pPr>
        <w:pStyle w:val="167"/>
      </w:pPr>
      <w:r>
        <w:t>图6  M4安排与状态。按本项目EMS计划表执行记录理解已执行；时间段列在左侧，可横向滚动查看。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3855"/>
        <w:gridCol w:w="3231"/>
      </w:tblGrid>
      <w:tr w14:paraId="1FFF812E">
        <w:trPr>
          <w:cantSplit/>
          <w:tblHeader/>
        </w:trPr>
        <w:tc>
          <w:tcPr>
            <w:tcW w:w="2438" w:type="dxa"/>
            <w:shd w:val="clear" w:color="auto" w:fill="EAF1F6"/>
          </w:tcPr>
          <w:p w14:paraId="2FBFC651">
            <w:pPr>
              <w:keepNext/>
              <w:spacing w:before="60" w:after="60"/>
            </w:pPr>
            <w:r>
              <w:rPr>
                <w:rFonts w:ascii="微软雅黑" w:hAnsi="微软雅黑" w:eastAsia="微软雅黑"/>
                <w:b/>
                <w:color w:val="23465A"/>
                <w:sz w:val="19"/>
              </w:rPr>
              <w:t>状态</w:t>
            </w:r>
          </w:p>
        </w:tc>
        <w:tc>
          <w:tcPr>
            <w:tcW w:w="3855" w:type="dxa"/>
            <w:shd w:val="clear" w:color="auto" w:fill="EAF1F6"/>
          </w:tcPr>
          <w:p w14:paraId="3B16F8D6">
            <w:pPr>
              <w:keepNext/>
              <w:spacing w:before="60" w:after="60"/>
            </w:pPr>
            <w:r>
              <w:rPr>
                <w:rFonts w:ascii="微软雅黑" w:hAnsi="微软雅黑" w:eastAsia="微软雅黑"/>
                <w:b/>
                <w:color w:val="23465A"/>
                <w:sz w:val="19"/>
              </w:rPr>
              <w:t>含义</w:t>
            </w:r>
          </w:p>
        </w:tc>
        <w:tc>
          <w:tcPr>
            <w:tcW w:w="3231" w:type="dxa"/>
            <w:shd w:val="clear" w:color="auto" w:fill="EAF1F6"/>
          </w:tcPr>
          <w:p w14:paraId="271E62D3">
            <w:pPr>
              <w:keepNext/>
              <w:spacing w:before="60" w:after="60"/>
            </w:pPr>
            <w:r>
              <w:rPr>
                <w:rFonts w:ascii="微软雅黑" w:hAnsi="微软雅黑" w:eastAsia="微软雅黑"/>
                <w:b/>
                <w:color w:val="23465A"/>
                <w:sz w:val="19"/>
              </w:rPr>
              <w:t>日常操作</w:t>
            </w:r>
          </w:p>
        </w:tc>
      </w:tr>
      <w:tr w14:paraId="3AB8D80E">
        <w:trPr>
          <w:cantSplit/>
        </w:trPr>
        <w:tc>
          <w:tcPr>
            <w:tcW w:w="2438" w:type="dxa"/>
          </w:tcPr>
          <w:p w14:paraId="367E7669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日计划</w:t>
            </w:r>
          </w:p>
        </w:tc>
        <w:tc>
          <w:tcPr>
            <w:tcW w:w="3855" w:type="dxa"/>
          </w:tcPr>
          <w:p w14:paraId="4A44F4CD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计划展示，不能据此认定该行已写入EMS。</w:t>
            </w:r>
          </w:p>
        </w:tc>
        <w:tc>
          <w:tcPr>
            <w:tcW w:w="3231" w:type="dxa"/>
          </w:tcPr>
          <w:p w14:paraId="6EFD6014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结合计划表确认提示查看。</w:t>
            </w:r>
          </w:p>
        </w:tc>
      </w:tr>
      <w:tr w14:paraId="198BA119">
        <w:trPr>
          <w:cantSplit/>
        </w:trPr>
        <w:tc>
          <w:tcPr>
            <w:tcW w:w="2438" w:type="dxa"/>
          </w:tcPr>
          <w:p w14:paraId="75D2C714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计划待机</w:t>
            </w:r>
          </w:p>
        </w:tc>
        <w:tc>
          <w:tcPr>
            <w:tcW w:w="3855" w:type="dxa"/>
          </w:tcPr>
          <w:p w14:paraId="79486F66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本时段不安排储能充放电。</w:t>
            </w:r>
          </w:p>
        </w:tc>
        <w:tc>
          <w:tcPr>
            <w:tcW w:w="3231" w:type="dxa"/>
          </w:tcPr>
          <w:p w14:paraId="30F44EBB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通常无需操作。</w:t>
            </w:r>
          </w:p>
        </w:tc>
      </w:tr>
      <w:tr w14:paraId="60ED969B">
        <w:trPr>
          <w:cantSplit/>
        </w:trPr>
        <w:tc>
          <w:tcPr>
            <w:tcW w:w="2438" w:type="dxa"/>
          </w:tcPr>
          <w:p w14:paraId="4426851E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已下发 · 待生效</w:t>
            </w:r>
          </w:p>
        </w:tc>
        <w:tc>
          <w:tcPr>
            <w:tcW w:w="3855" w:type="dxa"/>
          </w:tcPr>
          <w:p w14:paraId="0DB76B55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安排已写入并确认，尚未到生效时段。</w:t>
            </w:r>
          </w:p>
        </w:tc>
        <w:tc>
          <w:tcPr>
            <w:tcW w:w="3231" w:type="dxa"/>
          </w:tcPr>
          <w:p w14:paraId="013261EC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等待生效。</w:t>
            </w:r>
          </w:p>
        </w:tc>
      </w:tr>
      <w:tr w14:paraId="519BD39F">
        <w:trPr>
          <w:cantSplit/>
        </w:trPr>
        <w:tc>
          <w:tcPr>
            <w:tcW w:w="2438" w:type="dxa"/>
          </w:tcPr>
          <w:p w14:paraId="3CF46297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执行中</w:t>
            </w:r>
          </w:p>
        </w:tc>
        <w:tc>
          <w:tcPr>
            <w:tcW w:w="3855" w:type="dxa"/>
          </w:tcPr>
          <w:p w14:paraId="5A6C2545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EMS正在执行对应时段的已确认安排。</w:t>
            </w:r>
          </w:p>
        </w:tc>
        <w:tc>
          <w:tcPr>
            <w:tcW w:w="3231" w:type="dxa"/>
          </w:tcPr>
          <w:p w14:paraId="60E46D3F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查看当前运行状态。</w:t>
            </w:r>
          </w:p>
        </w:tc>
      </w:tr>
      <w:tr w14:paraId="0AC133CC">
        <w:trPr>
          <w:cantSplit/>
        </w:trPr>
        <w:tc>
          <w:tcPr>
            <w:tcW w:w="2438" w:type="dxa"/>
          </w:tcPr>
          <w:p w14:paraId="49E8308C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已执行</w:t>
            </w:r>
          </w:p>
        </w:tc>
        <w:tc>
          <w:tcPr>
            <w:tcW w:w="3855" w:type="dxa"/>
          </w:tcPr>
          <w:p w14:paraId="67DFB79F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EMS已执行对应时段的安排。</w:t>
            </w:r>
          </w:p>
        </w:tc>
        <w:tc>
          <w:tcPr>
            <w:tcW w:w="3231" w:type="dxa"/>
          </w:tcPr>
          <w:p w14:paraId="2712C249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作为本项目调度执行记录查看。</w:t>
            </w:r>
          </w:p>
        </w:tc>
      </w:tr>
      <w:tr w14:paraId="63701522">
        <w:trPr>
          <w:cantSplit/>
        </w:trPr>
        <w:tc>
          <w:tcPr>
            <w:tcW w:w="2438" w:type="dxa"/>
          </w:tcPr>
          <w:p w14:paraId="6642499B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下发待确认</w:t>
            </w:r>
          </w:p>
        </w:tc>
        <w:tc>
          <w:tcPr>
            <w:tcW w:w="3855" w:type="dxa"/>
          </w:tcPr>
          <w:p w14:paraId="745673F5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更新或回读确认尚未完成。</w:t>
            </w:r>
          </w:p>
        </w:tc>
        <w:tc>
          <w:tcPr>
            <w:tcW w:w="3231" w:type="dxa"/>
          </w:tcPr>
          <w:p w14:paraId="1EE4A760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不重复下发，持续未确认时联系运维。</w:t>
            </w:r>
          </w:p>
        </w:tc>
      </w:tr>
      <w:tr w14:paraId="6D541832">
        <w:trPr>
          <w:cantSplit/>
        </w:trPr>
        <w:tc>
          <w:tcPr>
            <w:tcW w:w="2438" w:type="dxa"/>
          </w:tcPr>
          <w:p w14:paraId="170636C7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已替代 / 已失效</w:t>
            </w:r>
          </w:p>
        </w:tc>
        <w:tc>
          <w:tcPr>
            <w:tcW w:w="3855" w:type="dxa"/>
          </w:tcPr>
          <w:p w14:paraId="5BEBC535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历史安排被替换或不再有效。</w:t>
            </w:r>
          </w:p>
        </w:tc>
        <w:tc>
          <w:tcPr>
            <w:tcW w:w="3231" w:type="dxa"/>
          </w:tcPr>
          <w:p w14:paraId="5BA5B046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以当天有效安排为准。</w:t>
            </w:r>
          </w:p>
        </w:tc>
      </w:tr>
    </w:tbl>
    <w:p w14:paraId="36C13A7D">
      <w:r>
        <w:t>“凌晨保底计划表已确认”只表示凌晨安排已确认，不能据此认定全天优化计划也已确认。需要调整已确认安排时联系运维，只处理未来有效时段，不补发过去安排。</w:t>
      </w:r>
    </w:p>
    <w:p w14:paraId="5E2FB851">
      <w:pPr>
        <w:pStyle w:val="4"/>
        <w:bidi w:val="0"/>
      </w:pPr>
      <w:r>
        <w:t>4.3 举例</w:t>
      </w:r>
    </w:p>
    <w:p w14:paraId="7655F8F0">
      <w:pPr>
        <w:pStyle w:val="5"/>
      </w:pPr>
      <w:r>
        <w:t>例1：电站2当天调度安排（真实记录）</w:t>
      </w:r>
    </w:p>
    <w:p w14:paraId="52597189">
      <w:r>
        <w:t>以下为</w:t>
      </w:r>
      <w:r>
        <w:rPr>
          <w:b/>
        </w:rPr>
        <w:t>2026年10月13日14:20核对的EMS确认记录</w:t>
      </w:r>
      <w:r>
        <w:t>。状态固定于该核对时点，后续以当天有效安排为准；这些时段与功率不是每日固定规则。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1871"/>
        <w:gridCol w:w="2211"/>
        <w:gridCol w:w="3005"/>
      </w:tblGrid>
      <w:tr w14:paraId="17B02B52">
        <w:trPr>
          <w:cantSplit/>
          <w:tblHeader/>
        </w:trPr>
        <w:tc>
          <w:tcPr>
            <w:tcW w:w="2438" w:type="dxa"/>
            <w:shd w:val="clear" w:color="auto" w:fill="EAF1F6"/>
          </w:tcPr>
          <w:p w14:paraId="25F1F439">
            <w:pPr>
              <w:keepNext/>
              <w:spacing w:before="60" w:after="60"/>
            </w:pPr>
            <w:r>
              <w:rPr>
                <w:rFonts w:ascii="微软雅黑" w:hAnsi="微软雅黑" w:eastAsia="微软雅黑"/>
                <w:b/>
                <w:color w:val="23465A"/>
                <w:sz w:val="19"/>
              </w:rPr>
              <w:t>时间段</w:t>
            </w:r>
          </w:p>
        </w:tc>
        <w:tc>
          <w:tcPr>
            <w:tcW w:w="1871" w:type="dxa"/>
            <w:shd w:val="clear" w:color="auto" w:fill="EAF1F6"/>
          </w:tcPr>
          <w:p w14:paraId="0A079384">
            <w:pPr>
              <w:keepNext/>
              <w:spacing w:before="60" w:after="60"/>
            </w:pPr>
            <w:r>
              <w:rPr>
                <w:rFonts w:ascii="微软雅黑" w:hAnsi="微软雅黑" w:eastAsia="微软雅黑"/>
                <w:b/>
                <w:color w:val="23465A"/>
                <w:sz w:val="19"/>
              </w:rPr>
              <w:t>安排</w:t>
            </w:r>
          </w:p>
        </w:tc>
        <w:tc>
          <w:tcPr>
            <w:tcW w:w="2211" w:type="dxa"/>
            <w:shd w:val="clear" w:color="auto" w:fill="EAF1F6"/>
          </w:tcPr>
          <w:p w14:paraId="25ECBE19">
            <w:pPr>
              <w:keepNext/>
              <w:spacing w:before="60" w:after="60"/>
              <w:jc w:val="right"/>
            </w:pPr>
            <w:r>
              <w:rPr>
                <w:rFonts w:ascii="微软雅黑" w:hAnsi="微软雅黑" w:eastAsia="微软雅黑"/>
                <w:b/>
                <w:color w:val="23465A"/>
                <w:sz w:val="19"/>
              </w:rPr>
              <w:t>计划功率（kW）</w:t>
            </w:r>
          </w:p>
        </w:tc>
        <w:tc>
          <w:tcPr>
            <w:tcW w:w="3005" w:type="dxa"/>
            <w:shd w:val="clear" w:color="auto" w:fill="EAF1F6"/>
          </w:tcPr>
          <w:p w14:paraId="089454F2">
            <w:pPr>
              <w:keepNext/>
              <w:spacing w:before="60" w:after="60"/>
            </w:pPr>
            <w:r>
              <w:rPr>
                <w:rFonts w:ascii="微软雅黑" w:hAnsi="微软雅黑" w:eastAsia="微软雅黑"/>
                <w:b/>
                <w:color w:val="23465A"/>
                <w:sz w:val="19"/>
              </w:rPr>
              <w:t>状态（14:20）</w:t>
            </w:r>
          </w:p>
        </w:tc>
      </w:tr>
      <w:tr w14:paraId="556EDC3F">
        <w:trPr>
          <w:cantSplit/>
        </w:trPr>
        <w:tc>
          <w:tcPr>
            <w:tcW w:w="2438" w:type="dxa"/>
          </w:tcPr>
          <w:p w14:paraId="7F51F0D7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00:15–05:15</w:t>
            </w:r>
          </w:p>
        </w:tc>
        <w:tc>
          <w:tcPr>
            <w:tcW w:w="1871" w:type="dxa"/>
          </w:tcPr>
          <w:p w14:paraId="26EECB6C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充电</w:t>
            </w:r>
          </w:p>
        </w:tc>
        <w:tc>
          <w:tcPr>
            <w:tcW w:w="2211" w:type="dxa"/>
          </w:tcPr>
          <w:p w14:paraId="202671C8">
            <w:pPr>
              <w:keepNext w:val="0"/>
              <w:spacing w:before="60" w:after="60"/>
              <w:jc w:val="right"/>
            </w:pPr>
            <w:r>
              <w:rPr>
                <w:rFonts w:ascii="微软雅黑" w:hAnsi="微软雅黑" w:eastAsia="微软雅黑"/>
                <w:sz w:val="19"/>
              </w:rPr>
              <w:t>600</w:t>
            </w:r>
          </w:p>
        </w:tc>
        <w:tc>
          <w:tcPr>
            <w:tcW w:w="3005" w:type="dxa"/>
          </w:tcPr>
          <w:p w14:paraId="1DDC2241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已执行</w:t>
            </w:r>
          </w:p>
        </w:tc>
      </w:tr>
      <w:tr w14:paraId="03BABC34">
        <w:trPr>
          <w:cantSplit/>
        </w:trPr>
        <w:tc>
          <w:tcPr>
            <w:tcW w:w="2438" w:type="dxa"/>
          </w:tcPr>
          <w:p w14:paraId="233F4C27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08:00–10:00</w:t>
            </w:r>
          </w:p>
        </w:tc>
        <w:tc>
          <w:tcPr>
            <w:tcW w:w="1871" w:type="dxa"/>
          </w:tcPr>
          <w:p w14:paraId="6224B4F6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放电</w:t>
            </w:r>
          </w:p>
        </w:tc>
        <w:tc>
          <w:tcPr>
            <w:tcW w:w="2211" w:type="dxa"/>
          </w:tcPr>
          <w:p w14:paraId="531A7A36">
            <w:pPr>
              <w:keepNext w:val="0"/>
              <w:spacing w:before="60" w:after="60"/>
              <w:jc w:val="right"/>
            </w:pPr>
            <w:r>
              <w:rPr>
                <w:rFonts w:ascii="微软雅黑" w:hAnsi="微软雅黑" w:eastAsia="微软雅黑"/>
                <w:sz w:val="19"/>
              </w:rPr>
              <w:t>540</w:t>
            </w:r>
          </w:p>
        </w:tc>
        <w:tc>
          <w:tcPr>
            <w:tcW w:w="3005" w:type="dxa"/>
          </w:tcPr>
          <w:p w14:paraId="77E6FEB7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已执行</w:t>
            </w:r>
          </w:p>
        </w:tc>
      </w:tr>
      <w:tr w14:paraId="0FE3EE7B">
        <w:trPr>
          <w:cantSplit/>
        </w:trPr>
        <w:tc>
          <w:tcPr>
            <w:tcW w:w="2438" w:type="dxa"/>
          </w:tcPr>
          <w:p w14:paraId="5F64E29E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10:00–12:00</w:t>
            </w:r>
          </w:p>
        </w:tc>
        <w:tc>
          <w:tcPr>
            <w:tcW w:w="1871" w:type="dxa"/>
          </w:tcPr>
          <w:p w14:paraId="79CFE7A1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放电</w:t>
            </w:r>
          </w:p>
        </w:tc>
        <w:tc>
          <w:tcPr>
            <w:tcW w:w="2211" w:type="dxa"/>
          </w:tcPr>
          <w:p w14:paraId="0167769C">
            <w:pPr>
              <w:keepNext w:val="0"/>
              <w:spacing w:before="60" w:after="60"/>
              <w:jc w:val="right"/>
            </w:pPr>
            <w:r>
              <w:rPr>
                <w:rFonts w:ascii="微软雅黑" w:hAnsi="微软雅黑" w:eastAsia="微软雅黑"/>
                <w:sz w:val="19"/>
              </w:rPr>
              <w:t>600</w:t>
            </w:r>
          </w:p>
        </w:tc>
        <w:tc>
          <w:tcPr>
            <w:tcW w:w="3005" w:type="dxa"/>
          </w:tcPr>
          <w:p w14:paraId="7E486912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已执行</w:t>
            </w:r>
          </w:p>
        </w:tc>
      </w:tr>
      <w:tr w14:paraId="6EDFE266">
        <w:trPr>
          <w:cantSplit/>
        </w:trPr>
        <w:tc>
          <w:tcPr>
            <w:tcW w:w="2438" w:type="dxa"/>
          </w:tcPr>
          <w:p w14:paraId="182228A3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12:00–14:00</w:t>
            </w:r>
          </w:p>
        </w:tc>
        <w:tc>
          <w:tcPr>
            <w:tcW w:w="1871" w:type="dxa"/>
          </w:tcPr>
          <w:p w14:paraId="2C906D86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光伏余电上网</w:t>
            </w:r>
          </w:p>
        </w:tc>
        <w:tc>
          <w:tcPr>
            <w:tcW w:w="2211" w:type="dxa"/>
          </w:tcPr>
          <w:p w14:paraId="5532D4F8">
            <w:pPr>
              <w:keepNext w:val="0"/>
              <w:spacing w:before="60" w:after="60"/>
              <w:jc w:val="right"/>
            </w:pPr>
            <w:r>
              <w:rPr>
                <w:rFonts w:ascii="微软雅黑" w:hAnsi="微软雅黑" w:eastAsia="微软雅黑"/>
                <w:sz w:val="19"/>
              </w:rPr>
              <w:t>按余电</w:t>
            </w:r>
          </w:p>
        </w:tc>
        <w:tc>
          <w:tcPr>
            <w:tcW w:w="3005" w:type="dxa"/>
          </w:tcPr>
          <w:p w14:paraId="76FEBEED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已执行</w:t>
            </w:r>
          </w:p>
        </w:tc>
      </w:tr>
      <w:tr w14:paraId="5AF32E2D">
        <w:trPr>
          <w:cantSplit/>
        </w:trPr>
        <w:tc>
          <w:tcPr>
            <w:tcW w:w="2438" w:type="dxa"/>
          </w:tcPr>
          <w:p w14:paraId="280BE2E2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14:00–19:00</w:t>
            </w:r>
          </w:p>
        </w:tc>
        <w:tc>
          <w:tcPr>
            <w:tcW w:w="1871" w:type="dxa"/>
          </w:tcPr>
          <w:p w14:paraId="1F6E1B11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放电</w:t>
            </w:r>
          </w:p>
        </w:tc>
        <w:tc>
          <w:tcPr>
            <w:tcW w:w="2211" w:type="dxa"/>
          </w:tcPr>
          <w:p w14:paraId="2C6689D6">
            <w:pPr>
              <w:keepNext w:val="0"/>
              <w:spacing w:before="60" w:after="60"/>
              <w:jc w:val="right"/>
            </w:pPr>
            <w:r>
              <w:rPr>
                <w:rFonts w:ascii="微软雅黑" w:hAnsi="微软雅黑" w:eastAsia="微软雅黑"/>
                <w:sz w:val="19"/>
              </w:rPr>
              <w:t>600</w:t>
            </w:r>
          </w:p>
        </w:tc>
        <w:tc>
          <w:tcPr>
            <w:tcW w:w="3005" w:type="dxa"/>
          </w:tcPr>
          <w:p w14:paraId="25939E08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执行中</w:t>
            </w:r>
          </w:p>
        </w:tc>
      </w:tr>
      <w:tr w14:paraId="5D6B8CFF">
        <w:trPr>
          <w:cantSplit/>
        </w:trPr>
        <w:tc>
          <w:tcPr>
            <w:tcW w:w="2438" w:type="dxa"/>
          </w:tcPr>
          <w:p w14:paraId="155EECBF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19:00–次日00:00</w:t>
            </w:r>
          </w:p>
        </w:tc>
        <w:tc>
          <w:tcPr>
            <w:tcW w:w="1871" w:type="dxa"/>
          </w:tcPr>
          <w:p w14:paraId="706F9837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放电</w:t>
            </w:r>
          </w:p>
        </w:tc>
        <w:tc>
          <w:tcPr>
            <w:tcW w:w="2211" w:type="dxa"/>
          </w:tcPr>
          <w:p w14:paraId="687B052B">
            <w:pPr>
              <w:keepNext w:val="0"/>
              <w:spacing w:before="60" w:after="60"/>
              <w:jc w:val="right"/>
            </w:pPr>
            <w:r>
              <w:rPr>
                <w:rFonts w:ascii="微软雅黑" w:hAnsi="微软雅黑" w:eastAsia="微软雅黑"/>
                <w:sz w:val="19"/>
              </w:rPr>
              <w:t>540</w:t>
            </w:r>
          </w:p>
        </w:tc>
        <w:tc>
          <w:tcPr>
            <w:tcW w:w="3005" w:type="dxa"/>
          </w:tcPr>
          <w:p w14:paraId="6C68C94B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已下发 · 待生效</w:t>
            </w:r>
          </w:p>
        </w:tc>
      </w:tr>
    </w:tbl>
    <w:p w14:paraId="30AED22A">
      <w:pPr>
        <w:pStyle w:val="16"/>
      </w:pPr>
      <w:r>
        <w:rPr>
          <w:b/>
        </w:rPr>
        <w:t>怎么操作</w:t>
      </w:r>
      <w:r>
        <w:t>：选择电站2和该日期，查看安排及状态；需要核对计划功率时，对照该日EMS确认记录。</w:t>
      </w:r>
    </w:p>
    <w:p w14:paraId="24D388C6">
      <w:pPr>
        <w:pStyle w:val="16"/>
      </w:pPr>
      <w:r>
        <w:rPr>
          <w:b/>
        </w:rPr>
        <w:t>怎么看结果</w:t>
      </w:r>
      <w:r>
        <w:t>：可以看清每段的动作、功率设定和执行进度。此表仅列已确认记录，不是全天所有时段；未列时段结合当天计划查看。</w:t>
      </w:r>
    </w:p>
    <w:p w14:paraId="07406930">
      <w:pPr>
        <w:pStyle w:val="5"/>
      </w:pPr>
      <w:r>
        <w:t>例2：阅读预计费用对比（真实页面示例）</w:t>
      </w:r>
    </w:p>
    <w:p w14:paraId="294C819B">
      <w:r>
        <w:t>2026年10月13日电站2页面显示：原计划预计费用</w:t>
      </w:r>
      <w:r>
        <w:rPr>
          <w:b/>
        </w:rPr>
        <w:t>1,513.29元</w:t>
      </w:r>
      <w:r>
        <w:t>，当前计划预计费用</w:t>
      </w:r>
      <w:r>
        <w:rPr>
          <w:b/>
        </w:rPr>
        <w:t>1,405.83元</w:t>
      </w:r>
      <w:r>
        <w:t>，预计减少</w:t>
      </w:r>
      <w:r>
        <w:rPr>
          <w:b/>
        </w:rPr>
        <w:t>107.46元</w:t>
      </w:r>
      <w:r>
        <w:t>。</w:t>
      </w:r>
    </w:p>
    <w:p w14:paraId="3C550627">
      <w:pPr>
        <w:pStyle w:val="16"/>
      </w:pPr>
      <w:r>
        <w:rPr>
          <w:b/>
        </w:rPr>
        <w:t>怎么操作</w:t>
      </w:r>
      <w:r>
        <w:t>：确认电站与日期，查看“日计划费用对比”，再结合当天安排理解优化方案。</w:t>
      </w:r>
    </w:p>
    <w:p w14:paraId="23ED081D">
      <w:pPr>
        <w:pStyle w:val="16"/>
      </w:pPr>
      <w:r>
        <w:rPr>
          <w:b/>
        </w:rPr>
        <w:t>怎么看结果</w:t>
      </w:r>
      <w:r>
        <w:t>：这些金额表示方案预计费用对比，不表示107.46元已经到账；实际节费另以计量和账单核对。</w:t>
      </w:r>
    </w:p>
    <w:p w14:paraId="51639F3B">
      <w:pPr>
        <w:pStyle w:val="5"/>
      </w:pPr>
      <w:r>
        <w:t>例3：计划已确认后临时改变生产安排（操作示意）</w:t>
      </w:r>
    </w:p>
    <w:p w14:paraId="64131AE6">
      <w:pPr>
        <w:pStyle w:val="16"/>
      </w:pPr>
      <w:r>
        <w:rPr>
          <w:b/>
        </w:rPr>
        <w:t>应用情况</w:t>
      </w:r>
      <w:r>
        <w:t>：假设当日M4计划已经确认，随后新增临时加班，排班负责人已按M3说明录入。</w:t>
      </w:r>
    </w:p>
    <w:p w14:paraId="5C7A3809">
      <w:pPr>
        <w:pStyle w:val="16"/>
      </w:pPr>
      <w:r>
        <w:rPr>
          <w:b/>
        </w:rPr>
        <w:t>操作</w:t>
      </w:r>
      <w:r>
        <w:t>：在M4查看当前有效安排，向运维说明电站、日期与变更时段；由运维评估是否需要更新预测及替换未来安排。</w:t>
      </w:r>
    </w:p>
    <w:p w14:paraId="68A630DF">
      <w:pPr>
        <w:pStyle w:val="16"/>
      </w:pPr>
      <w:r>
        <w:rPr>
          <w:b/>
        </w:rPr>
        <w:t>注意</w:t>
      </w:r>
      <w:r>
        <w:t>：录入加班不会立即替换已确认M4计划，不连续重算，不补发过去时段。</w:t>
      </w:r>
    </w:p>
    <w:p w14:paraId="12FC9205">
      <w:pPr>
        <w:pStyle w:val="5"/>
      </w:pPr>
      <w:r>
        <w:t>例4：页面显示“下发待确认”（操作示意）</w:t>
      </w:r>
    </w:p>
    <w:p w14:paraId="24EA45C5">
      <w:pPr>
        <w:pStyle w:val="16"/>
      </w:pPr>
      <w:r>
        <w:rPr>
          <w:b/>
        </w:rPr>
        <w:t>应用情况</w:t>
      </w:r>
      <w:r>
        <w:t>：假设页面提示计划写入或回读尚未确认。</w:t>
      </w:r>
    </w:p>
    <w:p w14:paraId="0A678739">
      <w:pPr>
        <w:pStyle w:val="16"/>
      </w:pPr>
      <w:r>
        <w:rPr>
          <w:b/>
        </w:rPr>
        <w:t>操作</w:t>
      </w:r>
      <w:r>
        <w:t>：记录电站、日期、提示和发生时间并截图，联系运维处理；等待核对结果，不立即重复提交。</w:t>
      </w:r>
    </w:p>
    <w:p w14:paraId="4D365F00">
      <w:pPr>
        <w:pStyle w:val="16"/>
      </w:pPr>
      <w:r>
        <w:rPr>
          <w:b/>
        </w:rPr>
        <w:t>注意</w:t>
      </w:r>
      <w:r>
        <w:t>：待确认或仅标为日计划的行不当作已执行记录；只有凌晨保底确认时，也不能判断全天计划已确认。</w:t>
      </w:r>
    </w:p>
    <w:p w14:paraId="46E71CCB">
      <w:pPr>
        <w:pStyle w:val="5"/>
      </w:pPr>
      <w:r>
        <w:t>例5：降低电网取电高峰（需量削峰示意）</w:t>
      </w:r>
    </w:p>
    <w:p w14:paraId="6D8A18C4">
      <w:pPr>
        <w:pStyle w:val="16"/>
      </w:pPr>
      <w:r>
        <w:rPr>
          <w:b/>
        </w:rPr>
        <w:t>应用情况</w:t>
      </w:r>
      <w:r>
        <w:t>：假设已确认需量目标为500kW，某时段未削峰的预计电网取电为620kW，储能具备120kW的可用放电能力，电量与安全条件均满足。</w:t>
      </w:r>
    </w:p>
    <w:p w14:paraId="5E84C15B">
      <w:pPr>
        <w:pStyle w:val="16"/>
      </w:pPr>
      <w:r>
        <w:rPr>
          <w:b/>
        </w:rPr>
        <w:t>调度示意</w:t>
      </w:r>
      <w:r>
        <w:t>：安排储能放电120kW供应部分负荷，该示例的预计电网取电降低至500kW。M4制定安排，EMS负责按计划执行及实时保护；这与电价是否处于峰段是不同的判断。</w:t>
      </w:r>
    </w:p>
    <w:p w14:paraId="5A0950E2">
      <w:pPr>
        <w:pStyle w:val="16"/>
      </w:pPr>
      <w:r>
        <w:rPr>
          <w:b/>
        </w:rPr>
        <w:t>怎么操作</w:t>
      </w:r>
      <w:r>
        <w:t>：查看该时段的安排、计划功率和计划购电，再请运维提供同时间段的实际购电曲线及EMS执行记录进行核对。</w:t>
      </w:r>
    </w:p>
    <w:p w14:paraId="56D9C8F9">
      <w:pPr>
        <w:pStyle w:val="16"/>
      </w:pPr>
      <w:r>
        <w:rPr>
          <w:b/>
        </w:rPr>
        <w:t>注意</w:t>
      </w:r>
      <w:r>
        <w:t>：数字仅用于理解削峰场景，不是本项目实际削峰验收成绩；实际配置、安排和效果以本站确认记录为准，不将削峰幅度直接当作已实现的月度节费。</w:t>
      </w:r>
      <w:bookmarkStart w:id="4" w:name="_Toc1863975133"/>
    </w:p>
    <w:p w14:paraId="7EC7C70C">
      <w:pPr>
        <w:pStyle w:val="3"/>
        <w:bidi w:val="0"/>
      </w:pPr>
      <w:r>
        <w:t>05  常见问题与联系运维</w:t>
      </w:r>
      <w:bookmarkEnd w:id="4"/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257"/>
      </w:tblGrid>
      <w:tr w14:paraId="25DCB7AE">
        <w:trPr>
          <w:cantSplit/>
          <w:tblHeader/>
        </w:trPr>
        <w:tc>
          <w:tcPr>
            <w:tcW w:w="2268" w:type="dxa"/>
            <w:shd w:val="clear" w:color="auto" w:fill="EAF1F6"/>
          </w:tcPr>
          <w:p w14:paraId="7068D36B">
            <w:pPr>
              <w:keepNext/>
              <w:spacing w:before="60" w:after="60"/>
            </w:pPr>
            <w:r>
              <w:rPr>
                <w:rFonts w:ascii="微软雅黑" w:hAnsi="微软雅黑" w:eastAsia="微软雅黑"/>
                <w:b/>
                <w:color w:val="23465A"/>
                <w:sz w:val="19"/>
              </w:rPr>
              <w:t>情况</w:t>
            </w:r>
          </w:p>
        </w:tc>
        <w:tc>
          <w:tcPr>
            <w:tcW w:w="7257" w:type="dxa"/>
            <w:shd w:val="clear" w:color="auto" w:fill="EAF1F6"/>
          </w:tcPr>
          <w:p w14:paraId="4ADF4838">
            <w:pPr>
              <w:keepNext/>
              <w:spacing w:before="60" w:after="60"/>
            </w:pPr>
            <w:r>
              <w:rPr>
                <w:rFonts w:ascii="微软雅黑" w:hAnsi="微软雅黑" w:eastAsia="微软雅黑"/>
                <w:b/>
                <w:color w:val="23465A"/>
                <w:sz w:val="19"/>
              </w:rPr>
              <w:t>处理方式</w:t>
            </w:r>
          </w:p>
        </w:tc>
      </w:tr>
      <w:tr w14:paraId="1C27AEDC">
        <w:trPr>
          <w:cantSplit/>
        </w:trPr>
        <w:tc>
          <w:tcPr>
            <w:tcW w:w="2268" w:type="dxa"/>
          </w:tcPr>
          <w:p w14:paraId="05555B50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登录失效或没有菜单权限</w:t>
            </w:r>
          </w:p>
        </w:tc>
        <w:tc>
          <w:tcPr>
            <w:tcW w:w="7257" w:type="dxa"/>
          </w:tcPr>
          <w:p w14:paraId="59422F75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从平台重新进入，必要时联系管理员。</w:t>
            </w:r>
          </w:p>
        </w:tc>
      </w:tr>
      <w:tr w14:paraId="0F1C4FBE">
        <w:trPr>
          <w:cantSplit/>
        </w:trPr>
        <w:tc>
          <w:tcPr>
            <w:tcW w:w="2268" w:type="dxa"/>
          </w:tcPr>
          <w:p w14:paraId="0ADF1BE6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已过去时段长期缺少实际数据</w:t>
            </w:r>
          </w:p>
        </w:tc>
        <w:tc>
          <w:tcPr>
            <w:tcW w:w="7257" w:type="dxa"/>
          </w:tcPr>
          <w:p w14:paraId="6E6D9E34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核对电站、日期并记录提示，联系运维。</w:t>
            </w:r>
          </w:p>
        </w:tc>
      </w:tr>
      <w:tr w14:paraId="585145EF">
        <w:trPr>
          <w:cantSplit/>
        </w:trPr>
        <w:tc>
          <w:tcPr>
            <w:tcW w:w="2268" w:type="dxa"/>
          </w:tcPr>
          <w:p w14:paraId="45B74E76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沿用EMS原计划</w:t>
            </w:r>
          </w:p>
        </w:tc>
        <w:tc>
          <w:tcPr>
            <w:tcW w:w="7257" w:type="dxa"/>
          </w:tcPr>
          <w:p w14:paraId="0B793D7A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是正常决策，不等于系统故障。</w:t>
            </w:r>
          </w:p>
        </w:tc>
      </w:tr>
      <w:tr w14:paraId="75DF0E3D">
        <w:trPr>
          <w:cantSplit/>
        </w:trPr>
        <w:tc>
          <w:tcPr>
            <w:tcW w:w="2268" w:type="dxa"/>
          </w:tcPr>
          <w:p w14:paraId="19AA5733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无预测、无计划、任务失败</w:t>
            </w:r>
          </w:p>
        </w:tc>
        <w:tc>
          <w:tcPr>
            <w:tcW w:w="7257" w:type="dxa"/>
          </w:tcPr>
          <w:p w14:paraId="1719B256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核对电站与区间；持续异常时联系运维，不反复提交。</w:t>
            </w:r>
          </w:p>
        </w:tc>
      </w:tr>
      <w:tr w14:paraId="369C6907">
        <w:trPr>
          <w:cantSplit/>
        </w:trPr>
        <w:tc>
          <w:tcPr>
            <w:tcW w:w="2268" w:type="dxa"/>
          </w:tcPr>
          <w:p w14:paraId="0E2D46A8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SOC较低、储能待机</w:t>
            </w:r>
          </w:p>
        </w:tc>
        <w:tc>
          <w:tcPr>
            <w:tcW w:w="7257" w:type="dxa"/>
          </w:tcPr>
          <w:p w14:paraId="552B5CEC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结合当天安排说明查看，不自行放宽参数。</w:t>
            </w:r>
          </w:p>
        </w:tc>
      </w:tr>
      <w:tr w14:paraId="36A43AF5">
        <w:trPr>
          <w:cantSplit/>
        </w:trPr>
        <w:tc>
          <w:tcPr>
            <w:tcW w:w="2268" w:type="dxa"/>
          </w:tcPr>
          <w:p w14:paraId="4BBABDE6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写入失败、阻断、待确认</w:t>
            </w:r>
          </w:p>
        </w:tc>
        <w:tc>
          <w:tcPr>
            <w:tcW w:w="7257" w:type="dxa"/>
          </w:tcPr>
          <w:p w14:paraId="3310903C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截图记录并联系运维，不重复下发。</w:t>
            </w:r>
          </w:p>
        </w:tc>
      </w:tr>
      <w:tr w14:paraId="7609FB21">
        <w:trPr>
          <w:cantSplit/>
        </w:trPr>
        <w:tc>
          <w:tcPr>
            <w:tcW w:w="2268" w:type="dxa"/>
          </w:tcPr>
          <w:p w14:paraId="03F58B9F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预计节省与实际费用不同</w:t>
            </w:r>
          </w:p>
        </w:tc>
        <w:tc>
          <w:tcPr>
            <w:tcW w:w="7257" w:type="dxa"/>
          </w:tcPr>
          <w:p w14:paraId="3A4E4CE0">
            <w:pPr>
              <w:keepNext w:val="0"/>
              <w:spacing w:before="60" w:after="60"/>
            </w:pPr>
            <w:r>
              <w:rPr>
                <w:rFonts w:ascii="微软雅黑" w:hAnsi="微软雅黑" w:eastAsia="微软雅黑"/>
                <w:sz w:val="19"/>
              </w:rPr>
              <w:t>预计值用于方案比较，实际效果另以计量及账单核对。</w:t>
            </w:r>
          </w:p>
        </w:tc>
      </w:tr>
    </w:tbl>
    <w:p w14:paraId="5FF77140">
      <w:r>
        <w:t>反馈时提供：电站、北京时间、所在页面、预测区间或计划日期、完整提示、相关截图，以及是否刚修改排班或进行手动操作。页面计划与EMS侧明显不一致时及时反馈；安全告警按现场规程处理。不要在截图或反馈中提供密码、登录令牌等敏感信息。</w:t>
      </w:r>
    </w:p>
    <w:sectPr>
      <w:headerReference r:id="rId5" w:type="default"/>
      <w:footerReference r:id="rId6" w:type="default"/>
      <w:pgSz w:w="11906" w:h="16838"/>
      <w:pgMar w:top="1020" w:right="1134" w:bottom="1020" w:left="1134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altName w:val="Times New Roman"/>
    <w:panose1 w:val="00000000000000000000"/>
    <w:charset w:val="00"/>
    <w:family w:val="auto"/>
    <w:pitch w:val="default"/>
    <w:sig w:usb0="00000000" w:usb1="00000000" w:usb2="00000000" w:usb3="00000000" w:csb0="2000019F" w:csb1="4F01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libaba PuHuiTi 2.0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ibaba PuHuiTi 2.0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7019E">
    <w:pPr>
      <w:pStyle w:val="24"/>
      <w:jc w:val="right"/>
    </w:pPr>
    <w:r>
      <w:rPr>
        <w:rFonts w:ascii="微软雅黑" w:hAnsi="微软雅黑"/>
        <w:color w:val="697F90"/>
        <w:sz w:val="16"/>
      </w:rPr>
      <w:t xml:space="preserve">VIFA 客户使用说明  |  第 </w:t>
    </w:r>
    <w:r>
      <w:rPr>
        <w:rFonts w:ascii="微软雅黑" w:hAnsi="微软雅黑"/>
        <w:color w:val="697F90"/>
        <w:sz w:val="16"/>
      </w:rPr>
      <w:fldChar w:fldCharType="begin"/>
    </w:r>
    <w:r>
      <w:rPr>
        <w:rFonts w:ascii="微软雅黑" w:hAnsi="微软雅黑"/>
        <w:color w:val="697F90"/>
        <w:sz w:val="16"/>
      </w:rPr>
      <w:instrText xml:space="preserve"> PAGE </w:instrText>
    </w:r>
    <w:r>
      <w:rPr>
        <w:rFonts w:ascii="微软雅黑" w:hAnsi="微软雅黑"/>
        <w:color w:val="697F90"/>
        <w:sz w:val="16"/>
      </w:rPr>
      <w:fldChar w:fldCharType="separate"/>
    </w:r>
    <w:r>
      <w:rPr>
        <w:rFonts w:ascii="微软雅黑" w:hAnsi="微软雅黑"/>
        <w:color w:val="697F90"/>
        <w:sz w:val="16"/>
      </w:rPr>
      <w:t>1</w:t>
    </w:r>
    <w:r>
      <w:rPr>
        <w:rFonts w:ascii="微软雅黑" w:hAnsi="微软雅黑"/>
        <w:color w:val="697F90"/>
        <w:sz w:val="16"/>
      </w:rPr>
      <w:fldChar w:fldCharType="end"/>
    </w:r>
    <w:r>
      <w:rPr>
        <w:rFonts w:ascii="微软雅黑" w:hAnsi="微软雅黑"/>
        <w:color w:val="697F90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2C4C3">
    <w:pPr>
      <w:pStyle w:val="25"/>
      <w:jc w:val="left"/>
    </w:pPr>
    <w:r>
      <w:rPr>
        <w:rFonts w:ascii="微软雅黑" w:hAnsi="微软雅黑"/>
        <w:color w:val="697F90"/>
        <w:sz w:val="16"/>
      </w:rPr>
      <w:t>VIFA  ·  M3 / M4 客户使用说明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E6D818"/>
    <w:rsid w:val="53FE4B1B"/>
    <w:rsid w:val="73B5C0A8"/>
    <w:rsid w:val="77F5A9C6"/>
    <w:rsid w:val="BE1E5E0D"/>
    <w:rsid w:val="D8B50B54"/>
    <w:rsid w:val="EF558533"/>
    <w:rsid w:val="F1E5C210"/>
    <w:rsid w:val="F58FC5E3"/>
    <w:rsid w:val="F5EF990B"/>
    <w:rsid w:val="FFFBA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276" w:lineRule="auto"/>
    </w:pPr>
    <w:rPr>
      <w:rFonts w:ascii="微软雅黑" w:hAnsi="微软雅黑" w:eastAsia="微软雅黑" w:cstheme="minorBidi"/>
      <w:color w:val="24344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widowControl/>
      <w:spacing w:before="100" w:after="200" w:line="276" w:lineRule="auto"/>
      <w:outlineLvl w:val="0"/>
    </w:pPr>
    <w:rPr>
      <w:rFonts w:asciiTheme="majorHAnsi" w:hAnsiTheme="majorHAnsi" w:eastAsiaTheme="majorEastAsia" w:cstheme="majorBidi"/>
      <w:b/>
      <w:bCs/>
      <w:color w:val="163B56"/>
      <w:sz w:val="34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widowControl/>
      <w:spacing w:before="180" w:after="100" w:line="276" w:lineRule="auto"/>
      <w:outlineLvl w:val="1"/>
    </w:pPr>
    <w:rPr>
      <w:rFonts w:asciiTheme="majorHAnsi" w:hAnsiTheme="majorHAnsi" w:eastAsiaTheme="majorEastAsia" w:cstheme="majorBidi"/>
      <w:b/>
      <w:bCs/>
      <w:color w:val="234A66"/>
      <w:sz w:val="24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widowControl/>
      <w:numPr>
        <w:ilvl w:val="0"/>
        <w:numId w:val="3"/>
      </w:numPr>
      <w:spacing w:after="100" w:line="276" w:lineRule="auto"/>
      <w:contextualSpacing/>
    </w:pPr>
    <w:rPr>
      <w:rFonts w:ascii="微软雅黑" w:hAnsi="微软雅黑" w:eastAsia="微软雅黑"/>
    </w:r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widowControl/>
      <w:pBdr>
        <w:bottom w:val="single" w:color="4F81BD" w:themeColor="accent1" w:sz="8" w:space="4"/>
      </w:pBdr>
      <w:spacing w:before="160" w:after="200" w:line="276" w:lineRule="auto"/>
      <w:contextualSpacing/>
    </w:pPr>
    <w:rPr>
      <w:rFonts w:asciiTheme="majorHAnsi" w:hAnsiTheme="majorHAnsi" w:eastAsiaTheme="majorEastAsia" w:cstheme="majorBidi"/>
      <w:b/>
      <w:color w:val="163B56"/>
      <w:spacing w:val="5"/>
      <w:kern w:val="28"/>
      <w:sz w:val="54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GuideLead"/>
    <w:uiPriority w:val="0"/>
    <w:pPr>
      <w:widowControl/>
      <w:spacing w:after="100" w:line="276" w:lineRule="auto"/>
    </w:pPr>
    <w:rPr>
      <w:rFonts w:ascii="微软雅黑" w:hAnsi="微软雅黑" w:eastAsia="微软雅黑" w:cstheme="minorBidi"/>
      <w:color w:val="43566A"/>
      <w:sz w:val="22"/>
      <w:szCs w:val="22"/>
      <w:lang w:val="en-US" w:eastAsia="en-US" w:bidi="ar-SA"/>
    </w:rPr>
  </w:style>
  <w:style w:type="paragraph" w:customStyle="1" w:styleId="166">
    <w:name w:val="GuideNote"/>
    <w:uiPriority w:val="0"/>
    <w:pPr>
      <w:widowControl/>
      <w:spacing w:after="100" w:line="276" w:lineRule="auto"/>
    </w:pPr>
    <w:rPr>
      <w:rFonts w:ascii="微软雅黑" w:hAnsi="微软雅黑" w:eastAsia="微软雅黑" w:cstheme="minorBidi"/>
      <w:color w:val="5E6C7A"/>
      <w:sz w:val="18"/>
      <w:szCs w:val="22"/>
      <w:lang w:val="en-US" w:eastAsia="en-US" w:bidi="ar-SA"/>
    </w:rPr>
  </w:style>
  <w:style w:type="paragraph" w:customStyle="1" w:styleId="167">
    <w:name w:val="GuideCaption"/>
    <w:uiPriority w:val="0"/>
    <w:pPr>
      <w:widowControl/>
      <w:spacing w:before="60" w:after="140" w:line="276" w:lineRule="auto"/>
    </w:pPr>
    <w:rPr>
      <w:rFonts w:ascii="微软雅黑" w:hAnsi="微软雅黑" w:eastAsia="微软雅黑" w:cstheme="minorBidi"/>
      <w:color w:val="43566A"/>
      <w:sz w:val="18"/>
      <w:szCs w:val="22"/>
      <w:lang w:val="en-US" w:eastAsia="en-US" w:bidi="ar-SA"/>
    </w:rPr>
  </w:style>
  <w:style w:type="paragraph" w:customStyle="1" w:styleId="168">
    <w:name w:val="GuideAlert"/>
    <w:uiPriority w:val="0"/>
    <w:pPr>
      <w:keepLines/>
      <w:widowControl/>
      <w:spacing w:before="140" w:after="140" w:line="276" w:lineRule="auto"/>
    </w:pPr>
    <w:rPr>
      <w:rFonts w:ascii="微软雅黑" w:hAnsi="微软雅黑" w:eastAsia="微软雅黑" w:cstheme="minorBidi"/>
      <w:b/>
      <w:color w:val="234A66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4931</Words>
  <Characters>5247</Characters>
  <Lines>0</Lines>
  <Paragraphs>0</Paragraphs>
  <TotalTime>8</TotalTime>
  <ScaleCrop>false</ScaleCrop>
  <LinksUpToDate>false</LinksUpToDate>
  <CharactersWithSpaces>5331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2026-10-14T16:00:00Z</dcterms:created>
  <dc:creator>VIFA</dc:creator>
  <cp:keywords>M3, M4, 客户使用说明, 能耗预测, 优化调度</cp:keywords>
  <cp:lastModifiedBy>贺国华</cp:lastModifiedBy>
  <dcterms:modified xsi:type="dcterms:W3CDTF">2026-10-14T10:16:18Z</dcterms:modified>
  <dc:subject>分模块客户使用说明；M4峰谷调度、需量削峰、计划功率及执行状态</dc:subject>
  <dc:title>VIFA M3 / M4 客户使用说明（分模块版）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E0B7DF8532D62F7025D9CD6ACD8D1D15_42</vt:lpwstr>
  </property>
</Properties>
</file>