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9"/>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-----pass</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eastAsia="zh-CN"/>
        </w:rPr>
      </w:pPr>
      <w:bookmarkStart w:id="18"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18"/>
    </w:p>
    <w:p>
      <w:pPr>
        <w:rPr>
          <w:rFonts w:hint="eastAsia"/>
          <w:lang w:val="en-US" w:eastAsia="zh-CN"/>
        </w:rPr>
      </w:pPr>
    </w:p>
    <w:p>
      <w:pPr>
        <w:pStyle w:val="3"/>
        <w:bidi w:val="0"/>
        <w:rPr>
          <w:rFonts w:hint="eastAsia"/>
          <w:lang w:val="en-US" w:eastAsia="zh-CN"/>
        </w:rPr>
      </w:pPr>
      <w:r>
        <w:rPr>
          <w:rFonts w:hint="eastAsia"/>
          <w:lang w:val="en-US" w:eastAsia="zh-CN"/>
        </w:rPr>
        <w:t>3.4   基于LeNet的改进</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asciiTheme="minorEastAsia" w:hAnsiTheme="minorEastAsia" w:eastAsiaTheme="minorEastAsia" w:cstheme="minorEastAsia"/>
          <w:sz w:val="24"/>
          <w:szCs w:val="24"/>
          <w:lang w:val="en-US" w:eastAsia="zh-CN"/>
        </w:rPr>
      </w:pPr>
      <w:bookmarkStart w:id="19"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19"/>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20"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20"/>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21"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21"/>
    </w:p>
    <w:p>
      <w:pPr>
        <w:rPr>
          <w:rFonts w:hint="default"/>
          <w:lang w:val="en-US" w:eastAsia="zh-CN"/>
        </w:rPr>
      </w:pPr>
    </w:p>
    <w:p>
      <w:pPr>
        <w:ind w:firstLine="420" w:firstLineChars="0"/>
        <w:rPr>
          <w:rFonts w:hint="eastAsia" w:asciiTheme="minorEastAsia" w:hAnsiTheme="minorEastAsia" w:cstheme="minorEastAsia"/>
          <w:color w:val="FF0000"/>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FF0000"/>
          <w:sz w:val="24"/>
          <w:szCs w:val="24"/>
          <w:lang w:val="en-US" w:eastAsia="zh-CN"/>
        </w:rPr>
        <w:t>10轮训练后，准确率是92.75%，loss是17.77%，相比5轮训练提升了一些精度。以此可以说明relu相较于Sigmoid更适用于作为图像卷积的激活函数。</w:t>
      </w:r>
    </w:p>
    <w:p>
      <w:pPr>
        <w:ind w:firstLine="420" w:firstLineChars="0"/>
        <w:rPr>
          <w:rFonts w:hint="default"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准确度能达到94.75%，loss降低到14.93%，</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准确度降低了一些92.75%，loss升到到15.37%。</w:t>
      </w:r>
    </w:p>
    <w:tbl>
      <w:tblPr>
        <w:tblStyle w:val="11"/>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bookmarkStart w:id="22" w:name="_GoBack"/>
            <w:bookmarkEnd w:id="22"/>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p>
        </w:tc>
      </w:tr>
    </w:tbl>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ind w:firstLine="420" w:firstLineChars="0"/>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drawing>
          <wp:inline distT="0" distB="0" distL="114300" distR="114300">
            <wp:extent cx="5267325" cy="2748915"/>
            <wp:effectExtent l="0" t="0" r="9525" b="13335"/>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52"/>
                    <a:stretch>
                      <a:fillRect/>
                    </a:stretch>
                  </pic:blipFill>
                  <pic:spPr>
                    <a:xfrm>
                      <a:off x="0" y="0"/>
                      <a:ext cx="5267325" cy="27489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3.5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hAnsi="Cambria Math" w:cstheme="minorEastAsia"/>
          <w:i w:val="0"/>
          <w:kern w:val="2"/>
          <w:sz w:val="24"/>
          <w:szCs w:val="24"/>
          <w:lang w:val="en-US" w:eastAsia="zh-CN" w:bidi="ar-SA"/>
        </w:rPr>
        <w:tab/>
      </w:r>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4   总结</w:t>
      </w:r>
    </w:p>
    <w:p>
      <w:pPr>
        <w:pStyle w:val="2"/>
        <w:bidi w:val="0"/>
        <w:rPr>
          <w:rFonts w:hint="eastAsia"/>
          <w:lang w:val="en-US" w:eastAsia="zh-CN"/>
        </w:rPr>
      </w:pPr>
      <w:r>
        <w:rPr>
          <w:rFonts w:hint="eastAsia"/>
          <w:lang w:val="en-US" w:eastAsia="zh-CN"/>
        </w:rPr>
        <w:t>5   总结与展望</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5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8"/>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3"/>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2B15048"/>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C1791C"/>
    <w:rsid w:val="4568797F"/>
    <w:rsid w:val="46183FD1"/>
    <w:rsid w:val="46367186"/>
    <w:rsid w:val="46D85C1D"/>
    <w:rsid w:val="48392AAA"/>
    <w:rsid w:val="4A1567DC"/>
    <w:rsid w:val="4B4657A8"/>
    <w:rsid w:val="4BDD3D32"/>
    <w:rsid w:val="4D716E0C"/>
    <w:rsid w:val="4E54422C"/>
    <w:rsid w:val="51465270"/>
    <w:rsid w:val="55B67537"/>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Emphasis"/>
    <w:basedOn w:val="12"/>
    <w:qFormat/>
    <w:uiPriority w:val="0"/>
    <w:rPr>
      <w:i/>
    </w:rPr>
  </w:style>
  <w:style w:type="paragraph" w:styleId="14">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3</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2021-03-24T04:20:01Z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FED45237C0A84625A4465B18E4A83B51</vt:lpwstr>
  </property>
</Properties>
</file>