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深度学习；Paddle；CNN；LeNet；AlexNet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numPr>
          <w:ilvl w:val="0"/>
          <w:numId w:val="1"/>
        </w:numPr>
        <w:bidi w:val="0"/>
        <w:ind w:left="425" w:leftChars="0" w:hanging="425" w:firstLine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第五章：展望。指出当前深度学习领域的空白点，给出未来深度学习算法研究的重点方向。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eastAsia"/>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lang w:val="en-US"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w:t>
      </w:r>
      <w:r>
        <w:rPr>
          <w:rFonts w:hint="eastAsia" w:asciiTheme="minorEastAsia" w:hAnsiTheme="minorEastAsia" w:eastAsiaTheme="minorEastAsia" w:cstheme="minorEastAsia"/>
          <w:i w:val="0"/>
          <w:caps w:val="0"/>
          <w:color w:val="000000"/>
          <w:spacing w:val="0"/>
          <w:sz w:val="24"/>
          <w:szCs w:val="24"/>
          <w:shd w:val="clear" w:fill="FFFFFF"/>
        </w:rPr>
        <w:t>山世光,阚美娜,刘昕,刘梦怡,邬书哲.深度学习:多层神经网络的复兴与变革[J].科技导报,2016,34(14):60-70.</w:t>
      </w:r>
      <w:bookmarkStart w:id="40" w:name="_GoBack"/>
      <w:bookmarkEnd w:id="40"/>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5375923"/>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23</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2021-04-01T08:40:36Z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8B93F611C30C428780FEDB6DCA98BB36</vt:lpwstr>
  </property>
</Properties>
</file>