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sz w:val="32"/>
          <w:szCs w:val="32"/>
        </w:rPr>
      </w:pPr>
    </w:p>
    <w:p>
      <w:pPr>
        <w:spacing w:line="360" w:lineRule="auto"/>
        <w:rPr>
          <w:rFonts w:ascii="宋体" w:hAnsi="宋体"/>
          <w:szCs w:val="21"/>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5234"/>
      </w:tblGrid>
      <w:tr>
        <w:tc>
          <w:tcPr>
            <w:tcW w:w="2841" w:type="dxa"/>
          </w:tcPr>
          <w:p>
            <w:pPr>
              <w:spacing w:line="360" w:lineRule="auto"/>
              <w:jc w:val="center"/>
              <w:rPr>
                <w:rFonts w:hint="eastAsia" w:asciiTheme="minorEastAsia" w:hAnsiTheme="minorEastAsia" w:eastAsiaTheme="minorEastAsia"/>
                <w:color w:val="0000FF"/>
                <w:szCs w:val="21"/>
                <w:lang w:val="en-US" w:eastAsia="zh-CN"/>
              </w:rPr>
            </w:pPr>
            <w:r>
              <w:rPr>
                <w:rFonts w:hint="eastAsia" w:asciiTheme="minorEastAsia" w:hAnsiTheme="minorEastAsia" w:eastAsiaTheme="minorEastAsia"/>
                <w:color w:val="0000FF"/>
                <w:szCs w:val="21"/>
              </w:rPr>
              <w:t>YEAR</w:t>
            </w:r>
            <w:r>
              <w:rPr>
                <w:rFonts w:hint="eastAsia" w:asciiTheme="minorEastAsia" w:hAnsiTheme="minorEastAsia" w:eastAsiaTheme="minorEastAsia"/>
                <w:color w:val="0000FF"/>
                <w:szCs w:val="21"/>
                <w:lang w:val="en-US" w:eastAsia="zh-CN"/>
              </w:rPr>
              <w:t>1</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=SF_VFUN("D0000100001",$END_DATE)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MONTH_BEGIN</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=SF_VFUN("D0000100002",$END_DATE)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MONTH_END</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=SF_VFUN("D0000100003",$END_DATE)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MONTH_BEGIN_WITHOUT_ZERO</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=SF_VFUN("D0000100004",$END_DATE)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MONTH_END_WITHOUT_ZERO</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=SF_VFUN("D0000100005",$END_DATE)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DAY_BEGIN</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=SF_VFUN("D0000100006",$END_DATE)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DAY_END</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=SF_VFUN("D0000100007",$END_DATE)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DAY_BEGIN_WITHOUT_ZERO</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=SF_VFUN("D0000100008",$END_DATE)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DAY_END_WITHOUT_ZERO</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=SF_VFUN("D0000100009",$END_DATE)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FREQUENCY_NAME</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=SF_VFUN("D0000100010",$END_DATE)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CASH_MGMT_CLS_FLAG</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=SF_VFUN("D0000100101",$END_DATE,$PROD_CODE)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IS_HALF_OR_WHOLE_YEAR</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=SF_VFUN("D0000100102",$END_DATE)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20_PERCENT_INVESTOR_EXIST</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=SF_VFUN("D0000100103",$END_DATE,$PROD_CODE)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OTHER_RLTV_EXIST</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=SF_VFUN("D0000100104",$END_DATE,$PROD_CODE)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OTHER_PART_TEXT_EXIST</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=SF_VFUN("D0000100105",$END_DATE,$PROD_CODE)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CNY_FLAG</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=SF_VFUN("D0000101013",$END_DATE,$PROD_CODE)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DERIVATIVES_EXIST</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=SF_VFUN("D0000103002",$END_DATE,$PROD_CODE)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HOLDING_TEXT_EXIST</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=SF_VFUN("D0000103004",$END_DATE,$PROD_CODE)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NON-STANDARD_ASSETS_EXIST</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=SF_VFUN("D0000107001",$END_DATE,$PROD_CODE)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EQUITY_CLASS_FLAG</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=SF_VFUN("D0000107002",$END_DATE,$PROD_CODE)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D0000101001</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=SF_VFUN("D0000101001",$END_DATE,$PROD_CODE)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D0000101002</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=SF_VFUN("D0000101002",$END_DATE,$PROD_CODE)</w:t>
            </w:r>
          </w:p>
        </w:tc>
      </w:tr>
      <w:t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D0000101003</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=SF_VFUN("D0000101003",$END_DATE,$PROD_CODE)</w:t>
            </w:r>
          </w:p>
        </w:tc>
      </w:tr>
      <w:tr>
        <w:trPr>
          <w:trHeight w:val="158"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D0000101004</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=SF_VFUN("D0000101004",$END_DATE,$PROD_CODE)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D0000101005</w:t>
            </w:r>
          </w:p>
        </w:tc>
        <w:tc>
          <w:tcPr>
            <w:tcW w:w="5681" w:type="dxa"/>
            <w:vAlign w:val="center"/>
          </w:tcPr>
          <w:p>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=SF_VFUN("D0000101005",$END_DATE,$PROD_CODE)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D0000101006</w:t>
            </w:r>
          </w:p>
        </w:tc>
        <w:tc>
          <w:tcPr>
            <w:tcW w:w="5681" w:type="dxa"/>
            <w:vAlign w:val="center"/>
          </w:tcPr>
          <w:p>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=SF_VFUN("D0000101006",$END_DATE,$PROD_CODE)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D0000101007</w:t>
            </w:r>
          </w:p>
        </w:tc>
        <w:tc>
          <w:tcPr>
            <w:tcW w:w="5681" w:type="dxa"/>
            <w:vAlign w:val="center"/>
          </w:tcPr>
          <w:p>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=SF_VFUN("D0000101007",$END_DATE,$PROD_CODE)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D0000101008</w:t>
            </w:r>
          </w:p>
        </w:tc>
        <w:tc>
          <w:tcPr>
            <w:tcW w:w="5681" w:type="dxa"/>
            <w:vAlign w:val="center"/>
          </w:tcPr>
          <w:p>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=SF_VFUN("D0000101008",$END_DATE,$PROD_CODE)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D0000101009</w:t>
            </w:r>
          </w:p>
        </w:tc>
        <w:tc>
          <w:tcPr>
            <w:tcW w:w="5681" w:type="dxa"/>
            <w:vAlign w:val="center"/>
          </w:tcPr>
          <w:p>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=SF_VFUN("D0000101009",$END_DATE,$PROD_CODE)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D0000101010</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=SF_VFUN("D0000101010",$END_DATE,$PROD_CODE)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D0000101011</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=SF_VFUN("D0000101011",$END_DATE,$PROD_CODE)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D0000101012</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=SF_VFUN("D0000101012",$END_DATE,$PROD_CODE)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D0000102006</w:t>
            </w:r>
          </w:p>
        </w:tc>
        <w:tc>
          <w:tcPr>
            <w:tcW w:w="5681" w:type="dxa"/>
            <w:vAlign w:val="center"/>
          </w:tcPr>
          <w:p>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=SF_VFUN("D0000102006",$END_DATE,$PROD_CODE)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D0000105001</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=SF_VFUN("D0000105001",$END_DATE,$PROD_CODE)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D0000105002</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=SF_VFUN("D0000105002",$END_DATE,$PROD_CODE)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D0000105003</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=SF_VFUN("D0000105003",$END_DATE,$PROD_CODE)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D0000106001</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=SF_VFUN("D0000106001",$END_DATE,$PROD_CODE)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D00001存续规模和收益表现</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=SF_MDFUN("D00001存续规模和收益表现","PROD_CODE,理财产品总份额,理财产品份额净值,理财产品份额累计净值,理财产品资产净值,较上一报告期份额净值增长率",$END_DATE,$PROD_CODE)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D00001理财产品持仓情况_现金及银行存款</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D00001理财产品持仓情况_同业存单</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=SF_MDFUN("D00001理财产品持仓情况","穿透前金额,穿透前所占比例,穿透后金额,穿透后所占比例",$END_DATE,$PROD_CODE,"1.2")</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D00001理财产品持仓情况_拆放同业及买入返售</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=SF_MDFUN("D00001理财产品持仓情况","穿透前金额,穿透前所占比例,穿透后金额,穿透后所占比例",$END_DATE,$PROD_CODE,"1.3")</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D00001理财产品持仓情况_债券</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=SF_MDFUN("D00001理财产品持仓情况","穿透前金额,穿透前所占比例,穿透后金额,穿透后所占比例",$END_DATE,$PROD_CODE,"1.4")</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D00001理财产品持仓情况_非标准化债权类资产</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=SF_MDFUN("D00001理财产品持仓情况","穿透前金额,穿透前所占比例,穿透后金额,穿透后所占比例",$END_DATE,$PROD_CODE,"1.5")</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D00001理财产品持仓情况_权益类投资</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=SF_MDFUN("D00001理财产品持仓情况","穿透前金额,穿透前所占比例,穿透后金额,穿透后所占比例",$END_DATE,$PROD_CODE,"1.6")</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D00001理财产品持仓情况_境外投资资产</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=SF_MDFUN("D00001理财产品持仓情况","穿透前金额,穿透前所占比例,穿透后金额,穿透后所占比例",$END_DATE,$PROD_CODE,"1.8")</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D00001理财产品持仓情况_商品类资产</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=SF_MDFUN("D00001理财产品持仓情况","穿透前金额,穿透前所占比例,穿透后金额,穿透后所占比例",$END_DATE,$PROD_CODE,"1.9")</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D00001理财产品持仓情况_另类资产</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=SF_MDFUN("D00001理财产品持仓情况","穿透前金额,穿透前所占比例,穿透后金额,穿透后所占比例",$END_DATE,$PROD_CODE,"1.10")</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D00001理财产品持仓情况_公募基金</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=SF_MDFUN("D00001理财产品持仓情况","穿透前金额,穿透前所占比例,穿透后金额,穿透后所占比例",$END_DATE,$PROD_CODE,"1.11")</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D00001理财产品持仓情况_私募基金</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=SF_MDFUN("D00001理财产品持仓情况","穿透前金额,穿透前所占比例,穿透后金额,穿透后所占比例",$END_DATE,$PROD_CODE,"1.12")</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D00001理财产品持仓情况_资产管理产品</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=SF_MDFUN("D00001理财产品持仓情况","穿透前金额,穿透前所占比例,穿透后金额,穿透后所占比例",$END_DATE,$PROD_CODE,"1.13")</w:t>
            </w:r>
          </w:p>
        </w:tc>
      </w:tr>
      <w:tr>
        <w:trPr>
          <w:trHeight w:val="90" w:hRule="atLeast"/>
        </w:trPr>
        <w:tc>
          <w:tcPr>
            <w:tcW w:w="2841" w:type="dxa"/>
          </w:tcPr>
          <w:p>
            <w:pPr>
              <w:spacing w:line="360" w:lineRule="auto"/>
              <w:jc w:val="center"/>
              <w:rPr>
                <w:rFonts w:hint="default" w:asciiTheme="minorEastAsia" w:hAnsiTheme="minorEastAsia" w:eastAsiaTheme="minorEastAsia"/>
                <w:color w:val="0000FF"/>
                <w:szCs w:val="21"/>
                <w:lang w:val="en-US" w:eastAsia="zh-CN"/>
              </w:rPr>
            </w:pPr>
            <w:r>
              <w:rPr>
                <w:rFonts w:hint="eastAsia" w:asciiTheme="minorEastAsia" w:hAnsiTheme="minorEastAsia" w:eastAsiaTheme="minorEastAsia"/>
                <w:color w:val="0000FF"/>
                <w:szCs w:val="21"/>
              </w:rPr>
              <w:t>D00001理财产品持仓情况_</w:t>
            </w:r>
            <w:r>
              <w:rPr>
                <w:rFonts w:hint="eastAsia" w:asciiTheme="minorEastAsia" w:hAnsiTheme="minorEastAsia" w:eastAsiaTheme="minorEastAsia"/>
                <w:color w:val="0000FF"/>
                <w:szCs w:val="21"/>
                <w:lang w:val="en-US" w:eastAsia="zh-CN"/>
              </w:rPr>
              <w:t>其他资产</w:t>
            </w:r>
          </w:p>
        </w:tc>
        <w:tc>
          <w:tcPr>
            <w:tcW w:w="5681" w:type="dxa"/>
            <w:vAlign w:val="center"/>
          </w:tcPr>
          <w:p>
            <w:pPr>
              <w:spacing w:line="360" w:lineRule="auto"/>
              <w:rPr>
                <w:rFonts w:hint="eastAsia"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w:t>
            </w:r>
            <w:r>
              <w:rPr>
                <w:rFonts w:hint="eastAsia" w:asciiTheme="minorEastAsia" w:hAnsiTheme="minorEastAsia" w:eastAsiaTheme="minorEastAsia"/>
                <w:color w:val="0000FF"/>
                <w:szCs w:val="21"/>
                <w:lang w:val="en-US" w:eastAsia="zh-CN"/>
              </w:rPr>
              <w:t>5</w:t>
            </w:r>
            <w:r>
              <w:rPr>
                <w:rFonts w:hint="eastAsia" w:asciiTheme="minorEastAsia" w:hAnsiTheme="minorEastAsia" w:eastAsiaTheme="minorEastAsia"/>
                <w:color w:val="0000FF"/>
                <w:szCs w:val="21"/>
              </w:rPr>
              <w:t>")</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D00001理财产品持仓情况合计</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=SF_MDFUN("D00001理财产品持仓情况合计","穿透前金额,穿透前所占比例,穿透后金额,穿透后所占比例",$END_DATE,$PROD_CODE)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D0000103001</w:t>
            </w:r>
          </w:p>
        </w:tc>
        <w:tc>
          <w:tcPr>
            <w:tcW w:w="5681" w:type="dxa"/>
            <w:vAlign w:val="center"/>
          </w:tcPr>
          <w:p>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=SF_VFUN("D0000103001",$END_DATE,$PROD_CODE)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D00001产品持仓前十项资产</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=SF_MDFUN("D00001产品持仓前十项资产","资产名称,持仓,持仓比例",$END_DATE,$PROD_CODE)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D00001报告期末产品前十名投资者情况</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=SF_MDFUN("D00001报告期末产品前十名投资者情况","投资者类别,持有份额,占总份额比例",$END_DATE,$PROD_CODE)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D00001报告期内产品持有份额不低于20%的投资者情况</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=SF_MDFUN("D00001报告期内产品持有份额不低于20%的投资者情况","投资者类别,持有份额,占总份额比例,报告期内持有份额变化情况,产品风险情况",$END_DATE,$PROD_CODE)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D00001非标资产投资情况</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=SF_MDFUN("D00001非标资产投资情况","融资客户,项目名称,剩余融资期限,到期收益预计,投资模式,风险状况",$END_DATE,$PROD_CODE)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D0000108001</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=SF_VFUN("D0000108001",$END_DATE,$PROD_CODE)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D0000108002</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=SF_VFUN("D0000108002",$END_DATE,$PROD_CODE)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D00001关联交易情况_关联方发行的证券</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=SF_MDFUN("D00001关联交易情况_关联方发行的证券_新","关联方名称,证券代码,证券名称,交易数量,结算金额",$END_DATE,$PROD_CODE)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D00001关联交易情况_关联方承销的证券</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=SF_MDFUN("D00001关联交易情况_关联方承销的证券_新","关联方名称,证券代码,证券名称,交易数量,结算金额",$END_DATE,$PROD_CODE)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D00001关联交易情况_资产管理产品关联方</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=SF_MDFUN("D00001关联交易情况_资产管理产品关联方_新","关联方名称,资产管理产品代码,资产管理产品简称,交易数量,结算金额",$END_DATE,$PROD_CODE)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D00001关联交易情况_其他关联交易</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=SF_MDFUN("D00001关联交易情况_其他关联交易","交易类型名称,关联方名称,季报周期内产品总费用",$END_DATE,$PROD_CODE)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D0000109001</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=SF_VFUN("D0000109001",$END_DATE,$PROD_CODE)</w:t>
            </w:r>
          </w:p>
        </w:tc>
      </w:tr>
      <w:tr>
        <w:trPr>
          <w:trHeight w:val="90" w:hRule="atLeast"/>
        </w:trPr>
        <w:tc>
          <w:tcPr>
            <w:tcW w:w="2841" w:type="dxa"/>
          </w:tcPr>
          <w:p>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D0000103003</w:t>
            </w:r>
          </w:p>
        </w:tc>
        <w:tc>
          <w:tcPr>
            <w:tcW w:w="5681" w:type="dxa"/>
            <w:vAlign w:val="center"/>
          </w:tcPr>
          <w:p>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=SF_VFUN("D0000103003",$END_DATE,$PROD_CODE)</w:t>
            </w:r>
          </w:p>
        </w:tc>
      </w:tr>
    </w:tbl>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jc w:val="center"/>
        <w:rPr>
          <w:rFonts w:ascii="宋体" w:hAnsi="宋体"/>
          <w:b/>
          <w:sz w:val="32"/>
          <w:szCs w:val="32"/>
        </w:rPr>
      </w:pPr>
      <w:r>
        <w:rPr>
          <w:rFonts w:ascii="宋体" w:hAnsi="宋体"/>
          <w:b/>
          <w:sz w:val="32"/>
          <w:szCs w:val="32"/>
        </w:rPr>
        <w:t>${D0000101002}</w:t>
      </w:r>
    </w:p>
    <w:p>
      <w:pPr>
        <w:spacing w:line="360" w:lineRule="auto"/>
        <w:jc w:val="center"/>
        <w:rPr>
          <w:rFonts w:hint="eastAsia" w:ascii="宋体" w:hAnsi="宋体" w:eastAsia="宋体"/>
          <w:szCs w:val="21"/>
          <w:lang w:val="en-US" w:eastAsia="zh-CN"/>
        </w:rPr>
      </w:pPr>
      <w:r>
        <w:rPr>
          <w:rFonts w:hint="eastAsia" w:ascii="宋体" w:hAnsi="宋体"/>
          <w:b/>
          <w:sz w:val="32"/>
          <w:szCs w:val="32"/>
        </w:rPr>
        <w:t>${YEAR}年${FREQUENCY_NAME}投资运作情况报告</w:t>
      </w:r>
      <w:r>
        <w:rPr>
          <w:rFonts w:hint="eastAsia" w:ascii="宋体" w:hAnsi="宋体"/>
          <w:b/>
          <w:sz w:val="32"/>
          <w:szCs w:val="32"/>
          <w:lang w:val="en-US" w:eastAsia="zh-CN"/>
        </w:rPr>
        <w:t>1</w:t>
      </w:r>
    </w:p>
    <w:p>
      <w:pPr>
        <w:spacing w:line="360" w:lineRule="auto"/>
        <w:rPr>
          <w:rFonts w:ascii="宋体" w:hAnsi="宋体"/>
          <w:szCs w:val="21"/>
        </w:rPr>
      </w:pPr>
    </w:p>
    <w:p>
      <w:pPr>
        <w:spacing w:line="360" w:lineRule="auto"/>
        <w:rPr>
          <w:rFonts w:ascii="宋体" w:hAnsi="宋体"/>
          <w:szCs w:val="21"/>
        </w:rPr>
      </w:pPr>
      <w:bookmarkStart w:id="0" w:name="_GoBack"/>
      <w:bookmarkEnd w:id="0"/>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ind w:firstLine="1680" w:firstLineChars="800"/>
        <w:rPr>
          <w:rFonts w:ascii="宋体" w:hAnsi="宋体"/>
          <w:szCs w:val="21"/>
        </w:rPr>
      </w:pPr>
      <w:r>
        <w:rPr>
          <w:rFonts w:hint="eastAsia" w:ascii="宋体" w:hAnsi="宋体"/>
          <w:szCs w:val="21"/>
        </w:rPr>
        <w:t>理财产品管理人：${</w:t>
      </w:r>
      <w:r>
        <w:rPr>
          <w:rFonts w:hint="eastAsia" w:asciiTheme="minorEastAsia" w:hAnsiTheme="minorEastAsia" w:eastAsiaTheme="minorEastAsia"/>
          <w:szCs w:val="21"/>
        </w:rPr>
        <w:t>D0000101010</w:t>
      </w:r>
      <w:r>
        <w:rPr>
          <w:rFonts w:hint="eastAsia" w:ascii="宋体" w:hAnsi="宋体"/>
          <w:szCs w:val="21"/>
        </w:rPr>
        <w:t>}</w:t>
      </w:r>
    </w:p>
    <w:p>
      <w:pPr>
        <w:spacing w:line="360" w:lineRule="auto"/>
        <w:ind w:firstLine="1680" w:firstLineChars="800"/>
        <w:rPr>
          <w:rFonts w:ascii="宋体" w:hAnsi="宋体"/>
          <w:szCs w:val="21"/>
        </w:rPr>
      </w:pPr>
      <w:r>
        <w:rPr>
          <w:rFonts w:hint="eastAsia" w:ascii="宋体" w:hAnsi="宋体"/>
          <w:szCs w:val="21"/>
        </w:rPr>
        <w:t>理财产品托管人：${</w:t>
      </w:r>
      <w:r>
        <w:rPr>
          <w:rFonts w:hint="eastAsia" w:asciiTheme="minorEastAsia" w:hAnsiTheme="minorEastAsia" w:eastAsiaTheme="minorEastAsia"/>
          <w:szCs w:val="21"/>
        </w:rPr>
        <w:t>D0000101011</w:t>
      </w:r>
      <w:r>
        <w:rPr>
          <w:rFonts w:hint="eastAsia" w:ascii="宋体" w:hAnsi="宋体"/>
          <w:szCs w:val="21"/>
        </w:rPr>
        <w:t>}</w:t>
      </w:r>
    </w:p>
    <w:p>
      <w:pPr>
        <w:spacing w:line="360" w:lineRule="auto"/>
        <w:ind w:firstLine="1680" w:firstLineChars="800"/>
        <w:rPr>
          <w:rFonts w:ascii="宋体" w:hAnsi="宋体"/>
          <w:szCs w:val="21"/>
        </w:rPr>
      </w:pPr>
      <w:r>
        <w:rPr>
          <w:rFonts w:hint="eastAsia" w:ascii="宋体" w:hAnsi="宋体"/>
          <w:szCs w:val="21"/>
        </w:rPr>
        <w:t>报告期：${YEAR}年${MONTH_BEGIN_WITHOUT_ZERO}月${DAY_BEGIN_WITHOUT_ZERO}日至${YEAR}年${MONTH_END_WITHOUT_ZERO}月${DAY_END_WITHOUT_ZERO}日</w:t>
      </w: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宋体" w:hAnsi="宋体"/>
          <w:szCs w:val="21"/>
        </w:rPr>
      </w:pPr>
    </w:p>
    <w:p>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一、理财产品基本情况</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=IF($CNY_FLAG="CNY")</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8"/>
        <w:gridCol w:w="4151"/>
      </w:tblGrid>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理财产品代码</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${D0000101001}</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理财产品名称</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${D0000101002}</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全国银行业理财信息登记系统登记编码</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${D0000101003}</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产品类型</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${D0000101004}</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募集方式</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${D0000101005}</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产品运作模式</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${D0000101006}</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产品币种</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${D0000101012}</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风险级别</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${D0000101007}</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理财产品成立日</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${D0000101008}</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理财产品到期日</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${D0000101009}</w:t>
            </w:r>
          </w:p>
        </w:tc>
      </w:tr>
    </w:tbl>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=ENDIF($CNY_FLAG="CNY")</w:t>
      </w:r>
    </w:p>
    <w:p>
      <w:pPr>
        <w:spacing w:line="360" w:lineRule="auto"/>
        <w:ind w:firstLine="420"/>
        <w:rPr>
          <w:rFonts w:asciiTheme="minorEastAsia" w:hAnsiTheme="minorEastAsia" w:eastAsiaTheme="minorEastAsia"/>
          <w:b/>
          <w:szCs w:val="21"/>
        </w:rPr>
      </w:pPr>
      <w:r>
        <w:rPr>
          <w:rFonts w:hint="eastAsia" w:asciiTheme="minorEastAsia" w:hAnsiTheme="minorEastAsia" w:eastAsiaTheme="minorEastAsia"/>
          <w:szCs w:val="21"/>
        </w:rPr>
        <w:t>=IF($CNY_FLAG="OTHER")</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8"/>
        <w:gridCol w:w="4151"/>
      </w:tblGrid>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理财产品代码</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${D0000101001}</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理财产品名称</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${D0000101002}</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全国银行业理财信息登记系统登记编码</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${D0000101003}</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产品类型</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${D0000101004}</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募集方式</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${D0000101005}</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产品运作模式</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${D0000101006}</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产品币种</w:t>
            </w:r>
            <w:r>
              <w:rPr>
                <w:rStyle w:val="12"/>
                <w:rFonts w:hint="eastAsia" w:asciiTheme="minorEastAsia" w:hAnsiTheme="minorEastAsia" w:eastAsiaTheme="minorEastAsia"/>
                <w:szCs w:val="21"/>
              </w:rPr>
              <w:footnoteReference w:id="0"/>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${D0000101012}</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风险级别</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${D0000101007}</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理财产品成立日</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${D0000101008}</w:t>
            </w:r>
          </w:p>
        </w:tc>
      </w:tr>
      <w:tr>
        <w:trPr>
          <w:cantSplit/>
        </w:trPr>
        <w:tc>
          <w:tcPr>
            <w:tcW w:w="4028" w:type="dxa"/>
            <w:shd w:val="clear" w:color="auto" w:fill="auto"/>
          </w:tcPr>
          <w:p>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理财产品到期日</w:t>
            </w:r>
          </w:p>
        </w:tc>
        <w:tc>
          <w:tcPr>
            <w:tcW w:w="4151" w:type="dxa"/>
            <w:shd w:val="clear" w:color="auto" w:fill="auto"/>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${D0000101009}</w:t>
            </w:r>
          </w:p>
        </w:tc>
      </w:tr>
    </w:tbl>
    <w:p>
      <w:pPr>
        <w:spacing w:line="360" w:lineRule="auto"/>
        <w:ind w:firstLine="420"/>
        <w:rPr>
          <w:rFonts w:asciiTheme="minorEastAsia" w:hAnsiTheme="minorEastAsia" w:eastAsiaTheme="minorEastAsia"/>
          <w:b/>
          <w:szCs w:val="21"/>
        </w:rPr>
      </w:pPr>
      <w:r>
        <w:rPr>
          <w:rFonts w:hint="eastAsia" w:asciiTheme="minorEastAsia" w:hAnsiTheme="minorEastAsia" w:eastAsiaTheme="minorEastAsia"/>
          <w:szCs w:val="21"/>
        </w:rPr>
        <w:t>=ENDIF($CNY_FLAG="OTHER")</w:t>
      </w:r>
    </w:p>
    <w:p>
      <w:pPr>
        <w:spacing w:line="360" w:lineRule="auto"/>
        <w:rPr>
          <w:rFonts w:asciiTheme="minorEastAsia" w:hAnsiTheme="minorEastAsia" w:eastAsiaTheme="minorEastAsia"/>
          <w:b/>
          <w:szCs w:val="21"/>
        </w:rPr>
      </w:pPr>
    </w:p>
    <w:p>
      <w:pPr>
        <w:spacing w:line="360" w:lineRule="auto"/>
        <w:rPr>
          <w:rFonts w:asciiTheme="minorEastAsia" w:hAnsiTheme="minorEastAsia" w:eastAsiaTheme="minorEastAsia"/>
          <w:b/>
          <w:szCs w:val="21"/>
        </w:rPr>
      </w:pPr>
    </w:p>
    <w:p>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二、</w:t>
      </w:r>
      <w:r>
        <w:rPr>
          <w:rFonts w:hint="eastAsia" w:ascii="等线" w:hAnsi="等线"/>
          <w:b/>
          <w:szCs w:val="21"/>
        </w:rPr>
        <w:t>存续规模、收益表现及杠杆水平</w:t>
      </w:r>
    </w:p>
    <w:p>
      <w:pPr>
        <w:pStyle w:val="14"/>
        <w:numPr>
          <w:ilvl w:val="0"/>
          <w:numId w:val="1"/>
        </w:numPr>
        <w:spacing w:line="360" w:lineRule="auto"/>
        <w:ind w:hanging="63" w:firstLineChars="0"/>
        <w:rPr>
          <w:rFonts w:asciiTheme="minorEastAsia" w:hAnsiTheme="minorEastAsia" w:eastAsiaTheme="minorEastAsia"/>
          <w:szCs w:val="21"/>
        </w:rPr>
      </w:pPr>
      <w:r>
        <w:rPr>
          <w:rFonts w:hint="eastAsia" w:asciiTheme="minorEastAsia" w:hAnsiTheme="minorEastAsia" w:eastAsiaTheme="minorEastAsia"/>
          <w:szCs w:val="21"/>
        </w:rPr>
        <w:t>截至报告期末，理财产品存续规模及收益表现如下：</w:t>
      </w:r>
    </w:p>
    <w:tbl>
      <w:tblPr>
        <w:tblStyle w:val="8"/>
        <w:tblW w:w="116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1"/>
        <w:gridCol w:w="2051"/>
        <w:gridCol w:w="1385"/>
        <w:gridCol w:w="1506"/>
        <w:gridCol w:w="2029"/>
        <w:gridCol w:w="1535"/>
      </w:tblGrid>
      <w:tr>
        <w:trPr>
          <w:cantSplit/>
          <w:trHeight w:val="1900" w:hRule="atLeast"/>
          <w:jc w:val="center"/>
        </w:trPr>
        <w:tc>
          <w:tcPr>
            <w:tcW w:w="3151" w:type="dxa"/>
            <w:vAlign w:val="center"/>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份额代码</w:t>
            </w:r>
          </w:p>
        </w:tc>
        <w:tc>
          <w:tcPr>
            <w:tcW w:w="2051" w:type="dxa"/>
            <w:vAlign w:val="center"/>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总份额</w:t>
            </w:r>
          </w:p>
        </w:tc>
        <w:tc>
          <w:tcPr>
            <w:tcW w:w="1385" w:type="dxa"/>
            <w:vAlign w:val="center"/>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份额净值</w:t>
            </w:r>
          </w:p>
        </w:tc>
        <w:tc>
          <w:tcPr>
            <w:tcW w:w="1506" w:type="dxa"/>
            <w:vAlign w:val="center"/>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份额累计净值</w:t>
            </w:r>
          </w:p>
        </w:tc>
        <w:tc>
          <w:tcPr>
            <w:tcW w:w="2029" w:type="dxa"/>
            <w:vAlign w:val="center"/>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资产净值</w:t>
            </w:r>
          </w:p>
        </w:tc>
        <w:tc>
          <w:tcPr>
            <w:tcW w:w="1535" w:type="dxa"/>
            <w:vAlign w:val="center"/>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较上一报告期</w:t>
            </w:r>
          </w:p>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份额净值</w:t>
            </w:r>
          </w:p>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增长率</w:t>
            </w:r>
          </w:p>
        </w:tc>
      </w:tr>
      <w:tr>
        <w:trPr>
          <w:cantSplit/>
          <w:trHeight w:val="505" w:hRule="atLeast"/>
          <w:jc w:val="center"/>
        </w:trPr>
        <w:tc>
          <w:tcPr>
            <w:tcW w:w="3151" w:type="dxa"/>
            <w:vAlign w:val="center"/>
          </w:tcPr>
          <w:p>
            <w:pPr>
              <w:jc w:val="center"/>
            </w:pPr>
            <w:r>
              <w:rPr>
                <w:rFonts w:hint="eastAsia" w:asciiTheme="minorEastAsia" w:hAnsiTheme="minorEastAsia" w:eastAsiaTheme="minorEastAsia"/>
                <w:szCs w:val="21"/>
              </w:rPr>
              <w:t>${D00001存续规模和收益表现}</w:t>
            </w:r>
          </w:p>
        </w:tc>
        <w:tc>
          <w:tcPr>
            <w:tcW w:w="2051" w:type="dxa"/>
            <w:vAlign w:val="center"/>
          </w:tcPr>
          <w:p>
            <w:pPr>
              <w:jc w:val="center"/>
            </w:pPr>
          </w:p>
        </w:tc>
        <w:tc>
          <w:tcPr>
            <w:tcW w:w="1385" w:type="dxa"/>
            <w:vAlign w:val="center"/>
          </w:tcPr>
          <w:p>
            <w:pPr>
              <w:jc w:val="center"/>
            </w:pPr>
          </w:p>
        </w:tc>
        <w:tc>
          <w:tcPr>
            <w:tcW w:w="1506" w:type="dxa"/>
            <w:vAlign w:val="center"/>
          </w:tcPr>
          <w:p>
            <w:pPr>
              <w:jc w:val="center"/>
            </w:pPr>
          </w:p>
        </w:tc>
        <w:tc>
          <w:tcPr>
            <w:tcW w:w="2029" w:type="dxa"/>
            <w:vAlign w:val="center"/>
          </w:tcPr>
          <w:p>
            <w:pPr>
              <w:jc w:val="center"/>
            </w:pPr>
          </w:p>
        </w:tc>
        <w:tc>
          <w:tcPr>
            <w:tcW w:w="1535" w:type="dxa"/>
            <w:vAlign w:val="center"/>
          </w:tcPr>
          <w:p>
            <w:pPr>
              <w:jc w:val="center"/>
            </w:pPr>
          </w:p>
        </w:tc>
      </w:tr>
    </w:tbl>
    <w:p>
      <w:pPr>
        <w:pStyle w:val="14"/>
        <w:spacing w:line="360" w:lineRule="auto"/>
        <w:ind w:firstLine="0" w:firstLineChars="0"/>
        <w:rPr>
          <w:rFonts w:asciiTheme="minorEastAsia" w:hAnsiTheme="minorEastAsia" w:eastAsiaTheme="minorEastAsia"/>
          <w:szCs w:val="21"/>
        </w:rPr>
      </w:pPr>
    </w:p>
    <w:p>
      <w:pPr>
        <w:pStyle w:val="14"/>
        <w:numPr>
          <w:ilvl w:val="0"/>
          <w:numId w:val="1"/>
        </w:numPr>
        <w:spacing w:line="360" w:lineRule="auto"/>
        <w:ind w:hanging="63" w:firstLineChars="0"/>
        <w:rPr>
          <w:rFonts w:asciiTheme="minorEastAsia" w:hAnsiTheme="minorEastAsia" w:eastAsiaTheme="minorEastAsia"/>
          <w:szCs w:val="21"/>
        </w:rPr>
      </w:pPr>
      <w:r>
        <w:rPr>
          <w:rFonts w:hint="eastAsia" w:asciiTheme="minorEastAsia" w:hAnsiTheme="minorEastAsia" w:eastAsiaTheme="minorEastAsia"/>
          <w:szCs w:val="21"/>
        </w:rPr>
        <w:t>截至报告期末，理财产品杠杆水平：${D0000102006}</w:t>
      </w:r>
    </w:p>
    <w:p>
      <w:pPr>
        <w:spacing w:line="360" w:lineRule="auto"/>
        <w:rPr>
          <w:rFonts w:asciiTheme="minorEastAsia" w:hAnsiTheme="minorEastAsia" w:eastAsiaTheme="minorEastAsia"/>
          <w:b/>
          <w:szCs w:val="21"/>
        </w:rPr>
      </w:pPr>
    </w:p>
    <w:p>
      <w:pPr>
        <w:spacing w:line="360" w:lineRule="auto"/>
        <w:rPr>
          <w:rFonts w:asciiTheme="minorEastAsia" w:hAnsiTheme="minorEastAsia" w:eastAsiaTheme="minorEastAsia"/>
          <w:b/>
          <w:szCs w:val="21"/>
        </w:rPr>
      </w:pPr>
    </w:p>
    <w:p>
      <w:pPr>
        <w:spacing w:line="360" w:lineRule="auto"/>
        <w:rPr>
          <w:rFonts w:asciiTheme="minorEastAsia" w:hAnsiTheme="minorEastAsia" w:eastAsiaTheme="minorEastAsia"/>
          <w:b/>
          <w:color w:val="FF0000"/>
          <w:szCs w:val="21"/>
        </w:rPr>
      </w:pPr>
      <w:r>
        <w:rPr>
          <w:rFonts w:hint="eastAsia" w:asciiTheme="minorEastAsia" w:hAnsiTheme="minorEastAsia" w:eastAsiaTheme="minorEastAsia"/>
          <w:b/>
          <w:szCs w:val="21"/>
        </w:rPr>
        <w:t>三、理财产品持仓情况</w:t>
      </w:r>
    </w:p>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=IF($CNY_FLAG="CNY")</w:t>
      </w:r>
    </w:p>
    <w:tbl>
      <w:tblPr>
        <w:tblStyle w:val="8"/>
        <w:tblW w:w="83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1417"/>
        <w:gridCol w:w="1843"/>
        <w:gridCol w:w="1418"/>
        <w:gridCol w:w="1842"/>
      </w:tblGrid>
      <w:tr>
        <w:trPr>
          <w:cantSplit/>
          <w:trHeight w:val="285" w:hRule="atLeast"/>
          <w:jc w:val="center"/>
        </w:trPr>
        <w:tc>
          <w:tcPr>
            <w:tcW w:w="1794"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资产类别</w:t>
            </w:r>
          </w:p>
        </w:tc>
        <w:tc>
          <w:tcPr>
            <w:tcW w:w="1417"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穿透前金额</w:t>
            </w:r>
          </w:p>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（万元）</w:t>
            </w:r>
          </w:p>
        </w:tc>
        <w:tc>
          <w:tcPr>
            <w:tcW w:w="1843"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占全部产品总资产的比例</w:t>
            </w:r>
          </w:p>
        </w:tc>
        <w:tc>
          <w:tcPr>
            <w:tcW w:w="1418"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穿透后金额</w:t>
            </w:r>
          </w:p>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（万元）</w:t>
            </w:r>
          </w:p>
        </w:tc>
        <w:tc>
          <w:tcPr>
            <w:tcW w:w="1842"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占全部产品总资产的比例</w:t>
            </w: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现金及银行存款</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${D00001理财产品持仓情况_现金及银行存款}</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同业存单</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${D00001理财产品持仓情况_同业存单}</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拆放同业及买入返售</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${D00001理财产品持仓情况_拆放同业及买入返售}</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债券</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${D00001理财产品持仓情况_债券}</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非标准化债权类资产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${D00001理财产品持仓情况_非标准化债权类资产}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权益类投资</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${D00001理财产品持仓情况_权益类投资}</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90"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境外投资资产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${D00001理财产品持仓情况_境外投资资产}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90"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商品类资产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${D00001理财产品持仓情况_商品类资产}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另类资产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${D00001理财产品持仓情况_另类资产}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公募基金</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${D00001理财产品持仓情况_公募基金}</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私募基金</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${D00001理财产品持仓情况_私募基金}</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资产管理产品</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${D00001理财产品持仓情况_资产管理产品}</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其他资产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${D00001理财产品持仓情况_</w:t>
            </w:r>
            <w:r>
              <w:rPr>
                <w:rFonts w:hint="eastAsia" w:asciiTheme="minorEastAsia" w:hAnsiTheme="minorEastAsia" w:eastAsiaTheme="minorEastAsia"/>
                <w:szCs w:val="21"/>
                <w:lang w:val="en-US" w:eastAsia="zh-CN"/>
              </w:rPr>
              <w:t>其他资产</w:t>
            </w:r>
            <w:r>
              <w:rPr>
                <w:rFonts w:hint="eastAsia" w:asciiTheme="minorEastAsia" w:hAnsiTheme="minorEastAsia" w:eastAsiaTheme="minorEastAsia"/>
                <w:szCs w:val="21"/>
              </w:rPr>
              <w:t>}</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合计</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${D00001理财产品持仓情况合计}</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bl>
    <w:p>
      <w:pPr>
        <w:spacing w:line="360" w:lineRule="auto"/>
        <w:ind w:firstLine="420"/>
        <w:rPr>
          <w:rFonts w:asciiTheme="minorEastAsia" w:hAnsiTheme="minorEastAsia" w:eastAsiaTheme="minorEastAsia"/>
          <w:b/>
          <w:color w:val="000000"/>
          <w:szCs w:val="21"/>
        </w:rPr>
      </w:pPr>
      <w:r>
        <w:rPr>
          <w:rFonts w:hint="eastAsia" w:asciiTheme="minorEastAsia" w:hAnsiTheme="minorEastAsia" w:eastAsiaTheme="minorEastAsia"/>
          <w:szCs w:val="21"/>
        </w:rPr>
        <w:t>=IF($DERIVATIVES_EXIST="1")</w:t>
      </w:r>
    </w:p>
    <w:p>
      <w:pPr>
        <w:spacing w:line="360" w:lineRule="auto"/>
        <w:rPr>
          <w:rFonts w:asciiTheme="minorEastAsia" w:hAnsiTheme="minorEastAsia" w:eastAsiaTheme="minorEastAsia"/>
          <w:b/>
          <w:color w:val="000000"/>
          <w:szCs w:val="21"/>
        </w:rPr>
      </w:pPr>
      <w:r>
        <w:rPr>
          <w:rFonts w:hint="eastAsia" w:asciiTheme="minorEastAsia" w:hAnsiTheme="minorEastAsia" w:eastAsiaTheme="minorEastAsia"/>
          <w:b/>
          <w:color w:val="000000"/>
          <w:szCs w:val="21"/>
        </w:rPr>
        <w:t>注：报告期末本理财产品持仓金融衍生品${D0000103001}万元。</w:t>
      </w:r>
    </w:p>
    <w:p>
      <w:pPr>
        <w:spacing w:line="360" w:lineRule="auto"/>
        <w:ind w:left="420"/>
        <w:rPr>
          <w:rFonts w:asciiTheme="minorEastAsia" w:hAnsiTheme="minorEastAsia" w:eastAsiaTheme="minorEastAsia"/>
          <w:szCs w:val="21"/>
        </w:rPr>
      </w:pPr>
      <w:r>
        <w:rPr>
          <w:rFonts w:hint="eastAsia" w:asciiTheme="minorEastAsia" w:hAnsiTheme="minorEastAsia" w:eastAsiaTheme="minorEastAsia"/>
          <w:szCs w:val="21"/>
        </w:rPr>
        <w:t>=ENDIF($DERIVATIVES_EXIST="1")</w:t>
      </w:r>
    </w:p>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=ENDIF($CNY_FLAG="CNY")</w:t>
      </w:r>
    </w:p>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=IF($CNY_FLAG="OTHER")</w:t>
      </w:r>
    </w:p>
    <w:tbl>
      <w:tblPr>
        <w:tblStyle w:val="8"/>
        <w:tblW w:w="83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1417"/>
        <w:gridCol w:w="1843"/>
        <w:gridCol w:w="1418"/>
        <w:gridCol w:w="1842"/>
      </w:tblGrid>
      <w:tr>
        <w:trPr>
          <w:cantSplit/>
          <w:trHeight w:val="285" w:hRule="atLeast"/>
          <w:jc w:val="center"/>
        </w:trPr>
        <w:tc>
          <w:tcPr>
            <w:tcW w:w="1794"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资产类别</w:t>
            </w:r>
          </w:p>
        </w:tc>
        <w:tc>
          <w:tcPr>
            <w:tcW w:w="1417"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穿透前金额</w:t>
            </w:r>
          </w:p>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（折人民币万元）</w:t>
            </w:r>
          </w:p>
        </w:tc>
        <w:tc>
          <w:tcPr>
            <w:tcW w:w="1843"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占全部产品总资产的比例</w:t>
            </w:r>
          </w:p>
        </w:tc>
        <w:tc>
          <w:tcPr>
            <w:tcW w:w="1418"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穿透后金额</w:t>
            </w:r>
          </w:p>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（折人民币万元）</w:t>
            </w:r>
          </w:p>
        </w:tc>
        <w:tc>
          <w:tcPr>
            <w:tcW w:w="1842" w:type="dxa"/>
            <w:vAlign w:val="center"/>
          </w:tcPr>
          <w:p>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占全部产品总资产的比例</w:t>
            </w: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现金及银行存款</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${D00001理财产品持仓情况_现金及银行存款}</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同业存单</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${D00001理财产品持仓情况_同业存单}</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拆放同业及买入返售</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${D00001理财产品持仓情况_拆放同业及买入返售}</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债券</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${D00001理财产品持仓情况_债券}</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非标准化债权类资产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${D00001理财产品持仓情况_非标准化债权类资产}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权益类投资</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${D00001理财产品持仓情况_权益类投资}</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90"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境外投资资产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${D00001理财产品持仓情况_境外投资资产}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90" w:hRule="atLeast"/>
          <w:jc w:val="center"/>
        </w:trPr>
        <w:tc>
          <w:tcPr>
            <w:tcW w:w="1794" w:type="dxa"/>
          </w:tcPr>
          <w:p>
            <w:pPr>
              <w:pStyle w:val="14"/>
              <w:spacing w:line="360" w:lineRule="auto"/>
              <w:ind w:firstLine="0" w:firstLineChars="0"/>
              <w:jc w:val="cente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商品类资产</w:t>
            </w:r>
            <w:r>
              <w:rPr>
                <w:rFonts w:hint="eastAsia" w:asciiTheme="minorEastAsia" w:hAnsiTheme="minorEastAsia" w:eastAsiaTheme="minorEastAsia"/>
                <w:szCs w:val="21"/>
                <w:lang w:val="en-US" w:eastAsia="zh-CN"/>
              </w:rPr>
              <w:t>1</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${D00001理财产品持仓情况_商品类资产}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另类资产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${D00001理财产品持仓情况_另类资产}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公募基金</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${D00001理财产品持仓情况_公募基金}</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私募基金</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${D00001理财产品持仓情况_私募基金}</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资产管理产品</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${D00001理财产品持仓情况_资产管理产品}</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其他资产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${D00001理财产品持仓情况_</w:t>
            </w:r>
            <w:r>
              <w:rPr>
                <w:rFonts w:hint="eastAsia" w:asciiTheme="minorEastAsia" w:hAnsiTheme="minorEastAsia" w:eastAsiaTheme="minorEastAsia"/>
                <w:szCs w:val="21"/>
                <w:lang w:val="en-US" w:eastAsia="zh-CN"/>
              </w:rPr>
              <w:t>其他资产</w:t>
            </w:r>
            <w:r>
              <w:rPr>
                <w:rFonts w:hint="eastAsia" w:asciiTheme="minorEastAsia" w:hAnsiTheme="minorEastAsia" w:eastAsiaTheme="minorEastAsia"/>
                <w:szCs w:val="21"/>
              </w:rPr>
              <w:t>}</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r>
        <w:trPr>
          <w:cantSplit/>
          <w:trHeight w:val="285" w:hRule="atLeast"/>
          <w:jc w:val="center"/>
        </w:trPr>
        <w:tc>
          <w:tcPr>
            <w:tcW w:w="1794" w:type="dxa"/>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合计</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${D00001理财产品持仓情况合计}</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pPr>
              <w:pStyle w:val="14"/>
              <w:spacing w:line="360" w:lineRule="auto"/>
              <w:ind w:firstLine="0" w:firstLineChars="0"/>
              <w:jc w:val="center"/>
              <w:rPr>
                <w:rFonts w:asciiTheme="minorEastAsia" w:hAnsiTheme="minorEastAsia" w:eastAsiaTheme="minorEastAsia"/>
                <w:szCs w:val="21"/>
              </w:rPr>
            </w:pPr>
          </w:p>
        </w:tc>
      </w:tr>
    </w:tbl>
    <w:p>
      <w:pPr>
        <w:spacing w:line="360" w:lineRule="auto"/>
        <w:ind w:firstLine="420"/>
        <w:rPr>
          <w:rFonts w:asciiTheme="minorEastAsia" w:hAnsiTheme="minorEastAsia" w:eastAsiaTheme="minorEastAsia"/>
          <w:b/>
          <w:color w:val="000000"/>
          <w:szCs w:val="21"/>
        </w:rPr>
      </w:pPr>
      <w:r>
        <w:rPr>
          <w:rFonts w:hint="eastAsia" w:asciiTheme="minorEastAsia" w:hAnsiTheme="minorEastAsia" w:eastAsiaTheme="minorEastAsia"/>
          <w:szCs w:val="21"/>
        </w:rPr>
        <w:t>=IF($DERIVATIVES_EXIST="1")</w:t>
      </w:r>
    </w:p>
    <w:p>
      <w:pPr>
        <w:spacing w:line="360" w:lineRule="auto"/>
        <w:rPr>
          <w:rFonts w:asciiTheme="minorEastAsia" w:hAnsiTheme="minorEastAsia" w:eastAsiaTheme="minorEastAsia"/>
          <w:b/>
          <w:color w:val="000000"/>
          <w:szCs w:val="21"/>
        </w:rPr>
      </w:pPr>
      <w:r>
        <w:rPr>
          <w:rFonts w:hint="eastAsia" w:asciiTheme="minorEastAsia" w:hAnsiTheme="minorEastAsia" w:eastAsiaTheme="minorEastAsia"/>
          <w:b/>
          <w:color w:val="000000"/>
          <w:szCs w:val="21"/>
        </w:rPr>
        <w:t>注：报告期末本理财产品持仓金融衍生品折人民币${D0000103001}万元。</w:t>
      </w:r>
    </w:p>
    <w:p>
      <w:pPr>
        <w:spacing w:line="360" w:lineRule="auto"/>
        <w:ind w:left="420"/>
        <w:rPr>
          <w:rFonts w:asciiTheme="minorEastAsia" w:hAnsiTheme="minorEastAsia" w:eastAsiaTheme="minorEastAsia"/>
          <w:szCs w:val="21"/>
        </w:rPr>
      </w:pPr>
      <w:r>
        <w:rPr>
          <w:rFonts w:hint="eastAsia" w:asciiTheme="minorEastAsia" w:hAnsiTheme="minorEastAsia" w:eastAsiaTheme="minorEastAsia"/>
          <w:szCs w:val="21"/>
        </w:rPr>
        <w:t>=ENDIF($DERIVATIVES_EXIST="1")</w:t>
      </w:r>
    </w:p>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=ENDIF($CNY_FLAG="OTHER")</w:t>
      </w:r>
    </w:p>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=IF($HOLDING_TEXT_EXIST="1")</w:t>
      </w:r>
    </w:p>
    <w:p>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bCs/>
          <w:szCs w:val="21"/>
        </w:rPr>
        <w:t>${D0000103003}</w:t>
      </w:r>
    </w:p>
    <w:p>
      <w:pPr>
        <w:spacing w:line="360" w:lineRule="auto"/>
        <w:rPr>
          <w:rFonts w:asciiTheme="minorEastAsia" w:hAnsiTheme="minorEastAsia" w:eastAsiaTheme="minorEastAsia"/>
          <w:bCs/>
          <w:szCs w:val="21"/>
        </w:rPr>
      </w:pPr>
      <w:r>
        <w:rPr>
          <w:rFonts w:hint="eastAsia" w:asciiTheme="minorEastAsia" w:hAnsiTheme="minorEastAsia" w:eastAsiaTheme="minorEastAsia"/>
          <w:szCs w:val="21"/>
        </w:rPr>
        <w:t>=ENDIF($HOLDING_TEXT_EXIST="1")</w:t>
      </w:r>
    </w:p>
    <w:p>
      <w:pPr>
        <w:spacing w:line="360" w:lineRule="auto"/>
        <w:rPr>
          <w:rFonts w:asciiTheme="minorEastAsia" w:hAnsiTheme="minorEastAsia" w:eastAsiaTheme="minorEastAsia"/>
          <w:b/>
          <w:szCs w:val="21"/>
        </w:rPr>
      </w:pPr>
    </w:p>
    <w:p>
      <w:pPr>
        <w:spacing w:line="360" w:lineRule="auto"/>
        <w:rPr>
          <w:rFonts w:asciiTheme="minorEastAsia" w:hAnsiTheme="minorEastAsia" w:eastAsiaTheme="minorEastAsia"/>
          <w:b/>
          <w:szCs w:val="21"/>
        </w:rPr>
      </w:pPr>
    </w:p>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b/>
          <w:szCs w:val="21"/>
        </w:rPr>
        <w:t>四、产品持仓前十项资产</w:t>
      </w:r>
    </w:p>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=IF($CNY_FLAG="CNY")</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3527"/>
        <w:gridCol w:w="2126"/>
        <w:gridCol w:w="1368"/>
      </w:tblGrid>
      <w:tr>
        <w:trPr>
          <w:cantSplit/>
          <w:trHeight w:val="20" w:hRule="atLeast"/>
        </w:trPr>
        <w:tc>
          <w:tcPr>
            <w:tcW w:w="1290" w:type="dxa"/>
            <w:shd w:val="clear" w:color="000000" w:fill="FFFFFF"/>
          </w:tcPr>
          <w:p>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序号</w:t>
            </w:r>
          </w:p>
        </w:tc>
        <w:tc>
          <w:tcPr>
            <w:tcW w:w="3527" w:type="dxa"/>
            <w:shd w:val="clear" w:color="000000" w:fill="FFFFFF"/>
            <w:noWrap/>
          </w:tcPr>
          <w:p>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资产名称</w:t>
            </w:r>
          </w:p>
        </w:tc>
        <w:tc>
          <w:tcPr>
            <w:tcW w:w="2126" w:type="dxa"/>
            <w:shd w:val="clear" w:color="000000" w:fill="FFFFFF"/>
            <w:noWrap/>
          </w:tcPr>
          <w:p>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持仓（万元）</w:t>
            </w:r>
          </w:p>
        </w:tc>
        <w:tc>
          <w:tcPr>
            <w:tcW w:w="1368" w:type="dxa"/>
            <w:shd w:val="clear" w:color="000000" w:fill="FFFFFF"/>
          </w:tcPr>
          <w:p>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持仓比例</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1</w:t>
            </w:r>
          </w:p>
        </w:tc>
        <w:tc>
          <w:tcPr>
            <w:tcW w:w="3527" w:type="dxa"/>
            <w:shd w:val="clear" w:color="000000" w:fill="FFFFFF"/>
            <w:noWrap/>
          </w:tcPr>
          <w:p>
            <w:pPr>
              <w:spacing w:line="360" w:lineRule="auto"/>
              <w:jc w:val="center"/>
              <w:rPr>
                <w:rFonts w:cs="宋体" w:asciiTheme="minorEastAsia" w:hAnsiTheme="minorEastAsia" w:eastAsiaTheme="minorEastAsia"/>
                <w:kern w:val="0"/>
                <w:szCs w:val="21"/>
              </w:rPr>
            </w:pPr>
            <w:r>
              <w:rPr>
                <w:rFonts w:hint="eastAsia" w:asciiTheme="minorEastAsia" w:hAnsiTheme="minorEastAsia" w:eastAsiaTheme="minorEastAsia"/>
                <w:szCs w:val="21"/>
              </w:rPr>
              <w:t>${</w:t>
            </w:r>
            <w:r>
              <w:rPr>
                <w:rFonts w:hint="eastAsia" w:cs="宋体" w:asciiTheme="minorEastAsia" w:hAnsiTheme="minorEastAsia" w:eastAsiaTheme="minorEastAsia"/>
                <w:kern w:val="0"/>
                <w:szCs w:val="21"/>
              </w:rPr>
              <w:t>D00001产品持仓前十项资产}</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2</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3</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4</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5</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9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6</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445"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7</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8</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9</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10</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kern w:val="0"/>
                <w:szCs w:val="21"/>
              </w:rPr>
            </w:pPr>
            <w:r>
              <w:t>-</w:t>
            </w:r>
          </w:p>
        </w:tc>
      </w:tr>
    </w:tbl>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=ENDIF($CNY_FLAG="CNY")</w:t>
      </w:r>
    </w:p>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=IF($CNY_FLAG="OTHER")</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3527"/>
        <w:gridCol w:w="2126"/>
        <w:gridCol w:w="1368"/>
      </w:tblGrid>
      <w:tr>
        <w:trPr>
          <w:cantSplit/>
          <w:trHeight w:val="20" w:hRule="atLeast"/>
        </w:trPr>
        <w:tc>
          <w:tcPr>
            <w:tcW w:w="1290" w:type="dxa"/>
            <w:shd w:val="clear" w:color="000000" w:fill="FFFFFF"/>
          </w:tcPr>
          <w:p>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序号</w:t>
            </w:r>
          </w:p>
        </w:tc>
        <w:tc>
          <w:tcPr>
            <w:tcW w:w="3527" w:type="dxa"/>
            <w:shd w:val="clear" w:color="000000" w:fill="FFFFFF"/>
            <w:noWrap/>
          </w:tcPr>
          <w:p>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资产名称</w:t>
            </w:r>
          </w:p>
        </w:tc>
        <w:tc>
          <w:tcPr>
            <w:tcW w:w="2126" w:type="dxa"/>
            <w:shd w:val="clear" w:color="000000" w:fill="FFFFFF"/>
            <w:noWrap/>
          </w:tcPr>
          <w:p>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持仓（折人民币万元）</w:t>
            </w:r>
          </w:p>
        </w:tc>
        <w:tc>
          <w:tcPr>
            <w:tcW w:w="1368" w:type="dxa"/>
            <w:shd w:val="clear" w:color="000000" w:fill="FFFFFF"/>
          </w:tcPr>
          <w:p>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持仓比例</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1</w:t>
            </w:r>
          </w:p>
        </w:tc>
        <w:tc>
          <w:tcPr>
            <w:tcW w:w="3527" w:type="dxa"/>
            <w:shd w:val="clear" w:color="000000" w:fill="FFFFFF"/>
            <w:noWrap/>
          </w:tcPr>
          <w:p>
            <w:pPr>
              <w:spacing w:line="360" w:lineRule="auto"/>
              <w:jc w:val="center"/>
              <w:rPr>
                <w:rFonts w:cs="宋体" w:asciiTheme="minorEastAsia" w:hAnsiTheme="minorEastAsia" w:eastAsiaTheme="minorEastAsia"/>
                <w:kern w:val="0"/>
                <w:szCs w:val="21"/>
              </w:rPr>
            </w:pPr>
            <w:r>
              <w:rPr>
                <w:rFonts w:hint="eastAsia" w:asciiTheme="minorEastAsia" w:hAnsiTheme="minorEastAsia" w:eastAsiaTheme="minorEastAsia"/>
                <w:szCs w:val="21"/>
              </w:rPr>
              <w:t>${</w:t>
            </w:r>
            <w:r>
              <w:rPr>
                <w:rFonts w:hint="eastAsia" w:cs="宋体" w:asciiTheme="minorEastAsia" w:hAnsiTheme="minorEastAsia" w:eastAsiaTheme="minorEastAsia"/>
                <w:kern w:val="0"/>
                <w:szCs w:val="21"/>
              </w:rPr>
              <w:t>D00001产品持仓前十项资产}</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2</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3</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4</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5</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9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6</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445"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7</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8</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9</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eastAsiaTheme="minorEastAsia"/>
                <w:kern w:val="0"/>
                <w:szCs w:val="21"/>
              </w:rPr>
            </w:pPr>
            <w:r>
              <w:t>-</w:t>
            </w:r>
          </w:p>
        </w:tc>
      </w:tr>
      <w:tr>
        <w:trPr>
          <w:cantSplit/>
          <w:trHeight w:val="20" w:hRule="atLeast"/>
        </w:trPr>
        <w:tc>
          <w:tcPr>
            <w:tcW w:w="1290" w:type="dxa"/>
            <w:shd w:val="clear" w:color="000000" w:fill="FFFFFF"/>
          </w:tcPr>
          <w:p>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10</w:t>
            </w:r>
          </w:p>
        </w:tc>
        <w:tc>
          <w:tcPr>
            <w:tcW w:w="3527" w:type="dxa"/>
            <w:shd w:val="clear" w:color="000000" w:fill="FFFFFF"/>
          </w:tcPr>
          <w:p>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pPr>
              <w:spacing w:line="360" w:lineRule="auto"/>
              <w:jc w:val="center"/>
              <w:rPr>
                <w:rFonts w:cs="宋体" w:asciiTheme="minorEastAsia" w:hAnsiTheme="minorEastAsia"/>
                <w:kern w:val="0"/>
                <w:szCs w:val="21"/>
              </w:rPr>
            </w:pPr>
            <w:r>
              <w:t>-</w:t>
            </w:r>
          </w:p>
        </w:tc>
      </w:tr>
    </w:tbl>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=ENDIF($CNY_FLAG="OTHER")</w:t>
      </w:r>
    </w:p>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b/>
          <w:color w:val="000000"/>
          <w:szCs w:val="21"/>
        </w:rPr>
        <w:t>注：本表列示穿透后投资规模占比较高的前十项资产</w:t>
      </w:r>
    </w:p>
    <w:p>
      <w:pPr>
        <w:spacing w:line="360" w:lineRule="auto"/>
        <w:rPr>
          <w:rFonts w:asciiTheme="minorEastAsia" w:hAnsiTheme="minorEastAsia" w:eastAsiaTheme="minorEastAsia"/>
          <w:color w:val="000000"/>
          <w:szCs w:val="21"/>
        </w:rPr>
      </w:pPr>
    </w:p>
    <w:p>
      <w:pPr>
        <w:spacing w:line="360" w:lineRule="auto"/>
        <w:rPr>
          <w:rFonts w:asciiTheme="minorEastAsia" w:hAnsiTheme="minorEastAsia" w:eastAsiaTheme="minorEastAsia"/>
          <w:color w:val="000000"/>
          <w:szCs w:val="21"/>
        </w:rPr>
      </w:pPr>
    </w:p>
    <w:p>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五、投资账户信息</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5555"/>
      </w:tblGrid>
      <w:tr>
        <w:trPr>
          <w:cantSplit/>
        </w:trPr>
        <w:tc>
          <w:tcPr>
            <w:tcW w:w="2636" w:type="dxa"/>
            <w:shd w:val="clear" w:color="auto" w:fill="auto"/>
          </w:tcPr>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color w:val="000000"/>
                <w:szCs w:val="21"/>
              </w:rPr>
              <w:t>户名</w:t>
            </w:r>
          </w:p>
        </w:tc>
        <w:tc>
          <w:tcPr>
            <w:tcW w:w="5555" w:type="dxa"/>
            <w:shd w:val="clear" w:color="auto" w:fill="auto"/>
          </w:tcPr>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${D0000105001}</w:t>
            </w:r>
          </w:p>
        </w:tc>
      </w:tr>
      <w:tr>
        <w:trPr>
          <w:cantSplit/>
        </w:trPr>
        <w:tc>
          <w:tcPr>
            <w:tcW w:w="2636" w:type="dxa"/>
            <w:shd w:val="clear" w:color="auto" w:fill="auto"/>
          </w:tcPr>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color w:val="000000"/>
                <w:szCs w:val="21"/>
              </w:rPr>
              <w:t>账号</w:t>
            </w:r>
          </w:p>
        </w:tc>
        <w:tc>
          <w:tcPr>
            <w:tcW w:w="5555" w:type="dxa"/>
            <w:shd w:val="clear" w:color="auto" w:fill="auto"/>
          </w:tcPr>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${D0000105002}</w:t>
            </w:r>
          </w:p>
        </w:tc>
      </w:tr>
      <w:tr>
        <w:trPr>
          <w:cantSplit/>
        </w:trPr>
        <w:tc>
          <w:tcPr>
            <w:tcW w:w="2636" w:type="dxa"/>
            <w:shd w:val="clear" w:color="auto" w:fill="auto"/>
          </w:tcPr>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color w:val="000000"/>
                <w:szCs w:val="21"/>
              </w:rPr>
              <w:t>开户行</w:t>
            </w:r>
          </w:p>
        </w:tc>
        <w:tc>
          <w:tcPr>
            <w:tcW w:w="5555" w:type="dxa"/>
            <w:shd w:val="clear" w:color="auto" w:fill="auto"/>
          </w:tcPr>
          <w:p>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${D0000105003}</w:t>
            </w:r>
          </w:p>
        </w:tc>
      </w:tr>
    </w:tbl>
    <w:p>
      <w:pPr>
        <w:spacing w:line="360" w:lineRule="auto"/>
        <w:rPr>
          <w:rFonts w:asciiTheme="minorEastAsia" w:hAnsiTheme="minorEastAsia" w:eastAsiaTheme="minorEastAsia"/>
          <w:color w:val="000000"/>
          <w:szCs w:val="21"/>
        </w:rPr>
      </w:pPr>
    </w:p>
    <w:p>
      <w:pPr>
        <w:spacing w:line="360" w:lineRule="auto"/>
        <w:rPr>
          <w:rFonts w:asciiTheme="minorEastAsia" w:hAnsiTheme="minorEastAsia" w:eastAsiaTheme="minorEastAsia"/>
          <w:color w:val="000000"/>
          <w:szCs w:val="21"/>
        </w:rPr>
      </w:pPr>
    </w:p>
    <w:p>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六、产品组合流动性风险分析</w:t>
      </w:r>
    </w:p>
    <w:p>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bCs/>
          <w:szCs w:val="21"/>
        </w:rPr>
        <w:t>${D0000106001}</w:t>
      </w:r>
    </w:p>
    <w:p>
      <w:pPr>
        <w:spacing w:line="360" w:lineRule="auto"/>
        <w:ind w:firstLine="420"/>
        <w:rPr>
          <w:rFonts w:asciiTheme="minorEastAsia" w:hAnsiTheme="minorEastAsia" w:eastAsiaTheme="minorEastAsia"/>
          <w:bCs/>
          <w:szCs w:val="21"/>
        </w:rPr>
      </w:pPr>
    </w:p>
    <w:p>
      <w:pPr>
        <w:spacing w:line="360" w:lineRule="auto"/>
        <w:ind w:firstLine="420"/>
        <w:rPr>
          <w:rFonts w:asciiTheme="minorEastAsia" w:hAnsiTheme="minorEastAsia" w:eastAsiaTheme="minorEastAsia"/>
          <w:bCs/>
          <w:szCs w:val="21"/>
        </w:rPr>
      </w:pPr>
    </w:p>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=IF($CASH_MGMT_CLS_FLAG="1")</w:t>
      </w:r>
    </w:p>
    <w:p>
      <w:pPr>
        <w:numPr>
          <w:ilvl w:val="0"/>
          <w:numId w:val="2"/>
        </w:numPr>
        <w:spacing w:line="360" w:lineRule="auto"/>
        <w:rPr>
          <w:rFonts w:asciiTheme="minorEastAsia" w:hAnsiTheme="minorEastAsia" w:eastAsiaTheme="minorEastAsia"/>
          <w:b/>
          <w:szCs w:val="21"/>
        </w:rPr>
      </w:pPr>
      <w:r>
        <w:rPr>
          <w:rFonts w:hint="eastAsia" w:ascii="等线" w:hAnsi="等线"/>
          <w:b/>
          <w:szCs w:val="21"/>
        </w:rPr>
        <w:t>投资者持有情况</w:t>
      </w:r>
    </w:p>
    <w:p>
      <w:pPr>
        <w:spacing w:line="360" w:lineRule="auto"/>
        <w:ind w:firstLine="420"/>
        <w:rPr>
          <w:rFonts w:ascii="等线" w:hAnsi="等线"/>
          <w:b/>
          <w:szCs w:val="21"/>
        </w:rPr>
      </w:pPr>
      <w:r>
        <w:rPr>
          <w:rFonts w:hint="eastAsia" w:asciiTheme="minorEastAsia" w:hAnsiTheme="minorEastAsia" w:eastAsiaTheme="minorEastAsia"/>
          <w:szCs w:val="21"/>
        </w:rPr>
        <w:t>=IF($IS_HALF_OR_WHOLE_YEAR="1")</w:t>
      </w:r>
    </w:p>
    <w:p>
      <w:pPr>
        <w:pStyle w:val="14"/>
        <w:numPr>
          <w:ilvl w:val="0"/>
          <w:numId w:val="3"/>
        </w:numPr>
        <w:spacing w:line="360" w:lineRule="auto"/>
        <w:ind w:hanging="63" w:firstLineChars="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报告期末产品前十名投资者情况</w:t>
      </w:r>
    </w:p>
    <w:tbl>
      <w:tblPr>
        <w:tblStyle w:val="8"/>
        <w:tblW w:w="821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1691"/>
        <w:gridCol w:w="2835"/>
        <w:gridCol w:w="2835"/>
      </w:tblGrid>
      <w:tr>
        <w:trPr>
          <w:cantSplit/>
          <w:trHeight w:val="420" w:hRule="atLeast"/>
        </w:trPr>
        <w:tc>
          <w:tcPr>
            <w:tcW w:w="856" w:type="dxa"/>
            <w:vAlign w:val="center"/>
          </w:tcPr>
          <w:p>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序号</w:t>
            </w:r>
          </w:p>
        </w:tc>
        <w:tc>
          <w:tcPr>
            <w:tcW w:w="1691" w:type="dxa"/>
            <w:vAlign w:val="center"/>
          </w:tcPr>
          <w:p>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投资者类别</w:t>
            </w:r>
          </w:p>
        </w:tc>
        <w:tc>
          <w:tcPr>
            <w:tcW w:w="2835" w:type="dxa"/>
            <w:vAlign w:val="center"/>
          </w:tcPr>
          <w:p>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持有份额（份）</w:t>
            </w:r>
          </w:p>
        </w:tc>
        <w:tc>
          <w:tcPr>
            <w:tcW w:w="2835" w:type="dxa"/>
            <w:vAlign w:val="center"/>
          </w:tcPr>
          <w:p>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占总份额比例</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w:t>
            </w:r>
          </w:p>
        </w:tc>
        <w:tc>
          <w:tcPr>
            <w:tcW w:w="1691"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${D00001报告期末产品前十名投资者情况}</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2</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4</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5</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6</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7</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8</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9</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r>
        <w:trPr>
          <w:cantSplit/>
          <w:trHeight w:val="420" w:hRule="atLeast"/>
        </w:trPr>
        <w:tc>
          <w:tcPr>
            <w:tcW w:w="856" w:type="dxa"/>
            <w:vAlign w:val="center"/>
          </w:tcPr>
          <w:p>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10</w:t>
            </w:r>
          </w:p>
        </w:tc>
        <w:tc>
          <w:tcPr>
            <w:tcW w:w="1691"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c>
          <w:tcPr>
            <w:tcW w:w="2835" w:type="dxa"/>
            <w:vAlign w:val="center"/>
          </w:tcPr>
          <w:p>
            <w:pPr>
              <w:jc w:val="center"/>
              <w:rPr>
                <w:rFonts w:asciiTheme="minorEastAsia" w:hAnsiTheme="minorEastAsia" w:eastAsiaTheme="minorEastAsia" w:cstheme="minorEastAsia"/>
                <w:kern w:val="0"/>
                <w:szCs w:val="21"/>
              </w:rPr>
            </w:pPr>
            <w:r>
              <w:t>-</w:t>
            </w:r>
          </w:p>
        </w:tc>
      </w:tr>
    </w:tbl>
    <w:p>
      <w:pPr>
        <w:pStyle w:val="14"/>
        <w:spacing w:line="360" w:lineRule="auto"/>
        <w:ind w:left="499" w:firstLine="0" w:firstLineChars="0"/>
        <w:rPr>
          <w:rFonts w:ascii="等线" w:hAnsi="等线"/>
          <w:szCs w:val="21"/>
        </w:rPr>
      </w:pPr>
    </w:p>
    <w:p>
      <w:pPr>
        <w:pStyle w:val="14"/>
        <w:numPr>
          <w:ilvl w:val="0"/>
          <w:numId w:val="3"/>
        </w:numPr>
        <w:spacing w:line="360" w:lineRule="auto"/>
        <w:ind w:hanging="63" w:firstLineChars="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报告期内产品持有份额不低于20%的投资者情况</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=ENDIF($IS_HALF_OR_WHOLE_YEAR="1")</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=IF($IS_HALF_OR_WHOLE_YEAR="0")</w:t>
      </w:r>
    </w:p>
    <w:p>
      <w:pPr>
        <w:spacing w:line="360" w:lineRule="auto"/>
        <w:ind w:firstLine="420"/>
        <w:rPr>
          <w:rFonts w:asciiTheme="minorEastAsia" w:hAnsiTheme="minorEastAsia" w:eastAsiaTheme="minorEastAsia"/>
          <w:szCs w:val="21"/>
        </w:rPr>
      </w:pPr>
      <w:r>
        <w:rPr>
          <w:rFonts w:hint="eastAsia" w:ascii="等线" w:hAnsi="等线"/>
          <w:szCs w:val="21"/>
        </w:rPr>
        <w:t>报告期内产品持有份额不低于2</w:t>
      </w:r>
      <w:r>
        <w:rPr>
          <w:rFonts w:ascii="等线" w:hAnsi="等线"/>
          <w:szCs w:val="21"/>
        </w:rPr>
        <w:t>0</w:t>
      </w:r>
      <w:r>
        <w:rPr>
          <w:rFonts w:hint="eastAsia" w:ascii="等线" w:hAnsi="等线"/>
          <w:szCs w:val="21"/>
        </w:rPr>
        <w:t>%的投资者情况</w:t>
      </w:r>
    </w:p>
    <w:p>
      <w:pPr>
        <w:spacing w:line="360" w:lineRule="auto"/>
        <w:ind w:left="420"/>
        <w:rPr>
          <w:rFonts w:asciiTheme="minorEastAsia" w:hAnsiTheme="minorEastAsia" w:eastAsiaTheme="minorEastAsia"/>
          <w:szCs w:val="21"/>
        </w:rPr>
      </w:pPr>
      <w:r>
        <w:rPr>
          <w:rFonts w:hint="eastAsia" w:asciiTheme="minorEastAsia" w:hAnsiTheme="minorEastAsia" w:eastAsiaTheme="minorEastAsia"/>
          <w:szCs w:val="21"/>
        </w:rPr>
        <w:t>=ENDIF($IS_HALF_OR_WHOLE_YEAR="0")</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=IF($20_PERCENT_INVESTOR_EXIST="1")</w:t>
      </w:r>
    </w:p>
    <w:tbl>
      <w:tblPr>
        <w:tblStyle w:val="8"/>
        <w:tblW w:w="821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1124"/>
        <w:gridCol w:w="1559"/>
        <w:gridCol w:w="1276"/>
        <w:gridCol w:w="2268"/>
        <w:gridCol w:w="1134"/>
      </w:tblGrid>
      <w:tr>
        <w:trPr>
          <w:cantSplit/>
          <w:trHeight w:val="420" w:hRule="atLeast"/>
        </w:trPr>
        <w:tc>
          <w:tcPr>
            <w:tcW w:w="856" w:type="dxa"/>
            <w:vAlign w:val="center"/>
          </w:tcPr>
          <w:p>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序号</w:t>
            </w:r>
          </w:p>
        </w:tc>
        <w:tc>
          <w:tcPr>
            <w:tcW w:w="1124" w:type="dxa"/>
            <w:vAlign w:val="center"/>
          </w:tcPr>
          <w:p>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投资者类别</w:t>
            </w:r>
          </w:p>
        </w:tc>
        <w:tc>
          <w:tcPr>
            <w:tcW w:w="1559" w:type="dxa"/>
            <w:vAlign w:val="center"/>
          </w:tcPr>
          <w:p>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期末持有份额（份）</w:t>
            </w:r>
          </w:p>
        </w:tc>
        <w:tc>
          <w:tcPr>
            <w:tcW w:w="1276" w:type="dxa"/>
            <w:vAlign w:val="center"/>
          </w:tcPr>
          <w:p>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占总份额比例</w:t>
            </w:r>
          </w:p>
        </w:tc>
        <w:tc>
          <w:tcPr>
            <w:tcW w:w="2268" w:type="dxa"/>
            <w:vAlign w:val="center"/>
          </w:tcPr>
          <w:p>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报告期内持有份额变化情况</w:t>
            </w:r>
          </w:p>
        </w:tc>
        <w:tc>
          <w:tcPr>
            <w:tcW w:w="1134" w:type="dxa"/>
            <w:vAlign w:val="center"/>
          </w:tcPr>
          <w:p>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产品风险情况</w:t>
            </w:r>
          </w:p>
        </w:tc>
      </w:tr>
      <w:tr>
        <w:trPr>
          <w:cantSplit/>
          <w:trHeight w:val="420" w:hRule="atLeast"/>
        </w:trPr>
        <w:tc>
          <w:tcPr>
            <w:tcW w:w="856" w:type="dxa"/>
            <w:vAlign w:val="center"/>
          </w:tcPr>
          <w:p>
            <w:pPr>
              <w:jc w:val="center"/>
              <w:rPr>
                <w:rFonts w:ascii="宋体" w:hAnsi="宋体" w:cs="宋体"/>
                <w:kern w:val="0"/>
              </w:rPr>
            </w:pPr>
            <w:r>
              <w:rPr>
                <w:rFonts w:hint="eastAsia" w:ascii="宋体" w:hAnsi="宋体" w:cs="宋体"/>
                <w:kern w:val="0"/>
              </w:rPr>
              <w:t>=SEQUENCE</w:t>
            </w:r>
          </w:p>
        </w:tc>
        <w:tc>
          <w:tcPr>
            <w:tcW w:w="1124" w:type="dxa"/>
            <w:vAlign w:val="center"/>
          </w:tcPr>
          <w:p>
            <w:pPr>
              <w:jc w:val="center"/>
              <w:rPr>
                <w:rFonts w:ascii="宋体" w:hAnsi="宋体" w:cs="宋体"/>
                <w:kern w:val="0"/>
              </w:rPr>
            </w:pPr>
            <w:r>
              <w:rPr>
                <w:rFonts w:hint="eastAsia" w:ascii="宋体" w:hAnsi="宋体" w:cs="宋体"/>
                <w:kern w:val="0"/>
              </w:rPr>
              <w:t>${D00001报告期内产品持有份额不低于20%的投资者情况}</w:t>
            </w:r>
          </w:p>
        </w:tc>
        <w:tc>
          <w:tcPr>
            <w:tcW w:w="1559" w:type="dxa"/>
            <w:vAlign w:val="center"/>
          </w:tcPr>
          <w:p>
            <w:pPr>
              <w:jc w:val="center"/>
              <w:rPr>
                <w:rFonts w:ascii="宋体" w:hAnsi="宋体" w:cs="宋体"/>
                <w:kern w:val="0"/>
              </w:rPr>
            </w:pPr>
          </w:p>
        </w:tc>
        <w:tc>
          <w:tcPr>
            <w:tcW w:w="1276" w:type="dxa"/>
            <w:vAlign w:val="center"/>
          </w:tcPr>
          <w:p>
            <w:pPr>
              <w:jc w:val="center"/>
              <w:rPr>
                <w:rFonts w:ascii="宋体" w:hAnsi="宋体" w:cs="宋体"/>
                <w:kern w:val="0"/>
              </w:rPr>
            </w:pPr>
          </w:p>
        </w:tc>
        <w:tc>
          <w:tcPr>
            <w:tcW w:w="2268" w:type="dxa"/>
            <w:vAlign w:val="center"/>
          </w:tcPr>
          <w:p>
            <w:pPr>
              <w:jc w:val="center"/>
              <w:rPr>
                <w:rFonts w:ascii="宋体" w:hAnsi="宋体" w:cs="宋体"/>
                <w:kern w:val="0"/>
              </w:rPr>
            </w:pPr>
          </w:p>
        </w:tc>
        <w:tc>
          <w:tcPr>
            <w:tcW w:w="1134" w:type="dxa"/>
            <w:vAlign w:val="center"/>
          </w:tcPr>
          <w:p>
            <w:pPr>
              <w:jc w:val="center"/>
              <w:rPr>
                <w:rFonts w:ascii="宋体" w:hAnsi="宋体" w:cs="宋体"/>
                <w:kern w:val="0"/>
              </w:rPr>
            </w:pPr>
          </w:p>
        </w:tc>
      </w:tr>
    </w:tbl>
    <w:p>
      <w:pPr>
        <w:spacing w:line="360" w:lineRule="auto"/>
        <w:ind w:firstLine="420"/>
        <w:rPr>
          <w:rFonts w:asciiTheme="minorEastAsia" w:hAnsiTheme="minorEastAsia" w:eastAsiaTheme="minorEastAsia"/>
          <w:szCs w:val="21"/>
        </w:rPr>
      </w:pPr>
      <w:r>
        <w:rPr>
          <w:rFonts w:hint="eastAsia" w:ascii="宋体" w:hAnsi="宋体"/>
          <w:szCs w:val="21"/>
        </w:rPr>
        <w:t>=ENDIF</w:t>
      </w:r>
      <w:r>
        <w:rPr>
          <w:rFonts w:hint="eastAsia" w:asciiTheme="minorEastAsia" w:hAnsiTheme="minorEastAsia" w:eastAsiaTheme="minorEastAsia"/>
          <w:szCs w:val="21"/>
        </w:rPr>
        <w:t>($20_PERCENT_INVESTOR_EXIST="1")</w:t>
      </w:r>
    </w:p>
    <w:p>
      <w:pPr>
        <w:spacing w:line="360" w:lineRule="auto"/>
        <w:ind w:firstLine="420"/>
        <w:rPr>
          <w:rFonts w:ascii="等线" w:hAnsi="等线"/>
          <w:szCs w:val="21"/>
        </w:rPr>
      </w:pPr>
      <w:r>
        <w:rPr>
          <w:rFonts w:hint="eastAsia" w:asciiTheme="minorEastAsia" w:hAnsiTheme="minorEastAsia" w:eastAsiaTheme="minorEastAsia"/>
          <w:szCs w:val="21"/>
        </w:rPr>
        <w:t>=IF($20_PERCENT_INVESTOR_EXIST="0")</w:t>
      </w:r>
    </w:p>
    <w:p>
      <w:pPr>
        <w:spacing w:line="360" w:lineRule="auto"/>
        <w:ind w:firstLine="420" w:firstLineChars="200"/>
        <w:rPr>
          <w:rFonts w:ascii="宋体" w:hAnsi="宋体"/>
          <w:szCs w:val="21"/>
        </w:rPr>
      </w:pPr>
      <w:r>
        <w:rPr>
          <w:rFonts w:hint="eastAsia" w:ascii="宋体" w:hAnsi="宋体"/>
          <w:szCs w:val="21"/>
        </w:rPr>
        <w:t>无</w:t>
      </w:r>
    </w:p>
    <w:p>
      <w:pPr>
        <w:spacing w:line="360" w:lineRule="auto"/>
        <w:ind w:firstLine="420"/>
        <w:rPr>
          <w:rFonts w:asciiTheme="minorEastAsia" w:hAnsiTheme="minorEastAsia" w:eastAsiaTheme="minorEastAsia"/>
          <w:szCs w:val="21"/>
        </w:rPr>
      </w:pPr>
      <w:r>
        <w:rPr>
          <w:rFonts w:hint="eastAsia" w:ascii="宋体" w:hAnsi="宋体"/>
          <w:szCs w:val="21"/>
        </w:rPr>
        <w:t>=ENDIF</w:t>
      </w:r>
      <w:r>
        <w:rPr>
          <w:rFonts w:hint="eastAsia" w:asciiTheme="minorEastAsia" w:hAnsiTheme="minorEastAsia" w:eastAsiaTheme="minorEastAsia"/>
          <w:szCs w:val="21"/>
        </w:rPr>
        <w:t>($20_PERCENT_INVESTOR_EXIST="0")</w:t>
      </w:r>
    </w:p>
    <w:p>
      <w:pPr>
        <w:spacing w:line="360" w:lineRule="auto"/>
        <w:rPr>
          <w:rFonts w:asciiTheme="minorEastAsia" w:hAnsiTheme="minorEastAsia" w:eastAsiaTheme="minorEastAsia"/>
          <w:szCs w:val="21"/>
        </w:rPr>
      </w:pPr>
    </w:p>
    <w:p>
      <w:pPr>
        <w:spacing w:line="360" w:lineRule="auto"/>
        <w:rPr>
          <w:rFonts w:asciiTheme="minorEastAsia" w:hAnsiTheme="minorEastAsia" w:eastAsiaTheme="minorEastAsia"/>
          <w:szCs w:val="21"/>
        </w:rPr>
      </w:pPr>
    </w:p>
    <w:p>
      <w:pPr>
        <w:spacing w:line="360" w:lineRule="auto"/>
        <w:rPr>
          <w:rFonts w:asciiTheme="minorEastAsia" w:hAnsiTheme="minorEastAsia" w:eastAsiaTheme="minorEastAsia"/>
          <w:szCs w:val="21"/>
        </w:rPr>
      </w:pPr>
      <w:r>
        <w:rPr>
          <w:rFonts w:hint="eastAsia" w:ascii="宋体" w:hAnsi="宋体"/>
          <w:szCs w:val="21"/>
        </w:rPr>
        <w:t>=ENDIF</w:t>
      </w:r>
      <w:r>
        <w:rPr>
          <w:rFonts w:hint="eastAsia" w:asciiTheme="minorEastAsia" w:hAnsiTheme="minorEastAsia" w:eastAsiaTheme="minorEastAsia"/>
          <w:szCs w:val="21"/>
        </w:rPr>
        <w:t>($CASH_MGMT_CLS_FLAG="1")</w:t>
      </w:r>
    </w:p>
    <w:p>
      <w:pPr>
        <w:numPr>
          <w:ilvl w:val="0"/>
          <w:numId w:val="2"/>
        </w:numPr>
        <w:spacing w:line="360" w:lineRule="auto"/>
        <w:rPr>
          <w:rFonts w:ascii="等线" w:hAnsi="等线"/>
          <w:b/>
          <w:szCs w:val="21"/>
        </w:rPr>
      </w:pPr>
      <w:r>
        <w:rPr>
          <w:rFonts w:hint="eastAsia" w:ascii="等线" w:hAnsi="等线"/>
          <w:b/>
          <w:szCs w:val="21"/>
        </w:rPr>
        <w:t>本运作期主要操作回顾</w:t>
      </w:r>
    </w:p>
    <w:p>
      <w:pPr>
        <w:pStyle w:val="14"/>
        <w:numPr>
          <w:ilvl w:val="0"/>
          <w:numId w:val="4"/>
        </w:numPr>
        <w:spacing w:line="360" w:lineRule="auto"/>
        <w:ind w:firstLineChars="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主要投资策略及操作</w:t>
      </w:r>
    </w:p>
    <w:p>
      <w:pPr>
        <w:spacing w:line="360" w:lineRule="auto"/>
        <w:ind w:firstLine="420"/>
        <w:rPr>
          <w:rFonts w:asciiTheme="minorEastAsia" w:hAnsiTheme="minorEastAsia" w:eastAsiaTheme="minorEastAsia"/>
          <w:color w:val="000000"/>
          <w:szCs w:val="21"/>
        </w:rPr>
      </w:pPr>
      <w:r>
        <w:rPr>
          <w:rFonts w:hint="eastAsia" w:asciiTheme="minorEastAsia" w:hAnsiTheme="minorEastAsia" w:eastAsiaTheme="minorEastAsia"/>
          <w:bCs/>
          <w:szCs w:val="21"/>
        </w:rPr>
        <w:t>${D0000108001}</w:t>
      </w:r>
    </w:p>
    <w:p>
      <w:pPr>
        <w:spacing w:line="360" w:lineRule="auto"/>
        <w:rPr>
          <w:rFonts w:asciiTheme="minorEastAsia" w:hAnsiTheme="minorEastAsia" w:eastAsiaTheme="minorEastAsia"/>
          <w:szCs w:val="21"/>
        </w:rPr>
      </w:pP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=IF($NON-STANDARD_ASSETS_EXIST="1")</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=IF($EQUITY_CLASS_FLAG="1")</w:t>
      </w:r>
    </w:p>
    <w:p>
      <w:pPr>
        <w:pStyle w:val="14"/>
        <w:numPr>
          <w:ilvl w:val="0"/>
          <w:numId w:val="4"/>
        </w:numPr>
        <w:spacing w:line="360" w:lineRule="auto"/>
        <w:ind w:firstLineChars="0"/>
        <w:rPr>
          <w:rFonts w:asciiTheme="minorEastAsia" w:hAnsiTheme="minorEastAsia" w:eastAsiaTheme="minorEastAsia"/>
          <w:szCs w:val="21"/>
        </w:rPr>
      </w:pPr>
      <w:r>
        <w:rPr>
          <w:rFonts w:hint="eastAsia" w:asciiTheme="minorEastAsia" w:hAnsiTheme="minorEastAsia" w:eastAsiaTheme="minorEastAsia"/>
          <w:szCs w:val="21"/>
        </w:rPr>
        <w:t>权益</w:t>
      </w:r>
      <w:r>
        <w:rPr>
          <w:rFonts w:asciiTheme="minorEastAsia" w:hAnsiTheme="minorEastAsia" w:eastAsiaTheme="minorEastAsia"/>
          <w:szCs w:val="21"/>
        </w:rPr>
        <w:t>资产投资情况</w:t>
      </w:r>
    </w:p>
    <w:p>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hint="eastAsia" w:asciiTheme="minorEastAsia" w:hAnsiTheme="minorEastAsia" w:eastAsiaTheme="minorEastAsia"/>
          <w:szCs w:val="21"/>
        </w:rPr>
        <w:t>日期间投资于权益资产。根据产品说明书约定，现将产品投资于权益资产的具体信息进行披露，详见附表。</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2433"/>
        <w:gridCol w:w="1158"/>
        <w:gridCol w:w="1128"/>
        <w:gridCol w:w="1294"/>
        <w:gridCol w:w="999"/>
      </w:tblGrid>
      <w:tr>
        <w:trPr>
          <w:cantSplit/>
          <w:trHeight w:val="420" w:hRule="atLeast"/>
        </w:trPr>
        <w:tc>
          <w:tcPr>
            <w:tcW w:w="1405"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融资客户</w:t>
            </w:r>
          </w:p>
        </w:tc>
        <w:tc>
          <w:tcPr>
            <w:tcW w:w="2481"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项目名称</w:t>
            </w:r>
          </w:p>
        </w:tc>
        <w:tc>
          <w:tcPr>
            <w:tcW w:w="1165"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剩余融资期限（天）</w:t>
            </w:r>
          </w:p>
        </w:tc>
        <w:tc>
          <w:tcPr>
            <w:tcW w:w="1143"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到期收益预计(%</w:t>
            </w:r>
            <w:r>
              <w:rPr>
                <w:rFonts w:asciiTheme="minorEastAsia" w:hAnsiTheme="minorEastAsia" w:eastAsiaTheme="minorEastAsia"/>
                <w:szCs w:val="21"/>
              </w:rPr>
              <w:t>)</w:t>
            </w:r>
          </w:p>
        </w:tc>
        <w:tc>
          <w:tcPr>
            <w:tcW w:w="1315"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投资模式/交易结构</w:t>
            </w:r>
          </w:p>
        </w:tc>
        <w:tc>
          <w:tcPr>
            <w:tcW w:w="1013"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风险状况</w:t>
            </w:r>
          </w:p>
        </w:tc>
      </w:tr>
      <w:tr>
        <w:trPr>
          <w:cantSplit/>
          <w:trHeight w:val="420" w:hRule="atLeast"/>
        </w:trPr>
        <w:tc>
          <w:tcPr>
            <w:tcW w:w="1405" w:type="dxa"/>
          </w:tcPr>
          <w:p>
            <w:pPr>
              <w:spacing w:line="360" w:lineRule="auto"/>
              <w:jc w:val="center"/>
              <w:rPr>
                <w:rFonts w:asciiTheme="minorEastAsia" w:hAnsiTheme="minorEastAsia" w:eastAsiaTheme="minorEastAsia"/>
                <w:bCs/>
                <w:szCs w:val="21"/>
              </w:rPr>
            </w:pPr>
            <w:r>
              <w:rPr>
                <w:rFonts w:hint="eastAsia" w:ascii="宋体" w:hAnsi="宋体" w:cs="宋体"/>
                <w:kern w:val="0"/>
                <w:szCs w:val="21"/>
              </w:rPr>
              <w:t>${D00001非标资产投资情况}</w:t>
            </w:r>
          </w:p>
        </w:tc>
        <w:tc>
          <w:tcPr>
            <w:tcW w:w="2481" w:type="dxa"/>
          </w:tcPr>
          <w:p>
            <w:pPr>
              <w:spacing w:line="360" w:lineRule="auto"/>
              <w:jc w:val="center"/>
              <w:rPr>
                <w:rFonts w:asciiTheme="minorEastAsia" w:hAnsiTheme="minorEastAsia" w:eastAsiaTheme="minorEastAsia"/>
                <w:bCs/>
                <w:szCs w:val="21"/>
              </w:rPr>
            </w:pPr>
          </w:p>
        </w:tc>
        <w:tc>
          <w:tcPr>
            <w:tcW w:w="1165" w:type="dxa"/>
          </w:tcPr>
          <w:p>
            <w:pPr>
              <w:spacing w:line="360" w:lineRule="auto"/>
              <w:jc w:val="center"/>
              <w:rPr>
                <w:rFonts w:asciiTheme="minorEastAsia" w:hAnsiTheme="minorEastAsia" w:eastAsiaTheme="minorEastAsia"/>
                <w:bCs/>
                <w:szCs w:val="21"/>
              </w:rPr>
            </w:pPr>
          </w:p>
        </w:tc>
        <w:tc>
          <w:tcPr>
            <w:tcW w:w="1143" w:type="dxa"/>
          </w:tcPr>
          <w:p>
            <w:pPr>
              <w:spacing w:line="360" w:lineRule="auto"/>
              <w:jc w:val="center"/>
              <w:rPr>
                <w:rFonts w:asciiTheme="minorEastAsia" w:hAnsiTheme="minorEastAsia" w:eastAsiaTheme="minorEastAsia"/>
                <w:bCs/>
                <w:szCs w:val="21"/>
              </w:rPr>
            </w:pPr>
          </w:p>
        </w:tc>
        <w:tc>
          <w:tcPr>
            <w:tcW w:w="1315" w:type="dxa"/>
          </w:tcPr>
          <w:p>
            <w:pPr>
              <w:spacing w:line="360" w:lineRule="auto"/>
              <w:jc w:val="center"/>
              <w:rPr>
                <w:rFonts w:asciiTheme="minorEastAsia" w:hAnsiTheme="minorEastAsia" w:eastAsiaTheme="minorEastAsia"/>
                <w:bCs/>
                <w:szCs w:val="21"/>
              </w:rPr>
            </w:pPr>
          </w:p>
        </w:tc>
        <w:tc>
          <w:tcPr>
            <w:tcW w:w="1013" w:type="dxa"/>
          </w:tcPr>
          <w:p>
            <w:pPr>
              <w:spacing w:line="360" w:lineRule="auto"/>
              <w:jc w:val="center"/>
              <w:rPr>
                <w:rFonts w:asciiTheme="minorEastAsia" w:hAnsiTheme="minorEastAsia" w:eastAsiaTheme="minorEastAsia"/>
                <w:bCs/>
                <w:szCs w:val="21"/>
              </w:rPr>
            </w:pPr>
          </w:p>
        </w:tc>
      </w:tr>
    </w:tbl>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=ENDIF($EQUITY_CLASS_FLAG="1")</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=IF($EQUITY_CLASS_FLAG="0")</w:t>
      </w:r>
    </w:p>
    <w:p>
      <w:pPr>
        <w:pStyle w:val="14"/>
        <w:numPr>
          <w:ilvl w:val="0"/>
          <w:numId w:val="4"/>
        </w:numPr>
        <w:spacing w:line="360" w:lineRule="auto"/>
        <w:ind w:firstLineChars="0"/>
        <w:rPr>
          <w:rFonts w:asciiTheme="minorEastAsia" w:hAnsiTheme="minorEastAsia" w:eastAsiaTheme="minorEastAsia"/>
          <w:szCs w:val="21"/>
        </w:rPr>
      </w:pPr>
      <w:r>
        <w:rPr>
          <w:rFonts w:asciiTheme="minorEastAsia" w:hAnsiTheme="minorEastAsia" w:eastAsiaTheme="minorEastAsia"/>
          <w:szCs w:val="21"/>
        </w:rPr>
        <w:t>非标资产投资情况</w:t>
      </w:r>
    </w:p>
    <w:p>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hint="eastAsia" w:asciiTheme="minorEastAsia" w:hAnsiTheme="minorEastAsia" w:eastAsiaTheme="minorEastAsia"/>
          <w:szCs w:val="21"/>
        </w:rPr>
        <w:t>日期间投资于非标准化债权类资产。根据产品说明书约定，现将产品投资于非标准化债权类资产的具体信息进行披露，详见附表。</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2433"/>
        <w:gridCol w:w="1158"/>
        <w:gridCol w:w="1128"/>
        <w:gridCol w:w="1294"/>
        <w:gridCol w:w="999"/>
      </w:tblGrid>
      <w:tr>
        <w:trPr>
          <w:cantSplit/>
          <w:trHeight w:val="420" w:hRule="atLeast"/>
        </w:trPr>
        <w:tc>
          <w:tcPr>
            <w:tcW w:w="1405"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融资客户</w:t>
            </w:r>
          </w:p>
        </w:tc>
        <w:tc>
          <w:tcPr>
            <w:tcW w:w="2481"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项目名称</w:t>
            </w:r>
          </w:p>
        </w:tc>
        <w:tc>
          <w:tcPr>
            <w:tcW w:w="1165"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剩余融资期限（天）</w:t>
            </w:r>
          </w:p>
        </w:tc>
        <w:tc>
          <w:tcPr>
            <w:tcW w:w="1143"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到期收益预计(%</w:t>
            </w:r>
            <w:r>
              <w:rPr>
                <w:rFonts w:asciiTheme="minorEastAsia" w:hAnsiTheme="minorEastAsia" w:eastAsiaTheme="minorEastAsia"/>
                <w:szCs w:val="21"/>
              </w:rPr>
              <w:t>)</w:t>
            </w:r>
          </w:p>
        </w:tc>
        <w:tc>
          <w:tcPr>
            <w:tcW w:w="1315"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投资模式/交易结构</w:t>
            </w:r>
          </w:p>
        </w:tc>
        <w:tc>
          <w:tcPr>
            <w:tcW w:w="1013" w:type="dxa"/>
          </w:tcPr>
          <w:p>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风险状况</w:t>
            </w:r>
          </w:p>
        </w:tc>
      </w:tr>
      <w:tr>
        <w:trPr>
          <w:cantSplit/>
          <w:trHeight w:val="420" w:hRule="atLeast"/>
        </w:trPr>
        <w:tc>
          <w:tcPr>
            <w:tcW w:w="1405" w:type="dxa"/>
          </w:tcPr>
          <w:p>
            <w:pPr>
              <w:spacing w:line="360" w:lineRule="auto"/>
              <w:jc w:val="center"/>
              <w:rPr>
                <w:rFonts w:asciiTheme="minorEastAsia" w:hAnsiTheme="minorEastAsia" w:eastAsiaTheme="minorEastAsia"/>
                <w:bCs/>
                <w:szCs w:val="21"/>
              </w:rPr>
            </w:pPr>
            <w:r>
              <w:rPr>
                <w:rFonts w:hint="eastAsia" w:ascii="宋体" w:hAnsi="宋体" w:cs="宋体"/>
                <w:kern w:val="0"/>
                <w:szCs w:val="21"/>
              </w:rPr>
              <w:t>${D00001非标资产投资情况}</w:t>
            </w:r>
          </w:p>
        </w:tc>
        <w:tc>
          <w:tcPr>
            <w:tcW w:w="2481" w:type="dxa"/>
          </w:tcPr>
          <w:p>
            <w:pPr>
              <w:spacing w:line="360" w:lineRule="auto"/>
              <w:jc w:val="center"/>
              <w:rPr>
                <w:rFonts w:asciiTheme="minorEastAsia" w:hAnsiTheme="minorEastAsia" w:eastAsiaTheme="minorEastAsia"/>
                <w:bCs/>
                <w:szCs w:val="21"/>
              </w:rPr>
            </w:pPr>
          </w:p>
        </w:tc>
        <w:tc>
          <w:tcPr>
            <w:tcW w:w="1165" w:type="dxa"/>
          </w:tcPr>
          <w:p>
            <w:pPr>
              <w:spacing w:line="360" w:lineRule="auto"/>
              <w:jc w:val="center"/>
              <w:rPr>
                <w:rFonts w:asciiTheme="minorEastAsia" w:hAnsiTheme="minorEastAsia" w:eastAsiaTheme="minorEastAsia"/>
                <w:bCs/>
                <w:szCs w:val="21"/>
              </w:rPr>
            </w:pPr>
          </w:p>
        </w:tc>
        <w:tc>
          <w:tcPr>
            <w:tcW w:w="1143" w:type="dxa"/>
          </w:tcPr>
          <w:p>
            <w:pPr>
              <w:spacing w:line="360" w:lineRule="auto"/>
              <w:jc w:val="center"/>
              <w:rPr>
                <w:rFonts w:asciiTheme="minorEastAsia" w:hAnsiTheme="minorEastAsia" w:eastAsiaTheme="minorEastAsia"/>
                <w:bCs/>
                <w:szCs w:val="21"/>
              </w:rPr>
            </w:pPr>
          </w:p>
        </w:tc>
        <w:tc>
          <w:tcPr>
            <w:tcW w:w="1315" w:type="dxa"/>
          </w:tcPr>
          <w:p>
            <w:pPr>
              <w:spacing w:line="360" w:lineRule="auto"/>
              <w:jc w:val="center"/>
              <w:rPr>
                <w:rFonts w:asciiTheme="minorEastAsia" w:hAnsiTheme="minorEastAsia" w:eastAsiaTheme="minorEastAsia"/>
                <w:bCs/>
                <w:szCs w:val="21"/>
              </w:rPr>
            </w:pPr>
          </w:p>
        </w:tc>
        <w:tc>
          <w:tcPr>
            <w:tcW w:w="1013" w:type="dxa"/>
          </w:tcPr>
          <w:p>
            <w:pPr>
              <w:spacing w:line="360" w:lineRule="auto"/>
              <w:jc w:val="center"/>
              <w:rPr>
                <w:rFonts w:asciiTheme="minorEastAsia" w:hAnsiTheme="minorEastAsia" w:eastAsiaTheme="minorEastAsia"/>
                <w:bCs/>
                <w:szCs w:val="21"/>
              </w:rPr>
            </w:pPr>
          </w:p>
        </w:tc>
      </w:tr>
    </w:tbl>
    <w:p>
      <w:pPr>
        <w:spacing w:line="360" w:lineRule="auto"/>
        <w:ind w:firstLine="420"/>
        <w:rPr>
          <w:rFonts w:asciiTheme="minorEastAsia" w:hAnsiTheme="minorEastAsia" w:eastAsiaTheme="minorEastAsia"/>
          <w:b/>
          <w:szCs w:val="21"/>
        </w:rPr>
      </w:pPr>
      <w:r>
        <w:rPr>
          <w:rFonts w:hint="eastAsia" w:asciiTheme="minorEastAsia" w:hAnsiTheme="minorEastAsia" w:eastAsiaTheme="minorEastAsia"/>
          <w:szCs w:val="21"/>
        </w:rPr>
        <w:t>=ENDIF($EQUITY_CLASS_FLAG="0")</w:t>
      </w:r>
    </w:p>
    <w:p>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注：报告期内到期收益预计是管理人根据底层资产在报告期内的资产情况、收益分配情况及费用进行预估的收益。最终以实际到期收益为准。</w:t>
      </w:r>
    </w:p>
    <w:p>
      <w:pPr>
        <w:spacing w:line="360" w:lineRule="auto"/>
        <w:ind w:left="420"/>
        <w:rPr>
          <w:rFonts w:asciiTheme="minorEastAsia" w:hAnsiTheme="minorEastAsia" w:eastAsiaTheme="minorEastAsia"/>
          <w:szCs w:val="21"/>
        </w:rPr>
      </w:pPr>
      <w:r>
        <w:rPr>
          <w:rFonts w:hint="eastAsia" w:asciiTheme="minorEastAsia" w:hAnsiTheme="minorEastAsia" w:eastAsiaTheme="minorEastAsia"/>
          <w:szCs w:val="21"/>
        </w:rPr>
        <w:t>=ENDIF($NON-STANDARD_ASSETS_EXIST="1")</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=IF($NON-STANDARD_ASSETS_EXIST="0")</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=IF($EQUITY_CLASS_FLAG="1")</w:t>
      </w:r>
    </w:p>
    <w:p>
      <w:pPr>
        <w:pStyle w:val="14"/>
        <w:numPr>
          <w:ilvl w:val="0"/>
          <w:numId w:val="4"/>
        </w:numPr>
        <w:spacing w:line="360" w:lineRule="auto"/>
        <w:ind w:firstLineChars="0"/>
        <w:rPr>
          <w:rFonts w:ascii="宋体" w:hAnsi="宋体"/>
          <w:szCs w:val="21"/>
        </w:rPr>
      </w:pPr>
      <w:r>
        <w:rPr>
          <w:rFonts w:hint="eastAsia" w:asciiTheme="minorEastAsia" w:hAnsiTheme="minorEastAsia" w:eastAsiaTheme="minorEastAsia"/>
          <w:szCs w:val="21"/>
        </w:rPr>
        <w:t>权益</w:t>
      </w:r>
      <w:r>
        <w:rPr>
          <w:rFonts w:asciiTheme="minorEastAsia" w:hAnsiTheme="minorEastAsia" w:eastAsiaTheme="minorEastAsia"/>
          <w:szCs w:val="21"/>
        </w:rPr>
        <w:t>资产投资情况</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=ENDIF($EQUITY_CLASS_FLAG="1")</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=IF($EQUITY_CLASS_FLAG="0")</w:t>
      </w:r>
    </w:p>
    <w:p>
      <w:pPr>
        <w:pStyle w:val="14"/>
        <w:numPr>
          <w:ilvl w:val="0"/>
          <w:numId w:val="4"/>
        </w:numPr>
        <w:spacing w:line="360" w:lineRule="auto"/>
        <w:ind w:firstLineChars="0"/>
        <w:rPr>
          <w:rFonts w:ascii="宋体" w:hAnsi="宋体"/>
          <w:szCs w:val="21"/>
        </w:rPr>
      </w:pPr>
      <w:r>
        <w:rPr>
          <w:rFonts w:asciiTheme="minorEastAsia" w:hAnsiTheme="minorEastAsia" w:eastAsiaTheme="minorEastAsia"/>
          <w:szCs w:val="21"/>
        </w:rPr>
        <w:t>非标资产投资情况</w:t>
      </w:r>
    </w:p>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=ENDIF($EQUITY_CLASS_FLAG="0")</w:t>
      </w:r>
    </w:p>
    <w:p>
      <w:pPr>
        <w:spacing w:line="360" w:lineRule="auto"/>
        <w:ind w:firstLine="420" w:firstLineChars="200"/>
        <w:rPr>
          <w:rFonts w:asciiTheme="minorEastAsia" w:hAnsiTheme="minorEastAsia" w:eastAsiaTheme="minorEastAsia"/>
          <w:szCs w:val="21"/>
        </w:rPr>
      </w:pPr>
      <w:r>
        <w:rPr>
          <w:rFonts w:hint="eastAsia" w:ascii="宋体" w:hAnsi="宋体"/>
          <w:szCs w:val="21"/>
        </w:rPr>
        <w:t>无</w:t>
      </w:r>
    </w:p>
    <w:p>
      <w:pPr>
        <w:spacing w:line="360" w:lineRule="auto"/>
        <w:ind w:firstLine="420"/>
        <w:rPr>
          <w:rFonts w:asciiTheme="minorEastAsia" w:hAnsiTheme="minorEastAsia" w:eastAsiaTheme="minorEastAsia"/>
          <w:szCs w:val="21"/>
        </w:rPr>
      </w:pPr>
      <w:r>
        <w:rPr>
          <w:rFonts w:hint="eastAsia" w:ascii="宋体" w:hAnsi="宋体"/>
          <w:szCs w:val="21"/>
        </w:rPr>
        <w:t>=ENDIF</w:t>
      </w:r>
      <w:r>
        <w:rPr>
          <w:rFonts w:hint="eastAsia" w:asciiTheme="minorEastAsia" w:hAnsiTheme="minorEastAsia" w:eastAsiaTheme="minorEastAsia"/>
          <w:szCs w:val="21"/>
        </w:rPr>
        <w:t>($NON-STANDARD_ASSETS_EXIST="0")</w:t>
      </w:r>
    </w:p>
    <w:p>
      <w:pPr>
        <w:spacing w:line="360" w:lineRule="auto"/>
        <w:ind w:firstLine="210" w:firstLineChars="100"/>
        <w:rPr>
          <w:rFonts w:asciiTheme="minorEastAsia" w:hAnsiTheme="minorEastAsia" w:eastAsiaTheme="minorEastAsia"/>
          <w:color w:val="000000"/>
          <w:szCs w:val="21"/>
        </w:rPr>
      </w:pPr>
    </w:p>
    <w:p>
      <w:pPr>
        <w:pStyle w:val="14"/>
        <w:numPr>
          <w:ilvl w:val="0"/>
          <w:numId w:val="4"/>
        </w:numPr>
        <w:spacing w:line="360" w:lineRule="auto"/>
        <w:ind w:firstLineChars="0"/>
        <w:rPr>
          <w:rFonts w:asciiTheme="minorEastAsia" w:hAnsiTheme="minorEastAsia" w:eastAsiaTheme="minorEastAsia"/>
          <w:color w:val="000000"/>
          <w:szCs w:val="21"/>
        </w:rPr>
      </w:pPr>
      <w:r>
        <w:rPr>
          <w:rFonts w:asciiTheme="minorEastAsia" w:hAnsiTheme="minorEastAsia" w:eastAsiaTheme="minorEastAsia"/>
          <w:color w:val="000000"/>
          <w:szCs w:val="21"/>
        </w:rPr>
        <w:t>关联交易情况</w:t>
      </w:r>
    </w:p>
    <w:p>
      <w:pPr>
        <w:spacing w:line="360" w:lineRule="auto"/>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hint="eastAsia" w:asciiTheme="minorEastAsia" w:hAnsiTheme="minorEastAsia" w:eastAsiaTheme="minorEastAsia"/>
          <w:szCs w:val="21"/>
        </w:rPr>
        <w:t>日期间投资于关联方发行的证券</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251"/>
        <w:gridCol w:w="1545"/>
        <w:gridCol w:w="1945"/>
        <w:gridCol w:w="2259"/>
      </w:tblGrid>
      <w:tr>
        <w:trPr>
          <w:cantSplit/>
          <w:trHeight w:val="420" w:hRule="atLeast"/>
        </w:trPr>
        <w:tc>
          <w:tcPr>
            <w:tcW w:w="1417" w:type="dxa"/>
            <w:vMerge w:val="restart"/>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关联方名称</w:t>
            </w:r>
          </w:p>
        </w:tc>
        <w:tc>
          <w:tcPr>
            <w:tcW w:w="1269" w:type="dxa"/>
            <w:vMerge w:val="restart"/>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证券代码</w:t>
            </w:r>
          </w:p>
        </w:tc>
        <w:tc>
          <w:tcPr>
            <w:tcW w:w="1569" w:type="dxa"/>
            <w:vMerge w:val="restart"/>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证券简称</w:t>
            </w:r>
          </w:p>
        </w:tc>
        <w:tc>
          <w:tcPr>
            <w:tcW w:w="4267" w:type="dxa"/>
            <w:gridSpan w:val="2"/>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报告期内买入证券</w:t>
            </w:r>
          </w:p>
        </w:tc>
      </w:tr>
      <w:tr>
        <w:trPr>
          <w:cantSplit/>
          <w:trHeight w:val="420" w:hRule="atLeast"/>
        </w:trPr>
        <w:tc>
          <w:tcPr>
            <w:tcW w:w="1417" w:type="dxa"/>
            <w:vMerge w:val="continue"/>
            <w:vAlign w:val="center"/>
          </w:tcPr>
          <w:p>
            <w:pPr>
              <w:spacing w:line="360" w:lineRule="auto"/>
              <w:jc w:val="center"/>
              <w:rPr>
                <w:rFonts w:asciiTheme="minorEastAsia" w:hAnsiTheme="minorEastAsia" w:eastAsiaTheme="minorEastAsia"/>
                <w:szCs w:val="21"/>
              </w:rPr>
            </w:pPr>
          </w:p>
        </w:tc>
        <w:tc>
          <w:tcPr>
            <w:tcW w:w="1269" w:type="dxa"/>
            <w:vMerge w:val="continue"/>
            <w:vAlign w:val="center"/>
          </w:tcPr>
          <w:p>
            <w:pPr>
              <w:spacing w:line="360" w:lineRule="auto"/>
              <w:jc w:val="center"/>
              <w:rPr>
                <w:rFonts w:asciiTheme="minorEastAsia" w:hAnsiTheme="minorEastAsia" w:eastAsiaTheme="minorEastAsia"/>
                <w:szCs w:val="21"/>
              </w:rPr>
            </w:pPr>
          </w:p>
        </w:tc>
        <w:tc>
          <w:tcPr>
            <w:tcW w:w="1569" w:type="dxa"/>
            <w:vMerge w:val="continue"/>
            <w:vAlign w:val="center"/>
          </w:tcPr>
          <w:p>
            <w:pPr>
              <w:spacing w:line="360" w:lineRule="auto"/>
              <w:jc w:val="center"/>
              <w:rPr>
                <w:rFonts w:asciiTheme="minorEastAsia" w:hAnsiTheme="minorEastAsia" w:eastAsiaTheme="minorEastAsia"/>
                <w:szCs w:val="21"/>
              </w:rPr>
            </w:pPr>
          </w:p>
        </w:tc>
        <w:tc>
          <w:tcPr>
            <w:tcW w:w="1973" w:type="dxa"/>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数量（单位：张）</w:t>
            </w:r>
          </w:p>
        </w:tc>
        <w:tc>
          <w:tcPr>
            <w:tcW w:w="2294" w:type="dxa"/>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总金额（单位：元）</w:t>
            </w:r>
          </w:p>
        </w:tc>
      </w:tr>
      <w:tr>
        <w:trPr>
          <w:cantSplit/>
          <w:trHeight w:val="420" w:hRule="atLeast"/>
        </w:trPr>
        <w:tc>
          <w:tcPr>
            <w:tcW w:w="1417" w:type="dxa"/>
            <w:vAlign w:val="center"/>
          </w:tcPr>
          <w:p>
            <w:pPr>
              <w:spacing w:line="360" w:lineRule="auto"/>
              <w:jc w:val="center"/>
              <w:rPr>
                <w:rFonts w:asciiTheme="minorEastAsia" w:hAnsiTheme="minorEastAsia" w:eastAsiaTheme="minorEastAsia"/>
                <w:szCs w:val="21"/>
              </w:rPr>
            </w:pPr>
            <w:r>
              <w:rPr>
                <w:rFonts w:hint="eastAsia" w:ascii="宋体" w:hAnsi="宋体" w:cs="宋体"/>
                <w:kern w:val="0"/>
                <w:szCs w:val="21"/>
              </w:rPr>
              <w:t>${D00001关联交易情况_关联方发行的证券}</w:t>
            </w:r>
          </w:p>
        </w:tc>
        <w:tc>
          <w:tcPr>
            <w:tcW w:w="1269" w:type="dxa"/>
            <w:vAlign w:val="center"/>
          </w:tcPr>
          <w:p>
            <w:pPr>
              <w:spacing w:line="360" w:lineRule="auto"/>
              <w:jc w:val="center"/>
              <w:rPr>
                <w:rFonts w:asciiTheme="minorEastAsia" w:hAnsiTheme="minorEastAsia" w:eastAsiaTheme="minorEastAsia"/>
                <w:szCs w:val="21"/>
              </w:rPr>
            </w:pPr>
          </w:p>
        </w:tc>
        <w:tc>
          <w:tcPr>
            <w:tcW w:w="1569" w:type="dxa"/>
            <w:vAlign w:val="center"/>
          </w:tcPr>
          <w:p>
            <w:pPr>
              <w:spacing w:line="360" w:lineRule="auto"/>
              <w:jc w:val="center"/>
              <w:rPr>
                <w:rFonts w:asciiTheme="minorEastAsia" w:hAnsiTheme="minorEastAsia" w:eastAsiaTheme="minorEastAsia"/>
                <w:szCs w:val="21"/>
              </w:rPr>
            </w:pPr>
          </w:p>
        </w:tc>
        <w:tc>
          <w:tcPr>
            <w:tcW w:w="1973" w:type="dxa"/>
            <w:vAlign w:val="center"/>
          </w:tcPr>
          <w:p>
            <w:pPr>
              <w:spacing w:line="360" w:lineRule="auto"/>
              <w:jc w:val="center"/>
              <w:rPr>
                <w:rFonts w:asciiTheme="minorEastAsia" w:hAnsiTheme="minorEastAsia" w:eastAsiaTheme="minorEastAsia"/>
                <w:szCs w:val="21"/>
              </w:rPr>
            </w:pPr>
          </w:p>
        </w:tc>
        <w:tc>
          <w:tcPr>
            <w:tcW w:w="2294" w:type="dxa"/>
            <w:vAlign w:val="center"/>
          </w:tcPr>
          <w:p>
            <w:pPr>
              <w:spacing w:line="360" w:lineRule="auto"/>
              <w:jc w:val="center"/>
              <w:rPr>
                <w:rFonts w:asciiTheme="minorEastAsia" w:hAnsiTheme="minorEastAsia" w:eastAsiaTheme="minorEastAsia"/>
                <w:szCs w:val="21"/>
              </w:rPr>
            </w:pPr>
          </w:p>
        </w:tc>
      </w:tr>
    </w:tbl>
    <w:p>
      <w:pPr>
        <w:spacing w:line="360" w:lineRule="auto"/>
        <w:ind w:firstLine="424" w:firstLineChars="202"/>
        <w:rPr>
          <w:rFonts w:asciiTheme="minorEastAsia" w:hAnsiTheme="minorEastAsia" w:eastAsiaTheme="minorEastAsia"/>
          <w:szCs w:val="21"/>
        </w:rPr>
      </w:pPr>
    </w:p>
    <w:p>
      <w:pPr>
        <w:spacing w:line="360" w:lineRule="auto"/>
        <w:ind w:firstLine="424" w:firstLineChars="202"/>
        <w:rPr>
          <w:rFonts w:asciiTheme="minorEastAsia" w:hAnsiTheme="minorEastAsia" w:eastAsiaTheme="minorEastAsia"/>
          <w:color w:val="000000"/>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hint="eastAsia" w:asciiTheme="minorEastAsia" w:hAnsiTheme="minorEastAsia" w:eastAsiaTheme="minorEastAsia"/>
          <w:szCs w:val="21"/>
        </w:rPr>
        <w:t>日期间</w:t>
      </w:r>
      <w:r>
        <w:rPr>
          <w:rFonts w:hint="eastAsia" w:asciiTheme="minorEastAsia" w:hAnsiTheme="minorEastAsia"/>
          <w:szCs w:val="21"/>
        </w:rPr>
        <w:t>投资于关联方承销期内承销的证券</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251"/>
        <w:gridCol w:w="1545"/>
        <w:gridCol w:w="1945"/>
        <w:gridCol w:w="2259"/>
      </w:tblGrid>
      <w:tr>
        <w:trPr>
          <w:cantSplit/>
          <w:trHeight w:val="420" w:hRule="atLeast"/>
        </w:trPr>
        <w:tc>
          <w:tcPr>
            <w:tcW w:w="1417" w:type="dxa"/>
            <w:vMerge w:val="restart"/>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关联方名称</w:t>
            </w:r>
          </w:p>
        </w:tc>
        <w:tc>
          <w:tcPr>
            <w:tcW w:w="1269" w:type="dxa"/>
            <w:vMerge w:val="restart"/>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证券代码</w:t>
            </w:r>
          </w:p>
        </w:tc>
        <w:tc>
          <w:tcPr>
            <w:tcW w:w="1569" w:type="dxa"/>
            <w:vMerge w:val="restart"/>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证券简称</w:t>
            </w:r>
          </w:p>
        </w:tc>
        <w:tc>
          <w:tcPr>
            <w:tcW w:w="4267" w:type="dxa"/>
            <w:gridSpan w:val="2"/>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报告期内买入证券</w:t>
            </w:r>
          </w:p>
        </w:tc>
      </w:tr>
      <w:tr>
        <w:trPr>
          <w:cantSplit/>
          <w:trHeight w:val="420" w:hRule="atLeast"/>
        </w:trPr>
        <w:tc>
          <w:tcPr>
            <w:tcW w:w="1417" w:type="dxa"/>
            <w:vMerge w:val="continue"/>
            <w:vAlign w:val="center"/>
          </w:tcPr>
          <w:p>
            <w:pPr>
              <w:spacing w:line="360" w:lineRule="auto"/>
              <w:jc w:val="center"/>
              <w:rPr>
                <w:rFonts w:asciiTheme="minorEastAsia" w:hAnsiTheme="minorEastAsia" w:eastAsiaTheme="minorEastAsia"/>
                <w:szCs w:val="21"/>
              </w:rPr>
            </w:pPr>
          </w:p>
        </w:tc>
        <w:tc>
          <w:tcPr>
            <w:tcW w:w="1269" w:type="dxa"/>
            <w:vMerge w:val="continue"/>
            <w:vAlign w:val="center"/>
          </w:tcPr>
          <w:p>
            <w:pPr>
              <w:spacing w:line="360" w:lineRule="auto"/>
              <w:jc w:val="center"/>
              <w:rPr>
                <w:rFonts w:asciiTheme="minorEastAsia" w:hAnsiTheme="minorEastAsia" w:eastAsiaTheme="minorEastAsia"/>
                <w:szCs w:val="21"/>
              </w:rPr>
            </w:pPr>
          </w:p>
        </w:tc>
        <w:tc>
          <w:tcPr>
            <w:tcW w:w="1569" w:type="dxa"/>
            <w:vMerge w:val="continue"/>
            <w:vAlign w:val="center"/>
          </w:tcPr>
          <w:p>
            <w:pPr>
              <w:spacing w:line="360" w:lineRule="auto"/>
              <w:jc w:val="center"/>
              <w:rPr>
                <w:rFonts w:asciiTheme="minorEastAsia" w:hAnsiTheme="minorEastAsia" w:eastAsiaTheme="minorEastAsia"/>
                <w:szCs w:val="21"/>
              </w:rPr>
            </w:pPr>
          </w:p>
        </w:tc>
        <w:tc>
          <w:tcPr>
            <w:tcW w:w="1973" w:type="dxa"/>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数量（单位：张）</w:t>
            </w:r>
          </w:p>
        </w:tc>
        <w:tc>
          <w:tcPr>
            <w:tcW w:w="2294" w:type="dxa"/>
            <w:vAlign w:val="center"/>
          </w:tcPr>
          <w:p>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总金额（单位：元）</w:t>
            </w:r>
          </w:p>
        </w:tc>
      </w:tr>
      <w:tr>
        <w:trPr>
          <w:cantSplit/>
          <w:trHeight w:val="420" w:hRule="atLeast"/>
        </w:trPr>
        <w:tc>
          <w:tcPr>
            <w:tcW w:w="1417" w:type="dxa"/>
            <w:vAlign w:val="center"/>
          </w:tcPr>
          <w:p>
            <w:pPr>
              <w:spacing w:line="360" w:lineRule="auto"/>
              <w:jc w:val="center"/>
              <w:rPr>
                <w:rFonts w:asciiTheme="minorEastAsia" w:hAnsiTheme="minorEastAsia" w:eastAsiaTheme="minorEastAsia"/>
                <w:szCs w:val="21"/>
              </w:rPr>
            </w:pPr>
            <w:r>
              <w:rPr>
                <w:rFonts w:hint="eastAsia" w:ascii="宋体" w:hAnsi="宋体" w:cs="宋体"/>
                <w:kern w:val="0"/>
                <w:szCs w:val="21"/>
              </w:rPr>
              <w:t>${D00001关联交易情况_关联方承销的证券}</w:t>
            </w:r>
          </w:p>
        </w:tc>
        <w:tc>
          <w:tcPr>
            <w:tcW w:w="1269" w:type="dxa"/>
            <w:vAlign w:val="center"/>
          </w:tcPr>
          <w:p>
            <w:pPr>
              <w:spacing w:line="360" w:lineRule="auto"/>
              <w:jc w:val="center"/>
              <w:rPr>
                <w:rFonts w:asciiTheme="minorEastAsia" w:hAnsiTheme="minorEastAsia" w:eastAsiaTheme="minorEastAsia"/>
                <w:szCs w:val="21"/>
              </w:rPr>
            </w:pPr>
          </w:p>
        </w:tc>
        <w:tc>
          <w:tcPr>
            <w:tcW w:w="1569" w:type="dxa"/>
            <w:vAlign w:val="center"/>
          </w:tcPr>
          <w:p>
            <w:pPr>
              <w:spacing w:line="360" w:lineRule="auto"/>
              <w:jc w:val="center"/>
              <w:rPr>
                <w:rFonts w:asciiTheme="minorEastAsia" w:hAnsiTheme="minorEastAsia" w:eastAsiaTheme="minorEastAsia"/>
                <w:szCs w:val="21"/>
              </w:rPr>
            </w:pPr>
          </w:p>
        </w:tc>
        <w:tc>
          <w:tcPr>
            <w:tcW w:w="1973" w:type="dxa"/>
            <w:vAlign w:val="center"/>
          </w:tcPr>
          <w:p>
            <w:pPr>
              <w:spacing w:line="360" w:lineRule="auto"/>
              <w:jc w:val="center"/>
              <w:rPr>
                <w:rFonts w:asciiTheme="minorEastAsia" w:hAnsiTheme="minorEastAsia" w:eastAsiaTheme="minorEastAsia"/>
                <w:szCs w:val="21"/>
              </w:rPr>
            </w:pPr>
          </w:p>
        </w:tc>
        <w:tc>
          <w:tcPr>
            <w:tcW w:w="2294" w:type="dxa"/>
            <w:vAlign w:val="center"/>
          </w:tcPr>
          <w:p>
            <w:pPr>
              <w:spacing w:line="360" w:lineRule="auto"/>
              <w:jc w:val="center"/>
              <w:rPr>
                <w:rFonts w:asciiTheme="minorEastAsia" w:hAnsiTheme="minorEastAsia" w:eastAsiaTheme="minorEastAsia"/>
                <w:szCs w:val="21"/>
              </w:rPr>
            </w:pPr>
          </w:p>
        </w:tc>
      </w:tr>
    </w:tbl>
    <w:p>
      <w:pPr>
        <w:spacing w:line="360" w:lineRule="auto"/>
        <w:rPr>
          <w:rFonts w:asciiTheme="minorEastAsia" w:hAnsiTheme="minorEastAsia" w:eastAsiaTheme="minorEastAsia"/>
          <w:color w:val="000000"/>
          <w:szCs w:val="21"/>
        </w:rPr>
      </w:pPr>
    </w:p>
    <w:p>
      <w:pPr>
        <w:spacing w:line="360" w:lineRule="auto"/>
        <w:ind w:firstLine="424" w:firstLineChars="202"/>
        <w:rPr>
          <w:rFonts w:asciiTheme="minorEastAsia" w:hAnsiTheme="minorEastAsia" w:eastAsiaTheme="minorEastAsia"/>
          <w:color w:val="000000"/>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asciiTheme="minorEastAsia" w:hAnsiTheme="minorEastAsia"/>
          <w:szCs w:val="21"/>
        </w:rPr>
        <w:t>日</w:t>
      </w:r>
      <w:r>
        <w:rPr>
          <w:rFonts w:hint="eastAsia" w:asciiTheme="minorEastAsia" w:hAnsiTheme="minorEastAsia"/>
          <w:szCs w:val="21"/>
        </w:rPr>
        <w:t>期间的其他重大关联交易</w:t>
      </w:r>
    </w:p>
    <w:tbl>
      <w:tblPr>
        <w:tblStyle w:val="9"/>
        <w:tblW w:w="8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630"/>
        <w:gridCol w:w="1342"/>
        <w:gridCol w:w="1498"/>
        <w:gridCol w:w="1112"/>
        <w:gridCol w:w="1222"/>
        <w:gridCol w:w="1005"/>
      </w:tblGrid>
      <w:tr>
        <w:tc>
          <w:tcPr>
            <w:tcW w:w="988" w:type="dxa"/>
            <w:vAlign w:val="center"/>
          </w:tcPr>
          <w:p>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序号</w:t>
            </w:r>
          </w:p>
        </w:tc>
        <w:tc>
          <w:tcPr>
            <w:tcW w:w="1630" w:type="dxa"/>
            <w:vAlign w:val="center"/>
          </w:tcPr>
          <w:p>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关联交易类型</w:t>
            </w:r>
          </w:p>
        </w:tc>
        <w:tc>
          <w:tcPr>
            <w:tcW w:w="1342" w:type="dxa"/>
            <w:vAlign w:val="center"/>
          </w:tcPr>
          <w:p>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关联方名称</w:t>
            </w:r>
          </w:p>
        </w:tc>
        <w:tc>
          <w:tcPr>
            <w:tcW w:w="1498" w:type="dxa"/>
            <w:vAlign w:val="center"/>
          </w:tcPr>
          <w:p>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关联交易日期</w:t>
            </w:r>
          </w:p>
        </w:tc>
        <w:tc>
          <w:tcPr>
            <w:tcW w:w="1112" w:type="dxa"/>
            <w:vAlign w:val="center"/>
          </w:tcPr>
          <w:p>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交易标的</w:t>
            </w:r>
          </w:p>
        </w:tc>
        <w:tc>
          <w:tcPr>
            <w:tcW w:w="1222" w:type="dxa"/>
            <w:vAlign w:val="center"/>
          </w:tcPr>
          <w:p>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交易金额</w:t>
            </w:r>
          </w:p>
        </w:tc>
        <w:tc>
          <w:tcPr>
            <w:tcW w:w="1005" w:type="dxa"/>
            <w:vAlign w:val="center"/>
          </w:tcPr>
          <w:p>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备注</w:t>
            </w:r>
          </w:p>
        </w:tc>
      </w:tr>
      <w:tr>
        <w:tc>
          <w:tcPr>
            <w:tcW w:w="988" w:type="dxa"/>
          </w:tcPr>
          <w:p>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630" w:type="dxa"/>
          </w:tcPr>
          <w:p>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342" w:type="dxa"/>
          </w:tcPr>
          <w:p>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498" w:type="dxa"/>
          </w:tcPr>
          <w:p>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112" w:type="dxa"/>
          </w:tcPr>
          <w:p>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222" w:type="dxa"/>
          </w:tcPr>
          <w:p>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005" w:type="dxa"/>
          </w:tcPr>
          <w:p>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r>
    </w:tbl>
    <w:p>
      <w:pPr>
        <w:spacing w:line="360" w:lineRule="auto"/>
        <w:rPr>
          <w:rFonts w:hint="eastAsia" w:asciiTheme="minorEastAsia" w:hAnsiTheme="minorEastAsia" w:eastAsiaTheme="minorEastAsia"/>
          <w:szCs w:val="21"/>
        </w:rPr>
      </w:pPr>
    </w:p>
    <w:p>
      <w:pPr>
        <w:spacing w:line="360" w:lineRule="auto"/>
        <w:rPr>
          <w:rFonts w:hint="eastAsia" w:asciiTheme="minorEastAsia" w:hAnsiTheme="minorEastAsia" w:eastAsiaTheme="minorEastAsia"/>
          <w:color w:val="000000"/>
          <w:szCs w:val="21"/>
        </w:rPr>
      </w:pPr>
      <w:r>
        <w:rPr>
          <w:rFonts w:hint="eastAsia" w:asciiTheme="minorEastAsia" w:hAnsiTheme="minorEastAsia" w:eastAsiaTheme="minorEastAsia"/>
          <w:szCs w:val="21"/>
        </w:rPr>
        <w:t>=IF($OTHER_PART_TEXT_EXIST="1")</w:t>
      </w:r>
    </w:p>
    <w:p>
      <w:pPr>
        <w:pStyle w:val="14"/>
        <w:numPr>
          <w:ilvl w:val="0"/>
          <w:numId w:val="4"/>
        </w:numPr>
        <w:spacing w:line="360" w:lineRule="auto"/>
        <w:ind w:firstLineChars="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其它部分</w:t>
      </w:r>
    </w:p>
    <w:p>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bCs/>
          <w:szCs w:val="21"/>
        </w:rPr>
        <w:t xml:space="preserve">${D0000108002} </w:t>
      </w:r>
    </w:p>
    <w:p>
      <w:pPr>
        <w:spacing w:line="360" w:lineRule="auto"/>
        <w:ind w:firstLine="420"/>
        <w:rPr>
          <w:rFonts w:asciiTheme="minorEastAsia" w:hAnsiTheme="minorEastAsia" w:eastAsiaTheme="minorEastAsia"/>
          <w:bCs/>
          <w:szCs w:val="21"/>
        </w:rPr>
      </w:pPr>
    </w:p>
    <w:p>
      <w:pPr>
        <w:spacing w:line="360" w:lineRule="auto"/>
        <w:rPr>
          <w:rFonts w:asciiTheme="minorEastAsia" w:hAnsiTheme="minorEastAsia" w:eastAsiaTheme="minorEastAsia"/>
          <w:bCs/>
          <w:szCs w:val="21"/>
        </w:rPr>
      </w:pPr>
      <w:r>
        <w:rPr>
          <w:rFonts w:hint="eastAsia" w:asciiTheme="minorEastAsia" w:hAnsiTheme="minorEastAsia" w:eastAsiaTheme="minorEastAsia"/>
          <w:szCs w:val="21"/>
        </w:rPr>
        <w:t>=ENDIF($OTHER_PART_TEXT_EXIST="1")</w:t>
      </w:r>
    </w:p>
    <w:p>
      <w:pPr>
        <w:spacing w:line="360" w:lineRule="auto"/>
        <w:rPr>
          <w:rFonts w:asciiTheme="minorEastAsia" w:hAnsiTheme="minorEastAsia" w:eastAsiaTheme="minorEastAsia"/>
          <w:bCs/>
          <w:szCs w:val="21"/>
        </w:rPr>
      </w:pPr>
    </w:p>
    <w:p>
      <w:pPr>
        <w:numPr>
          <w:ilvl w:val="0"/>
          <w:numId w:val="2"/>
        </w:numPr>
        <w:spacing w:line="360" w:lineRule="auto"/>
        <w:rPr>
          <w:rFonts w:ascii="等线" w:hAnsi="等线"/>
          <w:b/>
          <w:szCs w:val="21"/>
        </w:rPr>
      </w:pPr>
      <w:r>
        <w:rPr>
          <w:rFonts w:hint="eastAsia" w:ascii="等线" w:hAnsi="等线"/>
          <w:b/>
          <w:szCs w:val="21"/>
        </w:rPr>
        <w:t>后市展望及下阶段投资策略</w:t>
      </w:r>
    </w:p>
    <w:p>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bCs/>
          <w:szCs w:val="21"/>
        </w:rPr>
        <w:t xml:space="preserve">${D0000109001}  </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fldChar w:fldCharType="begin"/>
    </w:r>
    <w:r>
      <w:instrText xml:space="preserve">PAGE   \* MERGEFORMAT</w:instrText>
    </w:r>
    <w:r>
      <w:fldChar w:fldCharType="separate"/>
    </w:r>
    <w:r>
      <w:rPr>
        <w:lang w:val="zh-CN"/>
      </w:rPr>
      <w:t>16</w:t>
    </w:r>
    <w:r>
      <w:fldChar w:fldCharType="end"/>
    </w:r>
  </w:p>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6"/>
      </w:pPr>
      <w:r>
        <w:rPr>
          <w:rStyle w:val="12"/>
        </w:rPr>
        <w:footnoteRef/>
      </w:r>
      <w:r>
        <w:t xml:space="preserve"> </w:t>
      </w:r>
      <w:r>
        <w:rPr>
          <w:rFonts w:hint="eastAsia"/>
        </w:rPr>
        <w:t>报告内数据除标示出“</w:t>
      </w:r>
      <w:r>
        <w:rPr>
          <w:rFonts w:hint="eastAsia" w:asciiTheme="minorEastAsia" w:hAnsiTheme="minorEastAsia"/>
          <w:szCs w:val="21"/>
        </w:rPr>
        <w:t>折人民币</w:t>
      </w:r>
      <w:r>
        <w:rPr>
          <w:rFonts w:hint="eastAsia"/>
        </w:rPr>
        <w:t>”的，均为产品币种。</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B3EE39"/>
    <w:multiLevelType w:val="singleLevel"/>
    <w:tmpl w:val="9AB3EE39"/>
    <w:lvl w:ilvl="0" w:tentative="0">
      <w:start w:val="7"/>
      <w:numFmt w:val="chineseCounting"/>
      <w:suff w:val="nothing"/>
      <w:lvlText w:val="%1、"/>
      <w:lvlJc w:val="left"/>
      <w:rPr>
        <w:rFonts w:hint="eastAsia"/>
      </w:rPr>
    </w:lvl>
  </w:abstractNum>
  <w:abstractNum w:abstractNumId="1">
    <w:nsid w:val="CE395D79"/>
    <w:multiLevelType w:val="multilevel"/>
    <w:tmpl w:val="CE395D79"/>
    <w:lvl w:ilvl="0" w:tentative="0">
      <w:start w:val="1"/>
      <w:numFmt w:val="chineseCountingThousand"/>
      <w:lvlText w:val="(%1)"/>
      <w:lvlJc w:val="left"/>
      <w:pPr>
        <w:ind w:left="562"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
    <w:nsid w:val="DF1973C7"/>
    <w:multiLevelType w:val="multilevel"/>
    <w:tmpl w:val="DF1973C7"/>
    <w:lvl w:ilvl="0" w:tentative="0">
      <w:start w:val="1"/>
      <w:numFmt w:val="chineseCountingThousand"/>
      <w:lvlText w:val="(%1)"/>
      <w:lvlJc w:val="left"/>
      <w:pPr>
        <w:tabs>
          <w:tab w:val="left" w:pos="420"/>
        </w:tabs>
        <w:ind w:left="982" w:hanging="420"/>
      </w:pPr>
      <w:rPr>
        <w:rFonts w:hint="eastAsia"/>
      </w:rPr>
    </w:lvl>
    <w:lvl w:ilvl="1" w:tentative="0">
      <w:start w:val="1"/>
      <w:numFmt w:val="lowerLetter"/>
      <w:lvlText w:val="%2)"/>
      <w:lvlJc w:val="left"/>
      <w:pPr>
        <w:tabs>
          <w:tab w:val="left" w:pos="420"/>
        </w:tabs>
        <w:ind w:left="1470" w:hanging="420"/>
      </w:pPr>
      <w:rPr>
        <w:rFonts w:hint="eastAsia"/>
      </w:rPr>
    </w:lvl>
    <w:lvl w:ilvl="2" w:tentative="0">
      <w:start w:val="1"/>
      <w:numFmt w:val="lowerRoman"/>
      <w:lvlText w:val="%3."/>
      <w:lvlJc w:val="right"/>
      <w:pPr>
        <w:tabs>
          <w:tab w:val="left" w:pos="420"/>
        </w:tabs>
        <w:ind w:left="1890" w:hanging="420"/>
      </w:pPr>
      <w:rPr>
        <w:rFonts w:hint="eastAsia"/>
      </w:rPr>
    </w:lvl>
    <w:lvl w:ilvl="3" w:tentative="0">
      <w:start w:val="1"/>
      <w:numFmt w:val="decimal"/>
      <w:lvlText w:val="%4."/>
      <w:lvlJc w:val="left"/>
      <w:pPr>
        <w:tabs>
          <w:tab w:val="left" w:pos="420"/>
        </w:tabs>
        <w:ind w:left="2310" w:hanging="420"/>
      </w:pPr>
      <w:rPr>
        <w:rFonts w:hint="eastAsia"/>
      </w:rPr>
    </w:lvl>
    <w:lvl w:ilvl="4" w:tentative="0">
      <w:start w:val="1"/>
      <w:numFmt w:val="lowerLetter"/>
      <w:lvlText w:val="%5)"/>
      <w:lvlJc w:val="left"/>
      <w:pPr>
        <w:tabs>
          <w:tab w:val="left" w:pos="420"/>
        </w:tabs>
        <w:ind w:left="2730" w:hanging="420"/>
      </w:pPr>
      <w:rPr>
        <w:rFonts w:hint="eastAsia"/>
      </w:rPr>
    </w:lvl>
    <w:lvl w:ilvl="5" w:tentative="0">
      <w:start w:val="1"/>
      <w:numFmt w:val="lowerRoman"/>
      <w:lvlText w:val="%6."/>
      <w:lvlJc w:val="right"/>
      <w:pPr>
        <w:tabs>
          <w:tab w:val="left" w:pos="420"/>
        </w:tabs>
        <w:ind w:left="3150" w:hanging="420"/>
      </w:pPr>
      <w:rPr>
        <w:rFonts w:hint="eastAsia"/>
      </w:rPr>
    </w:lvl>
    <w:lvl w:ilvl="6" w:tentative="0">
      <w:start w:val="1"/>
      <w:numFmt w:val="decimal"/>
      <w:lvlText w:val="%7."/>
      <w:lvlJc w:val="left"/>
      <w:pPr>
        <w:tabs>
          <w:tab w:val="left" w:pos="420"/>
        </w:tabs>
        <w:ind w:left="3570" w:hanging="420"/>
      </w:pPr>
      <w:rPr>
        <w:rFonts w:hint="eastAsia"/>
      </w:rPr>
    </w:lvl>
    <w:lvl w:ilvl="7" w:tentative="0">
      <w:start w:val="1"/>
      <w:numFmt w:val="lowerLetter"/>
      <w:lvlText w:val="%8)"/>
      <w:lvlJc w:val="left"/>
      <w:pPr>
        <w:tabs>
          <w:tab w:val="left" w:pos="420"/>
        </w:tabs>
        <w:ind w:left="3990" w:hanging="420"/>
      </w:pPr>
      <w:rPr>
        <w:rFonts w:hint="eastAsia"/>
      </w:rPr>
    </w:lvl>
    <w:lvl w:ilvl="8" w:tentative="0">
      <w:start w:val="1"/>
      <w:numFmt w:val="lowerRoman"/>
      <w:lvlText w:val="%9."/>
      <w:lvlJc w:val="right"/>
      <w:pPr>
        <w:tabs>
          <w:tab w:val="left" w:pos="420"/>
        </w:tabs>
        <w:ind w:left="4410" w:hanging="420"/>
      </w:pPr>
      <w:rPr>
        <w:rFonts w:hint="eastAsia"/>
      </w:rPr>
    </w:lvl>
  </w:abstractNum>
  <w:abstractNum w:abstractNumId="3">
    <w:nsid w:val="6B029105"/>
    <w:multiLevelType w:val="multilevel"/>
    <w:tmpl w:val="6B029105"/>
    <w:lvl w:ilvl="0" w:tentative="0">
      <w:start w:val="1"/>
      <w:numFmt w:val="chineseCountingThousand"/>
      <w:lvlText w:val="(%1)"/>
      <w:lvlJc w:val="left"/>
      <w:pPr>
        <w:ind w:left="562"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0CD"/>
    <w:rsid w:val="00002395"/>
    <w:rsid w:val="000505BA"/>
    <w:rsid w:val="00051DE5"/>
    <w:rsid w:val="0007486E"/>
    <w:rsid w:val="000833B6"/>
    <w:rsid w:val="000E25AC"/>
    <w:rsid w:val="000E35B2"/>
    <w:rsid w:val="000E4BF7"/>
    <w:rsid w:val="000E6829"/>
    <w:rsid w:val="0015366A"/>
    <w:rsid w:val="00156CE6"/>
    <w:rsid w:val="0017113C"/>
    <w:rsid w:val="00172A27"/>
    <w:rsid w:val="001A472E"/>
    <w:rsid w:val="001C3D04"/>
    <w:rsid w:val="001D430C"/>
    <w:rsid w:val="00210F73"/>
    <w:rsid w:val="0022687E"/>
    <w:rsid w:val="00274CDE"/>
    <w:rsid w:val="00280052"/>
    <w:rsid w:val="002872F2"/>
    <w:rsid w:val="00290119"/>
    <w:rsid w:val="002A37E2"/>
    <w:rsid w:val="002B1465"/>
    <w:rsid w:val="002B5A99"/>
    <w:rsid w:val="002B67E9"/>
    <w:rsid w:val="002F03DE"/>
    <w:rsid w:val="00330775"/>
    <w:rsid w:val="00330D70"/>
    <w:rsid w:val="0034061D"/>
    <w:rsid w:val="00365773"/>
    <w:rsid w:val="0037106F"/>
    <w:rsid w:val="0039215D"/>
    <w:rsid w:val="003B1EE3"/>
    <w:rsid w:val="003C1DCC"/>
    <w:rsid w:val="0040589B"/>
    <w:rsid w:val="00430F02"/>
    <w:rsid w:val="00435F00"/>
    <w:rsid w:val="00436236"/>
    <w:rsid w:val="00481F02"/>
    <w:rsid w:val="00483373"/>
    <w:rsid w:val="00484AF0"/>
    <w:rsid w:val="00490892"/>
    <w:rsid w:val="004A4B0B"/>
    <w:rsid w:val="004B00D7"/>
    <w:rsid w:val="004B1775"/>
    <w:rsid w:val="004B76B5"/>
    <w:rsid w:val="004D160B"/>
    <w:rsid w:val="004E0C87"/>
    <w:rsid w:val="004E2089"/>
    <w:rsid w:val="005159C4"/>
    <w:rsid w:val="00533348"/>
    <w:rsid w:val="00547635"/>
    <w:rsid w:val="005478B2"/>
    <w:rsid w:val="00562236"/>
    <w:rsid w:val="00570D73"/>
    <w:rsid w:val="00575E3C"/>
    <w:rsid w:val="005B58A9"/>
    <w:rsid w:val="005C0CD5"/>
    <w:rsid w:val="005F216E"/>
    <w:rsid w:val="00606B06"/>
    <w:rsid w:val="0061254F"/>
    <w:rsid w:val="00623DA0"/>
    <w:rsid w:val="00624D1C"/>
    <w:rsid w:val="00625A2A"/>
    <w:rsid w:val="00653642"/>
    <w:rsid w:val="00655185"/>
    <w:rsid w:val="00661D4E"/>
    <w:rsid w:val="00666085"/>
    <w:rsid w:val="00667D57"/>
    <w:rsid w:val="006744F7"/>
    <w:rsid w:val="006905E2"/>
    <w:rsid w:val="006B7088"/>
    <w:rsid w:val="006C4CD9"/>
    <w:rsid w:val="006C5AEC"/>
    <w:rsid w:val="006D1920"/>
    <w:rsid w:val="006E4770"/>
    <w:rsid w:val="00710038"/>
    <w:rsid w:val="00712570"/>
    <w:rsid w:val="00744A05"/>
    <w:rsid w:val="00771E5A"/>
    <w:rsid w:val="00772BB4"/>
    <w:rsid w:val="00774473"/>
    <w:rsid w:val="007A7757"/>
    <w:rsid w:val="007C2D56"/>
    <w:rsid w:val="007E13B4"/>
    <w:rsid w:val="0084412C"/>
    <w:rsid w:val="008973E9"/>
    <w:rsid w:val="008C3EFF"/>
    <w:rsid w:val="008E59B9"/>
    <w:rsid w:val="008E6EA1"/>
    <w:rsid w:val="008E7080"/>
    <w:rsid w:val="008F0C5C"/>
    <w:rsid w:val="009078A7"/>
    <w:rsid w:val="00910C11"/>
    <w:rsid w:val="00926B4B"/>
    <w:rsid w:val="009343AF"/>
    <w:rsid w:val="0093626E"/>
    <w:rsid w:val="00961FA7"/>
    <w:rsid w:val="00962E77"/>
    <w:rsid w:val="009703C1"/>
    <w:rsid w:val="00971C62"/>
    <w:rsid w:val="009A7EDB"/>
    <w:rsid w:val="009F17BE"/>
    <w:rsid w:val="00A10E93"/>
    <w:rsid w:val="00A113F3"/>
    <w:rsid w:val="00A178DF"/>
    <w:rsid w:val="00A27259"/>
    <w:rsid w:val="00A34BFE"/>
    <w:rsid w:val="00A53676"/>
    <w:rsid w:val="00A60A23"/>
    <w:rsid w:val="00A85EEB"/>
    <w:rsid w:val="00A97D0F"/>
    <w:rsid w:val="00AB5FE0"/>
    <w:rsid w:val="00B053D6"/>
    <w:rsid w:val="00B11FCF"/>
    <w:rsid w:val="00B14256"/>
    <w:rsid w:val="00B24864"/>
    <w:rsid w:val="00B32B83"/>
    <w:rsid w:val="00B45464"/>
    <w:rsid w:val="00B47C2A"/>
    <w:rsid w:val="00B61BBD"/>
    <w:rsid w:val="00B67DCE"/>
    <w:rsid w:val="00B73A2B"/>
    <w:rsid w:val="00B84896"/>
    <w:rsid w:val="00B91405"/>
    <w:rsid w:val="00B92E45"/>
    <w:rsid w:val="00BA0EBE"/>
    <w:rsid w:val="00BB589B"/>
    <w:rsid w:val="00BD47CC"/>
    <w:rsid w:val="00BE08AB"/>
    <w:rsid w:val="00C10EFA"/>
    <w:rsid w:val="00C34A04"/>
    <w:rsid w:val="00C362D4"/>
    <w:rsid w:val="00C36C64"/>
    <w:rsid w:val="00C529C8"/>
    <w:rsid w:val="00C65688"/>
    <w:rsid w:val="00CB18A1"/>
    <w:rsid w:val="00CC17C1"/>
    <w:rsid w:val="00CC43FE"/>
    <w:rsid w:val="00CD563E"/>
    <w:rsid w:val="00CE0E2D"/>
    <w:rsid w:val="00D018BC"/>
    <w:rsid w:val="00D51781"/>
    <w:rsid w:val="00D521EB"/>
    <w:rsid w:val="00D543C9"/>
    <w:rsid w:val="00D57E7D"/>
    <w:rsid w:val="00D77CEE"/>
    <w:rsid w:val="00D94B69"/>
    <w:rsid w:val="00D94C1F"/>
    <w:rsid w:val="00DC2F17"/>
    <w:rsid w:val="00DD2160"/>
    <w:rsid w:val="00E00CEB"/>
    <w:rsid w:val="00E108FD"/>
    <w:rsid w:val="00E148A9"/>
    <w:rsid w:val="00E16B57"/>
    <w:rsid w:val="00E31C23"/>
    <w:rsid w:val="00E428DF"/>
    <w:rsid w:val="00E52BC4"/>
    <w:rsid w:val="00E536E8"/>
    <w:rsid w:val="00E62DE3"/>
    <w:rsid w:val="00E72FE4"/>
    <w:rsid w:val="00E90F8F"/>
    <w:rsid w:val="00E939B2"/>
    <w:rsid w:val="00EA4079"/>
    <w:rsid w:val="00EB6047"/>
    <w:rsid w:val="00EE40F2"/>
    <w:rsid w:val="00EF2830"/>
    <w:rsid w:val="00F0029D"/>
    <w:rsid w:val="00F108DB"/>
    <w:rsid w:val="00F226D1"/>
    <w:rsid w:val="00F32718"/>
    <w:rsid w:val="00F3303E"/>
    <w:rsid w:val="00F34AD5"/>
    <w:rsid w:val="00F57900"/>
    <w:rsid w:val="00F77634"/>
    <w:rsid w:val="00FC3DED"/>
    <w:rsid w:val="00FF49E6"/>
    <w:rsid w:val="0178783D"/>
    <w:rsid w:val="01A11BA6"/>
    <w:rsid w:val="02145706"/>
    <w:rsid w:val="027A6631"/>
    <w:rsid w:val="02E02CB6"/>
    <w:rsid w:val="02E07918"/>
    <w:rsid w:val="033E2385"/>
    <w:rsid w:val="055A4239"/>
    <w:rsid w:val="059D46DC"/>
    <w:rsid w:val="05B715A6"/>
    <w:rsid w:val="05BD3FDC"/>
    <w:rsid w:val="063C742E"/>
    <w:rsid w:val="06E40DDE"/>
    <w:rsid w:val="0742344D"/>
    <w:rsid w:val="07791ABF"/>
    <w:rsid w:val="07A41EF0"/>
    <w:rsid w:val="07B113B1"/>
    <w:rsid w:val="08905A5D"/>
    <w:rsid w:val="089F15B9"/>
    <w:rsid w:val="092E7B2D"/>
    <w:rsid w:val="09A852FE"/>
    <w:rsid w:val="09D12061"/>
    <w:rsid w:val="0A9158AC"/>
    <w:rsid w:val="0A995AF9"/>
    <w:rsid w:val="0B7B28DE"/>
    <w:rsid w:val="0C3774EE"/>
    <w:rsid w:val="0C41091C"/>
    <w:rsid w:val="0C76155D"/>
    <w:rsid w:val="0CBA3158"/>
    <w:rsid w:val="0D0C1AC9"/>
    <w:rsid w:val="0D6B7BB7"/>
    <w:rsid w:val="0D8D38B2"/>
    <w:rsid w:val="0DC6661E"/>
    <w:rsid w:val="0ECE3B28"/>
    <w:rsid w:val="0EDC09B8"/>
    <w:rsid w:val="0F4D0C68"/>
    <w:rsid w:val="0F913EF4"/>
    <w:rsid w:val="0FFF374B"/>
    <w:rsid w:val="10421AC9"/>
    <w:rsid w:val="10D72E88"/>
    <w:rsid w:val="113479D0"/>
    <w:rsid w:val="126446C4"/>
    <w:rsid w:val="133758B2"/>
    <w:rsid w:val="133B7CB6"/>
    <w:rsid w:val="13516C10"/>
    <w:rsid w:val="13773B22"/>
    <w:rsid w:val="14344FEA"/>
    <w:rsid w:val="14D11948"/>
    <w:rsid w:val="1533273B"/>
    <w:rsid w:val="156F7A5C"/>
    <w:rsid w:val="15724284"/>
    <w:rsid w:val="15E855D7"/>
    <w:rsid w:val="16002C0B"/>
    <w:rsid w:val="17D80000"/>
    <w:rsid w:val="182257A9"/>
    <w:rsid w:val="18A57821"/>
    <w:rsid w:val="19223B40"/>
    <w:rsid w:val="1A255DB4"/>
    <w:rsid w:val="1A347181"/>
    <w:rsid w:val="1A8E7DB2"/>
    <w:rsid w:val="1AC97351"/>
    <w:rsid w:val="1B090C0D"/>
    <w:rsid w:val="1B88041A"/>
    <w:rsid w:val="1B8B38B7"/>
    <w:rsid w:val="1C7D62BC"/>
    <w:rsid w:val="1CEB0840"/>
    <w:rsid w:val="1CFA206A"/>
    <w:rsid w:val="1D004D2D"/>
    <w:rsid w:val="1DEA31D9"/>
    <w:rsid w:val="1E1E0B8E"/>
    <w:rsid w:val="1F0F0852"/>
    <w:rsid w:val="1F2724CF"/>
    <w:rsid w:val="1F933D52"/>
    <w:rsid w:val="209B4D61"/>
    <w:rsid w:val="21A644BA"/>
    <w:rsid w:val="21F109D9"/>
    <w:rsid w:val="2288660F"/>
    <w:rsid w:val="23142E0E"/>
    <w:rsid w:val="249F4ED8"/>
    <w:rsid w:val="24E705E6"/>
    <w:rsid w:val="251D7244"/>
    <w:rsid w:val="25624AB6"/>
    <w:rsid w:val="26435F00"/>
    <w:rsid w:val="26512148"/>
    <w:rsid w:val="268212B1"/>
    <w:rsid w:val="26A20DC5"/>
    <w:rsid w:val="272F38AA"/>
    <w:rsid w:val="27C65A95"/>
    <w:rsid w:val="281804FF"/>
    <w:rsid w:val="283D0AC3"/>
    <w:rsid w:val="284C38B0"/>
    <w:rsid w:val="290B0082"/>
    <w:rsid w:val="29D362B2"/>
    <w:rsid w:val="2A4C3F29"/>
    <w:rsid w:val="2A6D78D9"/>
    <w:rsid w:val="2A9F35E6"/>
    <w:rsid w:val="2ADB6131"/>
    <w:rsid w:val="2AEE1E20"/>
    <w:rsid w:val="2B596F4D"/>
    <w:rsid w:val="2B8A64F9"/>
    <w:rsid w:val="2B9D4E63"/>
    <w:rsid w:val="2BF4354C"/>
    <w:rsid w:val="2C0956FC"/>
    <w:rsid w:val="2C55701C"/>
    <w:rsid w:val="2C6E3D4F"/>
    <w:rsid w:val="2CF6575E"/>
    <w:rsid w:val="2D1F0785"/>
    <w:rsid w:val="2D9539FC"/>
    <w:rsid w:val="2DCE5163"/>
    <w:rsid w:val="2E117AED"/>
    <w:rsid w:val="2E152A91"/>
    <w:rsid w:val="2E4C0B19"/>
    <w:rsid w:val="2EC66876"/>
    <w:rsid w:val="2EF009B1"/>
    <w:rsid w:val="2F4D6889"/>
    <w:rsid w:val="2F5208D6"/>
    <w:rsid w:val="2F751334"/>
    <w:rsid w:val="307B1996"/>
    <w:rsid w:val="309028C4"/>
    <w:rsid w:val="31153802"/>
    <w:rsid w:val="31350BB9"/>
    <w:rsid w:val="313E3540"/>
    <w:rsid w:val="31ED214C"/>
    <w:rsid w:val="31F36186"/>
    <w:rsid w:val="326A4812"/>
    <w:rsid w:val="34350C90"/>
    <w:rsid w:val="34362033"/>
    <w:rsid w:val="34C7209F"/>
    <w:rsid w:val="34DE15A2"/>
    <w:rsid w:val="35942136"/>
    <w:rsid w:val="35BD3D8E"/>
    <w:rsid w:val="366F1D26"/>
    <w:rsid w:val="36853CE4"/>
    <w:rsid w:val="37A20048"/>
    <w:rsid w:val="381F10B5"/>
    <w:rsid w:val="387025AD"/>
    <w:rsid w:val="38CD5E01"/>
    <w:rsid w:val="395C325A"/>
    <w:rsid w:val="39B70940"/>
    <w:rsid w:val="3B1F08E3"/>
    <w:rsid w:val="3B7F2727"/>
    <w:rsid w:val="3B7F79D2"/>
    <w:rsid w:val="3D5B66D1"/>
    <w:rsid w:val="3DD50400"/>
    <w:rsid w:val="3ECC37B6"/>
    <w:rsid w:val="3F6B7865"/>
    <w:rsid w:val="40A67FAF"/>
    <w:rsid w:val="40E4461A"/>
    <w:rsid w:val="411D5D77"/>
    <w:rsid w:val="41CA211D"/>
    <w:rsid w:val="43314E22"/>
    <w:rsid w:val="435E10D5"/>
    <w:rsid w:val="43C16E99"/>
    <w:rsid w:val="441E1649"/>
    <w:rsid w:val="44767CC4"/>
    <w:rsid w:val="449D400F"/>
    <w:rsid w:val="44D55BD0"/>
    <w:rsid w:val="462147C5"/>
    <w:rsid w:val="470A76E7"/>
    <w:rsid w:val="47136D96"/>
    <w:rsid w:val="474F1748"/>
    <w:rsid w:val="475B6E4F"/>
    <w:rsid w:val="47995F12"/>
    <w:rsid w:val="47BB5C9C"/>
    <w:rsid w:val="47BE5973"/>
    <w:rsid w:val="48912FBF"/>
    <w:rsid w:val="489D6FD2"/>
    <w:rsid w:val="48CB7D24"/>
    <w:rsid w:val="48CC31F2"/>
    <w:rsid w:val="49212C76"/>
    <w:rsid w:val="493F6F4E"/>
    <w:rsid w:val="49EA2699"/>
    <w:rsid w:val="4A3102F8"/>
    <w:rsid w:val="4AD66EA7"/>
    <w:rsid w:val="4CBD5CD6"/>
    <w:rsid w:val="4CCD1328"/>
    <w:rsid w:val="4DFB27DF"/>
    <w:rsid w:val="4E486D72"/>
    <w:rsid w:val="4E673A3F"/>
    <w:rsid w:val="4F8E6996"/>
    <w:rsid w:val="4FC25C42"/>
    <w:rsid w:val="4FE03ABF"/>
    <w:rsid w:val="5087345E"/>
    <w:rsid w:val="509F2143"/>
    <w:rsid w:val="50A802B4"/>
    <w:rsid w:val="50B86295"/>
    <w:rsid w:val="5133083D"/>
    <w:rsid w:val="516330AC"/>
    <w:rsid w:val="518C75CF"/>
    <w:rsid w:val="51EB7FC7"/>
    <w:rsid w:val="522877B3"/>
    <w:rsid w:val="528A0DEC"/>
    <w:rsid w:val="52977256"/>
    <w:rsid w:val="52FA369F"/>
    <w:rsid w:val="53047B3A"/>
    <w:rsid w:val="53123524"/>
    <w:rsid w:val="533A6743"/>
    <w:rsid w:val="542838AB"/>
    <w:rsid w:val="54485AAB"/>
    <w:rsid w:val="547B21D2"/>
    <w:rsid w:val="548173AF"/>
    <w:rsid w:val="553653F7"/>
    <w:rsid w:val="56205625"/>
    <w:rsid w:val="5817078C"/>
    <w:rsid w:val="5A7D0EEF"/>
    <w:rsid w:val="5A8163AB"/>
    <w:rsid w:val="5AC978D0"/>
    <w:rsid w:val="5C0315D1"/>
    <w:rsid w:val="5C312F83"/>
    <w:rsid w:val="5D7C2110"/>
    <w:rsid w:val="5E5F3CB5"/>
    <w:rsid w:val="5EEF50FA"/>
    <w:rsid w:val="5F1971B4"/>
    <w:rsid w:val="5F213BA7"/>
    <w:rsid w:val="60293C0E"/>
    <w:rsid w:val="609118D5"/>
    <w:rsid w:val="60A90D2C"/>
    <w:rsid w:val="60BE2C75"/>
    <w:rsid w:val="619B0B0C"/>
    <w:rsid w:val="61B47BD2"/>
    <w:rsid w:val="6212348A"/>
    <w:rsid w:val="632226CC"/>
    <w:rsid w:val="6325534C"/>
    <w:rsid w:val="63294B51"/>
    <w:rsid w:val="63390941"/>
    <w:rsid w:val="637C1CA3"/>
    <w:rsid w:val="63F50D9E"/>
    <w:rsid w:val="64244D06"/>
    <w:rsid w:val="64D31640"/>
    <w:rsid w:val="6534341A"/>
    <w:rsid w:val="65661FD7"/>
    <w:rsid w:val="65927500"/>
    <w:rsid w:val="65F0054B"/>
    <w:rsid w:val="65FD4595"/>
    <w:rsid w:val="663934C2"/>
    <w:rsid w:val="664B2D7B"/>
    <w:rsid w:val="667F2542"/>
    <w:rsid w:val="670E0A86"/>
    <w:rsid w:val="67BE7501"/>
    <w:rsid w:val="67F5276A"/>
    <w:rsid w:val="68991861"/>
    <w:rsid w:val="68996BE9"/>
    <w:rsid w:val="68B51A5E"/>
    <w:rsid w:val="69274095"/>
    <w:rsid w:val="6930614F"/>
    <w:rsid w:val="69CE6A4B"/>
    <w:rsid w:val="69D13B43"/>
    <w:rsid w:val="6A287F2E"/>
    <w:rsid w:val="6A2A5189"/>
    <w:rsid w:val="6A3649E6"/>
    <w:rsid w:val="6C4C66E5"/>
    <w:rsid w:val="6CE847CB"/>
    <w:rsid w:val="6E1A07B0"/>
    <w:rsid w:val="70133147"/>
    <w:rsid w:val="70256808"/>
    <w:rsid w:val="708B0095"/>
    <w:rsid w:val="714A673B"/>
    <w:rsid w:val="71F84A62"/>
    <w:rsid w:val="72A63516"/>
    <w:rsid w:val="72E62861"/>
    <w:rsid w:val="743D46AF"/>
    <w:rsid w:val="744C2240"/>
    <w:rsid w:val="74BC60DC"/>
    <w:rsid w:val="752F3596"/>
    <w:rsid w:val="75A168B4"/>
    <w:rsid w:val="76A90177"/>
    <w:rsid w:val="76E22105"/>
    <w:rsid w:val="77291109"/>
    <w:rsid w:val="772F33CB"/>
    <w:rsid w:val="774F0A26"/>
    <w:rsid w:val="775B2621"/>
    <w:rsid w:val="782A0B40"/>
    <w:rsid w:val="787319FF"/>
    <w:rsid w:val="7915193D"/>
    <w:rsid w:val="79441E74"/>
    <w:rsid w:val="795E5F4F"/>
    <w:rsid w:val="7B306AC3"/>
    <w:rsid w:val="7BA21CBE"/>
    <w:rsid w:val="7BE76F92"/>
    <w:rsid w:val="7C6D1CA9"/>
    <w:rsid w:val="7CE335E4"/>
    <w:rsid w:val="7D1935FA"/>
    <w:rsid w:val="7E2B1E98"/>
    <w:rsid w:val="7EC245E8"/>
    <w:rsid w:val="7EC41B59"/>
    <w:rsid w:val="7FD2690A"/>
    <w:rsid w:val="7FF218D0"/>
    <w:rsid w:val="7FFB7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name="footnote text"/>
    <w:lsdException w:qFormat="1" w:uiPriority="99"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rPr>
      <w:rFonts w:ascii="Calibri" w:hAnsi="Calibri"/>
      <w:szCs w:val="22"/>
    </w:rPr>
  </w:style>
  <w:style w:type="paragraph" w:styleId="3">
    <w:name w:val="Balloon Text"/>
    <w:basedOn w:val="1"/>
    <w:link w:val="16"/>
    <w:qFormat/>
    <w:uiPriority w:val="0"/>
    <w:rPr>
      <w:sz w:val="18"/>
      <w:szCs w:val="18"/>
    </w:rPr>
  </w:style>
  <w:style w:type="paragraph" w:styleId="4">
    <w:name w:val="footer"/>
    <w:basedOn w:val="1"/>
    <w:link w:val="13"/>
    <w:unhideWhenUsed/>
    <w:qFormat/>
    <w:uiPriority w:val="99"/>
    <w:pPr>
      <w:tabs>
        <w:tab w:val="center" w:pos="4153"/>
        <w:tab w:val="right" w:pos="8306"/>
      </w:tabs>
      <w:snapToGrid w:val="0"/>
      <w:jc w:val="left"/>
    </w:pPr>
    <w:rPr>
      <w:rFonts w:ascii="Calibri" w:hAnsi="Calibri"/>
      <w:sz w:val="18"/>
      <w:szCs w:val="18"/>
    </w:rPr>
  </w:style>
  <w:style w:type="paragraph" w:styleId="5">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6">
    <w:name w:val="footnote text"/>
    <w:basedOn w:val="1"/>
    <w:semiHidden/>
    <w:unhideWhenUsed/>
    <w:qFormat/>
    <w:uiPriority w:val="0"/>
    <w:pPr>
      <w:snapToGrid w:val="0"/>
      <w:jc w:val="left"/>
    </w:pPr>
    <w:rPr>
      <w:sz w:val="18"/>
    </w:rPr>
  </w:style>
  <w:style w:type="paragraph" w:styleId="7">
    <w:name w:val="annotation subject"/>
    <w:basedOn w:val="2"/>
    <w:next w:val="2"/>
    <w:link w:val="18"/>
    <w:semiHidden/>
    <w:unhideWhenUsed/>
    <w:qFormat/>
    <w:uiPriority w:val="0"/>
    <w:rPr>
      <w:rFonts w:ascii="Times New Roman" w:hAnsi="Times New Roman"/>
      <w:b/>
      <w:bCs/>
      <w:szCs w:val="24"/>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unhideWhenUsed/>
    <w:qFormat/>
    <w:uiPriority w:val="99"/>
    <w:rPr>
      <w:sz w:val="21"/>
      <w:szCs w:val="21"/>
    </w:rPr>
  </w:style>
  <w:style w:type="character" w:styleId="12">
    <w:name w:val="footnote reference"/>
    <w:basedOn w:val="10"/>
    <w:semiHidden/>
    <w:unhideWhenUsed/>
    <w:qFormat/>
    <w:uiPriority w:val="0"/>
    <w:rPr>
      <w:vertAlign w:val="superscript"/>
    </w:rPr>
  </w:style>
  <w:style w:type="character" w:customStyle="1" w:styleId="13">
    <w:name w:val="页脚 字符"/>
    <w:link w:val="4"/>
    <w:qFormat/>
    <w:uiPriority w:val="99"/>
    <w:rPr>
      <w:rFonts w:ascii="Calibri" w:hAnsi="Calibri"/>
      <w:kern w:val="2"/>
      <w:sz w:val="18"/>
      <w:szCs w:val="18"/>
    </w:rPr>
  </w:style>
  <w:style w:type="paragraph" w:styleId="14">
    <w:name w:val="List Paragraph"/>
    <w:basedOn w:val="1"/>
    <w:qFormat/>
    <w:uiPriority w:val="34"/>
    <w:pPr>
      <w:ind w:firstLine="420" w:firstLineChars="200"/>
    </w:pPr>
    <w:rPr>
      <w:rFonts w:ascii="Calibri" w:hAnsi="Calibri"/>
      <w:szCs w:val="22"/>
    </w:rPr>
  </w:style>
  <w:style w:type="character" w:customStyle="1" w:styleId="15">
    <w:name w:val="批注文字 字符"/>
    <w:link w:val="2"/>
    <w:qFormat/>
    <w:uiPriority w:val="99"/>
    <w:rPr>
      <w:rFonts w:ascii="Calibri" w:hAnsi="Calibri"/>
      <w:kern w:val="2"/>
      <w:sz w:val="21"/>
      <w:szCs w:val="22"/>
    </w:rPr>
  </w:style>
  <w:style w:type="character" w:customStyle="1" w:styleId="16">
    <w:name w:val="批注框文本 字符"/>
    <w:link w:val="3"/>
    <w:qFormat/>
    <w:uiPriority w:val="0"/>
    <w:rPr>
      <w:kern w:val="2"/>
      <w:sz w:val="18"/>
      <w:szCs w:val="18"/>
    </w:rPr>
  </w:style>
  <w:style w:type="character" w:customStyle="1" w:styleId="17">
    <w:name w:val="页眉 字符"/>
    <w:link w:val="5"/>
    <w:qFormat/>
    <w:uiPriority w:val="0"/>
    <w:rPr>
      <w:kern w:val="2"/>
      <w:sz w:val="18"/>
      <w:szCs w:val="18"/>
    </w:rPr>
  </w:style>
  <w:style w:type="character" w:customStyle="1" w:styleId="18">
    <w:name w:val="批注主题 字符"/>
    <w:basedOn w:val="15"/>
    <w:link w:val="7"/>
    <w:semiHidden/>
    <w:qFormat/>
    <w:uiPriority w:val="0"/>
    <w:rPr>
      <w:rFonts w:ascii="Calibri" w:hAnsi="Calibri"/>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17</Pages>
  <Words>1461</Words>
  <Characters>8333</Characters>
  <Lines>69</Lines>
  <Paragraphs>19</Paragraphs>
  <TotalTime>4</TotalTime>
  <ScaleCrop>false</ScaleCrop>
  <LinksUpToDate>false</LinksUpToDate>
  <CharactersWithSpaces>9775</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2021-10-30T17:12:00Z</dcterms:created>
  <dc:creator>User</dc:creator>
  <cp:lastModifiedBy>WPS_1749083835</cp:lastModifiedBy>
  <dcterms:modified xsi:type="dcterms:W3CDTF">2026-04-14T15:09:24Z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93935836512741CCA6D2893AE2A99035</vt:lpwstr>
  </property>
</Properties>
</file>