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rFonts w:ascii="宋体" w:hAnsi="宋体"/>
          <w:szCs w:val="21"/>
        </w:rPr>
      </w:pP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1"/>
        <w:gridCol w:w="56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YEAR</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=SF_VFUN("D0000100001",$END_DATE)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MONTH_BEGIN</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=SF_VFUN("D0000100002",$END_DATE)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MONTH_END</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=SF_VFUN("D0000100003",$END_DATE)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MONTH_BEGIN_WITHOUT_ZERO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=SF_VFUN("D0000100004",$END_DATE)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MONTH_END_WITHOUT_ZERO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=SF_VFUN("D0000100005",$END_DATE)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DAY_BEGIN</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=SF_VFUN("D0000100006",$END_DATE)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DAY_END</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=SF_VFUN("D0000100007",$END_DATE)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DAY_BEGIN_WITHOUT_ZERO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=SF_VFUN("D0000100008",$END_DATE)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DAY_END_WITHOUT_ZERO</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=SF_VFUN("D0000100009",$END_DATE)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FREQUENCY_NAME</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=SF_VFUN("D0000100010",$END_DATE)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CASH_MGMT_CLS_FLAG</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IS_HALF_OR_WHOLE_YEAR</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=SF_VFUN("D0000100102",$END_DATE)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20_PERCENT_INVESTOR_EXIST</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OTHER_RLTV_EXIST</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=SF_VFUN("D0000100104",$END_DATE,$PROD_CODE)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OTHER_PART_TEXT_EXIST</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=SF_VFUN("D0000100105",$END_DATE,$PROD_CODE)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D0000101002</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D0000101003</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8"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D0000101004</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=SF_VFUN("D0000101004",$END_DATE,$PROD_CODE)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D0000101005</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=SF_VFUN("D0000101005",$END_DATE,$PROD_CODE)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D0000101006</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=SF_VFUN("D0000101006",$END_DATE,$PROD_CODE)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D0000101007</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=SF_VFUN("D0000101007",$END_DATE,$PROD_CODE)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D0000101008</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=SF_VFUN("D0000101008",$END_DATE,$PROD_CODE)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D0000101009</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=SF_VFUN("D0000101009",$END_DATE,$PROD_CODE)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D0000102001</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D0000102002</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D0000102003</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D0000102004</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=SF_VFUN("D0000102004",$END_DATE,$PROD_CODE)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D0000102005</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=SF_VFUN("D0000102005",$END_DATE,$PROD_CODE)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D0000105001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=SF_VFUN("D0000105001",$END_DATE,$PROD_CODE)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D0000105002</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=SF_VFUN("D0000105002",$END_DATE,$PROD_CODE)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D0000105003</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=SF_VFUN("D0000105003",$END_DATE,$PROD_CODE)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D0000106001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=SF_VFUN("D0000106001",$END_DATE,$PROD_CODE)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D00001理财产品持仓情况_现金及银行存款</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D00001理财产品持仓情况_同业存单</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D00001理财产品持仓情况_拆放同业及买入返售</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D00001理财产品持仓情况_债券</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D00001理财产品持仓情况_非标准化债权类资产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D00001理财产品持仓情况_权益类投资</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D00001理财产品持仓情况_境外投资资产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D00001理财产品持仓情况_商品类资产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D00001理财产品持仓情况_另类资产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D00001理财产品持仓情况_公募基金</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D00001理财产品持仓情况_私募基金</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D00001理财产品持仓情况_资产管理产品</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=SF_MDFUN("D00001理财产品持仓情况","穿透前金额,穿透前所占比例,穿透后金额,穿透后所占比例",$END_DATE,$PROD_CODE,"1.13")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D00001理财产品持仓情况合计</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=SF_MDFUN("D00001理财产品持仓情况合计","穿透前金额,穿透前所占比例,穿透后金额,穿透后所占比例",$END_DATE,$PROD_CODE)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41" w:type="dxa"/>
          </w:tcPr>
          <w:p>
            <w:pPr>
              <w:spacing w:line="360" w:lineRule="auto"/>
              <w:jc w:val="center"/>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D0000103001</w:t>
            </w:r>
          </w:p>
        </w:tc>
        <w:tc>
          <w:tcPr>
            <w:tcW w:w="5681" w:type="dxa"/>
            <w:vAlign w:val="center"/>
          </w:tcPr>
          <w:p>
            <w:pPr>
              <w:spacing w:line="360" w:lineRule="auto"/>
              <w:rPr>
                <w:rFonts w:asciiTheme="minorEastAsia" w:hAnsiTheme="minorEastAsia" w:eastAsiaTheme="minorEastAsia"/>
                <w:color w:val="0000FF"/>
                <w:sz w:val="15"/>
                <w:szCs w:val="15"/>
              </w:rPr>
            </w:pPr>
            <w:r>
              <w:rPr>
                <w:rFonts w:hint="eastAsia" w:asciiTheme="minorEastAsia" w:hAnsiTheme="minorEastAsia" w:eastAsiaTheme="minorEastAsia"/>
                <w:color w:val="0000FF"/>
                <w:szCs w:val="21"/>
              </w:rPr>
              <w:t>=SF_VFUN("D0000103001",$END_DATE,$PROD_CODE)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D00001产品持仓前十项资产</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=SF_MDFUN("D00001产品持仓前十项资产","资产名称,持仓,持仓比例",$END_DATE,$PROD_CODE)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D00001报告期末产品前十名投资者情况</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=SF_MDFUN("D00001报告期末产品前十名投资者情况","投资者类别,持有份额,占总份额比例",$END_DATE,$PROD_CODE)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D00001报告期内产品持有份额不低于20%的投资者情况</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=SF_MDFUN("D00001报告期内产品持有份额不低于20%的投资者情况","投资者类别,持有份额,占总份额比例,报告期内持有份额变化情况,产品风险情况",$END_DATE,$PROD_CODE)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D00001非标资产投资情况</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=SF_MDFUN("D00001非标资产投资情况","融资客户,项目名称,剩余融资期限,到期收益预计,投资模式,风险状况",$END_DATE,$PROD_CODE)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D0000108001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=SF_VFUN("D0000108001",$END_DATE,$PROD_CODE)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D0000108002</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=SF_VFUN("D0000108002",$END_DATE,$PROD_CODE)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D00001关联交易情况_关联方发行的证券</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=SF_MDFUN("D00001关联交易情况_关联方发行的证券","关联方名称,证券代码,证券名称,交易数量,结算金额",$END_DATE,$PROD_CODE)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D00001关联交易情况_关联方承销的证券</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=SF_MDFUN("D00001关联交易情况_关联方承销的证券","关联方名称,证券代码,证券名称,交易数量,结算金额",$END_DATE,$PROD_CODE)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D00001关联交易情况_其他关联交易</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=SF_MDFUN("D00001关联交易情况_其他关联交易","交易类型名称,关联方名称,季报周期内产品总费用",$END_DATE,$PROD_CODE)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841" w:type="dxa"/>
          </w:tcPr>
          <w:p>
            <w:pPr>
              <w:spacing w:line="360" w:lineRule="auto"/>
              <w:jc w:val="center"/>
              <w:rPr>
                <w:rFonts w:asciiTheme="minorEastAsia" w:hAnsiTheme="minorEastAsia" w:eastAsiaTheme="minorEastAsia"/>
                <w:color w:val="0000FF"/>
                <w:szCs w:val="21"/>
              </w:rPr>
            </w:pPr>
            <w:r>
              <w:rPr>
                <w:rFonts w:hint="eastAsia" w:asciiTheme="minorEastAsia" w:hAnsiTheme="minorEastAsia" w:eastAsiaTheme="minorEastAsia"/>
                <w:color w:val="0000FF"/>
                <w:szCs w:val="21"/>
              </w:rPr>
              <w:t>D0000109001</w:t>
            </w:r>
          </w:p>
        </w:tc>
        <w:tc>
          <w:tcPr>
            <w:tcW w:w="5681" w:type="dxa"/>
            <w:vAlign w:val="center"/>
          </w:tcPr>
          <w:p>
            <w:pPr>
              <w:spacing w:line="360" w:lineRule="auto"/>
              <w:rPr>
                <w:rFonts w:asciiTheme="minorEastAsia" w:hAnsiTheme="minorEastAsia" w:eastAsiaTheme="minorEastAsia"/>
                <w:color w:val="0000FF"/>
                <w:szCs w:val="21"/>
              </w:rPr>
            </w:pPr>
            <w:r>
              <w:rPr>
                <w:rFonts w:hint="eastAsia" w:asciiTheme="minorEastAsia" w:hAnsiTheme="minorEastAsia" w:eastAsiaTheme="minorEastAsia"/>
                <w:color w:val="0000FF"/>
                <w:szCs w:val="21"/>
              </w:rPr>
              <w:t>=SF_VFUN("D0000109001",$END_DATE,$PROD_CODE)</w:t>
            </w:r>
          </w:p>
        </w:tc>
      </w:tr>
    </w:tbl>
    <w:p>
      <w:pPr>
        <w:spacing w:line="360" w:lineRule="auto"/>
        <w:rPr>
          <w:rFonts w:ascii="宋体" w:hAnsi="宋体"/>
          <w:szCs w:val="21"/>
        </w:rPr>
      </w:pPr>
    </w:p>
    <w:p>
      <w:pPr>
        <w:spacing w:line="360" w:lineRule="auto"/>
        <w:jc w:val="center"/>
        <w:rPr>
          <w:rFonts w:ascii="宋体" w:hAnsi="宋体"/>
          <w:b/>
          <w:sz w:val="32"/>
          <w:szCs w:val="32"/>
        </w:rPr>
      </w:pPr>
      <w:r>
        <w:rPr>
          <w:rFonts w:ascii="宋体" w:hAnsi="宋体"/>
          <w:b/>
          <w:sz w:val="32"/>
          <w:szCs w:val="32"/>
        </w:rPr>
        <w:t>${D0000101002}</w:t>
      </w:r>
    </w:p>
    <w:p>
      <w:pPr>
        <w:spacing w:line="360" w:lineRule="auto"/>
        <w:jc w:val="center"/>
        <w:rPr>
          <w:rFonts w:ascii="宋体" w:hAnsi="宋体"/>
          <w:szCs w:val="21"/>
        </w:rPr>
      </w:pPr>
      <w:r>
        <w:rPr>
          <w:rFonts w:hint="eastAsia" w:ascii="宋体" w:hAnsi="宋体"/>
          <w:b/>
          <w:sz w:val="32"/>
          <w:szCs w:val="32"/>
        </w:rPr>
        <w:t>${YEAR}年${FREQUENCY_NAME}投资运作情况报告</w:t>
      </w: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ind w:firstLine="1680" w:firstLineChars="800"/>
        <w:rPr>
          <w:rFonts w:ascii="宋体" w:hAnsi="宋体"/>
          <w:szCs w:val="21"/>
        </w:rPr>
      </w:pPr>
      <w:r>
        <w:rPr>
          <w:rFonts w:hint="eastAsia" w:ascii="宋体" w:hAnsi="宋体"/>
          <w:szCs w:val="21"/>
        </w:rPr>
        <w:t>理财产品管理人：</w:t>
      </w:r>
    </w:p>
    <w:p>
      <w:pPr>
        <w:spacing w:line="360" w:lineRule="auto"/>
        <w:ind w:firstLine="1680" w:firstLineChars="800"/>
        <w:rPr>
          <w:rFonts w:ascii="宋体" w:hAnsi="宋体"/>
          <w:szCs w:val="21"/>
        </w:rPr>
      </w:pPr>
      <w:r>
        <w:rPr>
          <w:rFonts w:hint="eastAsia" w:ascii="宋体" w:hAnsi="宋体"/>
          <w:szCs w:val="21"/>
        </w:rPr>
        <w:t>理财产品托管人：</w:t>
      </w:r>
    </w:p>
    <w:p>
      <w:pPr>
        <w:spacing w:line="360" w:lineRule="auto"/>
        <w:ind w:firstLine="1680" w:firstLineChars="800"/>
        <w:rPr>
          <w:rFonts w:ascii="宋体" w:hAnsi="宋体"/>
          <w:szCs w:val="21"/>
        </w:rPr>
      </w:pPr>
      <w:r>
        <w:rPr>
          <w:rFonts w:hint="eastAsia" w:ascii="宋体" w:hAnsi="宋体"/>
          <w:szCs w:val="21"/>
        </w:rPr>
        <w:t>报告期：${YEAR}年${MONTH_BEGIN_WITHOUT_ZERO}月${DAY_BEGIN_WITHOUT_ZERO}日至${YEAR}年${MONTH_END_WITHOUT_ZERO}月${DAY_END_WITHOUT_ZERO}日</w:t>
      </w: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宋体" w:hAnsi="宋体"/>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一、理财产品基本情况</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5"/>
        <w:gridCol w:w="41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理财产品代码</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理财产品名称</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全国银行业理财信息登记系统登记编码</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产品类型</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募集方式</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产品运作模式</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风险级别</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理财产品成立日</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5"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理财产品到期日</w:t>
            </w:r>
          </w:p>
        </w:tc>
        <w:tc>
          <w:tcPr>
            <w:tcW w:w="4151"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${D0000101009}</w:t>
            </w:r>
          </w:p>
        </w:tc>
      </w:tr>
    </w:tbl>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二、存续规模和收益表现</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截至报告期末，理财产品存续规模及收益表现如下：</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6"/>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理财产品总份额</w:t>
            </w:r>
          </w:p>
        </w:tc>
        <w:tc>
          <w:tcPr>
            <w:tcW w:w="4150"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${D0000102001}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理财产品份额净值</w:t>
            </w:r>
          </w:p>
        </w:tc>
        <w:tc>
          <w:tcPr>
            <w:tcW w:w="4150" w:type="dxa"/>
            <w:shd w:val="clear" w:color="auto" w:fill="auto"/>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${D0000102002}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理财产品累计净值</w:t>
            </w:r>
          </w:p>
        </w:tc>
        <w:tc>
          <w:tcPr>
            <w:tcW w:w="4150" w:type="dxa"/>
            <w:shd w:val="clear" w:color="auto" w:fill="auto"/>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${D0000102003}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理财产品资产净值</w:t>
            </w:r>
          </w:p>
        </w:tc>
        <w:tc>
          <w:tcPr>
            <w:tcW w:w="4150" w:type="dxa"/>
            <w:shd w:val="clear" w:color="auto" w:fill="auto"/>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${D0000102004}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pStyle w:val="12"/>
              <w:spacing w:line="360" w:lineRule="auto"/>
              <w:ind w:firstLine="0" w:firstLineChars="0"/>
              <w:rPr>
                <w:rFonts w:asciiTheme="minorEastAsia" w:hAnsiTheme="minorEastAsia" w:eastAsiaTheme="minorEastAsia"/>
                <w:szCs w:val="21"/>
              </w:rPr>
            </w:pPr>
            <w:r>
              <w:rPr>
                <w:rFonts w:hint="eastAsia" w:asciiTheme="minorEastAsia" w:hAnsiTheme="minorEastAsia" w:eastAsiaTheme="minorEastAsia"/>
                <w:szCs w:val="21"/>
              </w:rPr>
              <w:t>较上一报告期份额净值增长率</w:t>
            </w:r>
          </w:p>
        </w:tc>
        <w:tc>
          <w:tcPr>
            <w:tcW w:w="4150" w:type="dxa"/>
            <w:shd w:val="clear" w:color="auto" w:fill="auto"/>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${D0000102005}</w:t>
            </w:r>
          </w:p>
        </w:tc>
      </w:tr>
    </w:tbl>
    <w:p>
      <w:pPr>
        <w:pStyle w:val="12"/>
        <w:spacing w:line="360" w:lineRule="auto"/>
        <w:ind w:firstLine="0" w:firstLineChars="0"/>
        <w:rPr>
          <w:rFonts w:asciiTheme="minorEastAsia" w:hAnsiTheme="minorEastAsia" w:eastAsiaTheme="minorEastAsia"/>
          <w:szCs w:val="21"/>
        </w:rPr>
      </w:pP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color w:val="FF0000"/>
          <w:szCs w:val="21"/>
        </w:rPr>
      </w:pPr>
      <w:r>
        <w:rPr>
          <w:rFonts w:hint="eastAsia" w:asciiTheme="minorEastAsia" w:hAnsiTheme="minorEastAsia" w:eastAsiaTheme="minorEastAsia"/>
          <w:b/>
          <w:szCs w:val="21"/>
        </w:rPr>
        <w:t>三、理财产品持仓情况</w:t>
      </w:r>
    </w:p>
    <w:tbl>
      <w:tblPr>
        <w:tblStyle w:val="7"/>
        <w:tblW w:w="9067"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47"/>
        <w:gridCol w:w="1417"/>
        <w:gridCol w:w="1843"/>
        <w:gridCol w:w="1418"/>
        <w:gridCol w:w="184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资产类别</w:t>
            </w:r>
          </w:p>
        </w:tc>
        <w:tc>
          <w:tcPr>
            <w:tcW w:w="1417"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穿透前金额</w:t>
            </w:r>
          </w:p>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（人民币万元）</w:t>
            </w:r>
          </w:p>
        </w:tc>
        <w:tc>
          <w:tcPr>
            <w:tcW w:w="1843"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占全部产品总资产的比例</w:t>
            </w:r>
          </w:p>
        </w:tc>
        <w:tc>
          <w:tcPr>
            <w:tcW w:w="1418" w:type="dxa"/>
            <w:vAlign w:val="center"/>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穿透后金额</w:t>
            </w:r>
          </w:p>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（万元人民币）</w:t>
            </w:r>
          </w:p>
        </w:tc>
        <w:tc>
          <w:tcPr>
            <w:tcW w:w="1842" w:type="dxa"/>
          </w:tcPr>
          <w:p>
            <w:pPr>
              <w:spacing w:line="360" w:lineRule="auto"/>
              <w:jc w:val="center"/>
              <w:rPr>
                <w:rFonts w:asciiTheme="minorEastAsia" w:hAnsiTheme="minorEastAsia" w:eastAsiaTheme="minorEastAsia"/>
                <w:b/>
                <w:szCs w:val="21"/>
              </w:rPr>
            </w:pPr>
            <w:r>
              <w:rPr>
                <w:rFonts w:hint="eastAsia" w:asciiTheme="minorEastAsia" w:hAnsiTheme="minorEastAsia" w:eastAsiaTheme="minorEastAsia"/>
                <w:b/>
                <w:szCs w:val="21"/>
              </w:rPr>
              <w:t>占全部产品总资产的比例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现金及银行存款</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${D00001理财产品持仓情况_现金及银行存款}</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同业存单</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${D00001理财产品持仓情况_同业存单}</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拆放同业及买入返售</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${D00001理财产品持仓情况_拆放同业及买入返售}</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债券</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${D00001理财产品持仓情况_债券}</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非标准化债权类资产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${D00001理财产品持仓情况_非标准化债权类资产}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权益类投资</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${D00001理财产品持仓情况_权益类投资}</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境外投资资产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${D00001理财产品持仓情况_境外投资资产}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商品类资产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${D00001理财产品持仓情况_商品类资产}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另类资产</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${D00001理财产品持仓情况_另类资产}</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公募基金</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${D00001理财产品持仓情况_公募基金}</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私募基金</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${D00001理财产品持仓情况_私募基金}</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资产管理产品</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${D00001理财产品持仓情况_资产管理产品}</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jc w:val="center"/>
        </w:trPr>
        <w:tc>
          <w:tcPr>
            <w:tcW w:w="2547" w:type="dxa"/>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合计</w:t>
            </w:r>
          </w:p>
        </w:tc>
        <w:tc>
          <w:tcPr>
            <w:tcW w:w="1417"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r>
              <w:rPr>
                <w:rFonts w:hint="eastAsia" w:asciiTheme="minorEastAsia" w:hAnsiTheme="minorEastAsia" w:eastAsiaTheme="minorEastAsia"/>
                <w:szCs w:val="21"/>
              </w:rPr>
              <w:t>${D00001理财产品持仓情况合计}</w:t>
            </w:r>
          </w:p>
        </w:tc>
        <w:tc>
          <w:tcPr>
            <w:tcW w:w="1843"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418"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c>
          <w:tcPr>
            <w:tcW w:w="1842" w:type="dxa"/>
            <w:tcBorders>
              <w:top w:val="single" w:color="000000" w:sz="6" w:space="0"/>
              <w:left w:val="single" w:color="000000" w:sz="6" w:space="0"/>
              <w:bottom w:val="single" w:color="000000" w:sz="6" w:space="0"/>
              <w:right w:val="single" w:color="000000" w:sz="6" w:space="0"/>
            </w:tcBorders>
            <w:shd w:val="clear" w:color="auto" w:fill="FFFFFF"/>
          </w:tcPr>
          <w:p>
            <w:pPr>
              <w:pStyle w:val="12"/>
              <w:spacing w:line="360" w:lineRule="auto"/>
              <w:ind w:firstLine="0" w:firstLineChars="0"/>
              <w:jc w:val="center"/>
              <w:rPr>
                <w:rFonts w:asciiTheme="minorEastAsia" w:hAnsiTheme="minorEastAsia" w:eastAsiaTheme="minorEastAsia"/>
                <w:szCs w:val="21"/>
              </w:rPr>
            </w:pPr>
          </w:p>
        </w:tc>
      </w:tr>
    </w:tbl>
    <w:p>
      <w:pPr>
        <w:spacing w:line="360" w:lineRule="auto"/>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注：报告期末本理财产品持仓金融衍生品${D0000103001}万元。</w:t>
      </w: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四、产品持仓前十项资产</w:t>
      </w:r>
    </w:p>
    <w:tbl>
      <w:tblPr>
        <w:tblStyle w:val="7"/>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01"/>
        <w:gridCol w:w="3527"/>
        <w:gridCol w:w="2126"/>
        <w:gridCol w:w="14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序号</w:t>
            </w:r>
          </w:p>
        </w:tc>
        <w:tc>
          <w:tcPr>
            <w:tcW w:w="3527" w:type="dxa"/>
            <w:shd w:val="clear" w:color="000000" w:fill="FFFFFF"/>
            <w:noWrap/>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资产名称</w:t>
            </w:r>
          </w:p>
        </w:tc>
        <w:tc>
          <w:tcPr>
            <w:tcW w:w="2126" w:type="dxa"/>
            <w:shd w:val="clear" w:color="000000" w:fill="FFFFFF"/>
            <w:noWrap/>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持仓（万元人民币）</w:t>
            </w:r>
          </w:p>
        </w:tc>
        <w:tc>
          <w:tcPr>
            <w:tcW w:w="1468" w:type="dxa"/>
            <w:shd w:val="clear" w:color="000000" w:fill="FFFFFF"/>
          </w:tcPr>
          <w:p>
            <w:pPr>
              <w:widowControl/>
              <w:spacing w:line="360" w:lineRule="auto"/>
              <w:jc w:val="center"/>
              <w:rPr>
                <w:rFonts w:cs="宋体" w:asciiTheme="minorEastAsia" w:hAnsiTheme="minorEastAsia" w:eastAsiaTheme="minorEastAsia"/>
                <w:b/>
                <w:bCs/>
                <w:kern w:val="0"/>
                <w:szCs w:val="21"/>
              </w:rPr>
            </w:pPr>
            <w:r>
              <w:rPr>
                <w:rFonts w:hint="eastAsia" w:cs="宋体" w:asciiTheme="minorEastAsia" w:hAnsiTheme="minorEastAsia" w:eastAsiaTheme="minorEastAsia"/>
                <w:b/>
                <w:bCs/>
                <w:kern w:val="0"/>
                <w:szCs w:val="21"/>
              </w:rPr>
              <w:t>持仓比例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w:t>
            </w:r>
          </w:p>
        </w:tc>
        <w:tc>
          <w:tcPr>
            <w:tcW w:w="3527" w:type="dxa"/>
            <w:shd w:val="clear" w:color="000000" w:fill="FFFFFF"/>
            <w:noWrap/>
          </w:tcPr>
          <w:p>
            <w:pPr>
              <w:spacing w:line="360" w:lineRule="auto"/>
              <w:jc w:val="center"/>
              <w:rPr>
                <w:rFonts w:cs="宋体" w:asciiTheme="minorEastAsia" w:hAnsiTheme="minorEastAsia" w:eastAsiaTheme="minorEastAsia"/>
                <w:kern w:val="0"/>
                <w:szCs w:val="21"/>
              </w:rPr>
            </w:pPr>
            <w:r>
              <w:rPr>
                <w:rFonts w:hint="eastAsia" w:asciiTheme="minorEastAsia" w:hAnsiTheme="minorEastAsia" w:eastAsiaTheme="minorEastAsia"/>
                <w:szCs w:val="21"/>
              </w:rPr>
              <w:t>${</w:t>
            </w:r>
            <w:r>
              <w:rPr>
                <w:rFonts w:hint="eastAsia" w:cs="宋体" w:asciiTheme="minorEastAsia" w:hAnsiTheme="minorEastAsia" w:eastAsiaTheme="minorEastAsia"/>
                <w:kern w:val="0"/>
                <w:szCs w:val="21"/>
              </w:rPr>
              <w:t>D00001产品持仓前十项资产}</w:t>
            </w: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2</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3</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4</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5</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6</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7</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8</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9</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 w:hRule="atLeast"/>
        </w:trPr>
        <w:tc>
          <w:tcPr>
            <w:tcW w:w="1401" w:type="dxa"/>
            <w:shd w:val="clear" w:color="000000" w:fill="FFFFFF"/>
          </w:tcPr>
          <w:p>
            <w:pPr>
              <w:spacing w:line="360" w:lineRule="auto"/>
              <w:jc w:val="center"/>
              <w:rPr>
                <w:rFonts w:cs="宋体" w:asciiTheme="minorEastAsia" w:hAnsiTheme="minorEastAsia" w:eastAsiaTheme="minorEastAsia"/>
                <w:kern w:val="0"/>
                <w:szCs w:val="21"/>
              </w:rPr>
            </w:pPr>
            <w:r>
              <w:rPr>
                <w:rFonts w:cs="宋体" w:asciiTheme="minorEastAsia" w:hAnsiTheme="minorEastAsia" w:eastAsiaTheme="minorEastAsia"/>
                <w:kern w:val="0"/>
                <w:szCs w:val="21"/>
              </w:rPr>
              <w:t>10</w:t>
            </w:r>
          </w:p>
        </w:tc>
        <w:tc>
          <w:tcPr>
            <w:tcW w:w="3527" w:type="dxa"/>
            <w:shd w:val="clear" w:color="000000" w:fill="FFFFFF"/>
          </w:tcPr>
          <w:p>
            <w:pPr>
              <w:spacing w:line="360" w:lineRule="auto"/>
              <w:jc w:val="center"/>
              <w:rPr>
                <w:rFonts w:cs="宋体" w:asciiTheme="minorEastAsia" w:hAnsiTheme="minorEastAsia" w:eastAsiaTheme="minorEastAsia"/>
                <w:kern w:val="0"/>
                <w:szCs w:val="21"/>
              </w:rPr>
            </w:pPr>
          </w:p>
        </w:tc>
        <w:tc>
          <w:tcPr>
            <w:tcW w:w="2126" w:type="dxa"/>
            <w:shd w:val="clear" w:color="000000" w:fill="FFFFFF"/>
            <w:noWrap/>
          </w:tcPr>
          <w:p>
            <w:pPr>
              <w:spacing w:line="360" w:lineRule="auto"/>
              <w:jc w:val="center"/>
              <w:rPr>
                <w:rFonts w:cs="宋体" w:asciiTheme="minorEastAsia" w:hAnsiTheme="minorEastAsia" w:eastAsiaTheme="minorEastAsia"/>
                <w:kern w:val="0"/>
                <w:szCs w:val="21"/>
              </w:rPr>
            </w:pPr>
          </w:p>
        </w:tc>
        <w:tc>
          <w:tcPr>
            <w:tcW w:w="1468" w:type="dxa"/>
            <w:shd w:val="clear" w:color="000000" w:fill="FFFFFF"/>
          </w:tcPr>
          <w:p>
            <w:pPr>
              <w:spacing w:line="360" w:lineRule="auto"/>
              <w:jc w:val="center"/>
              <w:rPr>
                <w:rFonts w:cs="宋体" w:asciiTheme="minorEastAsia" w:hAnsiTheme="minorEastAsia" w:eastAsiaTheme="minorEastAsia"/>
                <w:kern w:val="0"/>
                <w:szCs w:val="21"/>
              </w:rPr>
            </w:pPr>
          </w:p>
        </w:tc>
      </w:tr>
    </w:tbl>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b/>
          <w:color w:val="000000"/>
          <w:szCs w:val="21"/>
        </w:rPr>
        <w:t>注：本表列示穿透后投资规模占比较高的前十项资产</w:t>
      </w:r>
    </w:p>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五、投资账户信息</w:t>
      </w:r>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6"/>
        <w:gridCol w:w="41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户名</w:t>
            </w:r>
          </w:p>
        </w:tc>
        <w:tc>
          <w:tcPr>
            <w:tcW w:w="4150"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szCs w:val="21"/>
              </w:rPr>
              <w:t>${D0000105001}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账号</w:t>
            </w:r>
          </w:p>
        </w:tc>
        <w:tc>
          <w:tcPr>
            <w:tcW w:w="4150"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szCs w:val="21"/>
              </w:rPr>
              <w:t>${D0000105002}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6"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color w:val="000000"/>
                <w:szCs w:val="21"/>
              </w:rPr>
              <w:t>开户行</w:t>
            </w:r>
          </w:p>
        </w:tc>
        <w:tc>
          <w:tcPr>
            <w:tcW w:w="4150" w:type="dxa"/>
            <w:shd w:val="clear" w:color="auto" w:fill="auto"/>
          </w:tcPr>
          <w:p>
            <w:pPr>
              <w:spacing w:line="360" w:lineRule="auto"/>
              <w:rPr>
                <w:rFonts w:asciiTheme="minorEastAsia" w:hAnsiTheme="minorEastAsia" w:eastAsiaTheme="minorEastAsia"/>
                <w:color w:val="000000"/>
                <w:szCs w:val="21"/>
              </w:rPr>
            </w:pPr>
            <w:r>
              <w:rPr>
                <w:rFonts w:hint="eastAsia" w:asciiTheme="minorEastAsia" w:hAnsiTheme="minorEastAsia" w:eastAsiaTheme="minorEastAsia"/>
                <w:szCs w:val="21"/>
              </w:rPr>
              <w:t>${D0000105003}</w:t>
            </w:r>
          </w:p>
        </w:tc>
      </w:tr>
    </w:tbl>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color w:val="000000"/>
          <w:szCs w:val="21"/>
        </w:rPr>
      </w:pPr>
    </w:p>
    <w:p>
      <w:pPr>
        <w:spacing w:line="360" w:lineRule="auto"/>
        <w:rPr>
          <w:rFonts w:asciiTheme="minorEastAsia" w:hAnsiTheme="minorEastAsia" w:eastAsiaTheme="minorEastAsia"/>
          <w:b/>
          <w:szCs w:val="21"/>
        </w:rPr>
      </w:pPr>
      <w:r>
        <w:rPr>
          <w:rFonts w:hint="eastAsia" w:asciiTheme="minorEastAsia" w:hAnsiTheme="minorEastAsia" w:eastAsiaTheme="minorEastAsia"/>
          <w:b/>
          <w:szCs w:val="21"/>
        </w:rPr>
        <w:t>六、产品组合流动性风险分析</w:t>
      </w:r>
    </w:p>
    <w:p>
      <w:pPr>
        <w:spacing w:line="360" w:lineRule="auto"/>
        <w:ind w:firstLine="420"/>
        <w:rPr>
          <w:rFonts w:asciiTheme="minorEastAsia" w:hAnsiTheme="minorEastAsia" w:eastAsiaTheme="minorEastAsia"/>
          <w:bCs/>
          <w:szCs w:val="21"/>
        </w:rPr>
      </w:pPr>
      <w:r>
        <w:rPr>
          <w:rFonts w:hint="eastAsia" w:asciiTheme="minorEastAsia" w:hAnsiTheme="minorEastAsia" w:eastAsiaTheme="minorEastAsia"/>
          <w:bCs/>
          <w:szCs w:val="21"/>
        </w:rPr>
        <w:t>${D0000106001}</w:t>
      </w:r>
    </w:p>
    <w:p>
      <w:pPr>
        <w:spacing w:line="360" w:lineRule="auto"/>
        <w:ind w:firstLine="420"/>
        <w:rPr>
          <w:rFonts w:asciiTheme="minorEastAsia" w:hAnsiTheme="minorEastAsia" w:eastAsiaTheme="minorEastAsia"/>
          <w:bCs/>
          <w:szCs w:val="21"/>
        </w:rPr>
      </w:pPr>
    </w:p>
    <w:p>
      <w:pPr>
        <w:spacing w:line="360" w:lineRule="auto"/>
        <w:rPr>
          <w:rFonts w:asciiTheme="minorEastAsia" w:hAnsiTheme="minorEastAsia" w:eastAsiaTheme="minorEastAsia"/>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=IF($CASH_MGMT_CLS_FLAG="1")</w:t>
      </w:r>
    </w:p>
    <w:p>
      <w:pPr>
        <w:numPr>
          <w:ilvl w:val="0"/>
          <w:numId w:val="1"/>
        </w:numPr>
        <w:spacing w:line="360" w:lineRule="auto"/>
        <w:rPr>
          <w:rFonts w:asciiTheme="minorEastAsia" w:hAnsiTheme="minorEastAsia" w:eastAsiaTheme="minorEastAsia"/>
          <w:szCs w:val="21"/>
        </w:rPr>
      </w:pPr>
      <w:r>
        <w:rPr>
          <w:rFonts w:hint="eastAsia" w:ascii="等线" w:hAnsi="等线"/>
          <w:b/>
          <w:szCs w:val="21"/>
        </w:rPr>
        <w:t>投资者持有情况</w:t>
      </w:r>
      <w:r>
        <w:rPr>
          <w:rFonts w:hint="eastAsia" w:ascii="等线" w:hAnsi="等线"/>
          <w:b/>
          <w:szCs w:val="21"/>
          <w:lang w:val="en-US" w:eastAsia="zh-CN"/>
        </w:rPr>
        <w:t>=</w:t>
      </w:r>
    </w:p>
    <w:p>
      <w:pPr>
        <w:spacing w:line="360" w:lineRule="auto"/>
        <w:ind w:firstLine="420"/>
        <w:rPr>
          <w:rFonts w:ascii="等线" w:hAnsi="等线"/>
          <w:b/>
          <w:szCs w:val="21"/>
        </w:rPr>
      </w:pPr>
      <w:r>
        <w:rPr>
          <w:rFonts w:hint="eastAsia" w:asciiTheme="minorEastAsia" w:hAnsiTheme="minorEastAsia" w:eastAsiaTheme="minorEastAsia"/>
          <w:szCs w:val="21"/>
        </w:rPr>
        <w:t>=IF($IS_HALF_OR_WHOLE_YEAR="1")</w:t>
      </w:r>
    </w:p>
    <w:p>
      <w:pPr>
        <w:pStyle w:val="12"/>
        <w:numPr>
          <w:ilvl w:val="0"/>
          <w:numId w:val="2"/>
        </w:numPr>
        <w:spacing w:line="360" w:lineRule="auto"/>
        <w:ind w:hanging="63" w:firstLineChars="0"/>
        <w:rPr>
          <w:rFonts w:ascii="等线" w:hAnsi="等线"/>
          <w:szCs w:val="21"/>
        </w:rPr>
      </w:pPr>
      <w:r>
        <w:rPr>
          <w:rFonts w:hint="eastAsia" w:ascii="等线" w:hAnsi="等线"/>
          <w:szCs w:val="21"/>
        </w:rPr>
        <w:t>报告期末产品前十名投资者情况</w:t>
      </w:r>
    </w:p>
    <w:tbl>
      <w:tblPr>
        <w:tblStyle w:val="7"/>
        <w:tblW w:w="82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1691"/>
        <w:gridCol w:w="2835"/>
        <w:gridCol w:w="28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Header/>
        </w:trPr>
        <w:tc>
          <w:tcPr>
            <w:tcW w:w="856"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序号</w:t>
            </w:r>
          </w:p>
        </w:tc>
        <w:tc>
          <w:tcPr>
            <w:tcW w:w="1691"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投资者类别</w:t>
            </w:r>
          </w:p>
        </w:tc>
        <w:tc>
          <w:tcPr>
            <w:tcW w:w="2835"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持有份额（份）</w:t>
            </w:r>
          </w:p>
        </w:tc>
        <w:tc>
          <w:tcPr>
            <w:tcW w:w="2835" w:type="dxa"/>
            <w:vAlign w:val="center"/>
          </w:tcPr>
          <w:p>
            <w:pPr>
              <w:spacing w:line="360" w:lineRule="auto"/>
              <w:jc w:val="center"/>
              <w:rPr>
                <w:rFonts w:ascii="仿宋_GB2312" w:eastAsia="仿宋_GB2312"/>
                <w:sz w:val="24"/>
                <w:szCs w:val="32"/>
              </w:rPr>
            </w:pPr>
            <w:r>
              <w:rPr>
                <w:rFonts w:hint="eastAsia" w:ascii="仿宋_GB2312" w:eastAsia="仿宋_GB2312"/>
                <w:sz w:val="24"/>
                <w:szCs w:val="32"/>
              </w:rPr>
              <w:t>占总份额比例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1</w:t>
            </w:r>
          </w:p>
        </w:tc>
        <w:tc>
          <w:tcPr>
            <w:tcW w:w="1691" w:type="dxa"/>
            <w:vAlign w:val="center"/>
          </w:tcPr>
          <w:p>
            <w:pPr>
              <w:jc w:val="center"/>
              <w:rPr>
                <w:rFonts w:ascii="宋体" w:hAnsi="宋体" w:cs="宋体"/>
                <w:kern w:val="0"/>
              </w:rPr>
            </w:pPr>
            <w:r>
              <w:rPr>
                <w:rFonts w:hint="eastAsia" w:ascii="宋体" w:hAnsi="宋体" w:cs="宋体"/>
                <w:kern w:val="0"/>
              </w:rPr>
              <w:t>${D00001报告期末产品前十名投资者情况}</w:t>
            </w: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2</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3</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4</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5</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6</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7</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8</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9</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1</w:t>
            </w:r>
            <w:r>
              <w:rPr>
                <w:rFonts w:ascii="宋体" w:hAnsi="宋体" w:cs="宋体"/>
                <w:kern w:val="0"/>
              </w:rPr>
              <w:t>0</w:t>
            </w:r>
          </w:p>
        </w:tc>
        <w:tc>
          <w:tcPr>
            <w:tcW w:w="1691"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c>
          <w:tcPr>
            <w:tcW w:w="2835" w:type="dxa"/>
            <w:vAlign w:val="center"/>
          </w:tcPr>
          <w:p>
            <w:pPr>
              <w:jc w:val="center"/>
              <w:rPr>
                <w:rFonts w:ascii="宋体" w:hAnsi="宋体" w:cs="宋体"/>
                <w:kern w:val="0"/>
              </w:rPr>
            </w:pPr>
          </w:p>
        </w:tc>
      </w:tr>
    </w:tbl>
    <w:p>
      <w:pPr>
        <w:pStyle w:val="12"/>
        <w:numPr>
          <w:ilvl w:val="0"/>
          <w:numId w:val="2"/>
        </w:numPr>
        <w:spacing w:line="360" w:lineRule="auto"/>
        <w:ind w:hanging="63" w:firstLineChars="0"/>
        <w:rPr>
          <w:rFonts w:asciiTheme="minorEastAsia" w:hAnsiTheme="minorEastAsia" w:eastAsiaTheme="minorEastAsia"/>
          <w:szCs w:val="21"/>
        </w:rPr>
      </w:pPr>
      <w:r>
        <w:rPr>
          <w:rFonts w:hint="eastAsia" w:ascii="等线" w:hAnsi="等线"/>
          <w:szCs w:val="21"/>
        </w:rPr>
        <w:t>报告期内产品持有份额不低于2</w:t>
      </w:r>
      <w:r>
        <w:rPr>
          <w:rFonts w:ascii="等线" w:hAnsi="等线"/>
          <w:szCs w:val="21"/>
        </w:rPr>
        <w:t>0</w:t>
      </w:r>
      <w:r>
        <w:rPr>
          <w:rFonts w:hint="eastAsia" w:ascii="等线" w:hAnsi="等线"/>
          <w:szCs w:val="21"/>
        </w:rPr>
        <w:t>%的投资者情况</w:t>
      </w:r>
    </w:p>
    <w:p>
      <w:pPr>
        <w:spacing w:line="360" w:lineRule="auto"/>
        <w:ind w:left="420"/>
        <w:rPr>
          <w:rFonts w:asciiTheme="minorEastAsia" w:hAnsiTheme="minorEastAsia" w:eastAsiaTheme="minorEastAsia"/>
          <w:szCs w:val="21"/>
        </w:rPr>
      </w:pPr>
      <w:r>
        <w:rPr>
          <w:rFonts w:hint="eastAsia" w:asciiTheme="minorEastAsia" w:hAnsiTheme="minorEastAsia" w:eastAsiaTheme="minorEastAsia"/>
          <w:szCs w:val="21"/>
        </w:rPr>
        <w:t>=ENDIF($IS_HALF_OR_WHOLE_YEAR="1")</w:t>
      </w:r>
    </w:p>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=IF($IS_HALF_OR_WHOLE_YEAR="0")</w:t>
      </w:r>
    </w:p>
    <w:p>
      <w:pPr>
        <w:pStyle w:val="12"/>
        <w:spacing w:line="360" w:lineRule="auto"/>
        <w:ind w:left="499" w:firstLine="0" w:firstLineChars="0"/>
        <w:rPr>
          <w:rFonts w:asciiTheme="minorEastAsia" w:hAnsiTheme="minorEastAsia" w:eastAsiaTheme="minorEastAsia"/>
          <w:szCs w:val="21"/>
        </w:rPr>
      </w:pPr>
      <w:r>
        <w:rPr>
          <w:rFonts w:hint="eastAsia" w:ascii="等线" w:hAnsi="等线"/>
          <w:szCs w:val="21"/>
        </w:rPr>
        <w:t>报告期内产品持有份额不低于2</w:t>
      </w:r>
      <w:r>
        <w:rPr>
          <w:rFonts w:ascii="等线" w:hAnsi="等线"/>
          <w:szCs w:val="21"/>
        </w:rPr>
        <w:t>0</w:t>
      </w:r>
      <w:r>
        <w:rPr>
          <w:rFonts w:hint="eastAsia" w:ascii="等线" w:hAnsi="等线"/>
          <w:szCs w:val="21"/>
        </w:rPr>
        <w:t>%的投资者情况</w:t>
      </w:r>
    </w:p>
    <w:p>
      <w:pPr>
        <w:spacing w:line="360" w:lineRule="auto"/>
        <w:ind w:left="420"/>
        <w:rPr>
          <w:rFonts w:asciiTheme="minorEastAsia" w:hAnsiTheme="minorEastAsia" w:eastAsiaTheme="minorEastAsia"/>
          <w:szCs w:val="21"/>
        </w:rPr>
      </w:pPr>
      <w:r>
        <w:rPr>
          <w:rFonts w:hint="eastAsia" w:asciiTheme="minorEastAsia" w:hAnsiTheme="minorEastAsia" w:eastAsiaTheme="minorEastAsia"/>
          <w:szCs w:val="21"/>
        </w:rPr>
        <w:t>=ENDIF($IS_HALF_OR_WHOLE_YEAR="0")</w:t>
      </w:r>
    </w:p>
    <w:p>
      <w:pPr>
        <w:spacing w:line="360" w:lineRule="auto"/>
        <w:ind w:firstLine="420"/>
        <w:rPr>
          <w:rFonts w:ascii="等线" w:hAnsi="等线"/>
          <w:szCs w:val="21"/>
        </w:rPr>
      </w:pPr>
      <w:r>
        <w:rPr>
          <w:rFonts w:hint="eastAsia" w:asciiTheme="minorEastAsia" w:hAnsiTheme="minorEastAsia" w:eastAsiaTheme="minorEastAsia"/>
          <w:szCs w:val="21"/>
        </w:rPr>
        <w:t>=IF($20_PERCENT_INVESTOR_EXIST="1")</w:t>
      </w:r>
    </w:p>
    <w:tbl>
      <w:tblPr>
        <w:tblStyle w:val="7"/>
        <w:tblW w:w="82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6"/>
        <w:gridCol w:w="1124"/>
        <w:gridCol w:w="1559"/>
        <w:gridCol w:w="1276"/>
        <w:gridCol w:w="2268"/>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blHeader/>
        </w:trPr>
        <w:tc>
          <w:tcPr>
            <w:tcW w:w="856" w:type="dxa"/>
            <w:vAlign w:val="center"/>
          </w:tcPr>
          <w:p>
            <w:pPr>
              <w:jc w:val="center"/>
              <w:rPr>
                <w:rFonts w:ascii="仿宋_GB2312" w:eastAsia="仿宋_GB2312"/>
                <w:sz w:val="24"/>
                <w:szCs w:val="32"/>
              </w:rPr>
            </w:pPr>
            <w:r>
              <w:rPr>
                <w:rFonts w:hint="eastAsia" w:ascii="仿宋_GB2312" w:eastAsia="仿宋_GB2312"/>
                <w:sz w:val="24"/>
                <w:szCs w:val="32"/>
              </w:rPr>
              <w:t>序号</w:t>
            </w:r>
          </w:p>
        </w:tc>
        <w:tc>
          <w:tcPr>
            <w:tcW w:w="1124" w:type="dxa"/>
            <w:vAlign w:val="center"/>
          </w:tcPr>
          <w:p>
            <w:pPr>
              <w:jc w:val="center"/>
              <w:rPr>
                <w:rFonts w:ascii="仿宋_GB2312" w:eastAsia="仿宋_GB2312"/>
                <w:sz w:val="24"/>
                <w:szCs w:val="32"/>
              </w:rPr>
            </w:pPr>
            <w:r>
              <w:rPr>
                <w:rFonts w:hint="eastAsia" w:ascii="仿宋_GB2312" w:eastAsia="仿宋_GB2312"/>
                <w:sz w:val="24"/>
                <w:szCs w:val="32"/>
              </w:rPr>
              <w:t>投资者类别</w:t>
            </w:r>
          </w:p>
        </w:tc>
        <w:tc>
          <w:tcPr>
            <w:tcW w:w="1559" w:type="dxa"/>
            <w:vAlign w:val="center"/>
          </w:tcPr>
          <w:p>
            <w:pPr>
              <w:jc w:val="center"/>
              <w:rPr>
                <w:rFonts w:ascii="仿宋_GB2312" w:eastAsia="仿宋_GB2312"/>
                <w:sz w:val="24"/>
                <w:szCs w:val="32"/>
              </w:rPr>
            </w:pPr>
            <w:r>
              <w:rPr>
                <w:rFonts w:hint="eastAsia" w:ascii="仿宋_GB2312" w:eastAsia="仿宋_GB2312"/>
                <w:sz w:val="24"/>
                <w:szCs w:val="32"/>
              </w:rPr>
              <w:t>期末持有份额（份）</w:t>
            </w:r>
          </w:p>
        </w:tc>
        <w:tc>
          <w:tcPr>
            <w:tcW w:w="1276" w:type="dxa"/>
            <w:vAlign w:val="center"/>
          </w:tcPr>
          <w:p>
            <w:pPr>
              <w:jc w:val="center"/>
              <w:rPr>
                <w:rFonts w:ascii="仿宋_GB2312" w:eastAsia="仿宋_GB2312"/>
                <w:sz w:val="24"/>
                <w:szCs w:val="32"/>
              </w:rPr>
            </w:pPr>
            <w:r>
              <w:rPr>
                <w:rFonts w:hint="eastAsia" w:ascii="仿宋_GB2312" w:eastAsia="仿宋_GB2312"/>
                <w:sz w:val="24"/>
                <w:szCs w:val="32"/>
              </w:rPr>
              <w:t>占总份额比例</w:t>
            </w:r>
          </w:p>
        </w:tc>
        <w:tc>
          <w:tcPr>
            <w:tcW w:w="2268" w:type="dxa"/>
            <w:vAlign w:val="center"/>
          </w:tcPr>
          <w:p>
            <w:pPr>
              <w:jc w:val="center"/>
              <w:rPr>
                <w:rFonts w:ascii="仿宋_GB2312" w:eastAsia="仿宋_GB2312"/>
                <w:sz w:val="24"/>
                <w:szCs w:val="32"/>
              </w:rPr>
            </w:pPr>
            <w:r>
              <w:rPr>
                <w:rFonts w:hint="eastAsia" w:ascii="仿宋_GB2312" w:eastAsia="仿宋_GB2312"/>
                <w:sz w:val="24"/>
                <w:szCs w:val="32"/>
              </w:rPr>
              <w:t>报告期内持有份额变化情况</w:t>
            </w:r>
          </w:p>
        </w:tc>
        <w:tc>
          <w:tcPr>
            <w:tcW w:w="1134" w:type="dxa"/>
            <w:vAlign w:val="center"/>
          </w:tcPr>
          <w:p>
            <w:pPr>
              <w:jc w:val="center"/>
              <w:rPr>
                <w:rFonts w:ascii="仿宋_GB2312" w:eastAsia="仿宋_GB2312"/>
                <w:sz w:val="24"/>
                <w:szCs w:val="32"/>
              </w:rPr>
            </w:pPr>
            <w:r>
              <w:rPr>
                <w:rFonts w:hint="eastAsia" w:ascii="仿宋_GB2312" w:eastAsia="仿宋_GB2312"/>
                <w:sz w:val="24"/>
                <w:szCs w:val="32"/>
              </w:rPr>
              <w:t>产品风险情况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5" w:hRule="atLeast"/>
        </w:trPr>
        <w:tc>
          <w:tcPr>
            <w:tcW w:w="856" w:type="dxa"/>
            <w:vAlign w:val="center"/>
          </w:tcPr>
          <w:p>
            <w:pPr>
              <w:jc w:val="center"/>
              <w:rPr>
                <w:rFonts w:ascii="宋体" w:hAnsi="宋体" w:cs="宋体"/>
                <w:kern w:val="0"/>
              </w:rPr>
            </w:pPr>
            <w:r>
              <w:rPr>
                <w:rFonts w:hint="eastAsia" w:ascii="宋体" w:hAnsi="宋体" w:cs="宋体"/>
                <w:kern w:val="0"/>
              </w:rPr>
              <w:t>=SEQUENCE</w:t>
            </w:r>
          </w:p>
        </w:tc>
        <w:tc>
          <w:tcPr>
            <w:tcW w:w="1124" w:type="dxa"/>
            <w:vAlign w:val="center"/>
          </w:tcPr>
          <w:p>
            <w:pPr>
              <w:jc w:val="center"/>
              <w:rPr>
                <w:rFonts w:ascii="宋体" w:hAnsi="宋体" w:cs="宋体"/>
                <w:kern w:val="0"/>
              </w:rPr>
            </w:pPr>
            <w:r>
              <w:rPr>
                <w:rFonts w:hint="eastAsia" w:ascii="宋体" w:hAnsi="宋体" w:cs="宋体"/>
                <w:kern w:val="0"/>
              </w:rPr>
              <w:t>${D00001报告期内产品持有份额不低于20%的投资者情况}</w:t>
            </w:r>
          </w:p>
        </w:tc>
        <w:tc>
          <w:tcPr>
            <w:tcW w:w="1559" w:type="dxa"/>
            <w:vAlign w:val="center"/>
          </w:tcPr>
          <w:p>
            <w:pPr>
              <w:jc w:val="center"/>
              <w:rPr>
                <w:rFonts w:ascii="宋体" w:hAnsi="宋体" w:cs="宋体"/>
                <w:kern w:val="0"/>
              </w:rPr>
            </w:pPr>
          </w:p>
        </w:tc>
        <w:tc>
          <w:tcPr>
            <w:tcW w:w="1276" w:type="dxa"/>
            <w:vAlign w:val="center"/>
          </w:tcPr>
          <w:p>
            <w:pPr>
              <w:jc w:val="center"/>
              <w:rPr>
                <w:rFonts w:ascii="宋体" w:hAnsi="宋体" w:cs="宋体"/>
                <w:kern w:val="0"/>
              </w:rPr>
            </w:pPr>
          </w:p>
        </w:tc>
        <w:tc>
          <w:tcPr>
            <w:tcW w:w="2268" w:type="dxa"/>
            <w:vAlign w:val="center"/>
          </w:tcPr>
          <w:p>
            <w:pPr>
              <w:jc w:val="center"/>
              <w:rPr>
                <w:rFonts w:ascii="宋体" w:hAnsi="宋体" w:cs="宋体"/>
                <w:kern w:val="0"/>
              </w:rPr>
            </w:pPr>
          </w:p>
        </w:tc>
        <w:tc>
          <w:tcPr>
            <w:tcW w:w="1134" w:type="dxa"/>
          </w:tcPr>
          <w:p>
            <w:pPr>
              <w:jc w:val="center"/>
              <w:rPr>
                <w:rFonts w:ascii="宋体" w:hAnsi="宋体" w:cs="宋体"/>
                <w:kern w:val="0"/>
              </w:rPr>
            </w:pPr>
          </w:p>
        </w:tc>
      </w:tr>
    </w:tbl>
    <w:p>
      <w:pPr>
        <w:spacing w:line="360" w:lineRule="auto"/>
        <w:rPr>
          <w:rFonts w:ascii="宋体" w:hAnsi="宋体"/>
          <w:szCs w:val="21"/>
        </w:rPr>
      </w:pPr>
    </w:p>
    <w:p>
      <w:pPr>
        <w:spacing w:line="360" w:lineRule="auto"/>
        <w:ind w:firstLine="420"/>
        <w:rPr>
          <w:rFonts w:asciiTheme="minorEastAsia" w:hAnsiTheme="minorEastAsia" w:eastAsiaTheme="minorEastAsia"/>
          <w:szCs w:val="21"/>
        </w:rPr>
      </w:pPr>
      <w:r>
        <w:rPr>
          <w:rFonts w:hint="eastAsia" w:ascii="宋体" w:hAnsi="宋体"/>
          <w:szCs w:val="21"/>
        </w:rPr>
        <w:t>=ENDIF</w:t>
      </w:r>
      <w:r>
        <w:rPr>
          <w:rFonts w:hint="eastAsia" w:asciiTheme="minorEastAsia" w:hAnsiTheme="minorEastAsia" w:eastAsiaTheme="minorEastAsia"/>
          <w:szCs w:val="21"/>
        </w:rPr>
        <w:t>($20_PERCENT_INVESTOR_EXIST="1")</w:t>
      </w:r>
    </w:p>
    <w:p>
      <w:pPr>
        <w:spacing w:line="360" w:lineRule="auto"/>
        <w:ind w:firstLine="420"/>
        <w:rPr>
          <w:rFonts w:ascii="等线" w:hAnsi="等线"/>
          <w:szCs w:val="21"/>
        </w:rPr>
      </w:pPr>
      <w:r>
        <w:rPr>
          <w:rFonts w:hint="eastAsia" w:asciiTheme="minorEastAsia" w:hAnsiTheme="minorEastAsia" w:eastAsiaTheme="minorEastAsia"/>
          <w:szCs w:val="21"/>
        </w:rPr>
        <w:t>=IF($20_PERCENT_INVESTOR_EXIST="0")</w:t>
      </w:r>
    </w:p>
    <w:p>
      <w:pPr>
        <w:spacing w:line="360" w:lineRule="auto"/>
        <w:ind w:firstLine="420" w:firstLineChars="200"/>
        <w:rPr>
          <w:rFonts w:ascii="宋体" w:hAnsi="宋体"/>
          <w:szCs w:val="21"/>
        </w:rPr>
      </w:pPr>
      <w:r>
        <w:rPr>
          <w:rFonts w:hint="eastAsia" w:ascii="宋体" w:hAnsi="宋体"/>
          <w:szCs w:val="21"/>
        </w:rPr>
        <w:t>无</w:t>
      </w:r>
    </w:p>
    <w:p>
      <w:pPr>
        <w:spacing w:line="360" w:lineRule="auto"/>
        <w:ind w:firstLine="420"/>
        <w:rPr>
          <w:rFonts w:ascii="宋体" w:hAnsi="宋体"/>
          <w:szCs w:val="21"/>
        </w:rPr>
      </w:pPr>
      <w:r>
        <w:rPr>
          <w:rFonts w:hint="eastAsia" w:ascii="宋体" w:hAnsi="宋体"/>
          <w:szCs w:val="21"/>
        </w:rPr>
        <w:t>=ENDIF</w:t>
      </w:r>
      <w:r>
        <w:rPr>
          <w:rFonts w:hint="eastAsia" w:asciiTheme="minorEastAsia" w:hAnsiTheme="minorEastAsia" w:eastAsiaTheme="minorEastAsia"/>
          <w:szCs w:val="21"/>
        </w:rPr>
        <w:t>($20_PERCENT_INVESTOR_EXIST="0")</w:t>
      </w:r>
    </w:p>
    <w:p>
      <w:pPr>
        <w:spacing w:line="360" w:lineRule="auto"/>
        <w:rPr>
          <w:rFonts w:ascii="宋体" w:hAnsi="宋体"/>
          <w:szCs w:val="21"/>
        </w:rPr>
      </w:pPr>
      <w:r>
        <w:rPr>
          <w:rFonts w:hint="eastAsia" w:ascii="宋体" w:hAnsi="宋体"/>
          <w:szCs w:val="21"/>
        </w:rPr>
        <w:t>=ENDIF</w:t>
      </w:r>
      <w:r>
        <w:rPr>
          <w:rFonts w:hint="eastAsia" w:asciiTheme="minorEastAsia" w:hAnsiTheme="minorEastAsia" w:eastAsiaTheme="minorEastAsia"/>
          <w:szCs w:val="21"/>
        </w:rPr>
        <w:t>($CASH_MGMT_CLS_FLAG="1")</w:t>
      </w:r>
    </w:p>
    <w:p>
      <w:pPr>
        <w:numPr>
          <w:ilvl w:val="0"/>
          <w:numId w:val="1"/>
        </w:numPr>
        <w:spacing w:line="360" w:lineRule="auto"/>
        <w:rPr>
          <w:rFonts w:ascii="等线" w:hAnsi="等线"/>
          <w:b/>
          <w:szCs w:val="21"/>
        </w:rPr>
      </w:pPr>
      <w:r>
        <w:rPr>
          <w:rFonts w:hint="eastAsia" w:ascii="等线" w:hAnsi="等线"/>
          <w:b/>
          <w:szCs w:val="21"/>
        </w:rPr>
        <w:t>本运作期主要操作回顾</w:t>
      </w:r>
    </w:p>
    <w:p>
      <w:pPr>
        <w:pStyle w:val="12"/>
        <w:numPr>
          <w:ilvl w:val="0"/>
          <w:numId w:val="3"/>
        </w:numPr>
        <w:spacing w:line="360" w:lineRule="auto"/>
        <w:ind w:hanging="63" w:firstLineChars="0"/>
        <w:rPr>
          <w:rFonts w:asciiTheme="minorEastAsia" w:hAnsiTheme="minorEastAsia" w:eastAsiaTheme="minorEastAsia"/>
          <w:color w:val="000000"/>
          <w:szCs w:val="21"/>
        </w:rPr>
      </w:pPr>
      <w:r>
        <w:rPr>
          <w:rFonts w:hint="eastAsia" w:asciiTheme="minorEastAsia" w:hAnsiTheme="minorEastAsia" w:eastAsiaTheme="minorEastAsia"/>
          <w:color w:val="000000"/>
          <w:szCs w:val="21"/>
        </w:rPr>
        <w:t>主要投资策略及操作</w:t>
      </w:r>
    </w:p>
    <w:p>
      <w:pPr>
        <w:spacing w:line="360" w:lineRule="auto"/>
        <w:ind w:firstLine="420"/>
        <w:rPr>
          <w:rFonts w:asciiTheme="minorEastAsia" w:hAnsiTheme="minorEastAsia" w:eastAsiaTheme="minorEastAsia"/>
          <w:color w:val="000000"/>
          <w:szCs w:val="21"/>
        </w:rPr>
      </w:pPr>
      <w:r>
        <w:rPr>
          <w:rFonts w:hint="eastAsia" w:asciiTheme="minorEastAsia" w:hAnsiTheme="minorEastAsia" w:eastAsiaTheme="minorEastAsia"/>
          <w:bCs/>
          <w:szCs w:val="21"/>
        </w:rPr>
        <w:t>${D0000108001}</w:t>
      </w:r>
    </w:p>
    <w:p>
      <w:pPr>
        <w:pStyle w:val="12"/>
        <w:spacing w:line="360" w:lineRule="auto"/>
        <w:ind w:left="562" w:firstLine="0" w:firstLineChars="0"/>
        <w:rPr>
          <w:rFonts w:asciiTheme="minorEastAsia" w:hAnsiTheme="minorEastAsia" w:eastAsiaTheme="minorEastAsia"/>
          <w:color w:val="000000"/>
          <w:szCs w:val="21"/>
        </w:rPr>
      </w:pPr>
    </w:p>
    <w:p>
      <w:pPr>
        <w:pStyle w:val="12"/>
        <w:numPr>
          <w:ilvl w:val="0"/>
          <w:numId w:val="3"/>
        </w:numPr>
        <w:spacing w:line="360" w:lineRule="auto"/>
        <w:ind w:hanging="63" w:firstLineChars="0"/>
        <w:rPr>
          <w:rFonts w:asciiTheme="minorEastAsia" w:hAnsiTheme="minorEastAsia" w:eastAsiaTheme="minorEastAsia"/>
          <w:color w:val="000000"/>
          <w:szCs w:val="21"/>
        </w:rPr>
      </w:pPr>
      <w:r>
        <w:rPr>
          <w:rFonts w:asciiTheme="minorEastAsia" w:hAnsiTheme="minorEastAsia" w:eastAsiaTheme="minorEastAsia"/>
          <w:color w:val="000000"/>
          <w:szCs w:val="21"/>
        </w:rPr>
        <w:t>非标资产投资情况</w:t>
      </w:r>
    </w:p>
    <w:p>
      <w:pPr>
        <w:spacing w:line="360" w:lineRule="auto"/>
        <w:ind w:firstLine="420"/>
        <w:rPr>
          <w:rFonts w:asciiTheme="minorEastAsia" w:hAnsiTheme="minorEastAsia" w:eastAsiaTheme="minorEastAsia"/>
          <w:szCs w:val="21"/>
        </w:rPr>
      </w:pPr>
      <w:r>
        <w:rPr>
          <w:rFonts w:hint="eastAsia" w:asciiTheme="minorEastAsia" w:hAnsiTheme="minorEastAsia" w:eastAsiaTheme="minorEastAsia"/>
          <w:szCs w:val="21"/>
        </w:rPr>
        <w:t>本产品于</w:t>
      </w:r>
      <w:r>
        <w:rPr>
          <w:rFonts w:hint="eastAsia" w:ascii="宋体" w:hAnsi="宋体"/>
          <w:szCs w:val="21"/>
        </w:rPr>
        <w:t>${YEAR}年${MONTH_BEGIN}月${DAY_BEGIN}日至${YEAR}年${MONTH_END}月${DAY_END}</w:t>
      </w:r>
      <w:r>
        <w:rPr>
          <w:rFonts w:hint="eastAsia" w:asciiTheme="minorEastAsia" w:hAnsiTheme="minorEastAsia" w:eastAsiaTheme="minorEastAsia"/>
          <w:szCs w:val="21"/>
        </w:rPr>
        <w:t>日期间投资于非标准化债权类资产。根据产品说明书约定，现将产品投资于非标准化债权类资产的具体信息进行披露，详见附表。</w:t>
      </w:r>
    </w:p>
    <w:tbl>
      <w:tblPr>
        <w:tblStyle w:val="7"/>
        <w:tblpPr w:leftFromText="180" w:rightFromText="180" w:vertAnchor="text" w:horzAnchor="margin" w:tblpY="191"/>
        <w:tblW w:w="4867" w:type="pct"/>
        <w:tblInd w:w="0" w:type="dxa"/>
        <w:tblLayout w:type="fixed"/>
        <w:tblCellMar>
          <w:top w:w="0" w:type="dxa"/>
          <w:left w:w="108" w:type="dxa"/>
          <w:bottom w:w="0" w:type="dxa"/>
          <w:right w:w="108" w:type="dxa"/>
        </w:tblCellMar>
      </w:tblPr>
      <w:tblGrid>
        <w:gridCol w:w="1307"/>
        <w:gridCol w:w="2187"/>
        <w:gridCol w:w="1309"/>
        <w:gridCol w:w="1020"/>
        <w:gridCol w:w="1213"/>
        <w:gridCol w:w="1259"/>
      </w:tblGrid>
      <w:tr>
        <w:trPr>
          <w:trHeight w:val="441" w:hRule="atLeast"/>
        </w:trPr>
        <w:tc>
          <w:tcPr>
            <w:tcW w:w="788" w:type="pct"/>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融资客户</w:t>
            </w:r>
          </w:p>
        </w:tc>
        <w:tc>
          <w:tcPr>
            <w:tcW w:w="1318" w:type="pct"/>
            <w:tcBorders>
              <w:top w:val="single" w:color="auto" w:sz="4" w:space="0"/>
              <w:left w:val="nil"/>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项目名称</w:t>
            </w:r>
          </w:p>
        </w:tc>
        <w:tc>
          <w:tcPr>
            <w:tcW w:w="789" w:type="pct"/>
            <w:tcBorders>
              <w:top w:val="single" w:color="auto" w:sz="4" w:space="0"/>
              <w:left w:val="nil"/>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剩余融资期限（天）</w:t>
            </w:r>
          </w:p>
        </w:tc>
        <w:tc>
          <w:tcPr>
            <w:tcW w:w="615" w:type="pct"/>
            <w:tcBorders>
              <w:top w:val="single" w:color="auto" w:sz="4" w:space="0"/>
              <w:left w:val="nil"/>
              <w:bottom w:val="single" w:color="auto" w:sz="4" w:space="0"/>
              <w:right w:val="single" w:color="auto" w:sz="4" w:space="0"/>
            </w:tcBorders>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到期收益预计</w:t>
            </w:r>
            <w:r>
              <w:rPr>
                <w:rFonts w:asciiTheme="minorEastAsia" w:hAnsiTheme="minorEastAsia" w:eastAsiaTheme="minorEastAsia"/>
                <w:szCs w:val="21"/>
              </w:rPr>
              <w:br w:type="textWrapping"/>
            </w:r>
            <w:r>
              <w:rPr>
                <w:rFonts w:hint="eastAsia" w:asciiTheme="minorEastAsia" w:hAnsiTheme="minorEastAsia" w:eastAsiaTheme="minorEastAsia"/>
                <w:szCs w:val="21"/>
              </w:rPr>
              <w:t>(%</w:t>
            </w:r>
            <w:r>
              <w:rPr>
                <w:rFonts w:asciiTheme="minorEastAsia" w:hAnsiTheme="minorEastAsia" w:eastAsiaTheme="minorEastAsia"/>
                <w:szCs w:val="21"/>
              </w:rPr>
              <w:t>)</w:t>
            </w:r>
          </w:p>
        </w:tc>
        <w:tc>
          <w:tcPr>
            <w:tcW w:w="731" w:type="pct"/>
            <w:tcBorders>
              <w:top w:val="single" w:color="auto" w:sz="4" w:space="0"/>
              <w:left w:val="single" w:color="auto" w:sz="4" w:space="0"/>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投资模式/交易结构</w:t>
            </w:r>
          </w:p>
        </w:tc>
        <w:tc>
          <w:tcPr>
            <w:tcW w:w="759" w:type="pct"/>
            <w:tcBorders>
              <w:top w:val="single" w:color="auto" w:sz="4" w:space="0"/>
              <w:left w:val="nil"/>
              <w:bottom w:val="single" w:color="auto" w:sz="4" w:space="0"/>
              <w:right w:val="single" w:color="auto" w:sz="4" w:space="0"/>
            </w:tcBorders>
            <w:shd w:val="clear" w:color="auto" w:fill="auto"/>
            <w:noWrap/>
          </w:tcPr>
          <w:p>
            <w:pPr>
              <w:widowControl/>
              <w:spacing w:line="360" w:lineRule="auto"/>
              <w:ind w:right="320"/>
              <w:jc w:val="center"/>
              <w:rPr>
                <w:rFonts w:asciiTheme="minorEastAsia" w:hAnsiTheme="minorEastAsia" w:eastAsiaTheme="minorEastAsia"/>
                <w:szCs w:val="21"/>
              </w:rPr>
            </w:pPr>
            <w:r>
              <w:rPr>
                <w:rFonts w:hint="eastAsia" w:asciiTheme="minorEastAsia" w:hAnsiTheme="minorEastAsia" w:eastAsiaTheme="minorEastAsia"/>
                <w:szCs w:val="21"/>
              </w:rPr>
              <w:t>风险状况</w:t>
            </w:r>
          </w:p>
        </w:tc>
      </w:tr>
      <w:tr>
        <w:tblPrEx>
          <w:tblCellMar>
            <w:top w:w="0" w:type="dxa"/>
            <w:left w:w="108" w:type="dxa"/>
            <w:bottom w:w="0" w:type="dxa"/>
            <w:right w:w="108" w:type="dxa"/>
          </w:tblCellMar>
        </w:tblPrEx>
        <w:trPr>
          <w:trHeight w:val="418" w:hRule="atLeast"/>
        </w:trPr>
        <w:tc>
          <w:tcPr>
            <w:tcW w:w="788" w:type="pct"/>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r>
              <w:rPr>
                <w:rFonts w:hint="eastAsia" w:ascii="宋体" w:hAnsi="宋体" w:cs="宋体"/>
                <w:kern w:val="0"/>
                <w:szCs w:val="21"/>
              </w:rPr>
              <w:t>${D00001非标资产投资情况}</w:t>
            </w:r>
          </w:p>
        </w:tc>
        <w:tc>
          <w:tcPr>
            <w:tcW w:w="1318" w:type="pct"/>
            <w:tcBorders>
              <w:top w:val="nil"/>
              <w:left w:val="nil"/>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p>
        </w:tc>
        <w:tc>
          <w:tcPr>
            <w:tcW w:w="789" w:type="pct"/>
            <w:tcBorders>
              <w:top w:val="nil"/>
              <w:left w:val="nil"/>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p>
        </w:tc>
        <w:tc>
          <w:tcPr>
            <w:tcW w:w="615" w:type="pct"/>
            <w:tcBorders>
              <w:top w:val="single" w:color="auto" w:sz="4" w:space="0"/>
              <w:left w:val="nil"/>
              <w:bottom w:val="single" w:color="auto" w:sz="4" w:space="0"/>
              <w:right w:val="single" w:color="auto" w:sz="4" w:space="0"/>
            </w:tcBorders>
          </w:tcPr>
          <w:p>
            <w:pPr>
              <w:widowControl/>
              <w:spacing w:line="360" w:lineRule="auto"/>
              <w:jc w:val="center"/>
              <w:rPr>
                <w:rFonts w:cs="宋体" w:asciiTheme="minorEastAsia" w:hAnsiTheme="minorEastAsia" w:eastAsiaTheme="minorEastAsia"/>
                <w:color w:val="000000"/>
                <w:kern w:val="0"/>
                <w:szCs w:val="21"/>
              </w:rPr>
            </w:pPr>
          </w:p>
        </w:tc>
        <w:tc>
          <w:tcPr>
            <w:tcW w:w="731" w:type="pct"/>
            <w:tcBorders>
              <w:top w:val="nil"/>
              <w:left w:val="single" w:color="auto" w:sz="4" w:space="0"/>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p>
        </w:tc>
        <w:tc>
          <w:tcPr>
            <w:tcW w:w="759" w:type="pct"/>
            <w:tcBorders>
              <w:top w:val="nil"/>
              <w:left w:val="nil"/>
              <w:bottom w:val="single" w:color="auto" w:sz="4" w:space="0"/>
              <w:right w:val="single" w:color="auto" w:sz="4" w:space="0"/>
            </w:tcBorders>
            <w:shd w:val="clear" w:color="auto" w:fill="auto"/>
            <w:noWrap/>
          </w:tcPr>
          <w:p>
            <w:pPr>
              <w:widowControl/>
              <w:spacing w:line="360" w:lineRule="auto"/>
              <w:jc w:val="center"/>
              <w:rPr>
                <w:rFonts w:cs="宋体" w:asciiTheme="minorEastAsia" w:hAnsiTheme="minorEastAsia" w:eastAsiaTheme="minorEastAsia"/>
                <w:color w:val="000000"/>
                <w:kern w:val="0"/>
                <w:szCs w:val="21"/>
              </w:rPr>
            </w:pPr>
          </w:p>
        </w:tc>
      </w:tr>
    </w:tbl>
    <w:p>
      <w:pPr>
        <w:spacing w:line="360" w:lineRule="auto"/>
        <w:ind w:firstLine="211" w:firstLineChars="100"/>
        <w:rPr>
          <w:rFonts w:asciiTheme="minorEastAsia" w:hAnsiTheme="minorEastAsia" w:eastAsiaTheme="minorEastAsia"/>
          <w:b/>
          <w:color w:val="000000"/>
          <w:szCs w:val="21"/>
        </w:rPr>
      </w:pPr>
      <w:r>
        <w:rPr>
          <w:rFonts w:hint="eastAsia" w:asciiTheme="minorEastAsia" w:hAnsiTheme="minorEastAsia" w:eastAsiaTheme="minorEastAsia"/>
          <w:b/>
          <w:color w:val="000000"/>
          <w:szCs w:val="21"/>
        </w:rPr>
        <w:t>注：报告期内到期收益预计是管理人根据底层资产在报告期内的资产情况、收益分配情况及费用进行预估的收益。最终以实际到期收益为准。</w:t>
      </w:r>
    </w:p>
    <w:p>
      <w:pPr>
        <w:spacing w:line="360" w:lineRule="auto"/>
        <w:ind w:firstLine="210" w:firstLineChars="100"/>
        <w:rPr>
          <w:rFonts w:asciiTheme="minorEastAsia" w:hAnsiTheme="minorEastAsia" w:eastAsiaTheme="minorEastAsia"/>
          <w:color w:val="000000"/>
          <w:szCs w:val="21"/>
        </w:rPr>
      </w:pPr>
    </w:p>
    <w:p>
      <w:pPr>
        <w:pStyle w:val="12"/>
        <w:numPr>
          <w:ilvl w:val="0"/>
          <w:numId w:val="3"/>
        </w:numPr>
        <w:spacing w:line="360" w:lineRule="auto"/>
        <w:ind w:left="567" w:firstLine="0" w:firstLineChars="0"/>
        <w:rPr>
          <w:rFonts w:asciiTheme="minorEastAsia" w:hAnsiTheme="minorEastAsia" w:eastAsiaTheme="minorEastAsia"/>
          <w:color w:val="000000"/>
          <w:szCs w:val="21"/>
        </w:rPr>
      </w:pPr>
      <w:r>
        <w:rPr>
          <w:rFonts w:asciiTheme="minorEastAsia" w:hAnsiTheme="minorEastAsia" w:eastAsiaTheme="minorEastAsia"/>
          <w:color w:val="000000"/>
          <w:szCs w:val="21"/>
        </w:rPr>
        <w:t>关联交易情况</w:t>
      </w:r>
    </w:p>
    <w:p>
      <w:pPr>
        <w:spacing w:line="360" w:lineRule="auto"/>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本产品于</w:t>
      </w:r>
      <w:r>
        <w:rPr>
          <w:rFonts w:hint="eastAsia" w:ascii="宋体" w:hAnsi="宋体"/>
          <w:szCs w:val="21"/>
        </w:rPr>
        <w:t>${YEAR}年${MONTH_BEGIN}月${DAY_BEGIN}日至${YEAR}年${MONTH_END}月${DAY_END}</w:t>
      </w:r>
      <w:r>
        <w:rPr>
          <w:rFonts w:hint="eastAsia" w:asciiTheme="minorEastAsia" w:hAnsiTheme="minorEastAsia" w:eastAsiaTheme="minorEastAsia"/>
          <w:szCs w:val="21"/>
        </w:rPr>
        <w:t>日期间投资于关联方发行的证券</w:t>
      </w:r>
    </w:p>
    <w:tbl>
      <w:tblPr>
        <w:tblStyle w:val="7"/>
        <w:tblpPr w:leftFromText="180" w:rightFromText="180" w:vertAnchor="text" w:horzAnchor="margin" w:tblpY="191"/>
        <w:tblW w:w="8359" w:type="dxa"/>
        <w:tblInd w:w="0" w:type="dxa"/>
        <w:tblLayout w:type="autofit"/>
        <w:tblCellMar>
          <w:top w:w="0" w:type="dxa"/>
          <w:left w:w="108" w:type="dxa"/>
          <w:bottom w:w="0" w:type="dxa"/>
          <w:right w:w="108" w:type="dxa"/>
        </w:tblCellMar>
      </w:tblPr>
      <w:tblGrid>
        <w:gridCol w:w="1413"/>
        <w:gridCol w:w="1276"/>
        <w:gridCol w:w="1559"/>
        <w:gridCol w:w="1984"/>
        <w:gridCol w:w="2127"/>
      </w:tblGrid>
      <w:tr>
        <w:tblPrEx>
          <w:tblCellMar>
            <w:top w:w="0" w:type="dxa"/>
            <w:left w:w="108" w:type="dxa"/>
            <w:bottom w:w="0" w:type="dxa"/>
            <w:right w:w="108" w:type="dxa"/>
          </w:tblCellMar>
        </w:tblPrEx>
        <w:trPr>
          <w:trHeight w:val="441" w:hRule="atLeast"/>
        </w:trPr>
        <w:tc>
          <w:tcPr>
            <w:tcW w:w="1413" w:type="dxa"/>
            <w:vMerge w:val="restart"/>
            <w:tcBorders>
              <w:top w:val="single" w:color="auto" w:sz="4" w:space="0"/>
              <w:left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关联方名称</w:t>
            </w:r>
          </w:p>
        </w:tc>
        <w:tc>
          <w:tcPr>
            <w:tcW w:w="1276"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证券代码</w:t>
            </w:r>
          </w:p>
        </w:tc>
        <w:tc>
          <w:tcPr>
            <w:tcW w:w="1559"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证券简称</w:t>
            </w:r>
          </w:p>
        </w:tc>
        <w:tc>
          <w:tcPr>
            <w:tcW w:w="4111"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报告期内买入证券</w:t>
            </w:r>
          </w:p>
        </w:tc>
      </w:tr>
      <w:tr>
        <w:tblPrEx>
          <w:tblCellMar>
            <w:top w:w="0" w:type="dxa"/>
            <w:left w:w="108" w:type="dxa"/>
            <w:bottom w:w="0" w:type="dxa"/>
            <w:right w:w="108" w:type="dxa"/>
          </w:tblCellMar>
        </w:tblPrEx>
        <w:trPr>
          <w:trHeight w:val="418" w:hRule="atLeast"/>
        </w:trPr>
        <w:tc>
          <w:tcPr>
            <w:tcW w:w="1413" w:type="dxa"/>
            <w:vMerge w:val="continue"/>
            <w:tcBorders>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276"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数量（单位：张）</w:t>
            </w: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总金额（单位：万元）</w:t>
            </w:r>
          </w:p>
        </w:tc>
      </w:tr>
      <w:tr>
        <w:tblPrEx>
          <w:tblCellMar>
            <w:top w:w="0" w:type="dxa"/>
            <w:left w:w="108" w:type="dxa"/>
            <w:bottom w:w="0" w:type="dxa"/>
            <w:right w:w="108" w:type="dxa"/>
          </w:tblCellMar>
        </w:tblPrEx>
        <w:trPr>
          <w:trHeight w:val="418" w:hRule="atLeast"/>
        </w:trPr>
        <w:tc>
          <w:tcPr>
            <w:tcW w:w="141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ascii="宋体" w:hAnsi="宋体" w:cs="宋体"/>
                <w:kern w:val="0"/>
                <w:szCs w:val="21"/>
              </w:rPr>
              <w:t>${D00001关联交易情况_关联方发行的证券}</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p>
        </w:tc>
      </w:tr>
    </w:tbl>
    <w:p>
      <w:pPr>
        <w:spacing w:line="360" w:lineRule="auto"/>
        <w:ind w:firstLine="424" w:firstLineChars="202"/>
        <w:rPr>
          <w:rFonts w:asciiTheme="minorEastAsia" w:hAnsiTheme="minorEastAsia" w:eastAsiaTheme="minorEastAsia"/>
          <w:szCs w:val="21"/>
        </w:rPr>
      </w:pPr>
    </w:p>
    <w:p>
      <w:pPr>
        <w:spacing w:line="360" w:lineRule="auto"/>
        <w:ind w:firstLine="424" w:firstLineChars="202"/>
        <w:rPr>
          <w:rFonts w:asciiTheme="minorEastAsia" w:hAnsiTheme="minorEastAsia" w:eastAsiaTheme="minorEastAsia"/>
          <w:szCs w:val="21"/>
        </w:rPr>
      </w:pPr>
      <w:r>
        <w:rPr>
          <w:rFonts w:hint="eastAsia" w:asciiTheme="minorEastAsia" w:hAnsiTheme="minorEastAsia" w:eastAsiaTheme="minorEastAsia"/>
          <w:szCs w:val="21"/>
        </w:rPr>
        <w:t>本产品于</w:t>
      </w:r>
      <w:r>
        <w:rPr>
          <w:rFonts w:hint="eastAsia" w:ascii="宋体" w:hAnsi="宋体"/>
          <w:szCs w:val="21"/>
        </w:rPr>
        <w:t>${YEAR}年${MONTH_BEGIN}月${DAY_BEGIN}日至${YEAR}年${MONTH_END}月${DAY_END}</w:t>
      </w:r>
      <w:r>
        <w:rPr>
          <w:rFonts w:hint="eastAsia" w:asciiTheme="minorEastAsia" w:hAnsiTheme="minorEastAsia" w:eastAsiaTheme="minorEastAsia"/>
          <w:szCs w:val="21"/>
        </w:rPr>
        <w:t>日期间投资于关联方承销的证券</w:t>
      </w:r>
    </w:p>
    <w:tbl>
      <w:tblPr>
        <w:tblStyle w:val="7"/>
        <w:tblpPr w:leftFromText="180" w:rightFromText="180" w:vertAnchor="text" w:horzAnchor="margin" w:tblpY="191"/>
        <w:tblW w:w="8359" w:type="dxa"/>
        <w:tblInd w:w="0" w:type="dxa"/>
        <w:tblLayout w:type="autofit"/>
        <w:tblCellMar>
          <w:top w:w="0" w:type="dxa"/>
          <w:left w:w="108" w:type="dxa"/>
          <w:bottom w:w="0" w:type="dxa"/>
          <w:right w:w="108" w:type="dxa"/>
        </w:tblCellMar>
      </w:tblPr>
      <w:tblGrid>
        <w:gridCol w:w="1413"/>
        <w:gridCol w:w="1276"/>
        <w:gridCol w:w="1559"/>
        <w:gridCol w:w="1984"/>
        <w:gridCol w:w="2127"/>
      </w:tblGrid>
      <w:tr>
        <w:tblPrEx>
          <w:tblCellMar>
            <w:top w:w="0" w:type="dxa"/>
            <w:left w:w="108" w:type="dxa"/>
            <w:bottom w:w="0" w:type="dxa"/>
            <w:right w:w="108" w:type="dxa"/>
          </w:tblCellMar>
        </w:tblPrEx>
        <w:trPr>
          <w:trHeight w:val="441" w:hRule="atLeast"/>
        </w:trPr>
        <w:tc>
          <w:tcPr>
            <w:tcW w:w="1413" w:type="dxa"/>
            <w:vMerge w:val="restart"/>
            <w:tcBorders>
              <w:top w:val="single" w:color="auto" w:sz="4" w:space="0"/>
              <w:left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关联方名称</w:t>
            </w:r>
          </w:p>
        </w:tc>
        <w:tc>
          <w:tcPr>
            <w:tcW w:w="1276"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证券代码</w:t>
            </w:r>
          </w:p>
        </w:tc>
        <w:tc>
          <w:tcPr>
            <w:tcW w:w="1559" w:type="dxa"/>
            <w:vMerge w:val="restart"/>
            <w:tcBorders>
              <w:top w:val="single" w:color="auto" w:sz="4" w:space="0"/>
              <w:left w:val="nil"/>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证券简称</w:t>
            </w:r>
          </w:p>
        </w:tc>
        <w:tc>
          <w:tcPr>
            <w:tcW w:w="4111" w:type="dxa"/>
            <w:gridSpan w:val="2"/>
            <w:tcBorders>
              <w:top w:val="single" w:color="auto" w:sz="4" w:space="0"/>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报告期内买入证券</w:t>
            </w:r>
          </w:p>
        </w:tc>
      </w:tr>
      <w:tr>
        <w:tblPrEx>
          <w:tblCellMar>
            <w:top w:w="0" w:type="dxa"/>
            <w:left w:w="108" w:type="dxa"/>
            <w:bottom w:w="0" w:type="dxa"/>
            <w:right w:w="108" w:type="dxa"/>
          </w:tblCellMar>
        </w:tblPrEx>
        <w:trPr>
          <w:trHeight w:val="418" w:hRule="atLeast"/>
        </w:trPr>
        <w:tc>
          <w:tcPr>
            <w:tcW w:w="1413" w:type="dxa"/>
            <w:vMerge w:val="continue"/>
            <w:tcBorders>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276"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vMerge w:val="continue"/>
            <w:tcBorders>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数量（单位：张）</w:t>
            </w: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cs="宋体" w:asciiTheme="minorEastAsia" w:hAnsiTheme="minorEastAsia" w:eastAsiaTheme="minorEastAsia"/>
                <w:color w:val="000000"/>
                <w:kern w:val="0"/>
                <w:szCs w:val="21"/>
              </w:rPr>
              <w:t>总金额（单位：万元）</w:t>
            </w:r>
          </w:p>
        </w:tc>
      </w:tr>
      <w:tr>
        <w:tblPrEx>
          <w:tblCellMar>
            <w:top w:w="0" w:type="dxa"/>
            <w:left w:w="108" w:type="dxa"/>
            <w:bottom w:w="0" w:type="dxa"/>
            <w:right w:w="108" w:type="dxa"/>
          </w:tblCellMar>
        </w:tblPrEx>
        <w:trPr>
          <w:trHeight w:val="418" w:hRule="atLeast"/>
        </w:trPr>
        <w:tc>
          <w:tcPr>
            <w:tcW w:w="1413"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r>
              <w:rPr>
                <w:rFonts w:hint="eastAsia" w:ascii="宋体" w:hAnsi="宋体" w:cs="宋体"/>
                <w:kern w:val="0"/>
                <w:szCs w:val="21"/>
              </w:rPr>
              <w:t>${D00001非标资产投资情况}</w:t>
            </w:r>
          </w:p>
        </w:tc>
        <w:tc>
          <w:tcPr>
            <w:tcW w:w="1276"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559" w:type="dxa"/>
            <w:tcBorders>
              <w:top w:val="nil"/>
              <w:left w:val="nil"/>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1984" w:type="dxa"/>
            <w:tcBorders>
              <w:top w:val="nil"/>
              <w:left w:val="single" w:color="auto" w:sz="4" w:space="0"/>
              <w:bottom w:val="single" w:color="auto" w:sz="4" w:space="0"/>
              <w:right w:val="single" w:color="auto" w:sz="4" w:space="0"/>
            </w:tcBorders>
            <w:shd w:val="clear" w:color="auto" w:fill="auto"/>
            <w:noWrap/>
            <w:vAlign w:val="center"/>
          </w:tcPr>
          <w:p>
            <w:pPr>
              <w:widowControl/>
              <w:spacing w:line="360" w:lineRule="auto"/>
              <w:jc w:val="center"/>
              <w:rPr>
                <w:rFonts w:cs="宋体" w:asciiTheme="minorEastAsia" w:hAnsiTheme="minorEastAsia" w:eastAsiaTheme="minorEastAsia"/>
                <w:color w:val="000000"/>
                <w:kern w:val="0"/>
                <w:szCs w:val="21"/>
              </w:rPr>
            </w:pPr>
          </w:p>
        </w:tc>
        <w:tc>
          <w:tcPr>
            <w:tcW w:w="2127" w:type="dxa"/>
            <w:tcBorders>
              <w:top w:val="single" w:color="auto" w:sz="4" w:space="0"/>
              <w:left w:val="nil"/>
              <w:bottom w:val="single" w:color="auto" w:sz="4" w:space="0"/>
              <w:right w:val="single" w:color="auto" w:sz="4" w:space="0"/>
            </w:tcBorders>
            <w:vAlign w:val="center"/>
          </w:tcPr>
          <w:p>
            <w:pPr>
              <w:widowControl/>
              <w:spacing w:line="360" w:lineRule="auto"/>
              <w:jc w:val="center"/>
              <w:rPr>
                <w:rFonts w:cs="宋体" w:asciiTheme="minorEastAsia" w:hAnsiTheme="minorEastAsia" w:eastAsiaTheme="minorEastAsia"/>
                <w:color w:val="000000"/>
                <w:kern w:val="0"/>
                <w:szCs w:val="21"/>
              </w:rPr>
            </w:pPr>
          </w:p>
        </w:tc>
      </w:tr>
    </w:tbl>
    <w:p>
      <w:pPr>
        <w:spacing w:line="360" w:lineRule="auto"/>
        <w:rPr>
          <w:rFonts w:asciiTheme="minorEastAsia" w:hAnsiTheme="minorEastAsia" w:eastAsiaTheme="minorEastAsia"/>
          <w:color w:val="000000"/>
          <w:szCs w:val="21"/>
        </w:rPr>
      </w:pPr>
    </w:p>
    <w:p>
      <w:pPr>
        <w:spacing w:line="600" w:lineRule="auto"/>
        <w:ind w:firstLine="424" w:firstLineChars="202"/>
        <w:rPr>
          <w:rFonts w:asciiTheme="minorEastAsia" w:hAnsiTheme="minorEastAsia" w:eastAsiaTheme="minorEastAsia"/>
          <w:szCs w:val="21"/>
        </w:rPr>
      </w:pPr>
      <w:r>
        <w:rPr>
          <w:rFonts w:hint="eastAsia" w:asciiTheme="minorEastAsia" w:hAnsiTheme="minorEastAsia"/>
          <w:szCs w:val="21"/>
        </w:rPr>
        <w:t>本产品于</w:t>
      </w:r>
      <w:r>
        <w:rPr>
          <w:rFonts w:hint="eastAsia" w:ascii="宋体" w:hAnsi="宋体"/>
          <w:szCs w:val="21"/>
        </w:rPr>
        <w:t>${YEAR}年${MONTH_BEGIN}月${DAY_BEGIN}日至${YEAR}年${MONTH_END}月${DAY_END}日</w:t>
      </w:r>
      <w:r>
        <w:rPr>
          <w:rFonts w:hint="eastAsia" w:asciiTheme="minorEastAsia" w:hAnsiTheme="minorEastAsia"/>
          <w:szCs w:val="21"/>
        </w:rPr>
        <w:t>期间的其他关联交易</w:t>
      </w:r>
    </w:p>
    <w:p>
      <w:pPr>
        <w:spacing w:line="360" w:lineRule="auto"/>
        <w:rPr>
          <w:rFonts w:asciiTheme="minorEastAsia" w:hAnsiTheme="minorEastAsia"/>
          <w:szCs w:val="21"/>
        </w:rPr>
      </w:pPr>
      <w:r>
        <w:rPr>
          <w:rFonts w:hint="eastAsia" w:asciiTheme="minorEastAsia" w:hAnsiTheme="minorEastAsia" w:eastAsiaTheme="minorEastAsia"/>
          <w:szCs w:val="21"/>
        </w:rPr>
        <w:t>=IF($OTHER_RLTV_EXIST="1")</w:t>
      </w:r>
    </w:p>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241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line="360" w:lineRule="auto"/>
              <w:jc w:val="center"/>
              <w:rPr>
                <w:rFonts w:asciiTheme="minorEastAsia" w:hAnsiTheme="minorEastAsia"/>
                <w:szCs w:val="21"/>
              </w:rPr>
            </w:pPr>
            <w:r>
              <w:rPr>
                <w:rFonts w:hint="eastAsia" w:asciiTheme="minorEastAsia" w:hAnsiTheme="minorEastAsia"/>
                <w:szCs w:val="21"/>
              </w:rPr>
              <w:t>交易类型</w:t>
            </w:r>
          </w:p>
        </w:tc>
        <w:tc>
          <w:tcPr>
            <w:tcW w:w="2410" w:type="dxa"/>
          </w:tcPr>
          <w:p>
            <w:pPr>
              <w:spacing w:line="360" w:lineRule="auto"/>
              <w:jc w:val="center"/>
              <w:rPr>
                <w:rFonts w:asciiTheme="minorEastAsia" w:hAnsiTheme="minorEastAsia"/>
                <w:szCs w:val="21"/>
              </w:rPr>
            </w:pPr>
            <w:r>
              <w:rPr>
                <w:rFonts w:hint="eastAsia" w:asciiTheme="minorEastAsia" w:hAnsiTheme="minorEastAsia"/>
                <w:szCs w:val="21"/>
              </w:rPr>
              <w:t>关联方名称</w:t>
            </w:r>
          </w:p>
        </w:tc>
        <w:tc>
          <w:tcPr>
            <w:tcW w:w="3119" w:type="dxa"/>
          </w:tcPr>
          <w:p>
            <w:pPr>
              <w:spacing w:line="360" w:lineRule="auto"/>
              <w:jc w:val="center"/>
              <w:rPr>
                <w:rFonts w:asciiTheme="minorEastAsia" w:hAnsiTheme="minorEastAsia"/>
                <w:szCs w:val="21"/>
              </w:rPr>
            </w:pPr>
            <w:r>
              <w:rPr>
                <w:rFonts w:hint="eastAsia" w:asciiTheme="minorEastAsia" w:hAnsiTheme="minorEastAsia"/>
                <w:szCs w:val="21"/>
              </w:rPr>
              <w:t>总金额（单位：</w:t>
            </w:r>
            <w:r>
              <w:rPr>
                <w:rFonts w:hint="eastAsia" w:cs="宋体" w:asciiTheme="minorEastAsia" w:hAnsiTheme="minorEastAsia" w:eastAsiaTheme="minorEastAsia"/>
                <w:color w:val="000000"/>
                <w:kern w:val="0"/>
                <w:szCs w:val="21"/>
              </w:rPr>
              <w:t>万</w:t>
            </w:r>
            <w:r>
              <w:rPr>
                <w:rFonts w:hint="eastAsia" w:asciiTheme="minorEastAsia" w:hAnsiTheme="minorEastAsia"/>
                <w:szCs w:val="21"/>
              </w:rPr>
              <w:t>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line="360" w:lineRule="auto"/>
              <w:jc w:val="center"/>
              <w:rPr>
                <w:rFonts w:asciiTheme="minorEastAsia" w:hAnsiTheme="minorEastAsia"/>
                <w:szCs w:val="21"/>
              </w:rPr>
            </w:pPr>
            <w:r>
              <w:rPr>
                <w:rFonts w:hint="eastAsia" w:ascii="宋体" w:hAnsi="宋体" w:cs="宋体"/>
                <w:kern w:val="0"/>
                <w:szCs w:val="21"/>
              </w:rPr>
              <w:t>${D00001关联交易情况_其他关联交易}</w:t>
            </w:r>
          </w:p>
        </w:tc>
        <w:tc>
          <w:tcPr>
            <w:tcW w:w="2410" w:type="dxa"/>
          </w:tcPr>
          <w:p>
            <w:pPr>
              <w:spacing w:line="360" w:lineRule="auto"/>
              <w:jc w:val="center"/>
              <w:rPr>
                <w:rFonts w:asciiTheme="minorEastAsia" w:hAnsiTheme="minorEastAsia"/>
                <w:szCs w:val="21"/>
              </w:rPr>
            </w:pPr>
          </w:p>
        </w:tc>
        <w:tc>
          <w:tcPr>
            <w:tcW w:w="3119" w:type="dxa"/>
          </w:tcPr>
          <w:p>
            <w:pPr>
              <w:spacing w:line="360" w:lineRule="auto"/>
              <w:jc w:val="center"/>
              <w:rPr>
                <w:rFonts w:asciiTheme="minorEastAsia" w:hAnsiTheme="minorEastAsia"/>
                <w:szCs w:val="21"/>
              </w:rPr>
            </w:pPr>
          </w:p>
        </w:tc>
      </w:tr>
    </w:tbl>
    <w:p>
      <w:pPr>
        <w:spacing w:line="360" w:lineRule="auto"/>
        <w:rPr>
          <w:rFonts w:asciiTheme="minorEastAsia" w:hAnsiTheme="minorEastAsia" w:eastAsiaTheme="minorEastAsia"/>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=ENDIF($OTHER_RLTV_EXIST="1")</w:t>
      </w:r>
    </w:p>
    <w:p>
      <w:pPr>
        <w:spacing w:line="360" w:lineRule="auto"/>
        <w:rPr>
          <w:rFonts w:asciiTheme="minorEastAsia" w:hAnsiTheme="minorEastAsia"/>
          <w:szCs w:val="21"/>
        </w:rPr>
      </w:pPr>
      <w:r>
        <w:rPr>
          <w:rFonts w:hint="eastAsia" w:asciiTheme="minorEastAsia" w:hAnsiTheme="minorEastAsia" w:eastAsiaTheme="minorEastAsia"/>
          <w:szCs w:val="21"/>
        </w:rPr>
        <w:t>=IF($OTHER_RLTV_EXIST="0")</w:t>
      </w:r>
    </w:p>
    <w:tbl>
      <w:tblPr>
        <w:tblStyle w:val="8"/>
        <w:tblW w:w="835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30"/>
        <w:gridCol w:w="2410"/>
        <w:gridCol w:w="311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30" w:type="dxa"/>
          </w:tcPr>
          <w:p>
            <w:pPr>
              <w:spacing w:line="360" w:lineRule="auto"/>
              <w:jc w:val="center"/>
              <w:rPr>
                <w:rFonts w:asciiTheme="minorEastAsia" w:hAnsiTheme="minorEastAsia"/>
                <w:szCs w:val="21"/>
              </w:rPr>
            </w:pPr>
            <w:r>
              <w:rPr>
                <w:rFonts w:hint="eastAsia" w:asciiTheme="minorEastAsia" w:hAnsiTheme="minorEastAsia"/>
                <w:szCs w:val="21"/>
              </w:rPr>
              <w:t>交易类型</w:t>
            </w:r>
          </w:p>
        </w:tc>
        <w:tc>
          <w:tcPr>
            <w:tcW w:w="2410" w:type="dxa"/>
          </w:tcPr>
          <w:p>
            <w:pPr>
              <w:spacing w:line="360" w:lineRule="auto"/>
              <w:jc w:val="center"/>
              <w:rPr>
                <w:rFonts w:asciiTheme="minorEastAsia" w:hAnsiTheme="minorEastAsia"/>
                <w:szCs w:val="21"/>
              </w:rPr>
            </w:pPr>
            <w:r>
              <w:rPr>
                <w:rFonts w:hint="eastAsia" w:asciiTheme="minorEastAsia" w:hAnsiTheme="minorEastAsia"/>
                <w:szCs w:val="21"/>
              </w:rPr>
              <w:t>关联方名称</w:t>
            </w:r>
          </w:p>
        </w:tc>
        <w:tc>
          <w:tcPr>
            <w:tcW w:w="3119" w:type="dxa"/>
          </w:tcPr>
          <w:p>
            <w:pPr>
              <w:spacing w:line="360" w:lineRule="auto"/>
              <w:jc w:val="center"/>
              <w:rPr>
                <w:rFonts w:asciiTheme="minorEastAsia" w:hAnsiTheme="minorEastAsia"/>
                <w:szCs w:val="21"/>
              </w:rPr>
            </w:pPr>
            <w:r>
              <w:rPr>
                <w:rFonts w:hint="eastAsia" w:asciiTheme="minorEastAsia" w:hAnsiTheme="minorEastAsia"/>
                <w:szCs w:val="21"/>
              </w:rPr>
              <w:t>总金额（单位：</w:t>
            </w:r>
            <w:r>
              <w:rPr>
                <w:rFonts w:hint="eastAsia" w:cs="宋体" w:asciiTheme="minorEastAsia" w:hAnsiTheme="minorEastAsia" w:eastAsiaTheme="minorEastAsia"/>
                <w:color w:val="000000"/>
                <w:kern w:val="0"/>
                <w:szCs w:val="21"/>
              </w:rPr>
              <w:t>万</w:t>
            </w:r>
            <w:r>
              <w:rPr>
                <w:rFonts w:hint="eastAsia" w:asciiTheme="minorEastAsia" w:hAnsiTheme="minorEastAsia"/>
                <w:szCs w:val="21"/>
              </w:rPr>
              <w:t>元）</w:t>
            </w:r>
          </w:p>
        </w:tc>
      </w:tr>
    </w:tbl>
    <w:p>
      <w:pPr>
        <w:spacing w:line="360" w:lineRule="auto"/>
        <w:rPr>
          <w:rFonts w:asciiTheme="minorEastAsia" w:hAnsiTheme="minorEastAsia" w:eastAsiaTheme="minorEastAsia"/>
          <w:szCs w:val="21"/>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=ENDIF($OTHER_RLTV_EXIST="0")</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=IF($OTHER_PART_TEXT_EXIST="1")</w:t>
      </w:r>
    </w:p>
    <w:p>
      <w:pPr>
        <w:pStyle w:val="12"/>
        <w:numPr>
          <w:ilvl w:val="0"/>
          <w:numId w:val="3"/>
        </w:numPr>
        <w:spacing w:line="360" w:lineRule="auto"/>
        <w:ind w:left="567" w:firstLine="0" w:firstLineChars="0"/>
        <w:rPr>
          <w:rFonts w:asciiTheme="minorEastAsia" w:hAnsiTheme="minorEastAsia" w:eastAsiaTheme="minorEastAsia"/>
          <w:color w:val="000000"/>
          <w:szCs w:val="21"/>
        </w:rPr>
      </w:pPr>
      <w:r>
        <w:rPr>
          <w:rFonts w:asciiTheme="minorEastAsia" w:hAnsiTheme="minorEastAsia" w:eastAsiaTheme="minorEastAsia"/>
          <w:color w:val="000000"/>
          <w:szCs w:val="21"/>
        </w:rPr>
        <w:t>关联交易情况</w:t>
      </w:r>
    </w:p>
    <w:p>
      <w:pPr>
        <w:spacing w:line="360" w:lineRule="auto"/>
        <w:ind w:firstLine="420"/>
        <w:rPr>
          <w:rFonts w:asciiTheme="minorEastAsia" w:hAnsiTheme="minorEastAsia" w:eastAsiaTheme="minorEastAsia"/>
          <w:bCs/>
          <w:szCs w:val="21"/>
        </w:rPr>
      </w:pPr>
      <w:r>
        <w:rPr>
          <w:rFonts w:hint="eastAsia" w:asciiTheme="minorEastAsia" w:hAnsiTheme="minorEastAsia" w:eastAsiaTheme="minorEastAsia"/>
          <w:bCs/>
          <w:szCs w:val="21"/>
        </w:rPr>
        <w:t xml:space="preserve">${D0000108002} </w:t>
      </w:r>
      <w:bookmarkStart w:id="0" w:name="_GoBack"/>
      <w:bookmarkEnd w:id="0"/>
    </w:p>
    <w:p>
      <w:pPr>
        <w:spacing w:line="360" w:lineRule="auto"/>
        <w:rPr>
          <w:rFonts w:asciiTheme="minorEastAsia" w:hAnsiTheme="minorEastAsia" w:eastAsiaTheme="minorEastAsia"/>
          <w:bCs/>
          <w:szCs w:val="21"/>
        </w:rPr>
      </w:pPr>
      <w:r>
        <w:rPr>
          <w:rFonts w:hint="eastAsia" w:asciiTheme="minorEastAsia" w:hAnsiTheme="minorEastAsia" w:eastAsiaTheme="minorEastAsia"/>
          <w:szCs w:val="21"/>
        </w:rPr>
        <w:t>=ENDIF($OTHER_PART_TEXT_EXIST="1")</w:t>
      </w:r>
    </w:p>
    <w:p>
      <w:pPr>
        <w:spacing w:line="360" w:lineRule="auto"/>
        <w:ind w:firstLine="420"/>
        <w:rPr>
          <w:rFonts w:asciiTheme="minorEastAsia" w:hAnsiTheme="minorEastAsia" w:eastAsiaTheme="minorEastAsia"/>
          <w:bCs/>
          <w:szCs w:val="21"/>
        </w:rPr>
      </w:pPr>
    </w:p>
    <w:p>
      <w:pPr>
        <w:spacing w:line="360" w:lineRule="auto"/>
        <w:ind w:firstLine="420"/>
        <w:rPr>
          <w:rFonts w:asciiTheme="minorEastAsia" w:hAnsiTheme="minorEastAsia" w:eastAsiaTheme="minorEastAsia"/>
          <w:bCs/>
          <w:szCs w:val="21"/>
        </w:rPr>
      </w:pPr>
    </w:p>
    <w:p>
      <w:pPr>
        <w:numPr>
          <w:ilvl w:val="0"/>
          <w:numId w:val="1"/>
        </w:numPr>
        <w:spacing w:line="360" w:lineRule="auto"/>
        <w:rPr>
          <w:rFonts w:ascii="等线" w:hAnsi="等线"/>
          <w:b/>
          <w:szCs w:val="21"/>
        </w:rPr>
      </w:pPr>
      <w:r>
        <w:rPr>
          <w:rFonts w:hint="eastAsia" w:ascii="等线" w:hAnsi="等线"/>
          <w:b/>
          <w:szCs w:val="21"/>
        </w:rPr>
        <w:t>后市展望及下阶段投资策略</w:t>
      </w:r>
    </w:p>
    <w:p>
      <w:pPr>
        <w:spacing w:line="360" w:lineRule="auto"/>
        <w:ind w:firstLine="420"/>
        <w:rPr>
          <w:rFonts w:cs="宋体" w:asciiTheme="minorEastAsia" w:hAnsiTheme="minorEastAsia" w:eastAsiaTheme="minorEastAsia"/>
          <w:color w:val="000000"/>
          <w:kern w:val="0"/>
          <w:szCs w:val="21"/>
        </w:rPr>
      </w:pPr>
      <w:r>
        <w:rPr>
          <w:rFonts w:hint="eastAsia" w:asciiTheme="minorEastAsia" w:hAnsiTheme="minorEastAsia" w:eastAsiaTheme="minorEastAsia"/>
          <w:bCs/>
          <w:szCs w:val="21"/>
        </w:rPr>
        <w:t xml:space="preserve">${D0000109001}  </w:t>
      </w:r>
    </w:p>
    <w:p>
      <w:pPr>
        <w:rPr>
          <w:rFonts w:asciiTheme="minorEastAsia" w:hAnsiTheme="minorEastAsia" w:eastAsiaTheme="minorEastAsia"/>
          <w:szCs w:val="21"/>
        </w:rPr>
      </w:pPr>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right"/>
    </w:pPr>
    <w:r>
      <w:fldChar w:fldCharType="begin"/>
    </w:r>
    <w:r>
      <w:instrText xml:space="preserve">PAGE   \* MERGEFORMAT</w:instrText>
    </w:r>
    <w:r>
      <w:fldChar w:fldCharType="separate"/>
    </w:r>
    <w:r>
      <w:rPr>
        <w:lang w:val="zh-CN"/>
      </w:rPr>
      <w:t>1</w:t>
    </w:r>
    <w:r>
      <w:fldChar w:fldCharType="end"/>
    </w:r>
  </w:p>
  <w:p>
    <w:pPr>
      <w:pStyle w:val="4"/>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AB3EE39"/>
    <w:multiLevelType w:val="singleLevel"/>
    <w:tmpl w:val="9AB3EE39"/>
    <w:lvl w:ilvl="0" w:tentative="0">
      <w:start w:val="7"/>
      <w:numFmt w:val="chineseCounting"/>
      <w:suff w:val="nothing"/>
      <w:lvlText w:val="%1、"/>
      <w:lvlJc w:val="left"/>
      <w:rPr>
        <w:rFonts w:hint="eastAsia"/>
      </w:rPr>
    </w:lvl>
  </w:abstractNum>
  <w:abstractNum w:abstractNumId="1">
    <w:nsid w:val="4ECE07C2"/>
    <w:multiLevelType w:val="multilevel"/>
    <w:tmpl w:val="4ECE07C2"/>
    <w:lvl w:ilvl="0" w:tentative="0">
      <w:start w:val="1"/>
      <w:numFmt w:val="chineseCountingThousand"/>
      <w:lvlText w:val="(%1)"/>
      <w:lvlJc w:val="left"/>
      <w:pPr>
        <w:ind w:left="562"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
    <w:nsid w:val="6B029105"/>
    <w:multiLevelType w:val="multilevel"/>
    <w:tmpl w:val="6B029105"/>
    <w:lvl w:ilvl="0" w:tentative="0">
      <w:start w:val="1"/>
      <w:numFmt w:val="chineseCountingThousand"/>
      <w:lvlText w:val="(%1)"/>
      <w:lvlJc w:val="left"/>
      <w:pPr>
        <w:ind w:left="562" w:hanging="420"/>
      </w:p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WI5YTQ4YWY1NzdlN2VkZjlmYjViODc0Njc5N2UyODMifQ=="/>
  </w:docVars>
  <w:rsids>
    <w:rsidRoot w:val="00623DA0"/>
    <w:rsid w:val="000000CD"/>
    <w:rsid w:val="00002395"/>
    <w:rsid w:val="000505BA"/>
    <w:rsid w:val="00051DE5"/>
    <w:rsid w:val="000833B6"/>
    <w:rsid w:val="000E25AC"/>
    <w:rsid w:val="000E35B2"/>
    <w:rsid w:val="000E4BF7"/>
    <w:rsid w:val="000E6829"/>
    <w:rsid w:val="0015366A"/>
    <w:rsid w:val="00156CE6"/>
    <w:rsid w:val="0017113C"/>
    <w:rsid w:val="001A472E"/>
    <w:rsid w:val="001D430C"/>
    <w:rsid w:val="00210F73"/>
    <w:rsid w:val="0022687E"/>
    <w:rsid w:val="00274CDE"/>
    <w:rsid w:val="00280052"/>
    <w:rsid w:val="002872F2"/>
    <w:rsid w:val="00290119"/>
    <w:rsid w:val="002A37E2"/>
    <w:rsid w:val="002B1465"/>
    <w:rsid w:val="002B5A99"/>
    <w:rsid w:val="002B67E9"/>
    <w:rsid w:val="002F03DE"/>
    <w:rsid w:val="00330775"/>
    <w:rsid w:val="0034061D"/>
    <w:rsid w:val="00365773"/>
    <w:rsid w:val="0037106F"/>
    <w:rsid w:val="0039215D"/>
    <w:rsid w:val="003B1EE3"/>
    <w:rsid w:val="003C1DCC"/>
    <w:rsid w:val="003D3948"/>
    <w:rsid w:val="00401646"/>
    <w:rsid w:val="00430F02"/>
    <w:rsid w:val="00435F00"/>
    <w:rsid w:val="00436236"/>
    <w:rsid w:val="00481F02"/>
    <w:rsid w:val="00483373"/>
    <w:rsid w:val="00484AF0"/>
    <w:rsid w:val="00490892"/>
    <w:rsid w:val="004A4B0B"/>
    <w:rsid w:val="004B00D7"/>
    <w:rsid w:val="004B1775"/>
    <w:rsid w:val="004B76B5"/>
    <w:rsid w:val="004D160B"/>
    <w:rsid w:val="004E0C87"/>
    <w:rsid w:val="005159C4"/>
    <w:rsid w:val="00533348"/>
    <w:rsid w:val="00547635"/>
    <w:rsid w:val="005478B2"/>
    <w:rsid w:val="00562236"/>
    <w:rsid w:val="00570D73"/>
    <w:rsid w:val="00575E3C"/>
    <w:rsid w:val="005B58A9"/>
    <w:rsid w:val="005C0CD5"/>
    <w:rsid w:val="005F216E"/>
    <w:rsid w:val="00606B06"/>
    <w:rsid w:val="0061254F"/>
    <w:rsid w:val="00623DA0"/>
    <w:rsid w:val="00624D1C"/>
    <w:rsid w:val="00625A2A"/>
    <w:rsid w:val="00653642"/>
    <w:rsid w:val="00655185"/>
    <w:rsid w:val="00661D4E"/>
    <w:rsid w:val="00666085"/>
    <w:rsid w:val="00667D57"/>
    <w:rsid w:val="006744F7"/>
    <w:rsid w:val="006905E2"/>
    <w:rsid w:val="006B7088"/>
    <w:rsid w:val="006C4CD9"/>
    <w:rsid w:val="006C5AEC"/>
    <w:rsid w:val="006D1920"/>
    <w:rsid w:val="006D46B2"/>
    <w:rsid w:val="006E4770"/>
    <w:rsid w:val="00710038"/>
    <w:rsid w:val="00712570"/>
    <w:rsid w:val="00744A05"/>
    <w:rsid w:val="00771E5A"/>
    <w:rsid w:val="00772BB4"/>
    <w:rsid w:val="00774473"/>
    <w:rsid w:val="007A7757"/>
    <w:rsid w:val="007C2D56"/>
    <w:rsid w:val="007E13B4"/>
    <w:rsid w:val="0084412C"/>
    <w:rsid w:val="008973E9"/>
    <w:rsid w:val="008C3EFF"/>
    <w:rsid w:val="008E59B9"/>
    <w:rsid w:val="008E6EA1"/>
    <w:rsid w:val="008E7080"/>
    <w:rsid w:val="008F0C5C"/>
    <w:rsid w:val="009078A7"/>
    <w:rsid w:val="00910C11"/>
    <w:rsid w:val="00926B4B"/>
    <w:rsid w:val="009343AF"/>
    <w:rsid w:val="00961FA7"/>
    <w:rsid w:val="00962E77"/>
    <w:rsid w:val="009703C1"/>
    <w:rsid w:val="00971C62"/>
    <w:rsid w:val="009A7EDB"/>
    <w:rsid w:val="009F17BE"/>
    <w:rsid w:val="00A10E93"/>
    <w:rsid w:val="00A113F3"/>
    <w:rsid w:val="00A178DF"/>
    <w:rsid w:val="00A27259"/>
    <w:rsid w:val="00A34BFE"/>
    <w:rsid w:val="00A53676"/>
    <w:rsid w:val="00A60A23"/>
    <w:rsid w:val="00A85EEB"/>
    <w:rsid w:val="00A97D0F"/>
    <w:rsid w:val="00AB5FE0"/>
    <w:rsid w:val="00B053D6"/>
    <w:rsid w:val="00B11FCF"/>
    <w:rsid w:val="00B14256"/>
    <w:rsid w:val="00B24864"/>
    <w:rsid w:val="00B32B83"/>
    <w:rsid w:val="00B45464"/>
    <w:rsid w:val="00B47C2A"/>
    <w:rsid w:val="00B61BBD"/>
    <w:rsid w:val="00B67DCE"/>
    <w:rsid w:val="00B73A2B"/>
    <w:rsid w:val="00B91405"/>
    <w:rsid w:val="00B92E45"/>
    <w:rsid w:val="00BA0EBE"/>
    <w:rsid w:val="00BB589B"/>
    <w:rsid w:val="00BD47CC"/>
    <w:rsid w:val="00BE08AB"/>
    <w:rsid w:val="00C10EFA"/>
    <w:rsid w:val="00C36C64"/>
    <w:rsid w:val="00C529C8"/>
    <w:rsid w:val="00C65688"/>
    <w:rsid w:val="00CB18A1"/>
    <w:rsid w:val="00CC17C1"/>
    <w:rsid w:val="00CD258E"/>
    <w:rsid w:val="00CD563E"/>
    <w:rsid w:val="00CE0E2D"/>
    <w:rsid w:val="00D018BC"/>
    <w:rsid w:val="00D51781"/>
    <w:rsid w:val="00D543C9"/>
    <w:rsid w:val="00D57E7D"/>
    <w:rsid w:val="00D74718"/>
    <w:rsid w:val="00D77CEE"/>
    <w:rsid w:val="00D94B69"/>
    <w:rsid w:val="00DC2F17"/>
    <w:rsid w:val="00DD2160"/>
    <w:rsid w:val="00E00CEB"/>
    <w:rsid w:val="00E108FD"/>
    <w:rsid w:val="00E148A9"/>
    <w:rsid w:val="00E16B57"/>
    <w:rsid w:val="00E31C23"/>
    <w:rsid w:val="00E428DF"/>
    <w:rsid w:val="00E52BC4"/>
    <w:rsid w:val="00E536E8"/>
    <w:rsid w:val="00E62DE3"/>
    <w:rsid w:val="00E72FE4"/>
    <w:rsid w:val="00E939B2"/>
    <w:rsid w:val="00EA4079"/>
    <w:rsid w:val="00EB6047"/>
    <w:rsid w:val="00EE40F2"/>
    <w:rsid w:val="00EF2830"/>
    <w:rsid w:val="00F0029D"/>
    <w:rsid w:val="00F108DB"/>
    <w:rsid w:val="00F226D1"/>
    <w:rsid w:val="00F32718"/>
    <w:rsid w:val="00F3303E"/>
    <w:rsid w:val="00F34AD5"/>
    <w:rsid w:val="00F57900"/>
    <w:rsid w:val="00F77634"/>
    <w:rsid w:val="00FC3DED"/>
    <w:rsid w:val="02E07918"/>
    <w:rsid w:val="07B113B1"/>
    <w:rsid w:val="0CBA3158"/>
    <w:rsid w:val="10421AC9"/>
    <w:rsid w:val="14D11948"/>
    <w:rsid w:val="17D80000"/>
    <w:rsid w:val="1CFA206A"/>
    <w:rsid w:val="20BD316F"/>
    <w:rsid w:val="20BD7C65"/>
    <w:rsid w:val="268212B1"/>
    <w:rsid w:val="2A4C3F29"/>
    <w:rsid w:val="2A6D78D9"/>
    <w:rsid w:val="2B9D4E63"/>
    <w:rsid w:val="2EC66876"/>
    <w:rsid w:val="2F4D6889"/>
    <w:rsid w:val="2F5208D6"/>
    <w:rsid w:val="313E3540"/>
    <w:rsid w:val="326A4812"/>
    <w:rsid w:val="360757D6"/>
    <w:rsid w:val="362D45F1"/>
    <w:rsid w:val="3EA4139D"/>
    <w:rsid w:val="411D5D77"/>
    <w:rsid w:val="43C16E99"/>
    <w:rsid w:val="47136D96"/>
    <w:rsid w:val="47BE5973"/>
    <w:rsid w:val="49EA2699"/>
    <w:rsid w:val="4D9F30E9"/>
    <w:rsid w:val="4DFB27DF"/>
    <w:rsid w:val="51EB7FC7"/>
    <w:rsid w:val="54485AAB"/>
    <w:rsid w:val="5D7C2110"/>
    <w:rsid w:val="6212348A"/>
    <w:rsid w:val="6534341A"/>
    <w:rsid w:val="663934C2"/>
    <w:rsid w:val="667F2542"/>
    <w:rsid w:val="67F5276A"/>
    <w:rsid w:val="68B51A5E"/>
    <w:rsid w:val="6A2A5189"/>
    <w:rsid w:val="6A3649E6"/>
    <w:rsid w:val="6C4C66E5"/>
    <w:rsid w:val="6CE847CB"/>
    <w:rsid w:val="6D415B5B"/>
    <w:rsid w:val="749D47E0"/>
    <w:rsid w:val="752F3596"/>
    <w:rsid w:val="76E221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qFormat="1" w:uiPriority="99" w:semiHidden="0" w:name="annotation text"/>
    <w:lsdException w:qFormat="1" w:unhideWhenUsed="0" w:uiPriority="0" w:semiHidden="0" w:name="header"/>
    <w:lsdException w:qFormat="1"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qFormat="1" w:uiPriority="99" w:semiHidden="0" w:name="annotation reference"/>
    <w:lsdException w:uiPriority="0" w:name="line number"/>
    <w:lsdException w:uiPriority="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uiPriority="99" w:name="Normal Table"/>
    <w:lsdException w:qFormat="1"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39"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annotation text"/>
    <w:basedOn w:val="1"/>
    <w:link w:val="13"/>
    <w:unhideWhenUsed/>
    <w:qFormat/>
    <w:uiPriority w:val="99"/>
    <w:pPr>
      <w:jc w:val="left"/>
    </w:pPr>
    <w:rPr>
      <w:rFonts w:ascii="Calibri" w:hAnsi="Calibri"/>
      <w:szCs w:val="22"/>
    </w:rPr>
  </w:style>
  <w:style w:type="paragraph" w:styleId="3">
    <w:name w:val="Balloon Text"/>
    <w:basedOn w:val="1"/>
    <w:link w:val="14"/>
    <w:qFormat/>
    <w:uiPriority w:val="0"/>
    <w:rPr>
      <w:sz w:val="18"/>
      <w:szCs w:val="18"/>
    </w:rPr>
  </w:style>
  <w:style w:type="paragraph" w:styleId="4">
    <w:name w:val="footer"/>
    <w:basedOn w:val="1"/>
    <w:link w:val="11"/>
    <w:unhideWhenUsed/>
    <w:qFormat/>
    <w:uiPriority w:val="99"/>
    <w:pPr>
      <w:tabs>
        <w:tab w:val="center" w:pos="4153"/>
        <w:tab w:val="right" w:pos="8306"/>
      </w:tabs>
      <w:snapToGrid w:val="0"/>
      <w:jc w:val="left"/>
    </w:pPr>
    <w:rPr>
      <w:rFonts w:ascii="Calibri" w:hAnsi="Calibri"/>
      <w:sz w:val="18"/>
      <w:szCs w:val="18"/>
    </w:rPr>
  </w:style>
  <w:style w:type="paragraph" w:styleId="5">
    <w:name w:val="header"/>
    <w:basedOn w:val="1"/>
    <w:link w:val="15"/>
    <w:qFormat/>
    <w:uiPriority w:val="0"/>
    <w:pPr>
      <w:pBdr>
        <w:bottom w:val="single" w:color="auto" w:sz="6" w:space="1"/>
      </w:pBdr>
      <w:tabs>
        <w:tab w:val="center" w:pos="4153"/>
        <w:tab w:val="right" w:pos="8306"/>
      </w:tabs>
      <w:snapToGrid w:val="0"/>
      <w:jc w:val="center"/>
    </w:pPr>
    <w:rPr>
      <w:sz w:val="18"/>
      <w:szCs w:val="18"/>
    </w:rPr>
  </w:style>
  <w:style w:type="paragraph" w:styleId="6">
    <w:name w:val="annotation subject"/>
    <w:basedOn w:val="2"/>
    <w:next w:val="2"/>
    <w:link w:val="16"/>
    <w:semiHidden/>
    <w:unhideWhenUsed/>
    <w:qFormat/>
    <w:uiPriority w:val="0"/>
    <w:rPr>
      <w:rFonts w:ascii="Times New Roman" w:hAnsi="Times New Roman"/>
      <w:b/>
      <w:bCs/>
      <w:szCs w:val="24"/>
    </w:rPr>
  </w:style>
  <w:style w:type="table" w:styleId="8">
    <w:name w:val="Table Grid"/>
    <w:basedOn w:val="7"/>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annotation reference"/>
    <w:unhideWhenUsed/>
    <w:qFormat/>
    <w:uiPriority w:val="99"/>
    <w:rPr>
      <w:sz w:val="21"/>
      <w:szCs w:val="21"/>
    </w:rPr>
  </w:style>
  <w:style w:type="character" w:customStyle="1" w:styleId="11">
    <w:name w:val="页脚 字符"/>
    <w:link w:val="4"/>
    <w:qFormat/>
    <w:uiPriority w:val="99"/>
    <w:rPr>
      <w:rFonts w:ascii="Calibri" w:hAnsi="Calibri"/>
      <w:kern w:val="2"/>
      <w:sz w:val="18"/>
      <w:szCs w:val="18"/>
    </w:rPr>
  </w:style>
  <w:style w:type="paragraph" w:styleId="12">
    <w:name w:val="List Paragraph"/>
    <w:basedOn w:val="1"/>
    <w:qFormat/>
    <w:uiPriority w:val="34"/>
    <w:pPr>
      <w:ind w:firstLine="420" w:firstLineChars="200"/>
    </w:pPr>
    <w:rPr>
      <w:rFonts w:ascii="Calibri" w:hAnsi="Calibri"/>
      <w:szCs w:val="22"/>
    </w:rPr>
  </w:style>
  <w:style w:type="character" w:customStyle="1" w:styleId="13">
    <w:name w:val="批注文字 字符"/>
    <w:link w:val="2"/>
    <w:qFormat/>
    <w:uiPriority w:val="99"/>
    <w:rPr>
      <w:rFonts w:ascii="Calibri" w:hAnsi="Calibri"/>
      <w:kern w:val="2"/>
      <w:sz w:val="21"/>
      <w:szCs w:val="22"/>
    </w:rPr>
  </w:style>
  <w:style w:type="character" w:customStyle="1" w:styleId="14">
    <w:name w:val="批注框文本 字符"/>
    <w:link w:val="3"/>
    <w:qFormat/>
    <w:uiPriority w:val="0"/>
    <w:rPr>
      <w:kern w:val="2"/>
      <w:sz w:val="18"/>
      <w:szCs w:val="18"/>
    </w:rPr>
  </w:style>
  <w:style w:type="character" w:customStyle="1" w:styleId="15">
    <w:name w:val="页眉 字符"/>
    <w:link w:val="5"/>
    <w:qFormat/>
    <w:uiPriority w:val="0"/>
    <w:rPr>
      <w:kern w:val="2"/>
      <w:sz w:val="18"/>
      <w:szCs w:val="18"/>
    </w:rPr>
  </w:style>
  <w:style w:type="character" w:customStyle="1" w:styleId="16">
    <w:name w:val="批注主题 字符"/>
    <w:basedOn w:val="13"/>
    <w:link w:val="6"/>
    <w:semiHidden/>
    <w:qFormat/>
    <w:uiPriority w:val="0"/>
    <w:rPr>
      <w:rFonts w:ascii="Calibri" w:hAnsi="Calibri"/>
      <w:b/>
      <w:bCs/>
      <w:kern w:val="2"/>
      <w:sz w:val="21"/>
      <w:szCs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Microsoft</Company>
  <Pages>12</Pages>
  <Words>2493</Words>
  <Characters>6696</Characters>
  <Lines>52</Lines>
  <Paragraphs>14</Paragraphs>
  <TotalTime>17</TotalTime>
  <ScaleCrop>false</ScaleCrop>
  <LinksUpToDate>false</LinksUpToDate>
  <CharactersWithSpaces>6699</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2021-10-30T01:12:00Z</dcterms:created>
  <dc:creator>User</dc:creator>
  <cp:lastModifiedBy>烟花易冷</cp:lastModifiedBy>
  <dcterms:modified xsi:type="dcterms:W3CDTF">2022-06-02T06:28:14Z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04406FFEADE04B0EAC3C53B173A7E10C</vt:lpwstr>
  </property>
</Properties>
</file>