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6759" w14:textId="77777777" w:rsidR="00CC64EA" w:rsidRDefault="00CC64EA" w:rsidP="00A10FCD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675E7EEC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2F38096A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13CDEDA5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5E228704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6DA28782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0F356504" w14:textId="77777777" w:rsidR="00CC64EA" w:rsidRDefault="009E6D81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产品名称</w:t>
      </w:r>
    </w:p>
    <w:p w14:paraId="0E70F564" w14:textId="1C5D94C4" w:rsidR="00CC64EA" w:rsidRDefault="00155D42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0000FF"/>
          <w:sz w:val="32"/>
          <w:szCs w:val="32"/>
        </w:rPr>
        <w:t>{</w:t>
      </w:r>
      <w:r w:rsidR="00303E59">
        <w:rPr>
          <w:rFonts w:ascii="宋体" w:hAnsi="宋体" w:hint="eastAsia"/>
          <w:b/>
          <w:color w:val="0000FF"/>
          <w:sz w:val="32"/>
          <w:szCs w:val="32"/>
        </w:rPr>
        <w:t>YEAR</w:t>
      </w:r>
      <w:r>
        <w:rPr>
          <w:rFonts w:ascii="宋体" w:hAnsi="宋体" w:hint="eastAsia"/>
          <w:b/>
          <w:color w:val="0000FF"/>
          <w:sz w:val="32"/>
          <w:szCs w:val="32"/>
        </w:rPr>
        <w:t>}</w:t>
      </w:r>
      <w:r w:rsidR="009E6D81">
        <w:rPr>
          <w:rFonts w:ascii="宋体" w:hAnsi="宋体" w:hint="eastAsia"/>
          <w:b/>
          <w:sz w:val="32"/>
          <w:szCs w:val="32"/>
        </w:rPr>
        <w:t>年半年度投资运作情况报告</w:t>
      </w:r>
    </w:p>
    <w:p w14:paraId="1E82B3E1" w14:textId="77777777" w:rsidR="00CC64EA" w:rsidRPr="00B45FE1" w:rsidRDefault="00CC64EA">
      <w:pPr>
        <w:spacing w:line="360" w:lineRule="auto"/>
        <w:rPr>
          <w:rFonts w:ascii="宋体" w:hAnsi="宋体"/>
          <w:szCs w:val="21"/>
        </w:rPr>
      </w:pPr>
    </w:p>
    <w:p w14:paraId="173B7B35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5FF26A22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71DE77EF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7EAC0701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2895A2E2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0F9672C6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19BDD206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222EFD95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7FC308F4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783B71F2" w14:textId="7777777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649AB878" w14:textId="6D54BC67" w:rsidR="00CC64EA" w:rsidRDefault="00CC64EA">
      <w:pPr>
        <w:spacing w:line="360" w:lineRule="auto"/>
        <w:rPr>
          <w:rFonts w:ascii="宋体" w:hAnsi="宋体"/>
          <w:szCs w:val="21"/>
        </w:rPr>
      </w:pPr>
    </w:p>
    <w:p w14:paraId="66CCBE77" w14:textId="77777777" w:rsidR="0064298A" w:rsidRDefault="0064298A">
      <w:pPr>
        <w:spacing w:line="360" w:lineRule="auto"/>
        <w:rPr>
          <w:rFonts w:ascii="宋体" w:hAnsi="宋体"/>
          <w:szCs w:val="21"/>
        </w:rPr>
      </w:pPr>
    </w:p>
    <w:p w14:paraId="727E727F" w14:textId="77777777" w:rsidR="0064298A" w:rsidRDefault="0064298A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143B5254" w14:textId="471ED755" w:rsidR="0064298A" w:rsidRDefault="0064298A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0537AE33" w14:textId="44229798" w:rsidR="00A10FCD" w:rsidRDefault="00A10FCD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7E1E7D7A" w14:textId="72C0BAA9" w:rsidR="00A10FCD" w:rsidRDefault="00A10FCD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66C5E3A6" w14:textId="50BB33B1" w:rsidR="00A10FCD" w:rsidRDefault="00A10FCD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38BAE5B8" w14:textId="77777777" w:rsidR="00A10FCD" w:rsidRDefault="00A10FCD" w:rsidP="0064298A">
      <w:pPr>
        <w:spacing w:line="360" w:lineRule="auto"/>
        <w:jc w:val="left"/>
        <w:rPr>
          <w:rFonts w:ascii="宋体" w:hAnsi="宋体"/>
          <w:szCs w:val="21"/>
        </w:rPr>
      </w:pPr>
    </w:p>
    <w:p w14:paraId="7FBF6A0F" w14:textId="57849454" w:rsidR="0064298A" w:rsidRDefault="009E6D81" w:rsidP="000C42FB">
      <w:pPr>
        <w:spacing w:line="360" w:lineRule="auto"/>
        <w:ind w:firstLineChars="800" w:firstLine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报告期：</w:t>
      </w:r>
      <w:r w:rsidR="001F467E">
        <w:rPr>
          <w:rFonts w:ascii="宋体" w:hAnsi="宋体"/>
          <w:color w:val="0000FF"/>
          <w:szCs w:val="21"/>
        </w:rPr>
        <w:t>{</w:t>
      </w:r>
      <w:r>
        <w:rPr>
          <w:rFonts w:ascii="宋体" w:hAnsi="宋体" w:hint="eastAsia"/>
          <w:color w:val="0000FF"/>
          <w:szCs w:val="21"/>
        </w:rPr>
        <w:t>YYYY_BEGIN</w:t>
      </w:r>
      <w:r w:rsidR="000C42FB">
        <w:rPr>
          <w:rFonts w:ascii="宋体" w:hAnsi="宋体"/>
          <w:color w:val="0000FF"/>
          <w:szCs w:val="21"/>
        </w:rPr>
        <w:t>}</w:t>
      </w:r>
      <w:r>
        <w:rPr>
          <w:rFonts w:ascii="宋体" w:hAnsi="宋体" w:hint="eastAsia"/>
          <w:szCs w:val="21"/>
        </w:rPr>
        <w:t>年</w:t>
      </w:r>
      <w:r w:rsidR="000C42FB">
        <w:rPr>
          <w:rFonts w:ascii="宋体" w:hAnsi="宋体" w:hint="eastAsia"/>
          <w:color w:val="0000FF"/>
          <w:szCs w:val="21"/>
        </w:rPr>
        <w:t>{</w:t>
      </w:r>
      <w:r>
        <w:rPr>
          <w:rFonts w:ascii="宋体" w:hAnsi="宋体" w:hint="eastAsia"/>
          <w:color w:val="0000FF"/>
          <w:szCs w:val="21"/>
        </w:rPr>
        <w:t>MONTH_BEGIN</w:t>
      </w:r>
      <w:r w:rsidR="000C42FB">
        <w:rPr>
          <w:rFonts w:ascii="宋体" w:hAnsi="宋体"/>
          <w:color w:val="0000FF"/>
          <w:szCs w:val="21"/>
        </w:rPr>
        <w:t>}</w:t>
      </w:r>
      <w:r>
        <w:rPr>
          <w:rFonts w:ascii="宋体" w:hAnsi="宋体" w:hint="eastAsia"/>
          <w:szCs w:val="21"/>
        </w:rPr>
        <w:t>月</w:t>
      </w:r>
      <w:r w:rsidR="000C42FB">
        <w:rPr>
          <w:rFonts w:ascii="宋体" w:hAnsi="宋体"/>
          <w:color w:val="0000FF"/>
          <w:szCs w:val="21"/>
        </w:rPr>
        <w:t>{</w:t>
      </w:r>
      <w:r>
        <w:rPr>
          <w:rFonts w:ascii="宋体" w:hAnsi="宋体" w:hint="eastAsia"/>
          <w:color w:val="0000FF"/>
          <w:szCs w:val="21"/>
        </w:rPr>
        <w:t>DAY_BEGIN</w:t>
      </w:r>
      <w:r w:rsidR="000C42FB">
        <w:rPr>
          <w:rFonts w:ascii="宋体" w:hAnsi="宋体"/>
          <w:color w:val="0000FF"/>
          <w:szCs w:val="21"/>
        </w:rPr>
        <w:t>}</w:t>
      </w:r>
    </w:p>
    <w:p w14:paraId="6EC19923" w14:textId="7AB7FF05" w:rsidR="00CC64EA" w:rsidRDefault="0064298A" w:rsidP="000C42FB">
      <w:pPr>
        <w:spacing w:line="360" w:lineRule="auto"/>
        <w:ind w:firstLineChars="800" w:firstLine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41CBEDE" w14:textId="6FFDAB51" w:rsidR="00CC64EA" w:rsidRDefault="00140D5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测试</w:t>
      </w:r>
      <w:proofErr w:type="gramStart"/>
      <w:r>
        <w:rPr>
          <w:rFonts w:asciiTheme="minorEastAsia" w:eastAsiaTheme="minorEastAsia" w:hAnsiTheme="minorEastAsia" w:hint="eastAsia"/>
          <w:b/>
          <w:szCs w:val="21"/>
        </w:rPr>
        <w:t>固定列</w:t>
      </w:r>
      <w:proofErr w:type="gramEnd"/>
      <w:r>
        <w:rPr>
          <w:rFonts w:asciiTheme="minorEastAsia" w:eastAsiaTheme="minorEastAsia" w:hAnsiTheme="minorEastAsia" w:hint="eastAsia"/>
          <w:b/>
          <w:szCs w:val="21"/>
        </w:rPr>
        <w:t>插入</w:t>
      </w:r>
      <w:r w:rsidR="00B25669">
        <w:rPr>
          <w:rFonts w:asciiTheme="minorEastAsia" w:eastAsiaTheme="minorEastAsia" w:hAnsiTheme="minorEastAsia" w:hint="eastAsia"/>
          <w:b/>
          <w:szCs w:val="21"/>
        </w:rPr>
        <w:t>（无表头）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CC64EA" w14:paraId="62EF449A" w14:textId="77777777">
        <w:tc>
          <w:tcPr>
            <w:tcW w:w="4145" w:type="dxa"/>
            <w:shd w:val="clear" w:color="auto" w:fill="auto"/>
          </w:tcPr>
          <w:p w14:paraId="2DD2F489" w14:textId="77777777" w:rsidR="00CC64EA" w:rsidRDefault="009E6D81"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理财产品代码</w:t>
            </w:r>
          </w:p>
        </w:tc>
        <w:tc>
          <w:tcPr>
            <w:tcW w:w="4151" w:type="dxa"/>
            <w:shd w:val="clear" w:color="auto" w:fill="auto"/>
          </w:tcPr>
          <w:p w14:paraId="7168F797" w14:textId="41CBBC64" w:rsidR="00CC64EA" w:rsidRDefault="00370CE2" w:rsidP="001F467E"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</w:t>
            </w:r>
            <w:r w:rsidR="0062092E">
              <w:rPr>
                <w:rFonts w:asciiTheme="minorEastAsia" w:eastAsiaTheme="minorEastAsia" w:hAnsiTheme="minorEastAsia"/>
                <w:szCs w:val="21"/>
              </w:rPr>
              <w:t>singleTable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62092E">
              <w:rPr>
                <w:rFonts w:asciiTheme="minorEastAsia" w:eastAsiaTheme="minorEastAsia" w:hAnsiTheme="minorEastAsia"/>
                <w:szCs w:val="21"/>
              </w:rPr>
              <w:t>$</w:t>
            </w:r>
          </w:p>
        </w:tc>
      </w:tr>
      <w:tr w:rsidR="00CC64EA" w14:paraId="2D618436" w14:textId="77777777">
        <w:tc>
          <w:tcPr>
            <w:tcW w:w="4145" w:type="dxa"/>
            <w:shd w:val="clear" w:color="auto" w:fill="auto"/>
          </w:tcPr>
          <w:p w14:paraId="1027C5C1" w14:textId="77777777" w:rsidR="00CC64EA" w:rsidRDefault="009E6D81"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4151" w:type="dxa"/>
            <w:shd w:val="clear" w:color="auto" w:fill="auto"/>
          </w:tcPr>
          <w:p w14:paraId="60DA2F9D" w14:textId="26EEE4A9" w:rsidR="00CC64EA" w:rsidRDefault="00CC64EA"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FF"/>
                <w:szCs w:val="21"/>
              </w:rPr>
            </w:pPr>
          </w:p>
        </w:tc>
      </w:tr>
      <w:tr w:rsidR="00CC64EA" w14:paraId="2C37CB2E" w14:textId="77777777">
        <w:trPr>
          <w:trHeight w:val="90"/>
        </w:trPr>
        <w:tc>
          <w:tcPr>
            <w:tcW w:w="4145" w:type="dxa"/>
            <w:shd w:val="clear" w:color="auto" w:fill="auto"/>
          </w:tcPr>
          <w:p w14:paraId="1119CDDB" w14:textId="77777777" w:rsidR="00CC64EA" w:rsidRDefault="009E6D81"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全国银行业理财信息登记系统登记编码</w:t>
            </w:r>
          </w:p>
        </w:tc>
        <w:tc>
          <w:tcPr>
            <w:tcW w:w="4151" w:type="dxa"/>
            <w:shd w:val="clear" w:color="auto" w:fill="auto"/>
          </w:tcPr>
          <w:p w14:paraId="25FB13EA" w14:textId="64E7F7C7" w:rsidR="00CC64EA" w:rsidRDefault="00CC64EA"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FF"/>
                <w:szCs w:val="21"/>
              </w:rPr>
            </w:pPr>
          </w:p>
        </w:tc>
      </w:tr>
    </w:tbl>
    <w:p w14:paraId="3AE447E5" w14:textId="77777777" w:rsidR="00CC64EA" w:rsidRDefault="00CC64EA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14:paraId="2253DED5" w14:textId="1ACCF4C7" w:rsidR="00B25669" w:rsidRDefault="00B25669" w:rsidP="00B25669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测试</w:t>
      </w:r>
      <w:proofErr w:type="gramStart"/>
      <w:r>
        <w:rPr>
          <w:rFonts w:asciiTheme="minorEastAsia" w:eastAsiaTheme="minorEastAsia" w:hAnsiTheme="minorEastAsia" w:hint="eastAsia"/>
          <w:b/>
          <w:szCs w:val="21"/>
        </w:rPr>
        <w:t>固定列</w:t>
      </w:r>
      <w:proofErr w:type="gramEnd"/>
      <w:r>
        <w:rPr>
          <w:rFonts w:asciiTheme="minorEastAsia" w:eastAsiaTheme="minorEastAsia" w:hAnsiTheme="minorEastAsia" w:hint="eastAsia"/>
          <w:b/>
          <w:szCs w:val="21"/>
        </w:rPr>
        <w:t>插入（有表头）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3527"/>
        <w:gridCol w:w="2126"/>
        <w:gridCol w:w="1468"/>
      </w:tblGrid>
      <w:tr w:rsidR="00CC64EA" w14:paraId="2768ACBE" w14:textId="77777777">
        <w:trPr>
          <w:trHeight w:val="20"/>
        </w:trPr>
        <w:tc>
          <w:tcPr>
            <w:tcW w:w="1401" w:type="dxa"/>
            <w:shd w:val="clear" w:color="000000" w:fill="FFFFFF"/>
          </w:tcPr>
          <w:p w14:paraId="36D549A3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527" w:type="dxa"/>
            <w:shd w:val="clear" w:color="000000" w:fill="FFFFFF"/>
            <w:noWrap/>
          </w:tcPr>
          <w:p w14:paraId="2F76B62D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资产名称</w:t>
            </w:r>
          </w:p>
        </w:tc>
        <w:tc>
          <w:tcPr>
            <w:tcW w:w="2126" w:type="dxa"/>
            <w:shd w:val="clear" w:color="000000" w:fill="FFFFFF"/>
            <w:noWrap/>
          </w:tcPr>
          <w:p w14:paraId="7837AC85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持仓（万元人民币）</w:t>
            </w:r>
          </w:p>
        </w:tc>
        <w:tc>
          <w:tcPr>
            <w:tcW w:w="1468" w:type="dxa"/>
            <w:shd w:val="clear" w:color="000000" w:fill="FFFFFF"/>
          </w:tcPr>
          <w:p w14:paraId="0AE251CC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持仓比例</w:t>
            </w:r>
          </w:p>
        </w:tc>
      </w:tr>
      <w:tr w:rsidR="00CC64EA" w14:paraId="13817910" w14:textId="77777777">
        <w:trPr>
          <w:trHeight w:val="20"/>
        </w:trPr>
        <w:tc>
          <w:tcPr>
            <w:tcW w:w="1401" w:type="dxa"/>
            <w:shd w:val="clear" w:color="000000" w:fill="FFFFFF"/>
          </w:tcPr>
          <w:p w14:paraId="75B7C040" w14:textId="77777777" w:rsidR="00CC64EA" w:rsidRDefault="009E6D81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1</w:t>
            </w:r>
          </w:p>
        </w:tc>
        <w:tc>
          <w:tcPr>
            <w:tcW w:w="3527" w:type="dxa"/>
            <w:shd w:val="clear" w:color="000000" w:fill="FFFFFF"/>
            <w:noWrap/>
          </w:tcPr>
          <w:p w14:paraId="25573F2D" w14:textId="45D3727C" w:rsidR="00CC64EA" w:rsidRDefault="005660D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$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table2$</w:t>
            </w:r>
          </w:p>
        </w:tc>
        <w:tc>
          <w:tcPr>
            <w:tcW w:w="2126" w:type="dxa"/>
            <w:shd w:val="clear" w:color="000000" w:fill="FFFFFF"/>
            <w:noWrap/>
          </w:tcPr>
          <w:p w14:paraId="1F1F78CB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 w14:paraId="1569B640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C64EA" w14:paraId="04937ACF" w14:textId="77777777">
        <w:trPr>
          <w:trHeight w:val="20"/>
        </w:trPr>
        <w:tc>
          <w:tcPr>
            <w:tcW w:w="1401" w:type="dxa"/>
            <w:shd w:val="clear" w:color="000000" w:fill="FFFFFF"/>
          </w:tcPr>
          <w:p w14:paraId="690E1D0C" w14:textId="77777777" w:rsidR="00CC64EA" w:rsidRDefault="009E6D81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2</w:t>
            </w:r>
          </w:p>
        </w:tc>
        <w:tc>
          <w:tcPr>
            <w:tcW w:w="3527" w:type="dxa"/>
            <w:shd w:val="clear" w:color="000000" w:fill="FFFFFF"/>
          </w:tcPr>
          <w:p w14:paraId="5D7D4513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26" w:type="dxa"/>
            <w:shd w:val="clear" w:color="000000" w:fill="FFFFFF"/>
            <w:noWrap/>
          </w:tcPr>
          <w:p w14:paraId="29CFE370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 w14:paraId="27550AFE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C64EA" w14:paraId="394C7856" w14:textId="77777777">
        <w:trPr>
          <w:trHeight w:val="20"/>
        </w:trPr>
        <w:tc>
          <w:tcPr>
            <w:tcW w:w="1401" w:type="dxa"/>
            <w:shd w:val="clear" w:color="000000" w:fill="FFFFFF"/>
          </w:tcPr>
          <w:p w14:paraId="28DB0415" w14:textId="77777777" w:rsidR="00CC64EA" w:rsidRDefault="009E6D81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3527" w:type="dxa"/>
            <w:shd w:val="clear" w:color="000000" w:fill="FFFFFF"/>
          </w:tcPr>
          <w:p w14:paraId="75386BE6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26" w:type="dxa"/>
            <w:shd w:val="clear" w:color="000000" w:fill="FFFFFF"/>
            <w:noWrap/>
          </w:tcPr>
          <w:p w14:paraId="10904155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 w14:paraId="09270737" w14:textId="77777777" w:rsidR="00CC64EA" w:rsidRDefault="00CC64E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14:paraId="2E739DD6" w14:textId="77777777" w:rsidR="005660DA" w:rsidRDefault="005660DA" w:rsidP="00140D58">
      <w:pPr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</w:p>
    <w:p w14:paraId="0B4176D6" w14:textId="1B1C79A6" w:rsidR="00140D58" w:rsidRPr="00140D58" w:rsidRDefault="00140D58" w:rsidP="00140D58">
      <w:pPr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测试生成不定行数的单元格</w:t>
      </w:r>
    </w:p>
    <w:tbl>
      <w:tblPr>
        <w:tblpPr w:leftFromText="180" w:rightFromText="180" w:vertAnchor="text" w:horzAnchor="margin" w:tblpY="191"/>
        <w:tblW w:w="4867" w:type="pct"/>
        <w:tblLayout w:type="fixed"/>
        <w:tblLook w:val="04A0" w:firstRow="1" w:lastRow="0" w:firstColumn="1" w:lastColumn="0" w:noHBand="0" w:noVBand="1"/>
      </w:tblPr>
      <w:tblGrid>
        <w:gridCol w:w="1272"/>
        <w:gridCol w:w="2129"/>
        <w:gridCol w:w="1274"/>
        <w:gridCol w:w="993"/>
        <w:gridCol w:w="1181"/>
        <w:gridCol w:w="1226"/>
      </w:tblGrid>
      <w:tr w:rsidR="00CC64EA" w14:paraId="5180BFAB" w14:textId="77777777">
        <w:trPr>
          <w:trHeight w:val="441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4A6A2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融资客户</w:t>
            </w:r>
          </w:p>
        </w:tc>
        <w:tc>
          <w:tcPr>
            <w:tcW w:w="1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9A41E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9D1C4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剩余融资期限（天）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10EE3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到期收益预计</w:t>
            </w:r>
            <w:r>
              <w:rPr>
                <w:rFonts w:asciiTheme="minorEastAsia" w:eastAsiaTheme="minorEastAsia" w:hAnsiTheme="minorEastAsia"/>
                <w:szCs w:val="21"/>
              </w:rPr>
              <w:br/>
            </w:r>
            <w:r>
              <w:rPr>
                <w:rFonts w:asciiTheme="minorEastAsia" w:eastAsiaTheme="minorEastAsia" w:hAnsiTheme="minorEastAsia" w:hint="eastAsia"/>
                <w:szCs w:val="21"/>
              </w:rPr>
              <w:t>(%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524A1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投资模式/交易结构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B3297" w14:textId="77777777" w:rsidR="00CC64EA" w:rsidRDefault="009E6D81"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风险状况</w:t>
            </w:r>
          </w:p>
        </w:tc>
      </w:tr>
      <w:tr w:rsidR="00CC64EA" w14:paraId="255BCA54" w14:textId="77777777">
        <w:trPr>
          <w:trHeight w:val="418"/>
        </w:trPr>
        <w:tc>
          <w:tcPr>
            <w:tcW w:w="7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5E3C7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F45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24C13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D3EDB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13C1D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BF53C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 w14:paraId="5059114B" w14:textId="1861E9D8" w:rsidR="00CC64EA" w:rsidRDefault="00140D58" w:rsidP="00140D58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测试表头合并单元格</w:t>
      </w:r>
    </w:p>
    <w:tbl>
      <w:tblPr>
        <w:tblpPr w:leftFromText="180" w:rightFromText="180" w:vertAnchor="text" w:horzAnchor="margin" w:tblpY="191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984"/>
        <w:gridCol w:w="2127"/>
      </w:tblGrid>
      <w:tr w:rsidR="00CC64EA" w14:paraId="47DB5576" w14:textId="77777777"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94CC8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42AA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13B77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3178D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 w:rsidR="00CC64EA" w14:paraId="03D56E94" w14:textId="77777777"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7685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A050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E84B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F46D0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C4A91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 w:rsidR="00CC64EA" w14:paraId="47F34AC3" w14:textId="77777777"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C556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361B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76B0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FFF59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3E920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 w14:paraId="59B40B8D" w14:textId="77ED5E10" w:rsidR="00140D58" w:rsidRDefault="00140D58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测试逻辑判断</w:t>
      </w:r>
    </w:p>
    <w:p w14:paraId="0CB686E0" w14:textId="43C43863" w:rsidR="00CC64EA" w:rsidRPr="00140D58" w:rsidRDefault="009E6D81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=IF($REPORT_TYPE="1")</w:t>
      </w:r>
    </w:p>
    <w:tbl>
      <w:tblPr>
        <w:tblpPr w:leftFromText="180" w:rightFromText="180" w:vertAnchor="text" w:horzAnchor="margin" w:tblpY="191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984"/>
        <w:gridCol w:w="2127"/>
      </w:tblGrid>
      <w:tr w:rsidR="00CC64EA" w14:paraId="4B9EB5DC" w14:textId="77777777"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0E8BC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D5854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54CD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BFE7C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 w:rsidR="00CC64EA" w14:paraId="1F47E46C" w14:textId="77777777"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9875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C8AAE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12EAC" w14:textId="77777777" w:rsidR="00CC64EA" w:rsidRDefault="00CC64EA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840D1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B84F1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 w:rsidR="00CC64EA" w14:paraId="70F6EEF1" w14:textId="77777777"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2D908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BA90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D1B3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7A07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0194A" w14:textId="77777777" w:rsidR="00CC64EA" w:rsidRDefault="009E6D81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 w14:paraId="5621A540" w14:textId="7366508C" w:rsidR="00140D58" w:rsidRDefault="00140D58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lastRenderedPageBreak/>
        <w:t>测试嵌套判断</w:t>
      </w:r>
    </w:p>
    <w:p w14:paraId="1090BA8C" w14:textId="20B18AAC" w:rsidR="00140D58" w:rsidRPr="00140D58" w:rsidRDefault="00140D58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=IF($REPORT_TYPE="1")</w:t>
      </w:r>
    </w:p>
    <w:tbl>
      <w:tblPr>
        <w:tblpPr w:leftFromText="180" w:rightFromText="180" w:vertAnchor="text" w:horzAnchor="margin" w:tblpY="191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984"/>
        <w:gridCol w:w="2127"/>
      </w:tblGrid>
      <w:tr w:rsidR="00140D58" w14:paraId="681FA081" w14:textId="77777777" w:rsidTr="003D4399"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1504C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395F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A91C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76879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 w:rsidR="00140D58" w14:paraId="7BD15E6A" w14:textId="77777777" w:rsidTr="003D4399"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B2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A118B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FDF16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FD73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EFEE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 w:rsidR="00140D58" w14:paraId="448844CF" w14:textId="77777777" w:rsidTr="003D4399"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00A5C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3D05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3BB3E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E582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B779A" w14:textId="77777777" w:rsidR="00140D58" w:rsidRDefault="00140D58" w:rsidP="003D4399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 w14:paraId="65267CDB" w14:textId="3AC48866" w:rsidR="00140D58" w:rsidRDefault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=ENDIF</w:t>
      </w:r>
    </w:p>
    <w:p w14:paraId="4C398332" w14:textId="5C8493C9" w:rsidR="00CC64EA" w:rsidRDefault="009E6D81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 xml:space="preserve">=ENDIF </w:t>
      </w:r>
    </w:p>
    <w:p w14:paraId="005A6251" w14:textId="2080AF6D" w:rsidR="00CC64EA" w:rsidRPr="00140D58" w:rsidRDefault="009E6D81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=IF($REPORT_TYPE="2")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2830"/>
        <w:gridCol w:w="2410"/>
        <w:gridCol w:w="3119"/>
      </w:tblGrid>
      <w:tr w:rsidR="00CC64EA" w14:paraId="46CED0F1" w14:textId="77777777">
        <w:trPr>
          <w:trHeight w:val="479"/>
        </w:trPr>
        <w:tc>
          <w:tcPr>
            <w:tcW w:w="2830" w:type="dxa"/>
          </w:tcPr>
          <w:p w14:paraId="267A7D57" w14:textId="77777777" w:rsidR="00CC64EA" w:rsidRDefault="009E6D8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2410" w:type="dxa"/>
          </w:tcPr>
          <w:p w14:paraId="44274A20" w14:textId="77777777" w:rsidR="00CC64EA" w:rsidRDefault="009E6D8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关联方名称</w:t>
            </w:r>
          </w:p>
        </w:tc>
        <w:tc>
          <w:tcPr>
            <w:tcW w:w="3119" w:type="dxa"/>
          </w:tcPr>
          <w:p w14:paraId="3253757B" w14:textId="77777777" w:rsidR="00CC64EA" w:rsidRDefault="009E6D8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总金额（单位：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万</w:t>
            </w:r>
            <w:r>
              <w:rPr>
                <w:rFonts w:asciiTheme="minorEastAsia" w:hAnsiTheme="minorEastAsia" w:hint="eastAsia"/>
                <w:szCs w:val="21"/>
              </w:rPr>
              <w:t>元）</w:t>
            </w:r>
          </w:p>
        </w:tc>
      </w:tr>
      <w:tr w:rsidR="00140D58" w14:paraId="2AEED155" w14:textId="77777777">
        <w:trPr>
          <w:trHeight w:val="479"/>
        </w:trPr>
        <w:tc>
          <w:tcPr>
            <w:tcW w:w="2830" w:type="dxa"/>
          </w:tcPr>
          <w:p w14:paraId="0697618E" w14:textId="77777777" w:rsidR="00140D58" w:rsidRDefault="00140D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14:paraId="78862D45" w14:textId="77777777" w:rsidR="00140D58" w:rsidRDefault="00140D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19" w:type="dxa"/>
          </w:tcPr>
          <w:p w14:paraId="4E83A21B" w14:textId="77777777" w:rsidR="00140D58" w:rsidRDefault="00140D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362F08A1" w14:textId="5897B57A" w:rsidR="00CC64EA" w:rsidRPr="00140D58" w:rsidRDefault="009E6D81" w:rsidP="00140D58"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=ENDIF</w:t>
      </w:r>
    </w:p>
    <w:sectPr w:rsidR="00CC64EA" w:rsidRPr="00140D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45B5" w14:textId="77777777" w:rsidR="00F12D85" w:rsidRDefault="00F12D85">
      <w:r>
        <w:separator/>
      </w:r>
    </w:p>
  </w:endnote>
  <w:endnote w:type="continuationSeparator" w:id="0">
    <w:p w14:paraId="2C438562" w14:textId="77777777" w:rsidR="00F12D85" w:rsidRDefault="00F1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D23E" w14:textId="77777777" w:rsidR="00CC64EA" w:rsidRDefault="009E6D8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1CC37662" w14:textId="77777777" w:rsidR="00CC64EA" w:rsidRDefault="00CC64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E0E2" w14:textId="77777777" w:rsidR="00F12D85" w:rsidRDefault="00F12D85">
      <w:r>
        <w:separator/>
      </w:r>
    </w:p>
  </w:footnote>
  <w:footnote w:type="continuationSeparator" w:id="0">
    <w:p w14:paraId="09DE153C" w14:textId="77777777" w:rsidR="00F12D85" w:rsidRDefault="00F1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07C2"/>
    <w:multiLevelType w:val="multilevel"/>
    <w:tmpl w:val="4ECE07C2"/>
    <w:lvl w:ilvl="0">
      <w:start w:val="1"/>
      <w:numFmt w:val="chineseCountingThousand"/>
      <w:lvlText w:val="(%1)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 w16cid:durableId="33947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A0"/>
    <w:rsid w:val="000000CD"/>
    <w:rsid w:val="00000AEB"/>
    <w:rsid w:val="00002395"/>
    <w:rsid w:val="000505BA"/>
    <w:rsid w:val="00051DE5"/>
    <w:rsid w:val="000833B6"/>
    <w:rsid w:val="00085F79"/>
    <w:rsid w:val="000C42FB"/>
    <w:rsid w:val="000E25AC"/>
    <w:rsid w:val="000E35B2"/>
    <w:rsid w:val="000E4BF7"/>
    <w:rsid w:val="000E6829"/>
    <w:rsid w:val="00140D58"/>
    <w:rsid w:val="001464B8"/>
    <w:rsid w:val="0015366A"/>
    <w:rsid w:val="00155D42"/>
    <w:rsid w:val="00156CE6"/>
    <w:rsid w:val="0017113C"/>
    <w:rsid w:val="00175157"/>
    <w:rsid w:val="001A472E"/>
    <w:rsid w:val="001D7C03"/>
    <w:rsid w:val="001F467E"/>
    <w:rsid w:val="00210F73"/>
    <w:rsid w:val="0022687E"/>
    <w:rsid w:val="00254BE4"/>
    <w:rsid w:val="00274CDE"/>
    <w:rsid w:val="00280052"/>
    <w:rsid w:val="00285743"/>
    <w:rsid w:val="002872F2"/>
    <w:rsid w:val="00290119"/>
    <w:rsid w:val="002A37E2"/>
    <w:rsid w:val="002B1465"/>
    <w:rsid w:val="002B5A99"/>
    <w:rsid w:val="002B67E9"/>
    <w:rsid w:val="002F03DE"/>
    <w:rsid w:val="00303E59"/>
    <w:rsid w:val="00330775"/>
    <w:rsid w:val="0034061D"/>
    <w:rsid w:val="00365773"/>
    <w:rsid w:val="00370CE2"/>
    <w:rsid w:val="0037106F"/>
    <w:rsid w:val="0039215D"/>
    <w:rsid w:val="003B1EE3"/>
    <w:rsid w:val="003C1DCC"/>
    <w:rsid w:val="003D18BF"/>
    <w:rsid w:val="00430F02"/>
    <w:rsid w:val="00435F00"/>
    <w:rsid w:val="00436236"/>
    <w:rsid w:val="00481F02"/>
    <w:rsid w:val="00484AF0"/>
    <w:rsid w:val="00490892"/>
    <w:rsid w:val="004935B6"/>
    <w:rsid w:val="004A4B0B"/>
    <w:rsid w:val="004B00D7"/>
    <w:rsid w:val="004B1775"/>
    <w:rsid w:val="004B76B5"/>
    <w:rsid w:val="004D160B"/>
    <w:rsid w:val="004E0C87"/>
    <w:rsid w:val="005159C4"/>
    <w:rsid w:val="00533348"/>
    <w:rsid w:val="00547635"/>
    <w:rsid w:val="005478B2"/>
    <w:rsid w:val="00562236"/>
    <w:rsid w:val="005660DA"/>
    <w:rsid w:val="00570D73"/>
    <w:rsid w:val="00575E3C"/>
    <w:rsid w:val="005B58A9"/>
    <w:rsid w:val="005C0CD5"/>
    <w:rsid w:val="005F216E"/>
    <w:rsid w:val="0061254F"/>
    <w:rsid w:val="0062092E"/>
    <w:rsid w:val="00623DA0"/>
    <w:rsid w:val="00624D1C"/>
    <w:rsid w:val="00625A2A"/>
    <w:rsid w:val="0064298A"/>
    <w:rsid w:val="00655185"/>
    <w:rsid w:val="00661D4E"/>
    <w:rsid w:val="00666085"/>
    <w:rsid w:val="00667D57"/>
    <w:rsid w:val="006744F7"/>
    <w:rsid w:val="006905E2"/>
    <w:rsid w:val="006B7088"/>
    <w:rsid w:val="006C4CD9"/>
    <w:rsid w:val="006C5AEC"/>
    <w:rsid w:val="006D1920"/>
    <w:rsid w:val="006E10EE"/>
    <w:rsid w:val="006E4770"/>
    <w:rsid w:val="00710038"/>
    <w:rsid w:val="00712570"/>
    <w:rsid w:val="00744A05"/>
    <w:rsid w:val="007616F4"/>
    <w:rsid w:val="00771E5A"/>
    <w:rsid w:val="00772BB4"/>
    <w:rsid w:val="00774473"/>
    <w:rsid w:val="007A7757"/>
    <w:rsid w:val="007C2D56"/>
    <w:rsid w:val="007E13B4"/>
    <w:rsid w:val="00887C08"/>
    <w:rsid w:val="008973E9"/>
    <w:rsid w:val="008C3EFF"/>
    <w:rsid w:val="008E59B9"/>
    <w:rsid w:val="008E6EA1"/>
    <w:rsid w:val="008E7080"/>
    <w:rsid w:val="008F0C5C"/>
    <w:rsid w:val="009078A7"/>
    <w:rsid w:val="00910C11"/>
    <w:rsid w:val="00926B4B"/>
    <w:rsid w:val="009343AF"/>
    <w:rsid w:val="00961FA7"/>
    <w:rsid w:val="00962E77"/>
    <w:rsid w:val="009703C1"/>
    <w:rsid w:val="00971C62"/>
    <w:rsid w:val="0098481C"/>
    <w:rsid w:val="009857DA"/>
    <w:rsid w:val="009A7EDB"/>
    <w:rsid w:val="009C5310"/>
    <w:rsid w:val="009E6D81"/>
    <w:rsid w:val="009F17BE"/>
    <w:rsid w:val="00A10E93"/>
    <w:rsid w:val="00A10FCD"/>
    <w:rsid w:val="00A113F3"/>
    <w:rsid w:val="00A178DF"/>
    <w:rsid w:val="00A27259"/>
    <w:rsid w:val="00A34BFE"/>
    <w:rsid w:val="00A53676"/>
    <w:rsid w:val="00A60A23"/>
    <w:rsid w:val="00A85EEB"/>
    <w:rsid w:val="00A97D0F"/>
    <w:rsid w:val="00AB5FE0"/>
    <w:rsid w:val="00AE0E24"/>
    <w:rsid w:val="00B053D6"/>
    <w:rsid w:val="00B11FCF"/>
    <w:rsid w:val="00B14256"/>
    <w:rsid w:val="00B24864"/>
    <w:rsid w:val="00B25669"/>
    <w:rsid w:val="00B45464"/>
    <w:rsid w:val="00B45FE1"/>
    <w:rsid w:val="00B47C2A"/>
    <w:rsid w:val="00B61BBD"/>
    <w:rsid w:val="00B67DCE"/>
    <w:rsid w:val="00B73A2B"/>
    <w:rsid w:val="00B91405"/>
    <w:rsid w:val="00B92E45"/>
    <w:rsid w:val="00BA0EBE"/>
    <w:rsid w:val="00BB3D6A"/>
    <w:rsid w:val="00BB589B"/>
    <w:rsid w:val="00BD47CC"/>
    <w:rsid w:val="00BE08AB"/>
    <w:rsid w:val="00BE799E"/>
    <w:rsid w:val="00C10EFA"/>
    <w:rsid w:val="00C36C64"/>
    <w:rsid w:val="00C65688"/>
    <w:rsid w:val="00CB18A1"/>
    <w:rsid w:val="00CC17C1"/>
    <w:rsid w:val="00CC64EA"/>
    <w:rsid w:val="00CD10A6"/>
    <w:rsid w:val="00CD563E"/>
    <w:rsid w:val="00CE0E2D"/>
    <w:rsid w:val="00D018BC"/>
    <w:rsid w:val="00D1241F"/>
    <w:rsid w:val="00D438CF"/>
    <w:rsid w:val="00D51781"/>
    <w:rsid w:val="00D543C9"/>
    <w:rsid w:val="00D57E7D"/>
    <w:rsid w:val="00D62D4A"/>
    <w:rsid w:val="00D77CEE"/>
    <w:rsid w:val="00D94B69"/>
    <w:rsid w:val="00DC2F17"/>
    <w:rsid w:val="00DD2160"/>
    <w:rsid w:val="00E00CEB"/>
    <w:rsid w:val="00E108FD"/>
    <w:rsid w:val="00E148A9"/>
    <w:rsid w:val="00E16B57"/>
    <w:rsid w:val="00E31C23"/>
    <w:rsid w:val="00E428DF"/>
    <w:rsid w:val="00E52BC4"/>
    <w:rsid w:val="00E536E8"/>
    <w:rsid w:val="00E62DE3"/>
    <w:rsid w:val="00E72FE4"/>
    <w:rsid w:val="00E939B2"/>
    <w:rsid w:val="00EA4079"/>
    <w:rsid w:val="00EB6047"/>
    <w:rsid w:val="00EE40F2"/>
    <w:rsid w:val="00EF2830"/>
    <w:rsid w:val="00F0029D"/>
    <w:rsid w:val="00F108DB"/>
    <w:rsid w:val="00F12D85"/>
    <w:rsid w:val="00F226D1"/>
    <w:rsid w:val="00F32718"/>
    <w:rsid w:val="00F3303E"/>
    <w:rsid w:val="00F34AD5"/>
    <w:rsid w:val="00F57900"/>
    <w:rsid w:val="00F77634"/>
    <w:rsid w:val="00FB1E0E"/>
    <w:rsid w:val="00FC3DED"/>
    <w:rsid w:val="0120773B"/>
    <w:rsid w:val="04656FC2"/>
    <w:rsid w:val="0D891050"/>
    <w:rsid w:val="1033163B"/>
    <w:rsid w:val="13D127B8"/>
    <w:rsid w:val="183E5C35"/>
    <w:rsid w:val="191F3562"/>
    <w:rsid w:val="1BD04127"/>
    <w:rsid w:val="20E80D4E"/>
    <w:rsid w:val="26ED392C"/>
    <w:rsid w:val="29F376F4"/>
    <w:rsid w:val="2BFB0650"/>
    <w:rsid w:val="2E28444D"/>
    <w:rsid w:val="386C5866"/>
    <w:rsid w:val="3F4E11DE"/>
    <w:rsid w:val="41F97D8F"/>
    <w:rsid w:val="47637509"/>
    <w:rsid w:val="5F7729D5"/>
    <w:rsid w:val="6770702F"/>
    <w:rsid w:val="6B1E1D9F"/>
    <w:rsid w:val="70B24684"/>
    <w:rsid w:val="751F13E0"/>
    <w:rsid w:val="7DD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A2D82F"/>
  <w15:docId w15:val="{FFC71742-85F0-4F9D-A3BA-D104F967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  <w:rPr>
      <w:rFonts w:ascii="Calibri" w:hAnsi="Calibr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semiHidden/>
    <w:unhideWhenUsed/>
    <w:rPr>
      <w:rFonts w:ascii="Times New Roman" w:hAnsi="Times New Roman"/>
      <w:b/>
      <w:bCs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rFonts w:ascii="Calibri" w:hAnsi="Calibri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文字 字符"/>
    <w:link w:val="a3"/>
    <w:uiPriority w:val="99"/>
    <w:qFormat/>
    <w:rPr>
      <w:rFonts w:ascii="Calibri" w:hAnsi="Calibri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c">
    <w:name w:val="批注主题 字符"/>
    <w:basedOn w:val="a4"/>
    <w:link w:val="ab"/>
    <w:semiHidden/>
    <w:qFormat/>
    <w:rPr>
      <w:rFonts w:ascii="Calibri" w:hAnsi="Calibr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huapython@163.com</cp:lastModifiedBy>
  <cp:revision>17</cp:revision>
  <dcterms:created xsi:type="dcterms:W3CDTF">2022-05-15T07:54:00Z</dcterms:created>
  <dcterms:modified xsi:type="dcterms:W3CDTF">2022-05-17T08:09:00Z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2D5987A9E66148DCA5431EDFECF6D55F</vt:lpwstr>
  </property>
</Properties>
</file>