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71.png" ContentType="image/png"/>
  <Override PartName="/word/media/rId77.png" ContentType="image/png"/>
  <Override PartName="/word/media/rId74.png" ContentType="image/png"/>
  <Override PartName="/word/media/rId35.png" ContentType="image/png"/>
  <Override PartName="/word/media/rId38.png" ContentType="image/png"/>
  <Override PartName="/word/media/rId20.png" ContentType="image/png"/>
  <Override PartName="/word/media/rId8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t xml:space="preserve">SP特工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（内含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转盘累计</w:t>
      </w:r>
      <w:r>
        <w:t xml:space="preserve">：在活动转盘中，累计消耗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火神锤抽奖券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57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：个人认为，非常推荐入手。虽然</w:t>
      </w:r>
      <w:r>
        <w:drawing>
          <wp:inline>
            <wp:extent cx="228600" cy="228600"/>
            <wp:effectExtent b="0" l="0" r="0" t="0"/>
            <wp:docPr descr="伏尔甘" title="" id="33" name="Picture"/>
            <a:graphic>
              <a:graphicData uri="http://schemas.openxmlformats.org/drawingml/2006/picture">
                <pic:pic>
                  <pic:nvPicPr>
                    <pic:cNvPr descr="assets/img/特工/伏尔甘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神火</w:t>
      </w:r>
      <w:r>
        <w:drawing>
          <wp:inline>
            <wp:extent cx="228600" cy="228600"/>
            <wp:effectExtent b="0" l="0" r="0" t="0"/>
            <wp:docPr descr="神火" title="" id="36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裂伤</w:t>
      </w:r>
      <w:r>
        <w:drawing>
          <wp:inline>
            <wp:extent cx="228600" cy="228600"/>
            <wp:effectExtent b="0" l="0" r="0" t="0"/>
            <wp:docPr descr="裂伤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处于同一伤害乘区，但其带来的“武器技能初始学习等级+1（满级可达+2）”属性十分强力。用在 SS 级武器上，1</w:t>
      </w:r>
      <w:r>
        <w:drawing>
          <wp:inline>
            <wp:extent cx="228600" cy="228600"/>
            <wp:effectExtent b="0" l="0" r="0" t="0"/>
            <wp:docPr descr="红星" title="" id="42" name="Picture"/>
            <a:graphic>
              <a:graphicData uri="http://schemas.openxmlformats.org/drawingml/2006/picture">
                <pic:pic>
                  <pic:nvPicPr>
                    <pic:cNvPr descr="assets/img/其它/红星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开局即可达到 4 级，4</w:t>
      </w:r>
      <w:r>
        <w:drawing>
          <wp:inline>
            <wp:extent cx="228600" cy="228600"/>
            <wp:effectExtent b="0" l="0" r="0" t="0"/>
            <wp:docPr descr="红星" title="" id="44" name="Picture"/>
            <a:graphic>
              <a:graphicData uri="http://schemas.openxmlformats.org/drawingml/2006/picture">
                <pic:pic>
                  <pic:nvPicPr>
                    <pic:cNvPr descr="assets/img/其它/红星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开局直接 5 级（满级），对回响之战的体验有着颠覆性的提升。平民与微氪玩家可以考虑按照“解锁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</w:t>
      </w:r>
      <w:r>
        <w:drawing>
          <wp:inline>
            <wp:extent cx="228600" cy="228600"/>
            <wp:effectExtent b="0" l="0" r="0" t="0"/>
            <wp:docPr descr="红星" title="" id="46" name="Picture"/>
            <a:graphic>
              <a:graphicData uri="http://schemas.openxmlformats.org/drawingml/2006/picture">
                <pic:pic>
                  <pic:nvPicPr>
                    <pic:cNvPr descr="assets/img/其它/红星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</w:t>
      </w:r>
      <w:r>
        <w:drawing>
          <wp:inline>
            <wp:extent cx="228600" cy="228600"/>
            <wp:effectExtent b="0" l="0" r="0" t="0"/>
            <wp:docPr descr="红星" title="" id="48" name="Picture"/>
            <a:graphic>
              <a:graphicData uri="http://schemas.openxmlformats.org/drawingml/2006/picture">
                <pic:pic>
                  <pic:nvPicPr>
                    <pic:cNvPr descr="assets/img/其它/红星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</w:t>
      </w:r>
      <w:r>
        <w:drawing>
          <wp:inline>
            <wp:extent cx="228600" cy="228600"/>
            <wp:effectExtent b="0" l="0" r="0" t="0"/>
            <wp:docPr descr="红星" title="" id="50" name="Picture"/>
            <a:graphic>
              <a:graphicData uri="http://schemas.openxmlformats.org/drawingml/2006/picture">
                <pic:pic>
                  <pic:nvPicPr>
                    <pic:cNvPr descr="assets/img/其它/红星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”的路线逐步培养；重氪玩家则推荐直接拉满至 4</w:t>
      </w:r>
      <w:r>
        <w:drawing>
          <wp:inline>
            <wp:extent cx="228600" cy="228600"/>
            <wp:effectExtent b="0" l="0" r="0" t="0"/>
            <wp:docPr descr="红星" title="" id="52" name="Picture"/>
            <a:graphic>
              <a:graphicData uri="http://schemas.openxmlformats.org/drawingml/2006/picture">
                <pic:pic>
                  <pic:nvPicPr>
                    <pic:cNvPr descr="assets/img/其它/红星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或 6</w:t>
      </w:r>
      <w:r>
        <w:drawing>
          <wp:inline>
            <wp:extent cx="228600" cy="228600"/>
            <wp:effectExtent b="0" l="0" r="0" t="0"/>
            <wp:docPr descr="红星" title="" id="54" name="Picture"/>
            <a:graphic>
              <a:graphicData uri="http://schemas.openxmlformats.org/drawingml/2006/picture">
                <pic:pic>
                  <pic:nvPicPr>
                    <pic:cNvPr descr="assets/img/其它/红星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56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56"/>
    </w:p>
    <w:bookmarkEnd w:id="57"/>
    <w:bookmarkStart w:id="62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- 1张票 = 300</w:t>
      </w:r>
      <w:r>
        <w:drawing>
          <wp:inline>
            <wp:extent cx="228600" cy="228600"/>
            <wp:effectExtent b="0" l="0" r="0" t="0"/>
            <wp:docPr descr="钻石" title="" id="58" name="Picture"/>
            <a:graphic>
              <a:graphicData uri="http://schemas.openxmlformats.org/drawingml/2006/picture">
                <pic:pic>
                  <pic:nvPicPr>
                    <pic:cNvPr descr="assets/img/道具/钻石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0" name="Picture"/>
            <a:graphic>
              <a:graphicData uri="http://schemas.openxmlformats.org/drawingml/2006/picture">
                <pic:pic>
                  <pic:nvPicPr>
                    <pic:cNvPr descr="assets/img/道具/钻石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Start w:id="97" w:name="四不同预算段获取方案推荐"/>
    <w:p>
      <w:pPr>
        <w:pStyle w:val="Heading2"/>
      </w:pPr>
      <w:r>
        <w:t xml:space="preserve">四、不同预算段获取方案推荐</w:t>
      </w:r>
    </w:p>
    <w:bookmarkStart w:id="65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。对比直接买45,000</w:t>
      </w:r>
      <w:r>
        <w:drawing>
          <wp:inline>
            <wp:extent cx="228600" cy="228600"/>
            <wp:effectExtent b="0" l="0" r="0" t="0"/>
            <wp:docPr descr="钻石" title="" id="63" name="Picture"/>
            <a:graphic>
              <a:graphicData uri="http://schemas.openxmlformats.org/drawingml/2006/picture">
                <pic:pic>
                  <pic:nvPicPr>
                    <pic:cNvPr descr="assets/img/道具/钻石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，该礼包性价比极高。买完后多余的转盘票数可用于获取星级道具和其他稀有奖励。</w:t>
      </w:r>
    </w:p>
    <w:bookmarkEnd w:id="65"/>
    <w:bookmarkStart w:id="70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：无氪、拥有充足</w:t>
      </w:r>
      <w:r>
        <w:drawing>
          <wp:inline>
            <wp:extent cx="228600" cy="228600"/>
            <wp:effectExtent b="0" l="0" r="0" t="0"/>
            <wp:docPr descr="钻石" title="" id="66" name="Picture"/>
            <a:graphic>
              <a:graphicData uri="http://schemas.openxmlformats.org/drawingml/2006/picture">
                <pic:pic>
                  <pic:nvPicPr>
                    <pic:cNvPr descr="assets/img/道具/钻石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 105 张券），最后一天定好闹钟（以免活动期间官方送券而浪费钻石），使用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8" name="Picture"/>
            <a:graphic>
              <a:graphicData uri="http://schemas.openxmlformats.org/drawingml/2006/picture">
                <pic:pic>
                  <pic:nvPicPr>
                    <pic:cNvPr descr="assets/img/道具/钻石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张券，即可成功解锁。</w:t>
      </w:r>
    </w:p>
    <w:bookmarkEnd w:id="70"/>
    <w:bookmarkStart w:id="84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异宠核心自选" title="" id="72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drawing>
          <wp:inline>
            <wp:extent cx="228600" cy="228600"/>
            <wp:effectExtent b="0" l="0" r="0" t="0"/>
            <wp:docPr descr="谐振芯片自选" title="" id="75" name="Picture"/>
            <a:graphic>
              <a:graphicData uri="http://schemas.openxmlformats.org/drawingml/2006/picture">
                <pic:pic>
                  <pic:nvPicPr>
                    <pic:cNvPr descr="assets/img/宝箱/谐振芯片自选宝箱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的特惠自选箱礼包（不推荐包含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神器核心自选" title="" id="78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的礼包）。购买完礼包后，再使用</w:t>
      </w:r>
      <w:r>
        <w:drawing>
          <wp:inline>
            <wp:extent cx="228600" cy="228600"/>
            <wp:effectExtent b="0" l="0" r="0" t="0"/>
            <wp:docPr descr="钻石" title="" id="80" name="Picture"/>
            <a:graphic>
              <a:graphicData uri="http://schemas.openxmlformats.org/drawingml/2006/picture">
                <pic:pic>
                  <pic:nvPicPr>
                    <pic:cNvPr descr="assets/img/道具/钻石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2" name="Picture"/>
            <a:graphic>
              <a:graphicData uri="http://schemas.openxmlformats.org/drawingml/2006/picture">
                <pic:pic>
                  <pic:nvPicPr>
                    <pic:cNvPr descr="assets/img/道具/钻石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）即可解锁。</w:t>
      </w:r>
    </w:p>
    <w:bookmarkEnd w:id="84"/>
    <w:bookmarkStart w:id="96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：钻石充足、微氪希望同时补齐其他核心养成资源的玩家。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：拉满任务（105张券），购买128元礼包。购买完礼包后，再使用</w:t>
      </w:r>
      <w:r>
        <w:drawing>
          <wp:inline>
            <wp:extent cx="228600" cy="228600"/>
            <wp:effectExtent b="0" l="0" r="0" t="0"/>
            <wp:docPr descr="钻石" title="" id="85" name="Picture"/>
            <a:graphic>
              <a:graphicData uri="http://schemas.openxmlformats.org/drawingml/2006/picture">
                <pic:pic>
                  <pic:nvPicPr>
                    <pic:cNvPr descr="assets/img/道具/钻石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7" name="Picture"/>
            <a:graphic>
              <a:graphicData uri="http://schemas.openxmlformats.org/drawingml/2006/picture">
                <pic:pic>
                  <pic:nvPicPr>
                    <pic:cNvPr descr="assets/img/道具/钻石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）即可多获得80火神之锤碎片用于升星。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此外，还有一种特殊情况：如果你目前尚未解锁哪吒</w:t>
      </w:r>
      <w:r>
        <w:drawing>
          <wp:inline>
            <wp:extent cx="228600" cy="228600"/>
            <wp:effectExtent b="0" l="0" r="0" t="0"/>
            <wp:docPr descr="哪吒" title="" id="90" name="Picture"/>
            <a:graphic>
              <a:graphicData uri="http://schemas.openxmlformats.org/drawingml/2006/picture">
                <pic:pic>
                  <pic:nvPicPr>
                    <pic:cNvPr descr="assets/img/特工/哪吒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，那么在本次活动中建议优先选择哪吒碎片，待哪吒解锁后再选择伏尔甘</w:t>
      </w:r>
      <w:r>
        <w:drawing>
          <wp:inline>
            <wp:extent cx="228600" cy="228600"/>
            <wp:effectExtent b="0" l="0" r="0" t="0"/>
            <wp:docPr descr="伏尔甘" title="" id="92" name="Picture"/>
            <a:graphic>
              <a:graphicData uri="http://schemas.openxmlformats.org/drawingml/2006/picture">
                <pic:pic>
                  <pic:nvPicPr>
                    <pic:cNvPr descr="assets/img/特工/伏尔甘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碎片。因为伏尔甘的核心伤害加成需要哪吒挂神火 Buff 才能完全发挥。若本期钻石不足以直接解锁伏尔甘也无需担心，下期神火活动预计依然能兑换其碎片，届时提前备足钻石即可。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drawing>
          <wp:inline>
            <wp:extent cx="228600" cy="228600"/>
            <wp:effectExtent b="0" l="0" r="0" t="0"/>
            <wp:docPr descr="伏尔甘" title="" id="94" name="Picture"/>
            <a:graphic>
              <a:graphicData uri="http://schemas.openxmlformats.org/drawingml/2006/picture">
                <pic:pic>
                  <pic:nvPicPr>
                    <pic:cNvPr descr="assets/img/特工/伏尔甘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89" Target="media/rId89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2026-06-24T15:58:54Z</dcterms:created>
  <dcterms:modified xsi:type="dcterms:W3CDTF">2026-06-24T15:58:54Z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