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901" w:rsidRDefault="00E45901" w:rsidP="00E45901">
      <w:pPr>
        <w:pStyle w:val="ReferenceHead"/>
        <w:jc w:val="both"/>
      </w:pPr>
      <w:r>
        <w:t>Appendix</w:t>
      </w:r>
    </w:p>
    <w:p w:rsidR="009C4545" w:rsidRDefault="009C4545" w:rsidP="009C4545">
      <w:pPr>
        <w:pStyle w:val="2"/>
      </w:pPr>
      <w:r>
        <w:t xml:space="preserve">Flowchart of </w:t>
      </w:r>
      <w:r w:rsidR="000C663B">
        <w:t>Solution Algorithm</w:t>
      </w:r>
      <w:r>
        <w:t xml:space="preserve"> </w:t>
      </w:r>
    </w:p>
    <w:p w:rsidR="005F7477" w:rsidRDefault="005F7477" w:rsidP="009C4545">
      <w:pPr>
        <w:rPr>
          <w:lang w:eastAsia="zh-CN"/>
        </w:rPr>
        <w:sectPr w:rsidR="005F7477" w:rsidSect="00143F2E">
          <w:headerReference w:type="default" r:id="rId8"/>
          <w:type w:val="continuous"/>
          <w:pgSz w:w="12240" w:h="15840" w:code="1"/>
          <w:pgMar w:top="1008" w:right="936" w:bottom="1008" w:left="936" w:header="432" w:footer="432" w:gutter="0"/>
          <w:cols w:num="2" w:space="288"/>
        </w:sectPr>
      </w:pPr>
    </w:p>
    <w:p w:rsidR="009C4545" w:rsidRDefault="009C4545" w:rsidP="009C4545">
      <w:pPr>
        <w:rPr>
          <w:lang w:eastAsia="zh-CN"/>
        </w:rPr>
      </w:pPr>
      <w:r>
        <w:rPr>
          <w:rFonts w:hint="eastAsia"/>
          <w:lang w:eastAsia="zh-CN"/>
        </w:rPr>
        <w:t>T</w:t>
      </w:r>
      <w:r>
        <w:rPr>
          <w:lang w:eastAsia="zh-CN"/>
        </w:rPr>
        <w:t>he flowchart of algor</w:t>
      </w:r>
      <w:r w:rsidR="00801D70">
        <w:rPr>
          <w:lang w:eastAsia="zh-CN"/>
        </w:rPr>
        <w:t xml:space="preserve">ithm 2 is </w:t>
      </w:r>
      <w:r w:rsidR="000C663B">
        <w:rPr>
          <w:lang w:eastAsia="zh-CN"/>
        </w:rPr>
        <w:t>presented</w:t>
      </w:r>
      <w:r w:rsidR="00801D70">
        <w:rPr>
          <w:lang w:eastAsia="zh-CN"/>
        </w:rPr>
        <w:t xml:space="preserve"> </w:t>
      </w:r>
      <w:r w:rsidR="009E03D6">
        <w:rPr>
          <w:lang w:eastAsia="zh-CN"/>
        </w:rPr>
        <w:t xml:space="preserve">as </w:t>
      </w:r>
      <w:r w:rsidR="009E03D6">
        <w:rPr>
          <w:lang w:eastAsia="zh-CN"/>
        </w:rPr>
        <w:fldChar w:fldCharType="begin"/>
      </w:r>
      <w:r w:rsidR="009E03D6">
        <w:rPr>
          <w:lang w:eastAsia="zh-CN"/>
        </w:rPr>
        <w:instrText xml:space="preserve"> REF _Ref47511154 \h </w:instrText>
      </w:r>
      <w:r w:rsidR="009E03D6">
        <w:rPr>
          <w:lang w:eastAsia="zh-CN"/>
        </w:rPr>
      </w:r>
      <w:r w:rsidR="009E03D6">
        <w:rPr>
          <w:lang w:eastAsia="zh-CN"/>
        </w:rPr>
        <w:fldChar w:fldCharType="separate"/>
      </w:r>
      <w:r w:rsidR="009F638D">
        <w:t xml:space="preserve">Fig. </w:t>
      </w:r>
      <w:r w:rsidR="009F638D">
        <w:rPr>
          <w:noProof/>
        </w:rPr>
        <w:t>1</w:t>
      </w:r>
      <w:r w:rsidR="009E03D6">
        <w:rPr>
          <w:lang w:eastAsia="zh-CN"/>
        </w:rPr>
        <w:fldChar w:fldCharType="end"/>
      </w:r>
      <w:r w:rsidR="009E03D6">
        <w:rPr>
          <w:lang w:eastAsia="zh-CN"/>
        </w:rPr>
        <w:t>.</w:t>
      </w:r>
    </w:p>
    <w:p w:rsidR="00801D70" w:rsidRDefault="005F7477" w:rsidP="005F7477">
      <w:pPr>
        <w:spacing w:line="240" w:lineRule="auto"/>
        <w:ind w:firstLine="0"/>
        <w:jc w:val="center"/>
      </w:pPr>
      <w:r>
        <w:object w:dxaOrig="8655" w:dyaOrig="4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5pt;height:222.35pt" o:ole="">
            <v:imagedata r:id="rId9" o:title=""/>
          </v:shape>
          <o:OLEObject Type="Embed" ProgID="Visio.Drawing.15" ShapeID="_x0000_i1025" DrawAspect="Content" ObjectID="_1658687290" r:id="rId10"/>
        </w:object>
      </w:r>
    </w:p>
    <w:p w:rsidR="00801D70" w:rsidRDefault="009E03D6" w:rsidP="009E03D6">
      <w:pPr>
        <w:pStyle w:val="af"/>
        <w:rPr>
          <w:lang w:eastAsia="zh-CN"/>
        </w:rPr>
      </w:pPr>
      <w:bookmarkStart w:id="0" w:name="_Ref47511154"/>
      <w:r>
        <w:t xml:space="preserve">Fig. </w:t>
      </w:r>
      <w:r w:rsidR="00494A0B">
        <w:rPr>
          <w:noProof/>
        </w:rPr>
        <w:fldChar w:fldCharType="begin"/>
      </w:r>
      <w:r w:rsidR="00494A0B">
        <w:rPr>
          <w:noProof/>
        </w:rPr>
        <w:instrText xml:space="preserve"> SEQ Fig. \* ARABIC </w:instrText>
      </w:r>
      <w:r w:rsidR="00494A0B">
        <w:rPr>
          <w:noProof/>
        </w:rPr>
        <w:fldChar w:fldCharType="separate"/>
      </w:r>
      <w:r w:rsidR="00457FB0">
        <w:rPr>
          <w:noProof/>
        </w:rPr>
        <w:t>1</w:t>
      </w:r>
      <w:r w:rsidR="00494A0B">
        <w:rPr>
          <w:noProof/>
        </w:rPr>
        <w:fldChar w:fldCharType="end"/>
      </w:r>
      <w:bookmarkEnd w:id="0"/>
      <w:r>
        <w:t xml:space="preserve"> </w:t>
      </w:r>
      <w:r w:rsidR="000C663B">
        <w:rPr>
          <w:rFonts w:hint="eastAsia"/>
          <w:lang w:eastAsia="zh-CN"/>
        </w:rPr>
        <w:t>F</w:t>
      </w:r>
      <w:r w:rsidR="000C663B">
        <w:rPr>
          <w:lang w:eastAsia="zh-CN"/>
        </w:rPr>
        <w:t xml:space="preserve">lowchart of </w:t>
      </w:r>
      <w:r>
        <w:rPr>
          <w:lang w:eastAsia="zh-CN"/>
        </w:rPr>
        <w:t>the SOC-based C&amp;CG algorithm combined with SBT procedure</w:t>
      </w:r>
    </w:p>
    <w:p w:rsidR="005F7477" w:rsidRDefault="005F7477" w:rsidP="00801D70">
      <w:pPr>
        <w:pStyle w:val="2"/>
        <w:sectPr w:rsidR="005F7477" w:rsidSect="005F7477">
          <w:type w:val="continuous"/>
          <w:pgSz w:w="12240" w:h="15840" w:code="1"/>
          <w:pgMar w:top="1008" w:right="936" w:bottom="1008" w:left="936" w:header="432" w:footer="432" w:gutter="0"/>
          <w:cols w:space="288"/>
        </w:sectPr>
      </w:pPr>
    </w:p>
    <w:p w:rsidR="00801D70" w:rsidRDefault="00801D70" w:rsidP="00801D70">
      <w:pPr>
        <w:pStyle w:val="2"/>
      </w:pPr>
      <w:r>
        <w:lastRenderedPageBreak/>
        <w:t xml:space="preserve">Topology of the Modified 39-bus and 20-node IEHS </w:t>
      </w:r>
    </w:p>
    <w:p w:rsidR="00801D70" w:rsidRDefault="00D22680" w:rsidP="009E03D6">
      <w:pPr>
        <w:spacing w:line="240" w:lineRule="auto"/>
        <w:ind w:firstLine="0"/>
        <w:jc w:val="center"/>
      </w:pPr>
      <w:r>
        <w:object w:dxaOrig="13321" w:dyaOrig="21811">
          <v:shape id="_x0000_i1026" type="#_x0000_t75" style="width:240.95pt;height:394.95pt" o:ole="">
            <v:imagedata r:id="rId11" o:title=""/>
          </v:shape>
          <o:OLEObject Type="Embed" ProgID="Visio.Drawing.15" ShapeID="_x0000_i1026" DrawAspect="Content" ObjectID="_1658687291" r:id="rId12"/>
        </w:object>
      </w:r>
    </w:p>
    <w:p w:rsidR="009E03D6" w:rsidRDefault="009E03D6" w:rsidP="009E03D6">
      <w:pPr>
        <w:pStyle w:val="af"/>
      </w:pPr>
      <w:bookmarkStart w:id="1" w:name="_Ref47511268"/>
      <w:r>
        <w:t xml:space="preserve">Fig. </w:t>
      </w:r>
      <w:r w:rsidR="00494A0B">
        <w:rPr>
          <w:noProof/>
        </w:rPr>
        <w:fldChar w:fldCharType="begin"/>
      </w:r>
      <w:r w:rsidR="00494A0B">
        <w:rPr>
          <w:noProof/>
        </w:rPr>
        <w:instrText xml:space="preserve"> SEQ Fig. \* ARABIC </w:instrText>
      </w:r>
      <w:r w:rsidR="00494A0B">
        <w:rPr>
          <w:noProof/>
        </w:rPr>
        <w:fldChar w:fldCharType="separate"/>
      </w:r>
      <w:r w:rsidR="00457FB0">
        <w:rPr>
          <w:noProof/>
        </w:rPr>
        <w:t>2</w:t>
      </w:r>
      <w:r w:rsidR="00494A0B">
        <w:rPr>
          <w:noProof/>
        </w:rPr>
        <w:fldChar w:fldCharType="end"/>
      </w:r>
      <w:bookmarkEnd w:id="1"/>
      <w:r>
        <w:t xml:space="preserve"> Topology of the</w:t>
      </w:r>
      <w:r>
        <w:rPr>
          <w:rFonts w:hint="eastAsia"/>
          <w:lang w:eastAsia="zh-CN"/>
        </w:rPr>
        <w:t xml:space="preserve"> modified 39-bus and </w:t>
      </w:r>
      <w:r>
        <w:rPr>
          <w:lang w:eastAsia="zh-CN"/>
        </w:rPr>
        <w:t>20</w:t>
      </w:r>
      <w:r>
        <w:rPr>
          <w:rFonts w:hint="eastAsia"/>
          <w:lang w:eastAsia="zh-CN"/>
        </w:rPr>
        <w:t>-node IEHS</w:t>
      </w:r>
    </w:p>
    <w:p w:rsidR="00E517E7" w:rsidRDefault="0020706A" w:rsidP="00395D79">
      <w:pPr>
        <w:rPr>
          <w:lang w:eastAsia="zh-CN"/>
        </w:rPr>
      </w:pPr>
      <w:r>
        <w:rPr>
          <w:lang w:eastAsia="zh-CN"/>
        </w:rPr>
        <w:t>The topology of</w:t>
      </w:r>
      <w:r w:rsidR="00E517E7">
        <w:rPr>
          <w:lang w:eastAsia="zh-CN"/>
        </w:rPr>
        <w:t xml:space="preserve"> </w:t>
      </w:r>
      <w:r>
        <w:rPr>
          <w:lang w:eastAsia="zh-CN"/>
        </w:rPr>
        <w:t xml:space="preserve">small-scale test </w:t>
      </w:r>
      <w:r w:rsidR="00E517E7">
        <w:rPr>
          <w:lang w:eastAsia="zh-CN"/>
        </w:rPr>
        <w:t xml:space="preserve">IEHS is displayed as </w:t>
      </w:r>
      <w:r w:rsidR="00E517E7">
        <w:rPr>
          <w:lang w:eastAsia="zh-CN"/>
        </w:rPr>
        <w:fldChar w:fldCharType="begin"/>
      </w:r>
      <w:r w:rsidR="00E517E7">
        <w:rPr>
          <w:lang w:eastAsia="zh-CN"/>
        </w:rPr>
        <w:instrText xml:space="preserve"> REF _Ref47511268 \h </w:instrText>
      </w:r>
      <w:r w:rsidR="00395D79">
        <w:rPr>
          <w:lang w:eastAsia="zh-CN"/>
        </w:rPr>
        <w:instrText xml:space="preserve"> \* MERGEFORMAT </w:instrText>
      </w:r>
      <w:r w:rsidR="00E517E7">
        <w:rPr>
          <w:lang w:eastAsia="zh-CN"/>
        </w:rPr>
      </w:r>
      <w:r w:rsidR="00E517E7">
        <w:rPr>
          <w:lang w:eastAsia="zh-CN"/>
        </w:rPr>
        <w:fldChar w:fldCharType="separate"/>
      </w:r>
      <w:r w:rsidR="009F638D">
        <w:t xml:space="preserve">Fig. </w:t>
      </w:r>
      <w:r w:rsidR="009F638D">
        <w:rPr>
          <w:noProof/>
        </w:rPr>
        <w:t>2</w:t>
      </w:r>
      <w:r w:rsidR="00E517E7">
        <w:rPr>
          <w:lang w:eastAsia="zh-CN"/>
        </w:rPr>
        <w:fldChar w:fldCharType="end"/>
      </w:r>
      <w:r w:rsidR="00E517E7">
        <w:rPr>
          <w:lang w:eastAsia="zh-CN"/>
        </w:rPr>
        <w:t>. The test IEHS is composed of two city-level DHSs and a provincial-level PTS. The components painted red denote the candidate components and they are ranked for the installation illustration. Specifically, the existing</w:t>
      </w:r>
      <w:r w:rsidR="00395D79">
        <w:rPr>
          <w:lang w:eastAsia="zh-CN"/>
        </w:rPr>
        <w:t xml:space="preserve"> DHS-1 is extended and DHS-2 is</w:t>
      </w:r>
      <w:r w:rsidR="00E517E7">
        <w:rPr>
          <w:lang w:eastAsia="zh-CN"/>
        </w:rPr>
        <w:t xml:space="preserve"> newly installed to test the effectiveness of proposed planning model. Note that Heat nodes 14, 15 and 20 are connecting heat nodes, which are selected to be connected to deliver heat power.</w:t>
      </w:r>
    </w:p>
    <w:p w:rsidR="0056681C" w:rsidRDefault="009906DD" w:rsidP="00801D70">
      <w:pPr>
        <w:spacing w:line="240" w:lineRule="auto"/>
        <w:ind w:firstLine="0"/>
        <w:jc w:val="center"/>
        <w:rPr>
          <w:lang w:eastAsia="zh-CN"/>
        </w:rPr>
      </w:pPr>
      <w:r w:rsidRPr="009906DD">
        <w:rPr>
          <w:rFonts w:hint="eastAsia"/>
          <w:noProof/>
          <w:lang w:eastAsia="zh-CN"/>
        </w:rPr>
        <w:drawing>
          <wp:inline distT="0" distB="0" distL="0" distR="0">
            <wp:extent cx="2509837" cy="156804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11"/>
                    <pic:cNvPicPr>
                      <a:picLocks noChangeAspect="1" noChangeArrowheads="1"/>
                    </pic:cNvPicPr>
                  </pic:nvPicPr>
                  <pic:blipFill rotWithShape="1">
                    <a:blip r:embed="rId13">
                      <a:extLst>
                        <a:ext uri="{28A0092B-C50C-407E-A947-70E740481C1C}">
                          <a14:useLocalDpi xmlns:a14="http://schemas.microsoft.com/office/drawing/2010/main" val="0"/>
                        </a:ext>
                      </a:extLst>
                    </a:blip>
                    <a:srcRect l="11164" t="10808" r="11867" b="7994"/>
                    <a:stretch/>
                  </pic:blipFill>
                  <pic:spPr bwMode="auto">
                    <a:xfrm>
                      <a:off x="0" y="0"/>
                      <a:ext cx="2513170" cy="1570123"/>
                    </a:xfrm>
                    <a:prstGeom prst="rect">
                      <a:avLst/>
                    </a:prstGeom>
                    <a:noFill/>
                    <a:ln>
                      <a:noFill/>
                    </a:ln>
                    <a:extLst>
                      <a:ext uri="{53640926-AAD7-44D8-BBD7-CCE9431645EC}">
                        <a14:shadowObscured xmlns:a14="http://schemas.microsoft.com/office/drawing/2010/main"/>
                      </a:ext>
                    </a:extLst>
                  </pic:spPr>
                </pic:pic>
              </a:graphicData>
            </a:graphic>
          </wp:inline>
        </w:drawing>
      </w:r>
    </w:p>
    <w:p w:rsidR="0056681C" w:rsidRDefault="0056681C" w:rsidP="0056681C">
      <w:pPr>
        <w:pStyle w:val="af"/>
        <w:rPr>
          <w:lang w:eastAsia="zh-CN"/>
        </w:rPr>
      </w:pPr>
      <w:bookmarkStart w:id="2" w:name="_Ref47512457"/>
      <w:r>
        <w:t xml:space="preserve">Fig. </w:t>
      </w:r>
      <w:r w:rsidR="00494A0B">
        <w:rPr>
          <w:noProof/>
        </w:rPr>
        <w:fldChar w:fldCharType="begin"/>
      </w:r>
      <w:r w:rsidR="00494A0B">
        <w:rPr>
          <w:noProof/>
        </w:rPr>
        <w:instrText xml:space="preserve"> SEQ Fig. \* ARABIC </w:instrText>
      </w:r>
      <w:r w:rsidR="00494A0B">
        <w:rPr>
          <w:noProof/>
        </w:rPr>
        <w:fldChar w:fldCharType="separate"/>
      </w:r>
      <w:r w:rsidR="00457FB0">
        <w:rPr>
          <w:noProof/>
        </w:rPr>
        <w:t>3</w:t>
      </w:r>
      <w:r w:rsidR="00494A0B">
        <w:rPr>
          <w:noProof/>
        </w:rPr>
        <w:fldChar w:fldCharType="end"/>
      </w:r>
      <w:bookmarkEnd w:id="2"/>
      <w:r>
        <w:t xml:space="preserve"> </w:t>
      </w:r>
      <w:r>
        <w:rPr>
          <w:lang w:eastAsia="zh-CN"/>
        </w:rPr>
        <w:t>5-block load level and wind power profile</w:t>
      </w:r>
    </w:p>
    <w:p w:rsidR="005F7477" w:rsidRPr="00801D70" w:rsidRDefault="005F7477" w:rsidP="005F7477">
      <w:pPr>
        <w:rPr>
          <w:lang w:eastAsia="zh-CN"/>
        </w:rPr>
      </w:pPr>
      <w:r>
        <w:rPr>
          <w:rFonts w:hint="eastAsia"/>
          <w:lang w:eastAsia="zh-CN"/>
        </w:rPr>
        <w:t>B</w:t>
      </w:r>
      <w:r>
        <w:rPr>
          <w:lang w:eastAsia="zh-CN"/>
        </w:rPr>
        <w:t>ased on the k-means clustering method</w:t>
      </w:r>
      <w:r w:rsidR="00FC4CD1">
        <w:rPr>
          <w:lang w:eastAsia="zh-CN"/>
        </w:rPr>
        <w:t xml:space="preserve"> [24]</w:t>
      </w:r>
      <w:r>
        <w:rPr>
          <w:lang w:eastAsia="zh-CN"/>
        </w:rPr>
        <w:t xml:space="preserve">, the base-scenario 5 blocks of load level and wind power as </w:t>
      </w:r>
      <w:r>
        <w:rPr>
          <w:lang w:eastAsia="zh-CN"/>
        </w:rPr>
        <w:fldChar w:fldCharType="begin"/>
      </w:r>
      <w:r>
        <w:rPr>
          <w:lang w:eastAsia="zh-CN"/>
        </w:rPr>
        <w:instrText xml:space="preserve"> REF _Ref47512457 \h  \* MERGEFORMAT </w:instrText>
      </w:r>
      <w:r>
        <w:rPr>
          <w:lang w:eastAsia="zh-CN"/>
        </w:rPr>
      </w:r>
      <w:r>
        <w:rPr>
          <w:lang w:eastAsia="zh-CN"/>
        </w:rPr>
        <w:fldChar w:fldCharType="separate"/>
      </w:r>
      <w:r w:rsidR="009F638D">
        <w:t xml:space="preserve">Fig. </w:t>
      </w:r>
      <w:r w:rsidR="009F638D">
        <w:rPr>
          <w:noProof/>
        </w:rPr>
        <w:t>3</w:t>
      </w:r>
      <w:r>
        <w:rPr>
          <w:lang w:eastAsia="zh-CN"/>
        </w:rPr>
        <w:fldChar w:fldCharType="end"/>
      </w:r>
      <w:r w:rsidR="00FC4CD1">
        <w:rPr>
          <w:lang w:eastAsia="zh-CN"/>
        </w:rPr>
        <w:t xml:space="preserve"> are </w:t>
      </w:r>
      <w:r w:rsidR="00FC4CD1">
        <w:rPr>
          <w:lang w:eastAsia="zh-CN"/>
        </w:rPr>
        <w:t>derived from data</w:t>
      </w:r>
      <w:r>
        <w:rPr>
          <w:lang w:eastAsia="zh-CN"/>
        </w:rPr>
        <w:t xml:space="preserve"> </w:t>
      </w:r>
      <w:r w:rsidR="00FC4CD1">
        <w:rPr>
          <w:lang w:eastAsia="zh-CN"/>
        </w:rPr>
        <w:t xml:space="preserve">in [4] </w:t>
      </w:r>
      <w:r>
        <w:rPr>
          <w:lang w:eastAsia="zh-CN"/>
        </w:rPr>
        <w:t>to reflect the seasonal characteristics of the electric/heat load demands and wind power. The 1</w:t>
      </w:r>
      <w:r>
        <w:rPr>
          <w:vertAlign w:val="superscript"/>
          <w:lang w:eastAsia="zh-CN"/>
        </w:rPr>
        <w:t>st</w:t>
      </w:r>
      <w:r>
        <w:rPr>
          <w:lang w:eastAsia="zh-CN"/>
        </w:rPr>
        <w:t xml:space="preserve"> load block represents the winter load situation where heat load is the highest. The 3</w:t>
      </w:r>
      <w:r>
        <w:rPr>
          <w:vertAlign w:val="superscript"/>
          <w:lang w:eastAsia="zh-CN"/>
        </w:rPr>
        <w:t>rd</w:t>
      </w:r>
      <w:r>
        <w:rPr>
          <w:lang w:eastAsia="zh-CN"/>
        </w:rPr>
        <w:t xml:space="preserve"> load block denotes the summer situation where electric load is the highest while the heat load is very low</w:t>
      </w:r>
      <w:r>
        <w:t xml:space="preserve">. At the </w:t>
      </w:r>
      <w:r>
        <w:rPr>
          <w:lang w:eastAsia="zh-CN"/>
        </w:rPr>
        <w:t>5</w:t>
      </w:r>
      <w:r>
        <w:rPr>
          <w:vertAlign w:val="superscript"/>
          <w:lang w:eastAsia="zh-CN"/>
        </w:rPr>
        <w:t xml:space="preserve">th </w:t>
      </w:r>
      <w:r>
        <w:t xml:space="preserve">load block, the available wind power is high while both the electric and heat loads are low. The </w:t>
      </w:r>
      <w:r>
        <w:rPr>
          <w:lang w:eastAsia="zh-CN"/>
        </w:rPr>
        <w:t>1</w:t>
      </w:r>
      <w:r>
        <w:rPr>
          <w:vertAlign w:val="superscript"/>
          <w:lang w:eastAsia="zh-CN"/>
        </w:rPr>
        <w:t>st</w:t>
      </w:r>
      <w:r>
        <w:rPr>
          <w:lang w:eastAsia="zh-CN"/>
        </w:rPr>
        <w:t>, 3</w:t>
      </w:r>
      <w:r>
        <w:rPr>
          <w:vertAlign w:val="superscript"/>
          <w:lang w:eastAsia="zh-CN"/>
        </w:rPr>
        <w:t>rd</w:t>
      </w:r>
      <w:r>
        <w:rPr>
          <w:lang w:eastAsia="zh-CN"/>
        </w:rPr>
        <w:t xml:space="preserve"> and the </w:t>
      </w:r>
      <w:proofErr w:type="gramStart"/>
      <w:r>
        <w:rPr>
          <w:lang w:eastAsia="zh-CN"/>
        </w:rPr>
        <w:t>5</w:t>
      </w:r>
      <w:r>
        <w:rPr>
          <w:vertAlign w:val="superscript"/>
          <w:lang w:eastAsia="zh-CN"/>
        </w:rPr>
        <w:t xml:space="preserve">th </w:t>
      </w:r>
      <w:r>
        <w:t xml:space="preserve"> load</w:t>
      </w:r>
      <w:proofErr w:type="gramEnd"/>
      <w:r>
        <w:t xml:space="preserve"> blocks represent most critical operation status, which may affect the reliability of the energy supply.</w:t>
      </w:r>
    </w:p>
    <w:p w:rsidR="009C4545" w:rsidRDefault="009C4545" w:rsidP="00E45901">
      <w:pPr>
        <w:pStyle w:val="2"/>
      </w:pPr>
      <w:r>
        <w:t xml:space="preserve">Effectiveness of Proposed Reformulation Method </w:t>
      </w:r>
    </w:p>
    <w:p w:rsidR="00D3032E" w:rsidRPr="00C71F7D" w:rsidRDefault="00395D79" w:rsidP="005528B3">
      <w:pPr>
        <w:ind w:firstLine="202"/>
        <w:rPr>
          <w:lang w:eastAsia="zh-CN"/>
        </w:rPr>
      </w:pPr>
      <w:r>
        <w:rPr>
          <w:lang w:eastAsia="zh-CN"/>
        </w:rPr>
        <w:t xml:space="preserve">To demonstrate the effectiveness of SBT procedure in tightening the QC relaxation of DHS model, </w:t>
      </w:r>
      <w:r w:rsidR="000E5C6E">
        <w:rPr>
          <w:lang w:eastAsia="zh-CN"/>
        </w:rPr>
        <w:t xml:space="preserve">part of </w:t>
      </w:r>
      <w:r>
        <w:rPr>
          <w:lang w:eastAsia="zh-CN"/>
        </w:rPr>
        <w:t xml:space="preserve">the optimized/calculated heat </w:t>
      </w:r>
      <w:r w:rsidR="0017160A">
        <w:rPr>
          <w:lang w:eastAsia="zh-CN"/>
        </w:rPr>
        <w:t>power</w:t>
      </w:r>
      <w:r>
        <w:rPr>
          <w:lang w:eastAsia="zh-CN"/>
        </w:rPr>
        <w:t xml:space="preserve"> and mass flow rates of </w:t>
      </w:r>
      <w:r w:rsidR="000E5C6E">
        <w:rPr>
          <w:lang w:eastAsia="zh-CN"/>
        </w:rPr>
        <w:t xml:space="preserve">case 1(direct) and case 1(SBT) are presented as </w:t>
      </w:r>
      <w:r w:rsidR="00C71F7D">
        <w:rPr>
          <w:lang w:eastAsia="zh-CN"/>
        </w:rPr>
        <w:fldChar w:fldCharType="begin"/>
      </w:r>
      <w:r w:rsidR="00C71F7D">
        <w:rPr>
          <w:lang w:eastAsia="zh-CN"/>
        </w:rPr>
        <w:instrText xml:space="preserve"> REF _Ref47778742 \h </w:instrText>
      </w:r>
      <w:r w:rsidR="00C71F7D">
        <w:rPr>
          <w:lang w:eastAsia="zh-CN"/>
        </w:rPr>
      </w:r>
      <w:r w:rsidR="00C71F7D">
        <w:rPr>
          <w:lang w:eastAsia="zh-CN"/>
        </w:rPr>
        <w:fldChar w:fldCharType="separate"/>
      </w:r>
      <w:r w:rsidR="009F638D">
        <w:t xml:space="preserve">Fig. </w:t>
      </w:r>
      <w:r w:rsidR="009F638D">
        <w:rPr>
          <w:noProof/>
        </w:rPr>
        <w:t>4</w:t>
      </w:r>
      <w:r w:rsidR="00C71F7D">
        <w:rPr>
          <w:lang w:eastAsia="zh-CN"/>
        </w:rPr>
        <w:fldChar w:fldCharType="end"/>
      </w:r>
      <w:r w:rsidR="00C71F7D">
        <w:rPr>
          <w:lang w:eastAsia="zh-CN"/>
        </w:rPr>
        <w:t>-</w:t>
      </w:r>
      <w:r w:rsidR="00C71F7D">
        <w:rPr>
          <w:lang w:eastAsia="zh-CN"/>
        </w:rPr>
        <w:fldChar w:fldCharType="begin"/>
      </w:r>
      <w:r w:rsidR="00C71F7D">
        <w:rPr>
          <w:lang w:eastAsia="zh-CN"/>
        </w:rPr>
        <w:instrText xml:space="preserve"> REF _Ref47778744 \h </w:instrText>
      </w:r>
      <w:r w:rsidR="00C71F7D">
        <w:rPr>
          <w:lang w:eastAsia="zh-CN"/>
        </w:rPr>
      </w:r>
      <w:r w:rsidR="00C71F7D">
        <w:rPr>
          <w:lang w:eastAsia="zh-CN"/>
        </w:rPr>
        <w:fldChar w:fldCharType="separate"/>
      </w:r>
      <w:r w:rsidR="009F638D">
        <w:t xml:space="preserve">Fig. </w:t>
      </w:r>
      <w:r w:rsidR="009F638D">
        <w:rPr>
          <w:noProof/>
        </w:rPr>
        <w:t>7</w:t>
      </w:r>
      <w:r w:rsidR="00C71F7D">
        <w:rPr>
          <w:lang w:eastAsia="zh-CN"/>
        </w:rPr>
        <w:fldChar w:fldCharType="end"/>
      </w:r>
      <w:r w:rsidR="000E5C6E">
        <w:rPr>
          <w:lang w:eastAsia="zh-CN"/>
        </w:rPr>
        <w:t>, respectively.</w:t>
      </w:r>
      <w:r w:rsidR="00872676">
        <w:rPr>
          <w:lang w:eastAsia="zh-CN"/>
        </w:rPr>
        <w:t xml:space="preserve"> </w:t>
      </w:r>
    </w:p>
    <w:p w:rsidR="005E3EBB" w:rsidRDefault="00494A0B" w:rsidP="005E3EBB">
      <w:pPr>
        <w:spacing w:line="240" w:lineRule="auto"/>
        <w:ind w:firstLine="0"/>
        <w:jc w:val="center"/>
        <w:rPr>
          <w:lang w:eastAsia="zh-CN"/>
        </w:rPr>
      </w:pPr>
      <w:r w:rsidRPr="00494A0B">
        <w:rPr>
          <w:noProof/>
          <w:lang w:eastAsia="zh-CN"/>
        </w:rPr>
        <w:drawing>
          <wp:inline distT="0" distB="0" distL="0" distR="0">
            <wp:extent cx="2260509" cy="1472398"/>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11305" t="10079" r="13473" b="7156"/>
                    <a:stretch/>
                  </pic:blipFill>
                  <pic:spPr bwMode="auto">
                    <a:xfrm>
                      <a:off x="0" y="0"/>
                      <a:ext cx="2275393" cy="1482093"/>
                    </a:xfrm>
                    <a:prstGeom prst="rect">
                      <a:avLst/>
                    </a:prstGeom>
                    <a:noFill/>
                    <a:ln>
                      <a:noFill/>
                    </a:ln>
                    <a:extLst>
                      <a:ext uri="{53640926-AAD7-44D8-BBD7-CCE9431645EC}">
                        <a14:shadowObscured xmlns:a14="http://schemas.microsoft.com/office/drawing/2010/main"/>
                      </a:ext>
                    </a:extLst>
                  </pic:spPr>
                </pic:pic>
              </a:graphicData>
            </a:graphic>
          </wp:inline>
        </w:drawing>
      </w:r>
    </w:p>
    <w:p w:rsidR="00D3032E" w:rsidRDefault="00C71F7D" w:rsidP="00C71F7D">
      <w:pPr>
        <w:pStyle w:val="af"/>
        <w:rPr>
          <w:lang w:eastAsia="zh-CN"/>
        </w:rPr>
      </w:pPr>
      <w:bookmarkStart w:id="3" w:name="_Ref47778742"/>
      <w:r>
        <w:t xml:space="preserve">Fig. </w:t>
      </w:r>
      <w:fldSimple w:instr=" SEQ Fig. \* ARABIC ">
        <w:r w:rsidR="00457FB0">
          <w:rPr>
            <w:noProof/>
          </w:rPr>
          <w:t>4</w:t>
        </w:r>
      </w:fldSimple>
      <w:bookmarkEnd w:id="3"/>
      <w:r>
        <w:t xml:space="preserve"> </w:t>
      </w:r>
      <w:r>
        <w:rPr>
          <w:rFonts w:hint="eastAsia"/>
          <w:lang w:eastAsia="zh-CN"/>
        </w:rPr>
        <w:t>O</w:t>
      </w:r>
      <w:r>
        <w:rPr>
          <w:lang w:eastAsia="zh-CN"/>
        </w:rPr>
        <w:t>ptimized/calculated mass flow of supply pipelines in case1 (direct)</w:t>
      </w:r>
    </w:p>
    <w:p w:rsidR="005E3EBB" w:rsidRDefault="00494A0B" w:rsidP="00D3032E">
      <w:pPr>
        <w:spacing w:line="240" w:lineRule="auto"/>
        <w:ind w:firstLine="0"/>
        <w:jc w:val="center"/>
        <w:rPr>
          <w:lang w:eastAsia="zh-CN"/>
        </w:rPr>
      </w:pPr>
      <w:r w:rsidRPr="00494A0B">
        <w:rPr>
          <w:noProof/>
          <w:lang w:eastAsia="zh-CN"/>
        </w:rPr>
        <w:drawing>
          <wp:inline distT="0" distB="0" distL="0" distR="0">
            <wp:extent cx="2161789" cy="1400659"/>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l="11462" t="10079" r="13160" b="7421"/>
                    <a:stretch/>
                  </pic:blipFill>
                  <pic:spPr bwMode="auto">
                    <a:xfrm>
                      <a:off x="0" y="0"/>
                      <a:ext cx="2177299" cy="1410708"/>
                    </a:xfrm>
                    <a:prstGeom prst="rect">
                      <a:avLst/>
                    </a:prstGeom>
                    <a:noFill/>
                    <a:ln>
                      <a:noFill/>
                    </a:ln>
                    <a:extLst>
                      <a:ext uri="{53640926-AAD7-44D8-BBD7-CCE9431645EC}">
                        <a14:shadowObscured xmlns:a14="http://schemas.microsoft.com/office/drawing/2010/main"/>
                      </a:ext>
                    </a:extLst>
                  </pic:spPr>
                </pic:pic>
              </a:graphicData>
            </a:graphic>
          </wp:inline>
        </w:drawing>
      </w:r>
    </w:p>
    <w:p w:rsidR="00C71F7D" w:rsidRDefault="00C71F7D" w:rsidP="00C71F7D">
      <w:pPr>
        <w:pStyle w:val="af"/>
        <w:rPr>
          <w:lang w:eastAsia="zh-CN"/>
        </w:rPr>
      </w:pPr>
      <w:r>
        <w:t xml:space="preserve">Fig. </w:t>
      </w:r>
      <w:fldSimple w:instr=" SEQ Fig. \* ARABIC ">
        <w:r w:rsidR="00457FB0">
          <w:rPr>
            <w:noProof/>
          </w:rPr>
          <w:t>5</w:t>
        </w:r>
      </w:fldSimple>
      <w:r>
        <w:t xml:space="preserve"> </w:t>
      </w:r>
      <w:r>
        <w:rPr>
          <w:rFonts w:hint="eastAsia"/>
          <w:lang w:eastAsia="zh-CN"/>
        </w:rPr>
        <w:t>O</w:t>
      </w:r>
      <w:r>
        <w:rPr>
          <w:lang w:eastAsia="zh-CN"/>
        </w:rPr>
        <w:t>ptimized/calculated mass flow of supply pipelines in case1 (SBT)</w:t>
      </w:r>
    </w:p>
    <w:p w:rsidR="005E3EBB" w:rsidRDefault="00494A0B" w:rsidP="00D3032E">
      <w:pPr>
        <w:spacing w:line="240" w:lineRule="auto"/>
        <w:ind w:firstLine="0"/>
        <w:jc w:val="center"/>
        <w:rPr>
          <w:lang w:eastAsia="zh-CN"/>
        </w:rPr>
      </w:pPr>
      <w:r w:rsidRPr="00494A0B">
        <w:rPr>
          <w:noProof/>
          <w:lang w:eastAsia="zh-CN"/>
        </w:rPr>
        <w:drawing>
          <wp:inline distT="0" distB="0" distL="0" distR="0">
            <wp:extent cx="2225216" cy="1428193"/>
            <wp:effectExtent l="0" t="0" r="381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10991" t="10078" r="13159" b="7687"/>
                    <a:stretch/>
                  </pic:blipFill>
                  <pic:spPr bwMode="auto">
                    <a:xfrm>
                      <a:off x="0" y="0"/>
                      <a:ext cx="2237710" cy="1436212"/>
                    </a:xfrm>
                    <a:prstGeom prst="rect">
                      <a:avLst/>
                    </a:prstGeom>
                    <a:noFill/>
                    <a:ln>
                      <a:noFill/>
                    </a:ln>
                    <a:extLst>
                      <a:ext uri="{53640926-AAD7-44D8-BBD7-CCE9431645EC}">
                        <a14:shadowObscured xmlns:a14="http://schemas.microsoft.com/office/drawing/2010/main"/>
                      </a:ext>
                    </a:extLst>
                  </pic:spPr>
                </pic:pic>
              </a:graphicData>
            </a:graphic>
          </wp:inline>
        </w:drawing>
      </w:r>
    </w:p>
    <w:p w:rsidR="00297301" w:rsidRDefault="00C71F7D" w:rsidP="00C71F7D">
      <w:pPr>
        <w:pStyle w:val="af"/>
        <w:rPr>
          <w:lang w:eastAsia="zh-CN"/>
        </w:rPr>
      </w:pPr>
      <w:r>
        <w:t xml:space="preserve">Fig. </w:t>
      </w:r>
      <w:fldSimple w:instr=" SEQ Fig. \* ARABIC ">
        <w:r w:rsidR="00457FB0">
          <w:rPr>
            <w:noProof/>
          </w:rPr>
          <w:t>6</w:t>
        </w:r>
      </w:fldSimple>
      <w:r>
        <w:t xml:space="preserve"> </w:t>
      </w:r>
      <w:r w:rsidR="000E5C6E">
        <w:rPr>
          <w:lang w:eastAsia="zh-CN"/>
        </w:rPr>
        <w:t xml:space="preserve">Optimized/calculated heat power </w:t>
      </w:r>
      <w:r>
        <w:rPr>
          <w:lang w:eastAsia="zh-CN"/>
        </w:rPr>
        <w:t>of</w:t>
      </w:r>
      <w:r w:rsidR="000E5C6E">
        <w:rPr>
          <w:lang w:eastAsia="zh-CN"/>
        </w:rPr>
        <w:t xml:space="preserve"> supply pipelines </w:t>
      </w:r>
      <w:r>
        <w:rPr>
          <w:lang w:eastAsia="zh-CN"/>
        </w:rPr>
        <w:t>in case1 (direct)</w:t>
      </w:r>
    </w:p>
    <w:p w:rsidR="00297301" w:rsidRDefault="00494A0B" w:rsidP="00D3032E">
      <w:pPr>
        <w:spacing w:line="240" w:lineRule="auto"/>
        <w:ind w:firstLine="0"/>
        <w:jc w:val="center"/>
        <w:rPr>
          <w:lang w:eastAsia="zh-CN"/>
        </w:rPr>
      </w:pPr>
      <w:r w:rsidRPr="00494A0B">
        <w:rPr>
          <w:noProof/>
          <w:lang w:eastAsia="zh-CN"/>
        </w:rPr>
        <w:drawing>
          <wp:inline distT="0" distB="0" distL="0" distR="0">
            <wp:extent cx="2329850" cy="14905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10991" t="10079" r="13159" b="7952"/>
                    <a:stretch/>
                  </pic:blipFill>
                  <pic:spPr bwMode="auto">
                    <a:xfrm>
                      <a:off x="0" y="0"/>
                      <a:ext cx="2359703" cy="1509623"/>
                    </a:xfrm>
                    <a:prstGeom prst="rect">
                      <a:avLst/>
                    </a:prstGeom>
                    <a:noFill/>
                    <a:ln>
                      <a:noFill/>
                    </a:ln>
                    <a:extLst>
                      <a:ext uri="{53640926-AAD7-44D8-BBD7-CCE9431645EC}">
                        <a14:shadowObscured xmlns:a14="http://schemas.microsoft.com/office/drawing/2010/main"/>
                      </a:ext>
                    </a:extLst>
                  </pic:spPr>
                </pic:pic>
              </a:graphicData>
            </a:graphic>
          </wp:inline>
        </w:drawing>
      </w:r>
    </w:p>
    <w:p w:rsidR="00C71F7D" w:rsidRDefault="00C71F7D" w:rsidP="00C71F7D">
      <w:pPr>
        <w:pStyle w:val="af"/>
        <w:rPr>
          <w:lang w:eastAsia="zh-CN"/>
        </w:rPr>
      </w:pPr>
      <w:bookmarkStart w:id="4" w:name="_Ref47778744"/>
      <w:r>
        <w:t xml:space="preserve">Fig. </w:t>
      </w:r>
      <w:fldSimple w:instr=" SEQ Fig. \* ARABIC ">
        <w:r w:rsidR="00457FB0">
          <w:rPr>
            <w:noProof/>
          </w:rPr>
          <w:t>7</w:t>
        </w:r>
      </w:fldSimple>
      <w:bookmarkEnd w:id="4"/>
      <w:r>
        <w:t xml:space="preserve"> </w:t>
      </w:r>
      <w:r>
        <w:rPr>
          <w:lang w:eastAsia="zh-CN"/>
        </w:rPr>
        <w:t>Optimized/calculated heat power of supply pipelines in case1 (SBT)</w:t>
      </w:r>
    </w:p>
    <w:p w:rsidR="009F638D" w:rsidRPr="009F638D" w:rsidRDefault="0017160A" w:rsidP="009F638D">
      <w:pPr>
        <w:rPr>
          <w:lang w:eastAsia="zh-CN"/>
        </w:rPr>
      </w:pPr>
      <w:r>
        <w:rPr>
          <w:lang w:eastAsia="zh-CN"/>
        </w:rPr>
        <w:lastRenderedPageBreak/>
        <w:t>The mass flow and heat power of pipelines in DHS-2 are obtained according to the loads of load block 1 in 10</w:t>
      </w:r>
      <w:r>
        <w:rPr>
          <w:vertAlign w:val="superscript"/>
          <w:lang w:eastAsia="zh-CN"/>
        </w:rPr>
        <w:t>th</w:t>
      </w:r>
      <w:r>
        <w:rPr>
          <w:lang w:eastAsia="zh-CN"/>
        </w:rPr>
        <w:t xml:space="preserve"> planning year. Note that </w:t>
      </w:r>
      <w:r w:rsidR="00FC4CD1">
        <w:rPr>
          <w:lang w:eastAsia="zh-CN"/>
        </w:rPr>
        <w:t xml:space="preserve">the </w:t>
      </w:r>
      <w:r>
        <w:rPr>
          <w:lang w:eastAsia="zh-CN"/>
        </w:rPr>
        <w:t>optimized mass flow rates/heat power are obtained directly from the optimization of reformulated planning model. While the calculated mass flow rates/heat power are computed from the values of state variables. (</w:t>
      </w:r>
      <w:proofErr w:type="gramStart"/>
      <w:r w:rsidRPr="006712A9">
        <w:rPr>
          <w:i/>
          <w:lang w:eastAsia="zh-CN"/>
        </w:rPr>
        <w:t>i</w:t>
      </w:r>
      <w:r>
        <w:rPr>
          <w:i/>
          <w:lang w:eastAsia="zh-CN"/>
        </w:rPr>
        <w:t>.</w:t>
      </w:r>
      <w:r w:rsidRPr="006712A9">
        <w:rPr>
          <w:i/>
          <w:lang w:eastAsia="zh-CN"/>
        </w:rPr>
        <w:t>e</w:t>
      </w:r>
      <w:proofErr w:type="gramEnd"/>
      <w:r w:rsidRPr="006712A9">
        <w:rPr>
          <w:i/>
          <w:lang w:eastAsia="zh-CN"/>
        </w:rPr>
        <w:t>.</w:t>
      </w:r>
      <w:r>
        <w:rPr>
          <w:i/>
          <w:lang w:eastAsia="zh-CN"/>
        </w:rPr>
        <w:t xml:space="preserve"> </w:t>
      </w:r>
      <w:r w:rsidR="00FC4CD1" w:rsidRPr="00FC4CD1">
        <w:rPr>
          <w:lang w:eastAsia="zh-CN"/>
        </w:rPr>
        <w:t>the</w:t>
      </w:r>
      <w:r w:rsidR="00FC4CD1">
        <w:rPr>
          <w:i/>
          <w:lang w:eastAsia="zh-CN"/>
        </w:rPr>
        <w:t xml:space="preserve"> </w:t>
      </w:r>
      <w:r>
        <w:rPr>
          <w:lang w:eastAsia="zh-CN"/>
        </w:rPr>
        <w:t xml:space="preserve">calculated mass flow is </w:t>
      </w:r>
      <w:r w:rsidR="00FC4CD1">
        <w:rPr>
          <w:lang w:eastAsia="zh-CN"/>
        </w:rPr>
        <w:t>computed</w:t>
      </w:r>
      <w:r>
        <w:rPr>
          <w:lang w:eastAsia="zh-CN"/>
        </w:rPr>
        <w:t xml:space="preserve"> according to the values of</w:t>
      </w:r>
      <w:r w:rsidR="00FC4CD1">
        <w:rPr>
          <w:lang w:eastAsia="zh-CN"/>
        </w:rPr>
        <w:t xml:space="preserve"> nodal pressure as equation</w:t>
      </w:r>
      <w:r>
        <w:rPr>
          <w:lang w:eastAsia="zh-CN"/>
        </w:rPr>
        <w:t xml:space="preserve">). </w:t>
      </w:r>
      <w:r w:rsidR="00494A0B">
        <w:rPr>
          <w:lang w:eastAsia="zh-CN"/>
        </w:rPr>
        <w:t xml:space="preserve">As </w:t>
      </w:r>
      <w:r w:rsidR="00494A0B">
        <w:rPr>
          <w:lang w:eastAsia="zh-CN"/>
        </w:rPr>
        <w:fldChar w:fldCharType="begin"/>
      </w:r>
      <w:r w:rsidR="00494A0B">
        <w:rPr>
          <w:lang w:eastAsia="zh-CN"/>
        </w:rPr>
        <w:instrText xml:space="preserve"> REF _Ref47778742 \h </w:instrText>
      </w:r>
      <w:r w:rsidR="00494A0B">
        <w:rPr>
          <w:lang w:eastAsia="zh-CN"/>
        </w:rPr>
      </w:r>
      <w:r w:rsidR="00494A0B">
        <w:rPr>
          <w:lang w:eastAsia="zh-CN"/>
        </w:rPr>
        <w:fldChar w:fldCharType="separate"/>
      </w:r>
      <w:r w:rsidR="009F638D">
        <w:t xml:space="preserve">Fig. </w:t>
      </w:r>
      <w:r w:rsidR="009F638D">
        <w:rPr>
          <w:noProof/>
        </w:rPr>
        <w:t>4</w:t>
      </w:r>
      <w:r w:rsidR="00494A0B">
        <w:rPr>
          <w:lang w:eastAsia="zh-CN"/>
        </w:rPr>
        <w:fldChar w:fldCharType="end"/>
      </w:r>
      <w:r w:rsidR="00494A0B">
        <w:rPr>
          <w:lang w:eastAsia="zh-CN"/>
        </w:rPr>
        <w:t>-</w:t>
      </w:r>
      <w:r w:rsidR="00494A0B">
        <w:rPr>
          <w:lang w:eastAsia="zh-CN"/>
        </w:rPr>
        <w:fldChar w:fldCharType="begin"/>
      </w:r>
      <w:r w:rsidR="00494A0B">
        <w:rPr>
          <w:lang w:eastAsia="zh-CN"/>
        </w:rPr>
        <w:instrText xml:space="preserve"> REF _Ref47778744 \h </w:instrText>
      </w:r>
      <w:r w:rsidR="00494A0B">
        <w:rPr>
          <w:lang w:eastAsia="zh-CN"/>
        </w:rPr>
      </w:r>
      <w:r w:rsidR="00494A0B">
        <w:rPr>
          <w:lang w:eastAsia="zh-CN"/>
        </w:rPr>
        <w:fldChar w:fldCharType="separate"/>
      </w:r>
      <w:r w:rsidR="009F638D">
        <w:t xml:space="preserve">Fig. </w:t>
      </w:r>
      <w:r w:rsidR="009F638D">
        <w:rPr>
          <w:noProof/>
        </w:rPr>
        <w:t>7</w:t>
      </w:r>
      <w:r w:rsidR="00494A0B">
        <w:rPr>
          <w:lang w:eastAsia="zh-CN"/>
        </w:rPr>
        <w:fldChar w:fldCharType="end"/>
      </w:r>
      <w:r w:rsidR="00FC4CD1">
        <w:rPr>
          <w:lang w:eastAsia="zh-CN"/>
        </w:rPr>
        <w:t xml:space="preserve"> </w:t>
      </w:r>
      <w:r w:rsidR="00494A0B">
        <w:rPr>
          <w:lang w:eastAsia="zh-CN"/>
        </w:rPr>
        <w:t xml:space="preserve">shown, </w:t>
      </w:r>
      <w:r w:rsidR="0051152E">
        <w:rPr>
          <w:lang w:eastAsia="zh-CN"/>
        </w:rPr>
        <w:t>there is obvious error between the optimized values and the calculated values in case 1</w:t>
      </w:r>
      <w:r w:rsidR="00FC4CD1">
        <w:rPr>
          <w:lang w:eastAsia="zh-CN"/>
        </w:rPr>
        <w:t xml:space="preserve"> </w:t>
      </w:r>
      <w:r w:rsidR="0051152E">
        <w:rPr>
          <w:lang w:eastAsia="zh-CN"/>
        </w:rPr>
        <w:t>(direct). While the application of SBT procedure can effectively reduce the relaxation gap between the optimized values and the calculated values in case 1</w:t>
      </w:r>
      <w:r w:rsidR="00FC4CD1">
        <w:rPr>
          <w:lang w:eastAsia="zh-CN"/>
        </w:rPr>
        <w:t xml:space="preserve"> </w:t>
      </w:r>
      <w:r w:rsidR="0051152E">
        <w:rPr>
          <w:lang w:eastAsia="zh-CN"/>
        </w:rPr>
        <w:t xml:space="preserve">(SBT). </w:t>
      </w:r>
      <w:r w:rsidR="00FC4CD1">
        <w:rPr>
          <w:lang w:eastAsia="zh-CN"/>
        </w:rPr>
        <w:t>However,</w:t>
      </w:r>
      <w:r w:rsidR="0051152E">
        <w:rPr>
          <w:lang w:eastAsia="zh-CN"/>
        </w:rPr>
        <w:t xml:space="preserve"> </w:t>
      </w:r>
      <w:r w:rsidR="00494A0B">
        <w:rPr>
          <w:lang w:eastAsia="zh-CN"/>
        </w:rPr>
        <w:t>the values of optimized heat power/mass flow of case 1</w:t>
      </w:r>
      <w:r w:rsidR="00FC4CD1">
        <w:rPr>
          <w:lang w:eastAsia="zh-CN"/>
        </w:rPr>
        <w:t xml:space="preserve"> </w:t>
      </w:r>
      <w:r w:rsidR="00494A0B">
        <w:rPr>
          <w:lang w:eastAsia="zh-CN"/>
        </w:rPr>
        <w:t>(direct) and case 1</w:t>
      </w:r>
      <w:r w:rsidR="00FC4CD1">
        <w:rPr>
          <w:lang w:eastAsia="zh-CN"/>
        </w:rPr>
        <w:t xml:space="preserve"> </w:t>
      </w:r>
      <w:r w:rsidR="00494A0B">
        <w:rPr>
          <w:lang w:eastAsia="zh-CN"/>
        </w:rPr>
        <w:t xml:space="preserve">(SBT) are quiet close. </w:t>
      </w:r>
      <w:r w:rsidR="0051152E">
        <w:rPr>
          <w:lang w:eastAsia="zh-CN"/>
        </w:rPr>
        <w:t>Since the investment decisions of candidate assets</w:t>
      </w:r>
      <w:r w:rsidR="00494A0B">
        <w:rPr>
          <w:lang w:eastAsia="zh-CN"/>
        </w:rPr>
        <w:t xml:space="preserve"> </w:t>
      </w:r>
      <w:r w:rsidR="00FC4CD1">
        <w:rPr>
          <w:lang w:eastAsia="zh-CN"/>
        </w:rPr>
        <w:t xml:space="preserve">in DHS </w:t>
      </w:r>
      <w:r w:rsidR="00494A0B">
        <w:rPr>
          <w:lang w:eastAsia="zh-CN"/>
        </w:rPr>
        <w:t xml:space="preserve">are </w:t>
      </w:r>
      <w:r w:rsidR="0051152E">
        <w:rPr>
          <w:lang w:eastAsia="zh-CN"/>
        </w:rPr>
        <w:t xml:space="preserve">mainly </w:t>
      </w:r>
      <w:r w:rsidR="00494A0B">
        <w:rPr>
          <w:lang w:eastAsia="zh-CN"/>
        </w:rPr>
        <w:t xml:space="preserve">determined by </w:t>
      </w:r>
      <w:r w:rsidR="0051152E">
        <w:rPr>
          <w:lang w:eastAsia="zh-CN"/>
        </w:rPr>
        <w:t xml:space="preserve">the values of mass flow and heat power, the </w:t>
      </w:r>
      <w:r w:rsidR="00C023DD">
        <w:rPr>
          <w:lang w:eastAsia="zh-CN"/>
        </w:rPr>
        <w:t>investment decisions</w:t>
      </w:r>
      <w:r w:rsidR="00FC4CD1">
        <w:rPr>
          <w:lang w:eastAsia="zh-CN"/>
        </w:rPr>
        <w:t xml:space="preserve"> of case 1 </w:t>
      </w:r>
      <w:r w:rsidR="0051152E">
        <w:rPr>
          <w:lang w:eastAsia="zh-CN"/>
        </w:rPr>
        <w:t>(direct) and case 1</w:t>
      </w:r>
      <w:r w:rsidR="00FC4CD1">
        <w:rPr>
          <w:lang w:eastAsia="zh-CN"/>
        </w:rPr>
        <w:t xml:space="preserve"> </w:t>
      </w:r>
      <w:r w:rsidR="0051152E">
        <w:rPr>
          <w:lang w:eastAsia="zh-CN"/>
        </w:rPr>
        <w:t xml:space="preserve">(SBT) are the same. </w:t>
      </w:r>
      <w:r w:rsidR="00FC4CD1">
        <w:rPr>
          <w:lang w:eastAsia="zh-CN"/>
        </w:rPr>
        <w:t xml:space="preserve">But the values of </w:t>
      </w:r>
      <w:r w:rsidR="00C023DD">
        <w:rPr>
          <w:lang w:eastAsia="zh-CN"/>
        </w:rPr>
        <w:t>state variables</w:t>
      </w:r>
      <w:r w:rsidR="00FC4CD1">
        <w:rPr>
          <w:lang w:eastAsia="zh-CN"/>
        </w:rPr>
        <w:t xml:space="preserve"> in case 1 (direct) are not accurate</w:t>
      </w:r>
      <w:r w:rsidR="00C023DD">
        <w:rPr>
          <w:lang w:eastAsia="zh-CN"/>
        </w:rPr>
        <w:t xml:space="preserve">. Thus, the </w:t>
      </w:r>
      <w:r w:rsidR="00FC4CD1">
        <w:rPr>
          <w:lang w:eastAsia="zh-CN"/>
        </w:rPr>
        <w:t>combination</w:t>
      </w:r>
      <w:r w:rsidR="00C023DD">
        <w:rPr>
          <w:lang w:eastAsia="zh-CN"/>
        </w:rPr>
        <w:t xml:space="preserve"> of SBT procedure </w:t>
      </w:r>
      <w:r w:rsidR="00FC4CD1">
        <w:rPr>
          <w:lang w:eastAsia="zh-CN"/>
        </w:rPr>
        <w:t>and</w:t>
      </w:r>
      <w:r w:rsidR="00C023DD">
        <w:rPr>
          <w:lang w:eastAsia="zh-CN"/>
        </w:rPr>
        <w:t xml:space="preserve"> </w:t>
      </w:r>
      <w:r w:rsidR="00FC4CD1">
        <w:rPr>
          <w:lang w:eastAsia="zh-CN"/>
        </w:rPr>
        <w:t>the proposed reformulation method</w:t>
      </w:r>
      <w:r w:rsidR="00C023DD">
        <w:rPr>
          <w:lang w:eastAsia="zh-CN"/>
        </w:rPr>
        <w:t xml:space="preserve"> is more favorable to obtain the precise state variables and operation cost</w:t>
      </w:r>
      <w:r w:rsidR="00372361">
        <w:rPr>
          <w:lang w:eastAsia="zh-CN"/>
        </w:rPr>
        <w:t>s</w:t>
      </w:r>
      <w:r w:rsidR="00C023DD">
        <w:rPr>
          <w:lang w:eastAsia="zh-CN"/>
        </w:rPr>
        <w:t>.</w:t>
      </w:r>
      <w:r w:rsidR="0051152E">
        <w:rPr>
          <w:lang w:eastAsia="zh-CN"/>
        </w:rPr>
        <w:t xml:space="preserve"> </w:t>
      </w:r>
    </w:p>
    <w:p w:rsidR="005528B3" w:rsidRDefault="001333EF" w:rsidP="001333EF">
      <w:pPr>
        <w:ind w:firstLine="202"/>
        <w:rPr>
          <w:lang w:eastAsia="zh-CN"/>
        </w:rPr>
      </w:pPr>
      <w:r>
        <w:rPr>
          <w:rFonts w:hint="eastAsia"/>
          <w:lang w:eastAsia="zh-CN"/>
        </w:rPr>
        <w:t>T</w:t>
      </w:r>
      <w:r>
        <w:rPr>
          <w:lang w:eastAsia="zh-CN"/>
        </w:rPr>
        <w:t xml:space="preserve">o further investigate the effectiveness of proposed reformulation method for DHS, the numerical comparisons of proposed method and other solution methods are carried out. </w:t>
      </w:r>
      <w:r w:rsidR="005528B3">
        <w:rPr>
          <w:lang w:eastAsia="zh-CN"/>
        </w:rPr>
        <w:t xml:space="preserve">As reviewed in introduction, the existing solution methods </w:t>
      </w:r>
      <w:r w:rsidR="008045CB">
        <w:rPr>
          <w:lang w:eastAsia="zh-CN"/>
        </w:rPr>
        <w:t>in</w:t>
      </w:r>
      <w:r w:rsidR="00F1318D">
        <w:rPr>
          <w:lang w:eastAsia="zh-CN"/>
        </w:rPr>
        <w:t xml:space="preserve"> [4]</w:t>
      </w:r>
      <w:r>
        <w:rPr>
          <w:lang w:eastAsia="zh-CN"/>
        </w:rPr>
        <w:t xml:space="preserve">, </w:t>
      </w:r>
      <w:r w:rsidR="00F1318D">
        <w:rPr>
          <w:lang w:eastAsia="zh-CN"/>
        </w:rPr>
        <w:t>[14]-[19]</w:t>
      </w:r>
      <w:r w:rsidR="008045CB">
        <w:rPr>
          <w:lang w:eastAsia="zh-CN"/>
        </w:rPr>
        <w:t xml:space="preserve"> </w:t>
      </w:r>
      <w:r w:rsidR="005528B3">
        <w:rPr>
          <w:lang w:eastAsia="zh-CN"/>
        </w:rPr>
        <w:t xml:space="preserve">are all not suitable for the planning model of IEHS because they all require the fixed DHS topology. Thus, </w:t>
      </w:r>
      <w:r>
        <w:rPr>
          <w:lang w:eastAsia="zh-CN"/>
        </w:rPr>
        <w:t>the numerical results of the optimal heat flow (OTF) problem obtained by different methods are compared for illustration.</w:t>
      </w:r>
      <w:r>
        <w:rPr>
          <w:rFonts w:hint="eastAsia"/>
          <w:lang w:eastAsia="zh-CN"/>
        </w:rPr>
        <w:t xml:space="preserve"> </w:t>
      </w:r>
      <w:r w:rsidR="005528B3">
        <w:rPr>
          <w:lang w:eastAsia="zh-CN"/>
        </w:rPr>
        <w:t>The following aspects are worthy of attention:</w:t>
      </w:r>
    </w:p>
    <w:p w:rsidR="005528B3" w:rsidRDefault="005528B3" w:rsidP="005528B3">
      <w:pPr>
        <w:pStyle w:val="Text"/>
        <w:numPr>
          <w:ilvl w:val="0"/>
          <w:numId w:val="4"/>
        </w:numPr>
        <w:spacing w:line="252" w:lineRule="auto"/>
        <w:ind w:left="204" w:hanging="204"/>
        <w:rPr>
          <w:lang w:eastAsia="zh-CN"/>
        </w:rPr>
      </w:pPr>
      <w:r>
        <w:rPr>
          <w:lang w:eastAsia="zh-CN"/>
        </w:rPr>
        <w:t>OTF is tested based on the determined topology of DHS-2 w</w:t>
      </w:r>
      <w:r w:rsidR="00372361">
        <w:rPr>
          <w:lang w:eastAsia="zh-CN"/>
        </w:rPr>
        <w:t>ith the heat load at 1</w:t>
      </w:r>
      <w:r w:rsidR="00372361">
        <w:rPr>
          <w:vertAlign w:val="superscript"/>
          <w:lang w:eastAsia="zh-CN"/>
        </w:rPr>
        <w:t xml:space="preserve">st </w:t>
      </w:r>
      <w:r w:rsidR="00372361">
        <w:rPr>
          <w:lang w:eastAsia="zh-CN"/>
        </w:rPr>
        <w:t>load block</w:t>
      </w:r>
      <w:r>
        <w:rPr>
          <w:lang w:eastAsia="zh-CN"/>
        </w:rPr>
        <w:t xml:space="preserve"> in the first year.</w:t>
      </w:r>
    </w:p>
    <w:p w:rsidR="005528B3" w:rsidRDefault="005528B3" w:rsidP="005528B3">
      <w:pPr>
        <w:pStyle w:val="Text"/>
        <w:numPr>
          <w:ilvl w:val="0"/>
          <w:numId w:val="4"/>
        </w:numPr>
        <w:spacing w:line="252" w:lineRule="auto"/>
        <w:ind w:left="204" w:hanging="204"/>
        <w:rPr>
          <w:lang w:eastAsia="zh-CN"/>
        </w:rPr>
      </w:pPr>
      <w:r>
        <w:rPr>
          <w:lang w:eastAsia="zh-CN"/>
        </w:rPr>
        <w:t>The results obtained by solution methods in</w:t>
      </w:r>
      <w:r w:rsidR="00F1318D">
        <w:rPr>
          <w:lang w:eastAsia="zh-CN"/>
        </w:rPr>
        <w:t xml:space="preserve"> [4]</w:t>
      </w:r>
      <w:r w:rsidR="001333EF">
        <w:rPr>
          <w:lang w:eastAsia="zh-CN"/>
        </w:rPr>
        <w:t xml:space="preserve">, </w:t>
      </w:r>
      <w:r w:rsidR="00F1318D">
        <w:rPr>
          <w:lang w:eastAsia="zh-CN"/>
        </w:rPr>
        <w:t>[16]</w:t>
      </w:r>
      <w:r w:rsidR="001333EF">
        <w:rPr>
          <w:lang w:eastAsia="zh-CN"/>
        </w:rPr>
        <w:t xml:space="preserve">, </w:t>
      </w:r>
      <w:r w:rsidR="00F1318D">
        <w:rPr>
          <w:lang w:eastAsia="zh-CN"/>
        </w:rPr>
        <w:t>[17]</w:t>
      </w:r>
      <w:r w:rsidR="001333EF">
        <w:rPr>
          <w:lang w:eastAsia="zh-CN"/>
        </w:rPr>
        <w:t>,</w:t>
      </w:r>
      <w:r w:rsidR="00F1318D">
        <w:rPr>
          <w:lang w:eastAsia="zh-CN"/>
        </w:rPr>
        <w:t xml:space="preserve"> [19]</w:t>
      </w:r>
      <w:r w:rsidR="001333EF">
        <w:rPr>
          <w:lang w:eastAsia="zh-CN"/>
        </w:rPr>
        <w:t xml:space="preserve"> </w:t>
      </w:r>
      <w:r>
        <w:rPr>
          <w:lang w:eastAsia="zh-CN"/>
        </w:rPr>
        <w:t xml:space="preserve">are used for comparison. </w:t>
      </w:r>
      <w:r w:rsidR="001333EF">
        <w:rPr>
          <w:lang w:eastAsia="zh-CN"/>
        </w:rPr>
        <w:t xml:space="preserve">Since the method in </w:t>
      </w:r>
      <w:r w:rsidR="00F1318D">
        <w:rPr>
          <w:lang w:eastAsia="zh-CN"/>
        </w:rPr>
        <w:t>[15]</w:t>
      </w:r>
      <w:r w:rsidR="001333EF">
        <w:rPr>
          <w:lang w:eastAsia="zh-CN"/>
        </w:rPr>
        <w:t xml:space="preserve"> assumed most fluid constant and method in </w:t>
      </w:r>
      <w:r w:rsidR="00F1318D">
        <w:rPr>
          <w:lang w:eastAsia="zh-CN"/>
        </w:rPr>
        <w:t>[18]</w:t>
      </w:r>
      <w:r w:rsidR="001333EF">
        <w:rPr>
          <w:lang w:eastAsia="zh-CN"/>
        </w:rPr>
        <w:t xml:space="preserve"> simplified </w:t>
      </w:r>
      <w:r w:rsidR="00372361">
        <w:rPr>
          <w:lang w:eastAsia="zh-CN"/>
        </w:rPr>
        <w:t xml:space="preserve">part of constraints associated with </w:t>
      </w:r>
      <w:r w:rsidR="001333EF">
        <w:rPr>
          <w:lang w:eastAsia="zh-CN"/>
        </w:rPr>
        <w:t xml:space="preserve">temperature variables, these two methods are not compared. </w:t>
      </w:r>
      <w:r>
        <w:rPr>
          <w:lang w:eastAsia="zh-CN"/>
        </w:rPr>
        <w:t xml:space="preserve">For ease of illustration, the methods </w:t>
      </w:r>
      <w:r w:rsidR="001333EF">
        <w:rPr>
          <w:lang w:eastAsia="zh-CN"/>
        </w:rPr>
        <w:t xml:space="preserve">in </w:t>
      </w:r>
      <w:r w:rsidR="00F1318D">
        <w:rPr>
          <w:lang w:eastAsia="zh-CN"/>
        </w:rPr>
        <w:t>[4], [16], [17] and [19]</w:t>
      </w:r>
      <w:r w:rsidR="001333EF">
        <w:rPr>
          <w:lang w:eastAsia="zh-CN"/>
        </w:rPr>
        <w:t xml:space="preserve"> </w:t>
      </w:r>
      <w:r>
        <w:rPr>
          <w:lang w:eastAsia="zh-CN"/>
        </w:rPr>
        <w:t xml:space="preserve">are respectively represented by “Iteration”, “Decom”, “SLP” and “SOC”. Detailed solution procedures </w:t>
      </w:r>
      <w:r w:rsidR="001333EF">
        <w:rPr>
          <w:lang w:eastAsia="zh-CN"/>
        </w:rPr>
        <w:t>can be found</w:t>
      </w:r>
      <w:r>
        <w:rPr>
          <w:lang w:eastAsia="zh-CN"/>
        </w:rPr>
        <w:t xml:space="preserve"> in </w:t>
      </w:r>
      <w:r w:rsidR="00F1318D">
        <w:rPr>
          <w:lang w:eastAsia="zh-CN"/>
        </w:rPr>
        <w:t>[4], [16], [17] and [19]</w:t>
      </w:r>
      <w:r>
        <w:rPr>
          <w:lang w:eastAsia="zh-CN"/>
        </w:rPr>
        <w:t xml:space="preserve">. “Proposed” represents the combination of proposed reformulation method and the SBT procedure. </w:t>
      </w:r>
    </w:p>
    <w:p w:rsidR="005528B3" w:rsidRDefault="009F638D" w:rsidP="005528B3">
      <w:pPr>
        <w:pStyle w:val="Text"/>
        <w:numPr>
          <w:ilvl w:val="0"/>
          <w:numId w:val="4"/>
        </w:numPr>
        <w:spacing w:line="252" w:lineRule="auto"/>
        <w:ind w:left="204" w:hanging="204"/>
        <w:rPr>
          <w:lang w:eastAsia="zh-CN"/>
        </w:rPr>
      </w:pPr>
      <w:r>
        <w:rPr>
          <w:lang w:eastAsia="zh-CN"/>
        </w:rPr>
        <w:t>The “I</w:t>
      </w:r>
      <w:r w:rsidR="005528B3">
        <w:rPr>
          <w:lang w:eastAsia="zh-CN"/>
        </w:rPr>
        <w:t>teration</w:t>
      </w:r>
      <w:r>
        <w:rPr>
          <w:lang w:eastAsia="zh-CN"/>
        </w:rPr>
        <w:t>”</w:t>
      </w:r>
      <w:r w:rsidR="005528B3">
        <w:rPr>
          <w:lang w:eastAsia="zh-CN"/>
        </w:rPr>
        <w:t xml:space="preserve"> method and the </w:t>
      </w:r>
      <w:r>
        <w:rPr>
          <w:lang w:eastAsia="zh-CN"/>
        </w:rPr>
        <w:t>“</w:t>
      </w:r>
      <w:r w:rsidR="005528B3">
        <w:rPr>
          <w:lang w:eastAsia="zh-CN"/>
        </w:rPr>
        <w:t>SLP</w:t>
      </w:r>
      <w:r>
        <w:rPr>
          <w:lang w:eastAsia="zh-CN"/>
        </w:rPr>
        <w:t>”</w:t>
      </w:r>
      <w:r w:rsidR="005528B3">
        <w:rPr>
          <w:lang w:eastAsia="zh-CN"/>
        </w:rPr>
        <w:t xml:space="preserve"> method need a</w:t>
      </w:r>
      <w:r w:rsidR="00372361">
        <w:rPr>
          <w:lang w:eastAsia="zh-CN"/>
        </w:rPr>
        <w:t>n</w:t>
      </w:r>
      <w:r w:rsidR="005528B3">
        <w:rPr>
          <w:lang w:eastAsia="zh-CN"/>
        </w:rPr>
        <w:t xml:space="preserve"> </w:t>
      </w:r>
      <w:r w:rsidR="00372361">
        <w:rPr>
          <w:lang w:eastAsia="zh-CN"/>
        </w:rPr>
        <w:t xml:space="preserve">initial </w:t>
      </w:r>
      <w:r w:rsidR="005528B3">
        <w:rPr>
          <w:lang w:eastAsia="zh-CN"/>
        </w:rPr>
        <w:t xml:space="preserve">set of feasible decision variables. Since </w:t>
      </w:r>
      <w:r>
        <w:rPr>
          <w:lang w:eastAsia="zh-CN"/>
        </w:rPr>
        <w:t>it is not easy to get initial sets</w:t>
      </w:r>
      <w:r w:rsidR="005528B3">
        <w:rPr>
          <w:lang w:eastAsia="zh-CN"/>
        </w:rPr>
        <w:t xml:space="preserve"> directly, the initial sets of </w:t>
      </w:r>
      <w:r>
        <w:rPr>
          <w:lang w:eastAsia="zh-CN"/>
        </w:rPr>
        <w:t>feasible decision</w:t>
      </w:r>
      <w:r w:rsidR="005528B3">
        <w:rPr>
          <w:lang w:eastAsia="zh-CN"/>
        </w:rPr>
        <w:t xml:space="preserve"> variables are modified from the values obtained by the proposed method.</w:t>
      </w:r>
    </w:p>
    <w:p w:rsidR="005528B3" w:rsidRDefault="005528B3" w:rsidP="005528B3">
      <w:pPr>
        <w:pStyle w:val="af9"/>
        <w:rPr>
          <w:lang w:eastAsia="zh-CN"/>
        </w:rPr>
      </w:pPr>
      <w:bookmarkStart w:id="5" w:name="_Ref47087704"/>
      <w:r>
        <w:t xml:space="preserve">TABLE </w:t>
      </w:r>
      <w:r w:rsidR="00494A0B">
        <w:rPr>
          <w:noProof/>
        </w:rPr>
        <w:fldChar w:fldCharType="begin"/>
      </w:r>
      <w:r w:rsidR="00494A0B">
        <w:rPr>
          <w:noProof/>
        </w:rPr>
        <w:instrText xml:space="preserve"> SEQ TABLE \* ROMAN </w:instrText>
      </w:r>
      <w:r w:rsidR="00494A0B">
        <w:rPr>
          <w:noProof/>
        </w:rPr>
        <w:fldChar w:fldCharType="separate"/>
      </w:r>
      <w:r w:rsidR="00962E40">
        <w:rPr>
          <w:noProof/>
        </w:rPr>
        <w:t>I</w:t>
      </w:r>
      <w:r w:rsidR="00494A0B">
        <w:rPr>
          <w:noProof/>
        </w:rPr>
        <w:fldChar w:fldCharType="end"/>
      </w:r>
      <w:bookmarkEnd w:id="5"/>
    </w:p>
    <w:p w:rsidR="005528B3" w:rsidRPr="008B0EEC" w:rsidRDefault="005528B3" w:rsidP="005528B3">
      <w:pPr>
        <w:pStyle w:val="af9"/>
        <w:rPr>
          <w:lang w:eastAsia="zh-CN"/>
        </w:rPr>
      </w:pPr>
      <w:r>
        <w:rPr>
          <w:rFonts w:hint="eastAsia"/>
          <w:lang w:eastAsia="zh-CN"/>
        </w:rPr>
        <w:t>C</w:t>
      </w:r>
      <w:r>
        <w:rPr>
          <w:lang w:eastAsia="zh-CN"/>
        </w:rPr>
        <w:t>omparison of Different Solution methods to OTF</w:t>
      </w:r>
    </w:p>
    <w:tbl>
      <w:tblPr>
        <w:tblStyle w:val="af5"/>
        <w:tblW w:w="0" w:type="auto"/>
        <w:tblBorders>
          <w:top w:val="double" w:sz="6" w:space="0" w:color="auto"/>
          <w:left w:val="none" w:sz="0" w:space="0" w:color="auto"/>
          <w:bottom w:val="double" w:sz="6" w:space="0" w:color="auto"/>
          <w:right w:val="none" w:sz="0" w:space="0" w:color="auto"/>
          <w:insideH w:val="none" w:sz="0" w:space="0" w:color="auto"/>
          <w:insideV w:val="none" w:sz="0" w:space="0" w:color="auto"/>
        </w:tblBorders>
        <w:tblLook w:val="04A0" w:firstRow="1" w:lastRow="0" w:firstColumn="1" w:lastColumn="0" w:noHBand="0" w:noVBand="1"/>
      </w:tblPr>
      <w:tblGrid>
        <w:gridCol w:w="838"/>
        <w:gridCol w:w="838"/>
        <w:gridCol w:w="838"/>
        <w:gridCol w:w="838"/>
        <w:gridCol w:w="839"/>
        <w:gridCol w:w="839"/>
      </w:tblGrid>
      <w:tr w:rsidR="005528B3" w:rsidTr="005528B3">
        <w:tc>
          <w:tcPr>
            <w:tcW w:w="838" w:type="dxa"/>
            <w:tcBorders>
              <w:bottom w:val="single" w:sz="6" w:space="0" w:color="auto"/>
            </w:tcBorders>
            <w:vAlign w:val="center"/>
          </w:tcPr>
          <w:p w:rsidR="005528B3" w:rsidRDefault="005528B3" w:rsidP="005528B3">
            <w:pPr>
              <w:pStyle w:val="afa"/>
            </w:pPr>
            <w:r>
              <w:t>Method</w:t>
            </w:r>
          </w:p>
        </w:tc>
        <w:tc>
          <w:tcPr>
            <w:tcW w:w="838" w:type="dxa"/>
            <w:tcBorders>
              <w:bottom w:val="single" w:sz="6" w:space="0" w:color="auto"/>
            </w:tcBorders>
          </w:tcPr>
          <w:p w:rsidR="005528B3" w:rsidRPr="00965A13" w:rsidRDefault="005528B3" w:rsidP="005528B3">
            <w:pPr>
              <w:pStyle w:val="afa"/>
            </w:pPr>
            <w:r w:rsidRPr="00965A13">
              <w:t>Iteration</w:t>
            </w:r>
          </w:p>
        </w:tc>
        <w:tc>
          <w:tcPr>
            <w:tcW w:w="838" w:type="dxa"/>
            <w:tcBorders>
              <w:bottom w:val="single" w:sz="6" w:space="0" w:color="auto"/>
            </w:tcBorders>
          </w:tcPr>
          <w:p w:rsidR="005528B3" w:rsidRPr="00965A13" w:rsidRDefault="005528B3" w:rsidP="005528B3">
            <w:pPr>
              <w:pStyle w:val="afa"/>
            </w:pPr>
            <w:r>
              <w:t>Decom</w:t>
            </w:r>
          </w:p>
        </w:tc>
        <w:tc>
          <w:tcPr>
            <w:tcW w:w="838" w:type="dxa"/>
            <w:tcBorders>
              <w:bottom w:val="single" w:sz="6" w:space="0" w:color="auto"/>
            </w:tcBorders>
          </w:tcPr>
          <w:p w:rsidR="005528B3" w:rsidRPr="00965A13" w:rsidRDefault="005528B3" w:rsidP="005528B3">
            <w:pPr>
              <w:pStyle w:val="afa"/>
            </w:pPr>
            <w:r w:rsidRPr="00965A13">
              <w:t>SLP</w:t>
            </w:r>
          </w:p>
        </w:tc>
        <w:tc>
          <w:tcPr>
            <w:tcW w:w="839" w:type="dxa"/>
            <w:tcBorders>
              <w:bottom w:val="single" w:sz="6" w:space="0" w:color="auto"/>
            </w:tcBorders>
          </w:tcPr>
          <w:p w:rsidR="005528B3" w:rsidRPr="00965A13" w:rsidRDefault="005528B3" w:rsidP="005528B3">
            <w:pPr>
              <w:pStyle w:val="afa"/>
            </w:pPr>
            <w:r>
              <w:rPr>
                <w:rFonts w:hint="eastAsia"/>
              </w:rPr>
              <w:t>S</w:t>
            </w:r>
            <w:r>
              <w:t>OC</w:t>
            </w:r>
          </w:p>
        </w:tc>
        <w:tc>
          <w:tcPr>
            <w:tcW w:w="839" w:type="dxa"/>
            <w:tcBorders>
              <w:bottom w:val="single" w:sz="6" w:space="0" w:color="auto"/>
            </w:tcBorders>
            <w:vAlign w:val="center"/>
          </w:tcPr>
          <w:p w:rsidR="005528B3" w:rsidRDefault="005528B3" w:rsidP="005528B3">
            <w:pPr>
              <w:pStyle w:val="afa"/>
            </w:pPr>
            <w:r w:rsidRPr="00965A13">
              <w:rPr>
                <w:rFonts w:hint="eastAsia"/>
              </w:rPr>
              <w:t>p</w:t>
            </w:r>
            <w:r w:rsidRPr="00965A13">
              <w:t>roposed</w:t>
            </w:r>
          </w:p>
        </w:tc>
      </w:tr>
      <w:tr w:rsidR="005528B3" w:rsidTr="005528B3">
        <w:tc>
          <w:tcPr>
            <w:tcW w:w="838" w:type="dxa"/>
            <w:tcBorders>
              <w:top w:val="single" w:sz="6" w:space="0" w:color="auto"/>
              <w:bottom w:val="nil"/>
            </w:tcBorders>
          </w:tcPr>
          <w:p w:rsidR="005528B3" w:rsidRPr="00965A13" w:rsidRDefault="005528B3" w:rsidP="005528B3">
            <w:pPr>
              <w:pStyle w:val="afa"/>
            </w:pPr>
            <w:r w:rsidRPr="00965A13">
              <w:t>Cost ($)</w:t>
            </w:r>
          </w:p>
        </w:tc>
        <w:tc>
          <w:tcPr>
            <w:tcW w:w="838" w:type="dxa"/>
            <w:tcBorders>
              <w:top w:val="single" w:sz="6" w:space="0" w:color="auto"/>
              <w:bottom w:val="nil"/>
            </w:tcBorders>
            <w:vAlign w:val="center"/>
          </w:tcPr>
          <w:p w:rsidR="005528B3" w:rsidRDefault="005528B3" w:rsidP="005528B3">
            <w:pPr>
              <w:pStyle w:val="afa"/>
            </w:pPr>
            <w:r>
              <w:rPr>
                <w:rFonts w:hint="eastAsia"/>
              </w:rPr>
              <w:t>5</w:t>
            </w:r>
            <w:r>
              <w:t>35.7282</w:t>
            </w:r>
          </w:p>
        </w:tc>
        <w:tc>
          <w:tcPr>
            <w:tcW w:w="838" w:type="dxa"/>
            <w:tcBorders>
              <w:top w:val="single" w:sz="6" w:space="0" w:color="auto"/>
              <w:bottom w:val="nil"/>
            </w:tcBorders>
            <w:vAlign w:val="center"/>
          </w:tcPr>
          <w:p w:rsidR="005528B3" w:rsidRDefault="005528B3" w:rsidP="005528B3">
            <w:pPr>
              <w:pStyle w:val="afa"/>
            </w:pPr>
            <w:r>
              <w:rPr>
                <w:rFonts w:hint="eastAsia"/>
              </w:rPr>
              <w:t>5</w:t>
            </w:r>
            <w:r>
              <w:t>49.4452</w:t>
            </w:r>
          </w:p>
        </w:tc>
        <w:tc>
          <w:tcPr>
            <w:tcW w:w="838" w:type="dxa"/>
            <w:tcBorders>
              <w:top w:val="single" w:sz="6" w:space="0" w:color="auto"/>
              <w:bottom w:val="nil"/>
            </w:tcBorders>
            <w:vAlign w:val="center"/>
          </w:tcPr>
          <w:p w:rsidR="005528B3" w:rsidRDefault="005528B3" w:rsidP="005528B3">
            <w:pPr>
              <w:pStyle w:val="afa"/>
            </w:pPr>
            <w:r>
              <w:rPr>
                <w:rFonts w:hint="eastAsia"/>
              </w:rPr>
              <w:t>5</w:t>
            </w:r>
            <w:r>
              <w:t>34.4832</w:t>
            </w:r>
          </w:p>
        </w:tc>
        <w:tc>
          <w:tcPr>
            <w:tcW w:w="839" w:type="dxa"/>
            <w:tcBorders>
              <w:top w:val="single" w:sz="6" w:space="0" w:color="auto"/>
              <w:bottom w:val="nil"/>
            </w:tcBorders>
            <w:vAlign w:val="center"/>
          </w:tcPr>
          <w:p w:rsidR="005528B3" w:rsidRDefault="005528B3" w:rsidP="005528B3">
            <w:pPr>
              <w:pStyle w:val="afa"/>
            </w:pPr>
            <w:r>
              <w:rPr>
                <w:rFonts w:hint="eastAsia"/>
              </w:rPr>
              <w:t>5</w:t>
            </w:r>
            <w:r>
              <w:t>47.09</w:t>
            </w:r>
          </w:p>
        </w:tc>
        <w:tc>
          <w:tcPr>
            <w:tcW w:w="839" w:type="dxa"/>
            <w:tcBorders>
              <w:top w:val="single" w:sz="6" w:space="0" w:color="auto"/>
              <w:bottom w:val="nil"/>
            </w:tcBorders>
            <w:vAlign w:val="center"/>
          </w:tcPr>
          <w:p w:rsidR="005528B3" w:rsidRDefault="005528B3" w:rsidP="005528B3">
            <w:pPr>
              <w:pStyle w:val="afa"/>
            </w:pPr>
            <w:r>
              <w:rPr>
                <w:rFonts w:hint="eastAsia"/>
              </w:rPr>
              <w:t>5</w:t>
            </w:r>
            <w:r>
              <w:t>34.4193</w:t>
            </w:r>
          </w:p>
        </w:tc>
      </w:tr>
      <w:tr w:rsidR="005528B3" w:rsidTr="005528B3">
        <w:tc>
          <w:tcPr>
            <w:tcW w:w="838" w:type="dxa"/>
            <w:tcBorders>
              <w:top w:val="nil"/>
            </w:tcBorders>
          </w:tcPr>
          <w:p w:rsidR="005528B3" w:rsidRPr="00965A13" w:rsidRDefault="005528B3" w:rsidP="005528B3">
            <w:pPr>
              <w:pStyle w:val="afa"/>
            </w:pPr>
            <w:r w:rsidRPr="00965A13">
              <w:rPr>
                <w:rFonts w:hint="eastAsia"/>
              </w:rPr>
              <w:t>T</w:t>
            </w:r>
            <w:r w:rsidRPr="00965A13">
              <w:t>ime(s)</w:t>
            </w:r>
          </w:p>
        </w:tc>
        <w:tc>
          <w:tcPr>
            <w:tcW w:w="838" w:type="dxa"/>
            <w:tcBorders>
              <w:top w:val="nil"/>
            </w:tcBorders>
            <w:vAlign w:val="center"/>
          </w:tcPr>
          <w:p w:rsidR="005528B3" w:rsidRDefault="005528B3" w:rsidP="005528B3">
            <w:pPr>
              <w:pStyle w:val="afa"/>
            </w:pPr>
            <w:r>
              <w:rPr>
                <w:rFonts w:hint="eastAsia"/>
              </w:rPr>
              <w:t>2</w:t>
            </w:r>
            <w:r>
              <w:t>.41</w:t>
            </w:r>
          </w:p>
        </w:tc>
        <w:tc>
          <w:tcPr>
            <w:tcW w:w="838" w:type="dxa"/>
            <w:tcBorders>
              <w:top w:val="nil"/>
            </w:tcBorders>
            <w:vAlign w:val="center"/>
          </w:tcPr>
          <w:p w:rsidR="005528B3" w:rsidRDefault="005528B3" w:rsidP="005528B3">
            <w:pPr>
              <w:pStyle w:val="afa"/>
            </w:pPr>
            <w:r>
              <w:rPr>
                <w:rFonts w:hint="eastAsia"/>
              </w:rPr>
              <w:t>1</w:t>
            </w:r>
            <w:r>
              <w:t>.73</w:t>
            </w:r>
          </w:p>
        </w:tc>
        <w:tc>
          <w:tcPr>
            <w:tcW w:w="838" w:type="dxa"/>
            <w:tcBorders>
              <w:top w:val="nil"/>
            </w:tcBorders>
            <w:vAlign w:val="center"/>
          </w:tcPr>
          <w:p w:rsidR="005528B3" w:rsidRDefault="005528B3" w:rsidP="005528B3">
            <w:pPr>
              <w:pStyle w:val="afa"/>
            </w:pPr>
            <w:r>
              <w:rPr>
                <w:rFonts w:hint="eastAsia"/>
              </w:rPr>
              <w:t>2</w:t>
            </w:r>
            <w:r>
              <w:t>.65</w:t>
            </w:r>
          </w:p>
        </w:tc>
        <w:tc>
          <w:tcPr>
            <w:tcW w:w="839" w:type="dxa"/>
            <w:tcBorders>
              <w:top w:val="nil"/>
            </w:tcBorders>
            <w:vAlign w:val="center"/>
          </w:tcPr>
          <w:p w:rsidR="005528B3" w:rsidRDefault="005528B3" w:rsidP="005528B3">
            <w:pPr>
              <w:pStyle w:val="afa"/>
            </w:pPr>
            <w:r>
              <w:t>6.30</w:t>
            </w:r>
          </w:p>
        </w:tc>
        <w:tc>
          <w:tcPr>
            <w:tcW w:w="839" w:type="dxa"/>
            <w:tcBorders>
              <w:top w:val="nil"/>
            </w:tcBorders>
            <w:vAlign w:val="center"/>
          </w:tcPr>
          <w:p w:rsidR="005528B3" w:rsidRDefault="005528B3" w:rsidP="005528B3">
            <w:pPr>
              <w:pStyle w:val="afa"/>
            </w:pPr>
            <w:r>
              <w:t>2.33</w:t>
            </w:r>
          </w:p>
        </w:tc>
      </w:tr>
    </w:tbl>
    <w:p w:rsidR="008626FD" w:rsidRDefault="005528B3" w:rsidP="008626FD">
      <w:pPr>
        <w:rPr>
          <w:color w:val="000000" w:themeColor="text1"/>
          <w:lang w:eastAsia="zh-CN"/>
        </w:rPr>
      </w:pPr>
      <w:r>
        <w:rPr>
          <w:lang w:eastAsia="zh-CN"/>
        </w:rPr>
        <w:fldChar w:fldCharType="begin"/>
      </w:r>
      <w:r>
        <w:rPr>
          <w:lang w:eastAsia="zh-CN"/>
        </w:rPr>
        <w:instrText xml:space="preserve"> REF _Ref47087704 \h </w:instrText>
      </w:r>
      <w:r w:rsidR="008045CB">
        <w:rPr>
          <w:lang w:eastAsia="zh-CN"/>
        </w:rPr>
        <w:instrText xml:space="preserve"> \* MERGEFORMAT </w:instrText>
      </w:r>
      <w:r>
        <w:rPr>
          <w:lang w:eastAsia="zh-CN"/>
        </w:rPr>
      </w:r>
      <w:r>
        <w:rPr>
          <w:lang w:eastAsia="zh-CN"/>
        </w:rPr>
        <w:fldChar w:fldCharType="separate"/>
      </w:r>
      <w:r w:rsidR="009F638D">
        <w:t xml:space="preserve">TABLE </w:t>
      </w:r>
      <w:r w:rsidR="009F638D">
        <w:rPr>
          <w:noProof/>
        </w:rPr>
        <w:t>I</w:t>
      </w:r>
      <w:r>
        <w:rPr>
          <w:lang w:eastAsia="zh-CN"/>
        </w:rPr>
        <w:fldChar w:fldCharType="end"/>
      </w:r>
      <w:r>
        <w:rPr>
          <w:lang w:eastAsia="zh-CN"/>
        </w:rPr>
        <w:t xml:space="preserve"> presents the computation time and the costs of OTF solved by different methods. Moreover, the supply/return temperatures of mixtures at each node and heat power/fluid within pipelines are displayed in </w:t>
      </w:r>
      <w:r>
        <w:rPr>
          <w:lang w:eastAsia="zh-CN"/>
        </w:rPr>
        <w:fldChar w:fldCharType="begin"/>
      </w:r>
      <w:r>
        <w:rPr>
          <w:lang w:eastAsia="zh-CN"/>
        </w:rPr>
        <w:instrText xml:space="preserve"> REF _Ref47097770 \h </w:instrText>
      </w:r>
      <w:r w:rsidR="008045CB">
        <w:rPr>
          <w:lang w:eastAsia="zh-CN"/>
        </w:rPr>
        <w:instrText xml:space="preserve"> \* MERGEFORMAT </w:instrText>
      </w:r>
      <w:r>
        <w:rPr>
          <w:lang w:eastAsia="zh-CN"/>
        </w:rPr>
      </w:r>
      <w:r>
        <w:rPr>
          <w:lang w:eastAsia="zh-CN"/>
        </w:rPr>
        <w:fldChar w:fldCharType="separate"/>
      </w:r>
      <w:r w:rsidR="009F638D">
        <w:t xml:space="preserve">Fig. </w:t>
      </w:r>
      <w:r w:rsidR="009F638D">
        <w:rPr>
          <w:noProof/>
        </w:rPr>
        <w:t>8</w:t>
      </w:r>
      <w:r>
        <w:rPr>
          <w:lang w:eastAsia="zh-CN"/>
        </w:rPr>
        <w:fldChar w:fldCharType="end"/>
      </w:r>
      <w:r w:rsidR="009F638D">
        <w:rPr>
          <w:lang w:eastAsia="zh-CN"/>
        </w:rPr>
        <w:t>-</w:t>
      </w:r>
      <w:r w:rsidR="00372361">
        <w:rPr>
          <w:lang w:eastAsia="zh-CN"/>
        </w:rPr>
        <w:fldChar w:fldCharType="begin"/>
      </w:r>
      <w:r w:rsidR="00372361">
        <w:rPr>
          <w:lang w:eastAsia="zh-CN"/>
        </w:rPr>
        <w:instrText xml:space="preserve"> REF _Ref47097779 \h </w:instrText>
      </w:r>
      <w:r w:rsidR="00372361">
        <w:rPr>
          <w:lang w:eastAsia="zh-CN"/>
        </w:rPr>
      </w:r>
      <w:r w:rsidR="00372361">
        <w:rPr>
          <w:lang w:eastAsia="zh-CN"/>
        </w:rPr>
        <w:fldChar w:fldCharType="separate"/>
      </w:r>
      <w:r w:rsidR="00372361">
        <w:t xml:space="preserve">Fig. </w:t>
      </w:r>
      <w:r w:rsidR="00372361">
        <w:rPr>
          <w:noProof/>
        </w:rPr>
        <w:t>11</w:t>
      </w:r>
      <w:r w:rsidR="00372361">
        <w:rPr>
          <w:lang w:eastAsia="zh-CN"/>
        </w:rPr>
        <w:fldChar w:fldCharType="end"/>
      </w:r>
      <w:r>
        <w:rPr>
          <w:lang w:eastAsia="zh-CN"/>
        </w:rPr>
        <w:t xml:space="preserve">, respectively. </w:t>
      </w:r>
      <w:r w:rsidR="00372361">
        <w:rPr>
          <w:lang w:eastAsia="zh-CN"/>
        </w:rPr>
        <w:t>No matter the values of temperature and mass flow variables or the costs of OEF, t</w:t>
      </w:r>
      <w:r>
        <w:rPr>
          <w:lang w:eastAsia="zh-CN"/>
        </w:rPr>
        <w:t>he resul</w:t>
      </w:r>
      <w:r w:rsidR="003E5523">
        <w:rPr>
          <w:lang w:eastAsia="zh-CN"/>
        </w:rPr>
        <w:t>ts of the “I</w:t>
      </w:r>
      <w:r>
        <w:rPr>
          <w:lang w:eastAsia="zh-CN"/>
        </w:rPr>
        <w:t>teration</w:t>
      </w:r>
      <w:r w:rsidR="003E5523">
        <w:rPr>
          <w:lang w:eastAsia="zh-CN"/>
        </w:rPr>
        <w:t>” method,</w:t>
      </w:r>
      <w:r>
        <w:rPr>
          <w:lang w:eastAsia="zh-CN"/>
        </w:rPr>
        <w:t xml:space="preserve"> the </w:t>
      </w:r>
      <w:r w:rsidR="003E5523">
        <w:rPr>
          <w:lang w:eastAsia="zh-CN"/>
        </w:rPr>
        <w:t>“</w:t>
      </w:r>
      <w:r>
        <w:rPr>
          <w:lang w:eastAsia="zh-CN"/>
        </w:rPr>
        <w:t>SLP</w:t>
      </w:r>
      <w:r w:rsidR="003E5523">
        <w:rPr>
          <w:lang w:eastAsia="zh-CN"/>
        </w:rPr>
        <w:t>”</w:t>
      </w:r>
      <w:r>
        <w:rPr>
          <w:lang w:eastAsia="zh-CN"/>
        </w:rPr>
        <w:t xml:space="preserve"> method </w:t>
      </w:r>
      <w:r w:rsidR="003E5523">
        <w:rPr>
          <w:lang w:eastAsia="zh-CN"/>
        </w:rPr>
        <w:t xml:space="preserve">and the proposed method </w:t>
      </w:r>
      <w:r w:rsidR="00372361">
        <w:rPr>
          <w:lang w:eastAsia="zh-CN"/>
        </w:rPr>
        <w:t>are very analogous</w:t>
      </w:r>
      <w:r>
        <w:rPr>
          <w:lang w:eastAsia="zh-CN"/>
        </w:rPr>
        <w:t xml:space="preserve">. </w:t>
      </w:r>
      <w:r w:rsidR="008626FD">
        <w:rPr>
          <w:color w:val="000000" w:themeColor="text1"/>
          <w:lang w:eastAsia="zh-CN"/>
        </w:rPr>
        <w:t xml:space="preserve">The </w:t>
      </w:r>
      <w:r w:rsidR="008626FD">
        <w:rPr>
          <w:color w:val="000000" w:themeColor="text1"/>
          <w:lang w:eastAsia="zh-CN"/>
        </w:rPr>
        <w:t xml:space="preserve">comparisons of objective </w:t>
      </w:r>
      <w:r w:rsidR="00372361">
        <w:rPr>
          <w:color w:val="000000" w:themeColor="text1"/>
          <w:lang w:eastAsia="zh-CN"/>
        </w:rPr>
        <w:t>functions</w:t>
      </w:r>
      <w:r w:rsidR="008626FD">
        <w:rPr>
          <w:color w:val="000000" w:themeColor="text1"/>
          <w:lang w:eastAsia="zh-CN"/>
        </w:rPr>
        <w:t xml:space="preserve"> and the values of </w:t>
      </w:r>
      <w:r w:rsidR="00372361">
        <w:rPr>
          <w:color w:val="000000" w:themeColor="text1"/>
          <w:lang w:eastAsia="zh-CN"/>
        </w:rPr>
        <w:t xml:space="preserve">state </w:t>
      </w:r>
      <w:r w:rsidR="008626FD">
        <w:rPr>
          <w:color w:val="000000" w:themeColor="text1"/>
          <w:lang w:eastAsia="zh-CN"/>
        </w:rPr>
        <w:t>variables illustrate</w:t>
      </w:r>
      <w:r w:rsidR="008626FD" w:rsidRPr="00175B1C">
        <w:rPr>
          <w:color w:val="000000" w:themeColor="text1"/>
          <w:lang w:eastAsia="zh-CN"/>
        </w:rPr>
        <w:t xml:space="preserve"> that the proposed method can achieve good accuracy in solving the optimization problem of DHS.</w:t>
      </w:r>
      <w:r w:rsidR="008626FD">
        <w:rPr>
          <w:color w:val="000000" w:themeColor="text1"/>
          <w:lang w:eastAsia="zh-CN"/>
        </w:rPr>
        <w:t xml:space="preserve"> </w:t>
      </w:r>
      <w:r w:rsidR="00516528">
        <w:rPr>
          <w:lang w:eastAsia="zh-CN"/>
        </w:rPr>
        <w:t xml:space="preserve">Since the pressure loss constraints and the bounds of fluid were not considered in </w:t>
      </w:r>
      <w:r w:rsidR="00516528" w:rsidRPr="00175B1C">
        <w:rPr>
          <w:color w:val="000000" w:themeColor="text1"/>
          <w:lang w:eastAsia="zh-CN"/>
        </w:rPr>
        <w:t xml:space="preserve">the </w:t>
      </w:r>
      <w:r w:rsidR="00516528">
        <w:rPr>
          <w:color w:val="000000" w:themeColor="text1"/>
          <w:lang w:eastAsia="zh-CN"/>
        </w:rPr>
        <w:t>“Decom”</w:t>
      </w:r>
      <w:r w:rsidR="00516528" w:rsidRPr="00175B1C">
        <w:rPr>
          <w:color w:val="000000" w:themeColor="text1"/>
          <w:lang w:eastAsia="zh-CN"/>
        </w:rPr>
        <w:t xml:space="preserve"> method</w:t>
      </w:r>
      <w:r w:rsidR="00516528">
        <w:rPr>
          <w:color w:val="000000" w:themeColor="text1"/>
          <w:lang w:eastAsia="zh-CN"/>
        </w:rPr>
        <w:t xml:space="preserve">, the mass flow rates obtained by </w:t>
      </w:r>
      <w:r w:rsidR="00516528" w:rsidRPr="00175B1C">
        <w:rPr>
          <w:color w:val="000000" w:themeColor="text1"/>
          <w:lang w:eastAsia="zh-CN"/>
        </w:rPr>
        <w:t xml:space="preserve">the </w:t>
      </w:r>
      <w:r w:rsidR="00516528">
        <w:rPr>
          <w:color w:val="000000" w:themeColor="text1"/>
          <w:lang w:eastAsia="zh-CN"/>
        </w:rPr>
        <w:t>“Decom”</w:t>
      </w:r>
      <w:r w:rsidR="00516528" w:rsidRPr="00175B1C">
        <w:rPr>
          <w:color w:val="000000" w:themeColor="text1"/>
          <w:lang w:eastAsia="zh-CN"/>
        </w:rPr>
        <w:t xml:space="preserve"> method</w:t>
      </w:r>
      <w:r w:rsidR="00516528">
        <w:rPr>
          <w:color w:val="000000" w:themeColor="text1"/>
          <w:lang w:eastAsia="zh-CN"/>
        </w:rPr>
        <w:t xml:space="preserve"> may be too large.</w:t>
      </w:r>
      <w:r w:rsidR="008626FD">
        <w:rPr>
          <w:color w:val="000000" w:themeColor="text1"/>
          <w:lang w:eastAsia="zh-CN"/>
        </w:rPr>
        <w:t xml:space="preserve"> </w:t>
      </w:r>
      <w:r w:rsidR="00516528">
        <w:rPr>
          <w:color w:val="000000" w:themeColor="text1"/>
          <w:lang w:eastAsia="zh-CN"/>
        </w:rPr>
        <w:t>Compared with proposed method, two more sets of auxiliary variables are introduced to represent heat quantities</w:t>
      </w:r>
      <w:r w:rsidR="00372361">
        <w:rPr>
          <w:color w:val="000000" w:themeColor="text1"/>
          <w:lang w:eastAsia="zh-CN"/>
        </w:rPr>
        <w:t xml:space="preserve"> in “SOC” method</w:t>
      </w:r>
      <w:r w:rsidR="008626FD">
        <w:rPr>
          <w:color w:val="000000" w:themeColor="text1"/>
          <w:lang w:eastAsia="zh-CN"/>
        </w:rPr>
        <w:t>.</w:t>
      </w:r>
      <w:r w:rsidR="00516528">
        <w:rPr>
          <w:color w:val="000000" w:themeColor="text1"/>
          <w:lang w:eastAsia="zh-CN"/>
        </w:rPr>
        <w:t xml:space="preserve"> </w:t>
      </w:r>
      <w:r w:rsidR="00372361">
        <w:rPr>
          <w:color w:val="000000" w:themeColor="text1"/>
          <w:lang w:eastAsia="zh-CN"/>
        </w:rPr>
        <w:t xml:space="preserve">To </w:t>
      </w:r>
      <w:proofErr w:type="spellStart"/>
      <w:r w:rsidR="00372361">
        <w:rPr>
          <w:color w:val="000000" w:themeColor="text1"/>
          <w:lang w:eastAsia="zh-CN"/>
        </w:rPr>
        <w:t>convexify</w:t>
      </w:r>
      <w:proofErr w:type="spellEnd"/>
      <w:r w:rsidR="00372361">
        <w:rPr>
          <w:color w:val="000000" w:themeColor="text1"/>
          <w:lang w:eastAsia="zh-CN"/>
        </w:rPr>
        <w:t xml:space="preserve"> the optimization model,</w:t>
      </w:r>
      <w:r w:rsidR="008626FD">
        <w:rPr>
          <w:color w:val="000000" w:themeColor="text1"/>
          <w:lang w:eastAsia="zh-CN"/>
        </w:rPr>
        <w:t xml:space="preserve"> t</w:t>
      </w:r>
      <w:r w:rsidR="00516528">
        <w:rPr>
          <w:color w:val="000000" w:themeColor="text1"/>
          <w:lang w:eastAsia="zh-CN"/>
        </w:rPr>
        <w:t xml:space="preserve">hese two sets of </w:t>
      </w:r>
      <w:r w:rsidR="00372361">
        <w:rPr>
          <w:color w:val="000000" w:themeColor="text1"/>
          <w:lang w:eastAsia="zh-CN"/>
        </w:rPr>
        <w:t xml:space="preserve">auxiliary </w:t>
      </w:r>
      <w:r w:rsidR="00516528">
        <w:rPr>
          <w:color w:val="000000" w:themeColor="text1"/>
          <w:lang w:eastAsia="zh-CN"/>
        </w:rPr>
        <w:t xml:space="preserve">variables </w:t>
      </w:r>
      <w:r w:rsidR="00372361">
        <w:rPr>
          <w:color w:val="000000" w:themeColor="text1"/>
          <w:lang w:eastAsia="zh-CN"/>
        </w:rPr>
        <w:t>are conically relaxed. Thus,</w:t>
      </w:r>
      <w:r w:rsidR="00516528">
        <w:rPr>
          <w:color w:val="000000" w:themeColor="text1"/>
          <w:lang w:eastAsia="zh-CN"/>
        </w:rPr>
        <w:t xml:space="preserve"> more relaxation error</w:t>
      </w:r>
      <w:r w:rsidR="00102BFC">
        <w:rPr>
          <w:color w:val="000000" w:themeColor="text1"/>
          <w:lang w:eastAsia="zh-CN"/>
        </w:rPr>
        <w:t>s</w:t>
      </w:r>
      <w:r w:rsidR="00516528">
        <w:rPr>
          <w:color w:val="000000" w:themeColor="text1"/>
          <w:lang w:eastAsia="zh-CN"/>
        </w:rPr>
        <w:t xml:space="preserve"> </w:t>
      </w:r>
      <w:r w:rsidR="00372361">
        <w:rPr>
          <w:color w:val="000000" w:themeColor="text1"/>
          <w:lang w:eastAsia="zh-CN"/>
        </w:rPr>
        <w:t>may exist</w:t>
      </w:r>
      <w:r w:rsidR="00516528">
        <w:rPr>
          <w:color w:val="000000" w:themeColor="text1"/>
          <w:lang w:eastAsia="zh-CN"/>
        </w:rPr>
        <w:t xml:space="preserve"> in the “SOC” method. </w:t>
      </w:r>
    </w:p>
    <w:p w:rsidR="005528B3" w:rsidRPr="008626FD" w:rsidRDefault="005528B3" w:rsidP="008626FD">
      <w:pPr>
        <w:rPr>
          <w:lang w:eastAsia="zh-CN"/>
        </w:rPr>
      </w:pPr>
      <w:r w:rsidRPr="00175B1C">
        <w:rPr>
          <w:color w:val="000000" w:themeColor="text1"/>
          <w:lang w:eastAsia="zh-CN"/>
        </w:rPr>
        <w:t xml:space="preserve">Without the bounds of mass flow rates, the </w:t>
      </w:r>
      <w:r w:rsidR="0017435D">
        <w:rPr>
          <w:color w:val="000000" w:themeColor="text1"/>
          <w:lang w:eastAsia="zh-CN"/>
        </w:rPr>
        <w:t>“Decom”</w:t>
      </w:r>
      <w:r w:rsidRPr="00175B1C">
        <w:rPr>
          <w:color w:val="000000" w:themeColor="text1"/>
          <w:lang w:eastAsia="zh-CN"/>
        </w:rPr>
        <w:t xml:space="preserve"> method cannot identify whether the heat pipelines should be expanded</w:t>
      </w:r>
      <w:r w:rsidR="0017435D">
        <w:rPr>
          <w:color w:val="000000" w:themeColor="text1"/>
          <w:lang w:eastAsia="zh-CN"/>
        </w:rPr>
        <w:t xml:space="preserve"> in the planning model. Both the “I</w:t>
      </w:r>
      <w:r w:rsidRPr="00175B1C">
        <w:rPr>
          <w:color w:val="000000" w:themeColor="text1"/>
          <w:lang w:eastAsia="zh-CN"/>
        </w:rPr>
        <w:t>teration</w:t>
      </w:r>
      <w:r w:rsidR="0017435D">
        <w:rPr>
          <w:color w:val="000000" w:themeColor="text1"/>
          <w:lang w:eastAsia="zh-CN"/>
        </w:rPr>
        <w:t>”</w:t>
      </w:r>
      <w:r w:rsidRPr="00175B1C">
        <w:rPr>
          <w:color w:val="000000" w:themeColor="text1"/>
          <w:lang w:eastAsia="zh-CN"/>
        </w:rPr>
        <w:t xml:space="preserve"> method and </w:t>
      </w:r>
      <w:r w:rsidR="0017435D">
        <w:rPr>
          <w:color w:val="000000" w:themeColor="text1"/>
          <w:lang w:eastAsia="zh-CN"/>
        </w:rPr>
        <w:t>“</w:t>
      </w:r>
      <w:r w:rsidRPr="00175B1C">
        <w:rPr>
          <w:color w:val="000000" w:themeColor="text1"/>
          <w:lang w:eastAsia="zh-CN"/>
        </w:rPr>
        <w:t>SLP</w:t>
      </w:r>
      <w:r w:rsidR="0017435D">
        <w:rPr>
          <w:color w:val="000000" w:themeColor="text1"/>
          <w:lang w:eastAsia="zh-CN"/>
        </w:rPr>
        <w:t>”</w:t>
      </w:r>
      <w:r w:rsidRPr="00175B1C">
        <w:rPr>
          <w:color w:val="000000" w:themeColor="text1"/>
          <w:lang w:eastAsia="zh-CN"/>
        </w:rPr>
        <w:t xml:space="preserve"> method require a</w:t>
      </w:r>
      <w:r w:rsidR="0017435D">
        <w:rPr>
          <w:color w:val="000000" w:themeColor="text1"/>
          <w:lang w:eastAsia="zh-CN"/>
        </w:rPr>
        <w:t>n</w:t>
      </w:r>
      <w:r w:rsidRPr="00175B1C">
        <w:rPr>
          <w:color w:val="000000" w:themeColor="text1"/>
          <w:lang w:eastAsia="zh-CN"/>
        </w:rPr>
        <w:t xml:space="preserve"> initial set of </w:t>
      </w:r>
      <w:r w:rsidR="0017435D" w:rsidRPr="00175B1C">
        <w:rPr>
          <w:color w:val="000000" w:themeColor="text1"/>
          <w:lang w:eastAsia="zh-CN"/>
        </w:rPr>
        <w:t xml:space="preserve">feasible </w:t>
      </w:r>
      <w:r w:rsidRPr="00175B1C">
        <w:rPr>
          <w:color w:val="000000" w:themeColor="text1"/>
          <w:lang w:eastAsia="zh-CN"/>
        </w:rPr>
        <w:t xml:space="preserve">decision variables. </w:t>
      </w:r>
      <w:r w:rsidR="00102BFC">
        <w:rPr>
          <w:color w:val="000000" w:themeColor="text1"/>
          <w:lang w:eastAsia="zh-CN"/>
        </w:rPr>
        <w:t>T</w:t>
      </w:r>
      <w:r w:rsidRPr="00175B1C">
        <w:rPr>
          <w:color w:val="000000" w:themeColor="text1"/>
          <w:lang w:eastAsia="zh-CN"/>
        </w:rPr>
        <w:t xml:space="preserve">he initial set of </w:t>
      </w:r>
      <w:r w:rsidR="0017435D" w:rsidRPr="00175B1C">
        <w:rPr>
          <w:color w:val="000000" w:themeColor="text1"/>
          <w:lang w:eastAsia="zh-CN"/>
        </w:rPr>
        <w:t xml:space="preserve">feasible </w:t>
      </w:r>
      <w:r w:rsidRPr="00175B1C">
        <w:rPr>
          <w:color w:val="000000" w:themeColor="text1"/>
          <w:lang w:eastAsia="zh-CN"/>
        </w:rPr>
        <w:t>decision variables cannot be obtained directly in the planning model of IEHS due to the alternative topology</w:t>
      </w:r>
      <w:r w:rsidR="0017435D">
        <w:rPr>
          <w:color w:val="000000" w:themeColor="text1"/>
          <w:lang w:eastAsia="zh-CN"/>
        </w:rPr>
        <w:t xml:space="preserve"> of DHS</w:t>
      </w:r>
      <w:r w:rsidRPr="00175B1C">
        <w:rPr>
          <w:color w:val="000000" w:themeColor="text1"/>
          <w:lang w:eastAsia="zh-CN"/>
        </w:rPr>
        <w:t xml:space="preserve">. </w:t>
      </w:r>
      <w:r w:rsidR="008626FD">
        <w:rPr>
          <w:color w:val="000000" w:themeColor="text1"/>
          <w:lang w:eastAsia="zh-CN"/>
        </w:rPr>
        <w:t>In “SOC” method, the topology of DHS should also be determined in advance to get the initial sets of v</w:t>
      </w:r>
      <w:bookmarkStart w:id="6" w:name="_GoBack"/>
      <w:bookmarkEnd w:id="6"/>
      <w:r w:rsidR="008626FD">
        <w:rPr>
          <w:color w:val="000000" w:themeColor="text1"/>
          <w:lang w:eastAsia="zh-CN"/>
        </w:rPr>
        <w:t xml:space="preserve">ariables for the </w:t>
      </w:r>
      <w:r w:rsidR="00102BFC">
        <w:rPr>
          <w:color w:val="000000" w:themeColor="text1"/>
          <w:lang w:eastAsia="zh-CN"/>
        </w:rPr>
        <w:t>solving</w:t>
      </w:r>
      <w:r w:rsidR="008626FD">
        <w:rPr>
          <w:color w:val="000000" w:themeColor="text1"/>
          <w:lang w:eastAsia="zh-CN"/>
        </w:rPr>
        <w:t xml:space="preserve"> procedure. </w:t>
      </w:r>
      <w:r w:rsidRPr="00175B1C">
        <w:rPr>
          <w:color w:val="000000" w:themeColor="text1"/>
          <w:lang w:eastAsia="zh-CN"/>
        </w:rPr>
        <w:t xml:space="preserve">As such, these </w:t>
      </w:r>
      <w:r w:rsidR="008626FD">
        <w:rPr>
          <w:color w:val="000000" w:themeColor="text1"/>
          <w:lang w:eastAsia="zh-CN"/>
        </w:rPr>
        <w:t>four</w:t>
      </w:r>
      <w:r w:rsidRPr="00175B1C">
        <w:rPr>
          <w:color w:val="000000" w:themeColor="text1"/>
          <w:lang w:eastAsia="zh-CN"/>
        </w:rPr>
        <w:t xml:space="preserve"> methods are all not suitable for the planning model of IEHS. Compared with these methods, the proposed method can not only obtain the accurate results of the DHS optimization problem, but also can tackle the planning problem of IEHS with changeable topology flexibly.</w:t>
      </w:r>
    </w:p>
    <w:p w:rsidR="009F638D" w:rsidRDefault="009F638D" w:rsidP="009F638D">
      <w:pPr>
        <w:pStyle w:val="Text"/>
        <w:spacing w:line="240" w:lineRule="auto"/>
        <w:ind w:firstLine="0"/>
        <w:jc w:val="center"/>
        <w:rPr>
          <w:lang w:eastAsia="zh-CN"/>
        </w:rPr>
      </w:pPr>
      <w:r w:rsidRPr="009F638D">
        <w:rPr>
          <w:noProof/>
          <w:lang w:eastAsia="zh-CN"/>
        </w:rPr>
        <w:drawing>
          <wp:inline distT="0" distB="0" distL="0" distR="0">
            <wp:extent cx="2150347" cy="1363087"/>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rotWithShape="1">
                    <a:blip r:embed="rId18">
                      <a:extLst>
                        <a:ext uri="{28A0092B-C50C-407E-A947-70E740481C1C}">
                          <a14:useLocalDpi xmlns:a14="http://schemas.microsoft.com/office/drawing/2010/main" val="0"/>
                        </a:ext>
                      </a:extLst>
                    </a:blip>
                    <a:srcRect l="10834" t="10609" r="14096" b="9007"/>
                    <a:stretch/>
                  </pic:blipFill>
                  <pic:spPr bwMode="auto">
                    <a:xfrm>
                      <a:off x="0" y="0"/>
                      <a:ext cx="2177586" cy="1380354"/>
                    </a:xfrm>
                    <a:prstGeom prst="rect">
                      <a:avLst/>
                    </a:prstGeom>
                    <a:noFill/>
                    <a:ln>
                      <a:noFill/>
                    </a:ln>
                    <a:extLst>
                      <a:ext uri="{53640926-AAD7-44D8-BBD7-CCE9431645EC}">
                        <a14:shadowObscured xmlns:a14="http://schemas.microsoft.com/office/drawing/2010/main"/>
                      </a:ext>
                    </a:extLst>
                  </pic:spPr>
                </pic:pic>
              </a:graphicData>
            </a:graphic>
          </wp:inline>
        </w:drawing>
      </w:r>
    </w:p>
    <w:p w:rsidR="009F638D" w:rsidRDefault="009F638D" w:rsidP="009F638D">
      <w:pPr>
        <w:pStyle w:val="af"/>
        <w:rPr>
          <w:lang w:eastAsia="zh-CN"/>
        </w:rPr>
      </w:pPr>
      <w:r>
        <w:t xml:space="preserve">Fig. </w:t>
      </w:r>
      <w:fldSimple w:instr=" SEQ Fig. \* ARABIC ">
        <w:r w:rsidR="00457FB0">
          <w:rPr>
            <w:noProof/>
          </w:rPr>
          <w:t>8</w:t>
        </w:r>
      </w:fldSimple>
      <w:r>
        <w:t xml:space="preserve"> </w:t>
      </w:r>
      <w:r>
        <w:rPr>
          <w:rFonts w:hint="eastAsia"/>
          <w:lang w:eastAsia="zh-CN"/>
        </w:rPr>
        <w:t>S</w:t>
      </w:r>
      <w:r>
        <w:rPr>
          <w:lang w:eastAsia="zh-CN"/>
        </w:rPr>
        <w:t>upply temperatures of mixtures at nodes in decided DHS-2 (OTF)</w:t>
      </w:r>
    </w:p>
    <w:p w:rsidR="009F638D" w:rsidRDefault="009F638D" w:rsidP="009F638D">
      <w:pPr>
        <w:pStyle w:val="Text"/>
        <w:spacing w:line="240" w:lineRule="auto"/>
        <w:ind w:firstLine="0"/>
        <w:jc w:val="center"/>
        <w:rPr>
          <w:lang w:eastAsia="zh-CN"/>
        </w:rPr>
      </w:pPr>
      <w:r w:rsidRPr="009F638D">
        <w:rPr>
          <w:noProof/>
          <w:lang w:eastAsia="zh-CN"/>
        </w:rPr>
        <w:drawing>
          <wp:inline distT="0" distB="0" distL="0" distR="0">
            <wp:extent cx="2185516" cy="1395402"/>
            <wp:effectExtent l="0" t="0" r="571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19">
                      <a:extLst>
                        <a:ext uri="{28A0092B-C50C-407E-A947-70E740481C1C}">
                          <a14:useLocalDpi xmlns:a14="http://schemas.microsoft.com/office/drawing/2010/main" val="0"/>
                        </a:ext>
                      </a:extLst>
                    </a:blip>
                    <a:srcRect l="11933" t="10875" r="13780" b="9005"/>
                    <a:stretch/>
                  </pic:blipFill>
                  <pic:spPr bwMode="auto">
                    <a:xfrm>
                      <a:off x="0" y="0"/>
                      <a:ext cx="2199449" cy="1404298"/>
                    </a:xfrm>
                    <a:prstGeom prst="rect">
                      <a:avLst/>
                    </a:prstGeom>
                    <a:noFill/>
                    <a:ln>
                      <a:noFill/>
                    </a:ln>
                    <a:extLst>
                      <a:ext uri="{53640926-AAD7-44D8-BBD7-CCE9431645EC}">
                        <a14:shadowObscured xmlns:a14="http://schemas.microsoft.com/office/drawing/2010/main"/>
                      </a:ext>
                    </a:extLst>
                  </pic:spPr>
                </pic:pic>
              </a:graphicData>
            </a:graphic>
          </wp:inline>
        </w:drawing>
      </w:r>
    </w:p>
    <w:p w:rsidR="009F638D" w:rsidRDefault="009F638D" w:rsidP="009F638D">
      <w:pPr>
        <w:pStyle w:val="af"/>
        <w:rPr>
          <w:lang w:eastAsia="zh-CN"/>
        </w:rPr>
      </w:pPr>
      <w:bookmarkStart w:id="7" w:name="_Ref47097770"/>
      <w:r>
        <w:t xml:space="preserve">Fig. </w:t>
      </w:r>
      <w:r>
        <w:rPr>
          <w:noProof/>
        </w:rPr>
        <w:fldChar w:fldCharType="begin"/>
      </w:r>
      <w:r>
        <w:rPr>
          <w:noProof/>
        </w:rPr>
        <w:instrText xml:space="preserve"> SEQ Fig. \* ARABIC </w:instrText>
      </w:r>
      <w:r>
        <w:rPr>
          <w:noProof/>
        </w:rPr>
        <w:fldChar w:fldCharType="separate"/>
      </w:r>
      <w:r w:rsidR="00457FB0">
        <w:rPr>
          <w:noProof/>
        </w:rPr>
        <w:t>9</w:t>
      </w:r>
      <w:r>
        <w:rPr>
          <w:noProof/>
        </w:rPr>
        <w:fldChar w:fldCharType="end"/>
      </w:r>
      <w:bookmarkEnd w:id="7"/>
      <w:r>
        <w:t xml:space="preserve"> Return </w:t>
      </w:r>
      <w:r>
        <w:rPr>
          <w:lang w:eastAsia="zh-CN"/>
        </w:rPr>
        <w:t>temperatures of mixtures at nodes in decided DHS-2 (OTF)</w:t>
      </w:r>
    </w:p>
    <w:p w:rsidR="009F638D" w:rsidRDefault="003E5523" w:rsidP="009F638D">
      <w:pPr>
        <w:pStyle w:val="af"/>
        <w:spacing w:line="240" w:lineRule="auto"/>
        <w:rPr>
          <w:lang w:eastAsia="zh-CN"/>
        </w:rPr>
      </w:pPr>
      <w:r w:rsidRPr="003E5523">
        <w:rPr>
          <w:noProof/>
          <w:lang w:eastAsia="zh-CN"/>
        </w:rPr>
        <w:drawing>
          <wp:inline distT="0" distB="0" distL="0" distR="0">
            <wp:extent cx="2239740" cy="1457011"/>
            <wp:effectExtent l="0" t="0" r="825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rotWithShape="1">
                    <a:blip r:embed="rId20">
                      <a:extLst>
                        <a:ext uri="{28A0092B-C50C-407E-A947-70E740481C1C}">
                          <a14:useLocalDpi xmlns:a14="http://schemas.microsoft.com/office/drawing/2010/main" val="0"/>
                        </a:ext>
                      </a:extLst>
                    </a:blip>
                    <a:srcRect l="11933" t="8753" r="13459" b="9261"/>
                    <a:stretch/>
                  </pic:blipFill>
                  <pic:spPr bwMode="auto">
                    <a:xfrm>
                      <a:off x="0" y="0"/>
                      <a:ext cx="2259507" cy="1469870"/>
                    </a:xfrm>
                    <a:prstGeom prst="rect">
                      <a:avLst/>
                    </a:prstGeom>
                    <a:noFill/>
                    <a:ln>
                      <a:noFill/>
                    </a:ln>
                    <a:extLst>
                      <a:ext uri="{53640926-AAD7-44D8-BBD7-CCE9431645EC}">
                        <a14:shadowObscured xmlns:a14="http://schemas.microsoft.com/office/drawing/2010/main"/>
                      </a:ext>
                    </a:extLst>
                  </pic:spPr>
                </pic:pic>
              </a:graphicData>
            </a:graphic>
          </wp:inline>
        </w:drawing>
      </w:r>
    </w:p>
    <w:p w:rsidR="009F638D" w:rsidRDefault="009F638D" w:rsidP="009F638D">
      <w:pPr>
        <w:pStyle w:val="af"/>
        <w:rPr>
          <w:lang w:eastAsia="zh-CN"/>
        </w:rPr>
      </w:pPr>
      <w:r>
        <w:t xml:space="preserve">Fig. </w:t>
      </w:r>
      <w:fldSimple w:instr=" SEQ Fig. \* ARABIC ">
        <w:r w:rsidR="00457FB0">
          <w:rPr>
            <w:noProof/>
          </w:rPr>
          <w:t>10</w:t>
        </w:r>
      </w:fldSimple>
      <w:r>
        <w:t xml:space="preserve"> </w:t>
      </w:r>
      <w:r>
        <w:rPr>
          <w:lang w:eastAsia="zh-CN"/>
        </w:rPr>
        <w:t>Mass flow rates within supply pipelines of decided DHS-2 (OTF)</w:t>
      </w:r>
    </w:p>
    <w:p w:rsidR="009F638D" w:rsidRDefault="003E5523" w:rsidP="009F638D">
      <w:pPr>
        <w:pStyle w:val="af"/>
        <w:spacing w:line="240" w:lineRule="auto"/>
        <w:rPr>
          <w:lang w:eastAsia="zh-CN"/>
        </w:rPr>
      </w:pPr>
      <w:r w:rsidRPr="003E5523">
        <w:rPr>
          <w:noProof/>
          <w:lang w:eastAsia="zh-CN"/>
        </w:rPr>
        <w:lastRenderedPageBreak/>
        <w:drawing>
          <wp:inline distT="0" distB="0" distL="0" distR="0">
            <wp:extent cx="2401556" cy="156754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rotWithShape="1">
                    <a:blip r:embed="rId21">
                      <a:extLst>
                        <a:ext uri="{28A0092B-C50C-407E-A947-70E740481C1C}">
                          <a14:useLocalDpi xmlns:a14="http://schemas.microsoft.com/office/drawing/2010/main" val="0"/>
                        </a:ext>
                      </a:extLst>
                    </a:blip>
                    <a:srcRect l="10991" t="8489" r="13932" b="8732"/>
                    <a:stretch/>
                  </pic:blipFill>
                  <pic:spPr bwMode="auto">
                    <a:xfrm>
                      <a:off x="0" y="0"/>
                      <a:ext cx="2402766" cy="1568333"/>
                    </a:xfrm>
                    <a:prstGeom prst="rect">
                      <a:avLst/>
                    </a:prstGeom>
                    <a:noFill/>
                    <a:ln>
                      <a:noFill/>
                    </a:ln>
                    <a:extLst>
                      <a:ext uri="{53640926-AAD7-44D8-BBD7-CCE9431645EC}">
                        <a14:shadowObscured xmlns:a14="http://schemas.microsoft.com/office/drawing/2010/main"/>
                      </a:ext>
                    </a:extLst>
                  </pic:spPr>
                </pic:pic>
              </a:graphicData>
            </a:graphic>
          </wp:inline>
        </w:drawing>
      </w:r>
    </w:p>
    <w:p w:rsidR="009F638D" w:rsidRDefault="009F638D" w:rsidP="009F638D">
      <w:pPr>
        <w:pStyle w:val="af"/>
        <w:rPr>
          <w:lang w:eastAsia="zh-CN"/>
        </w:rPr>
      </w:pPr>
      <w:bookmarkStart w:id="8" w:name="_Ref47097779"/>
      <w:bookmarkStart w:id="9" w:name="_Ref47797911"/>
      <w:r>
        <w:t xml:space="preserve">Fig. </w:t>
      </w:r>
      <w:r>
        <w:rPr>
          <w:noProof/>
        </w:rPr>
        <w:fldChar w:fldCharType="begin"/>
      </w:r>
      <w:r>
        <w:rPr>
          <w:noProof/>
        </w:rPr>
        <w:instrText xml:space="preserve"> SEQ Fig. \* ARABIC </w:instrText>
      </w:r>
      <w:r>
        <w:rPr>
          <w:noProof/>
        </w:rPr>
        <w:fldChar w:fldCharType="separate"/>
      </w:r>
      <w:r w:rsidR="00457FB0">
        <w:rPr>
          <w:noProof/>
        </w:rPr>
        <w:t>11</w:t>
      </w:r>
      <w:r>
        <w:rPr>
          <w:noProof/>
        </w:rPr>
        <w:fldChar w:fldCharType="end"/>
      </w:r>
      <w:bookmarkEnd w:id="8"/>
      <w:r>
        <w:t xml:space="preserve"> </w:t>
      </w:r>
      <w:r>
        <w:rPr>
          <w:lang w:eastAsia="zh-CN"/>
        </w:rPr>
        <w:t>Heat power within supply pipelines of decided DHS-2 (OTF)</w:t>
      </w:r>
      <w:bookmarkEnd w:id="9"/>
    </w:p>
    <w:p w:rsidR="008626FD" w:rsidRDefault="008626FD" w:rsidP="008626FD">
      <w:pPr>
        <w:pStyle w:val="2"/>
      </w:pPr>
      <w:r>
        <w:t xml:space="preserve">Effectiveness of SOC-based C&amp;CG Algorithm </w:t>
      </w:r>
    </w:p>
    <w:p w:rsidR="00D3032E" w:rsidRDefault="00457FB0" w:rsidP="00457FB0">
      <w:pPr>
        <w:rPr>
          <w:color w:val="000000" w:themeColor="text1"/>
          <w:lang w:eastAsia="zh-CN"/>
        </w:rPr>
      </w:pPr>
      <w:r>
        <w:rPr>
          <w:color w:val="000000" w:themeColor="text1"/>
          <w:lang w:eastAsia="zh-CN"/>
        </w:rPr>
        <w:t>The energy outputs of different cases at 10</w:t>
      </w:r>
      <w:r w:rsidRPr="00457FB0">
        <w:rPr>
          <w:color w:val="000000" w:themeColor="text1"/>
          <w:vertAlign w:val="superscript"/>
          <w:lang w:eastAsia="zh-CN"/>
        </w:rPr>
        <w:t>th</w:t>
      </w:r>
      <w:r>
        <w:rPr>
          <w:color w:val="000000" w:themeColor="text1"/>
          <w:lang w:eastAsia="zh-CN"/>
        </w:rPr>
        <w:t xml:space="preserve"> planning year are presented in consideration of different energies, as shown in </w:t>
      </w:r>
      <w:r>
        <w:rPr>
          <w:color w:val="000000" w:themeColor="text1"/>
          <w:lang w:eastAsia="zh-CN"/>
        </w:rPr>
        <w:fldChar w:fldCharType="begin"/>
      </w:r>
      <w:r>
        <w:rPr>
          <w:color w:val="000000" w:themeColor="text1"/>
          <w:lang w:eastAsia="zh-CN"/>
        </w:rPr>
        <w:instrText xml:space="preserve"> REF _Ref47801102 \h </w:instrText>
      </w:r>
      <w:r>
        <w:rPr>
          <w:color w:val="000000" w:themeColor="text1"/>
          <w:lang w:eastAsia="zh-CN"/>
        </w:rPr>
      </w:r>
      <w:r>
        <w:rPr>
          <w:color w:val="000000" w:themeColor="text1"/>
          <w:lang w:eastAsia="zh-CN"/>
        </w:rPr>
        <w:fldChar w:fldCharType="separate"/>
      </w:r>
      <w:r>
        <w:t xml:space="preserve">Fig. </w:t>
      </w:r>
      <w:r>
        <w:rPr>
          <w:noProof/>
        </w:rPr>
        <w:t>12</w:t>
      </w:r>
      <w:r>
        <w:rPr>
          <w:color w:val="000000" w:themeColor="text1"/>
          <w:lang w:eastAsia="zh-CN"/>
        </w:rPr>
        <w:fldChar w:fldCharType="end"/>
      </w:r>
      <w:r>
        <w:rPr>
          <w:color w:val="000000" w:themeColor="text1"/>
          <w:lang w:eastAsia="zh-CN"/>
        </w:rPr>
        <w:t xml:space="preserve">, </w:t>
      </w:r>
      <w:r>
        <w:rPr>
          <w:color w:val="000000" w:themeColor="text1"/>
          <w:lang w:eastAsia="zh-CN"/>
        </w:rPr>
        <w:fldChar w:fldCharType="begin"/>
      </w:r>
      <w:r>
        <w:rPr>
          <w:color w:val="000000" w:themeColor="text1"/>
          <w:lang w:eastAsia="zh-CN"/>
        </w:rPr>
        <w:instrText xml:space="preserve"> REF _Ref47801104 \h </w:instrText>
      </w:r>
      <w:r>
        <w:rPr>
          <w:color w:val="000000" w:themeColor="text1"/>
          <w:lang w:eastAsia="zh-CN"/>
        </w:rPr>
      </w:r>
      <w:r>
        <w:rPr>
          <w:color w:val="000000" w:themeColor="text1"/>
          <w:lang w:eastAsia="zh-CN"/>
        </w:rPr>
        <w:fldChar w:fldCharType="separate"/>
      </w:r>
      <w:r>
        <w:t xml:space="preserve">Fig. </w:t>
      </w:r>
      <w:r>
        <w:rPr>
          <w:noProof/>
        </w:rPr>
        <w:t>13</w:t>
      </w:r>
      <w:r>
        <w:rPr>
          <w:color w:val="000000" w:themeColor="text1"/>
          <w:lang w:eastAsia="zh-CN"/>
        </w:rPr>
        <w:fldChar w:fldCharType="end"/>
      </w:r>
      <w:r>
        <w:rPr>
          <w:color w:val="000000" w:themeColor="text1"/>
          <w:lang w:eastAsia="zh-CN"/>
        </w:rPr>
        <w:t>. Note that the loads of case 1 is the forecast values of lo</w:t>
      </w:r>
      <w:r w:rsidR="009B0353">
        <w:rPr>
          <w:color w:val="000000" w:themeColor="text1"/>
          <w:lang w:eastAsia="zh-CN"/>
        </w:rPr>
        <w:t>ad blocks. The loads of cases 2-</w:t>
      </w:r>
      <w:r>
        <w:rPr>
          <w:color w:val="000000" w:themeColor="text1"/>
          <w:lang w:eastAsia="zh-CN"/>
        </w:rPr>
        <w:t>3 are the worst-case scenarios identified by the C&amp;CG algorithm. It can be clearly seen that th</w:t>
      </w:r>
      <w:r w:rsidR="009B0353">
        <w:rPr>
          <w:color w:val="000000" w:themeColor="text1"/>
          <w:lang w:eastAsia="zh-CN"/>
        </w:rPr>
        <w:t>e electric/heat loads of cases 2-3 are</w:t>
      </w:r>
      <w:r>
        <w:rPr>
          <w:color w:val="000000" w:themeColor="text1"/>
          <w:lang w:eastAsia="zh-CN"/>
        </w:rPr>
        <w:t xml:space="preserve"> higher than forecast values of case 1 while the </w:t>
      </w:r>
      <w:r w:rsidR="009B0353">
        <w:rPr>
          <w:color w:val="000000" w:themeColor="text1"/>
          <w:lang w:eastAsia="zh-CN"/>
        </w:rPr>
        <w:t xml:space="preserve">available </w:t>
      </w:r>
      <w:r>
        <w:rPr>
          <w:color w:val="000000" w:themeColor="text1"/>
          <w:lang w:eastAsia="zh-CN"/>
        </w:rPr>
        <w:t>wind power of case</w:t>
      </w:r>
      <w:r w:rsidR="009B0353">
        <w:rPr>
          <w:color w:val="000000" w:themeColor="text1"/>
          <w:lang w:eastAsia="zh-CN"/>
        </w:rPr>
        <w:t>s</w:t>
      </w:r>
      <w:r>
        <w:rPr>
          <w:color w:val="000000" w:themeColor="text1"/>
          <w:lang w:eastAsia="zh-CN"/>
        </w:rPr>
        <w:t xml:space="preserve"> </w:t>
      </w:r>
      <w:r w:rsidR="009B0353">
        <w:rPr>
          <w:color w:val="000000" w:themeColor="text1"/>
          <w:lang w:eastAsia="zh-CN"/>
        </w:rPr>
        <w:t>2-3</w:t>
      </w:r>
      <w:r>
        <w:rPr>
          <w:color w:val="000000" w:themeColor="text1"/>
          <w:lang w:eastAsia="zh-CN"/>
        </w:rPr>
        <w:t xml:space="preserve"> is lower than case</w:t>
      </w:r>
      <w:r w:rsidR="009B0353">
        <w:rPr>
          <w:color w:val="000000" w:themeColor="text1"/>
          <w:lang w:eastAsia="zh-CN"/>
        </w:rPr>
        <w:t xml:space="preserve"> 1</w:t>
      </w:r>
      <w:r>
        <w:rPr>
          <w:color w:val="000000" w:themeColor="text1"/>
          <w:lang w:eastAsia="zh-CN"/>
        </w:rPr>
        <w:t>.</w:t>
      </w:r>
      <w:r>
        <w:rPr>
          <w:rFonts w:hint="eastAsia"/>
          <w:color w:val="000000" w:themeColor="text1"/>
          <w:lang w:eastAsia="zh-CN"/>
        </w:rPr>
        <w:t xml:space="preserve"> </w:t>
      </w:r>
      <w:r>
        <w:rPr>
          <w:color w:val="000000" w:themeColor="text1"/>
          <w:lang w:eastAsia="zh-CN"/>
        </w:rPr>
        <w:t xml:space="preserve">In case 2, due to the lower available wind power and higher </w:t>
      </w:r>
      <w:r w:rsidR="009B0353">
        <w:rPr>
          <w:color w:val="000000" w:themeColor="text1"/>
          <w:lang w:eastAsia="zh-CN"/>
        </w:rPr>
        <w:t xml:space="preserve">electric/heat </w:t>
      </w:r>
      <w:r>
        <w:rPr>
          <w:color w:val="000000" w:themeColor="text1"/>
          <w:lang w:eastAsia="zh-CN"/>
        </w:rPr>
        <w:t>load</w:t>
      </w:r>
      <w:r w:rsidR="009B0353">
        <w:rPr>
          <w:color w:val="000000" w:themeColor="text1"/>
          <w:lang w:eastAsia="zh-CN"/>
        </w:rPr>
        <w:t>s</w:t>
      </w:r>
      <w:r>
        <w:rPr>
          <w:color w:val="000000" w:themeColor="text1"/>
          <w:lang w:eastAsia="zh-CN"/>
        </w:rPr>
        <w:t>, CHP unit C</w:t>
      </w:r>
      <w:r w:rsidRPr="009B0353">
        <w:rPr>
          <w:color w:val="000000" w:themeColor="text1"/>
          <w:vertAlign w:val="subscript"/>
          <w:lang w:eastAsia="zh-CN"/>
        </w:rPr>
        <w:t>4</w:t>
      </w:r>
      <w:r>
        <w:rPr>
          <w:color w:val="000000" w:themeColor="text1"/>
          <w:lang w:eastAsia="zh-CN"/>
        </w:rPr>
        <w:t xml:space="preserve"> is installed instead of EB B</w:t>
      </w:r>
      <w:r w:rsidRPr="009B0353">
        <w:rPr>
          <w:color w:val="000000" w:themeColor="text1"/>
          <w:vertAlign w:val="subscript"/>
          <w:lang w:eastAsia="zh-CN"/>
        </w:rPr>
        <w:t>2</w:t>
      </w:r>
      <w:r>
        <w:rPr>
          <w:color w:val="000000" w:themeColor="text1"/>
          <w:lang w:eastAsia="zh-CN"/>
        </w:rPr>
        <w:t xml:space="preserve"> to </w:t>
      </w:r>
      <w:r>
        <w:rPr>
          <w:lang w:eastAsia="zh-CN"/>
        </w:rPr>
        <w:t>produce electricity and heat energy simultaneously</w:t>
      </w:r>
      <w:r>
        <w:rPr>
          <w:color w:val="000000" w:themeColor="text1"/>
          <w:lang w:eastAsia="zh-CN"/>
        </w:rPr>
        <w:t>. In the worst-case</w:t>
      </w:r>
      <w:r w:rsidR="00D22680">
        <w:rPr>
          <w:color w:val="000000" w:themeColor="text1"/>
          <w:lang w:eastAsia="zh-CN"/>
        </w:rPr>
        <w:t xml:space="preserve"> scenarios of case 3, CHP unit C</w:t>
      </w:r>
      <w:r w:rsidR="00D22680" w:rsidRPr="009B0353">
        <w:rPr>
          <w:color w:val="000000" w:themeColor="text1"/>
          <w:vertAlign w:val="subscript"/>
          <w:lang w:eastAsia="zh-CN"/>
        </w:rPr>
        <w:t>6</w:t>
      </w:r>
      <w:r w:rsidR="00D22680">
        <w:rPr>
          <w:color w:val="000000" w:themeColor="text1"/>
          <w:lang w:eastAsia="zh-CN"/>
        </w:rPr>
        <w:t xml:space="preserve"> fails at 1</w:t>
      </w:r>
      <w:r w:rsidR="00D22680">
        <w:rPr>
          <w:color w:val="000000" w:themeColor="text1"/>
          <w:vertAlign w:val="superscript"/>
          <w:lang w:eastAsia="zh-CN"/>
        </w:rPr>
        <w:t>st</w:t>
      </w:r>
      <w:r w:rsidR="00D22680">
        <w:rPr>
          <w:color w:val="000000" w:themeColor="text1"/>
          <w:lang w:eastAsia="zh-CN"/>
        </w:rPr>
        <w:t xml:space="preserve"> and 4</w:t>
      </w:r>
      <w:r w:rsidR="00D22680">
        <w:rPr>
          <w:color w:val="000000" w:themeColor="text1"/>
          <w:vertAlign w:val="superscript"/>
          <w:lang w:eastAsia="zh-CN"/>
        </w:rPr>
        <w:t>th</w:t>
      </w:r>
      <w:r w:rsidR="00D22680">
        <w:rPr>
          <w:color w:val="000000" w:themeColor="text1"/>
          <w:lang w:eastAsia="zh-CN"/>
        </w:rPr>
        <w:t xml:space="preserve"> load blocks, existi</w:t>
      </w:r>
      <w:r w:rsidR="009B0353">
        <w:rPr>
          <w:color w:val="000000" w:themeColor="text1"/>
          <w:lang w:eastAsia="zh-CN"/>
        </w:rPr>
        <w:t>ng non-CHP thermal generator at</w:t>
      </w:r>
      <w:r w:rsidR="00D22680">
        <w:rPr>
          <w:color w:val="000000" w:themeColor="text1"/>
          <w:lang w:eastAsia="zh-CN"/>
        </w:rPr>
        <w:t xml:space="preserve"> bus </w:t>
      </w:r>
      <w:r w:rsidR="009B0353">
        <w:rPr>
          <w:color w:val="000000" w:themeColor="text1"/>
          <w:lang w:eastAsia="zh-CN"/>
        </w:rPr>
        <w:t xml:space="preserve">39 </w:t>
      </w:r>
      <w:r w:rsidR="00D22680">
        <w:rPr>
          <w:color w:val="000000" w:themeColor="text1"/>
          <w:lang w:eastAsia="zh-CN"/>
        </w:rPr>
        <w:t>fails at 3</w:t>
      </w:r>
      <w:r w:rsidR="00D22680">
        <w:rPr>
          <w:color w:val="000000" w:themeColor="text1"/>
          <w:vertAlign w:val="superscript"/>
          <w:lang w:eastAsia="zh-CN"/>
        </w:rPr>
        <w:t>rd</w:t>
      </w:r>
      <w:r w:rsidR="00D22680">
        <w:rPr>
          <w:color w:val="000000" w:themeColor="text1"/>
          <w:lang w:eastAsia="zh-CN"/>
        </w:rPr>
        <w:t xml:space="preserve"> load block. Thus, EB B</w:t>
      </w:r>
      <w:r w:rsidR="00D22680" w:rsidRPr="009B0353">
        <w:rPr>
          <w:color w:val="000000" w:themeColor="text1"/>
          <w:vertAlign w:val="subscript"/>
          <w:lang w:eastAsia="zh-CN"/>
        </w:rPr>
        <w:t>2</w:t>
      </w:r>
      <w:r w:rsidR="00D22680">
        <w:rPr>
          <w:color w:val="000000" w:themeColor="text1"/>
          <w:lang w:eastAsia="zh-CN"/>
        </w:rPr>
        <w:t xml:space="preserve"> and B</w:t>
      </w:r>
      <w:r w:rsidR="00D22680" w:rsidRPr="009B0353">
        <w:rPr>
          <w:color w:val="000000" w:themeColor="text1"/>
          <w:vertAlign w:val="subscript"/>
          <w:lang w:eastAsia="zh-CN"/>
        </w:rPr>
        <w:t>3</w:t>
      </w:r>
      <w:r w:rsidR="00D22680">
        <w:rPr>
          <w:color w:val="000000" w:themeColor="text1"/>
          <w:lang w:eastAsia="zh-CN"/>
        </w:rPr>
        <w:t xml:space="preserve"> have to be installed to supply heat power at 1</w:t>
      </w:r>
      <w:r w:rsidR="00D22680">
        <w:rPr>
          <w:color w:val="000000" w:themeColor="text1"/>
          <w:vertAlign w:val="superscript"/>
          <w:lang w:eastAsia="zh-CN"/>
        </w:rPr>
        <w:t>st</w:t>
      </w:r>
      <w:r w:rsidR="00D22680">
        <w:rPr>
          <w:color w:val="000000" w:themeColor="text1"/>
          <w:lang w:eastAsia="zh-CN"/>
        </w:rPr>
        <w:t xml:space="preserve"> load block. More non-CHP thermal generator </w:t>
      </w:r>
      <w:r w:rsidR="00D22680">
        <w:rPr>
          <w:lang w:eastAsia="zh-CN"/>
        </w:rPr>
        <w:t>G</w:t>
      </w:r>
      <w:r w:rsidR="00D22680" w:rsidRPr="009B0353">
        <w:rPr>
          <w:vertAlign w:val="subscript"/>
          <w:lang w:eastAsia="zh-CN"/>
        </w:rPr>
        <w:t>3</w:t>
      </w:r>
      <w:r w:rsidR="00D22680">
        <w:rPr>
          <w:lang w:eastAsia="zh-CN"/>
        </w:rPr>
        <w:t>-G</w:t>
      </w:r>
      <w:r w:rsidR="00D22680" w:rsidRPr="009B0353">
        <w:rPr>
          <w:vertAlign w:val="subscript"/>
          <w:lang w:eastAsia="zh-CN"/>
        </w:rPr>
        <w:t>5</w:t>
      </w:r>
      <w:r w:rsidR="00D22680">
        <w:rPr>
          <w:lang w:eastAsia="zh-CN"/>
        </w:rPr>
        <w:t xml:space="preserve"> are constructed to satisfy electric demands at </w:t>
      </w:r>
      <w:r w:rsidR="00D22680">
        <w:rPr>
          <w:color w:val="000000" w:themeColor="text1"/>
          <w:lang w:eastAsia="zh-CN"/>
        </w:rPr>
        <w:t>3</w:t>
      </w:r>
      <w:r w:rsidR="00D22680">
        <w:rPr>
          <w:color w:val="000000" w:themeColor="text1"/>
          <w:vertAlign w:val="superscript"/>
          <w:lang w:eastAsia="zh-CN"/>
        </w:rPr>
        <w:t>rd</w:t>
      </w:r>
      <w:r w:rsidR="00D22680">
        <w:rPr>
          <w:color w:val="000000" w:themeColor="text1"/>
          <w:lang w:eastAsia="zh-CN"/>
        </w:rPr>
        <w:t xml:space="preserve"> load block.</w:t>
      </w:r>
    </w:p>
    <w:p w:rsidR="00D3032E" w:rsidRDefault="00297301" w:rsidP="00D3032E">
      <w:pPr>
        <w:spacing w:line="240" w:lineRule="auto"/>
        <w:ind w:firstLine="0"/>
        <w:jc w:val="center"/>
        <w:rPr>
          <w:color w:val="222222"/>
          <w:sz w:val="16"/>
          <w:szCs w:val="16"/>
        </w:rPr>
      </w:pPr>
      <w:r w:rsidRPr="00297301">
        <w:rPr>
          <w:noProof/>
          <w:color w:val="222222"/>
          <w:sz w:val="16"/>
          <w:szCs w:val="16"/>
          <w:lang w:eastAsia="zh-CN"/>
        </w:rPr>
        <w:drawing>
          <wp:inline distT="0" distB="0" distL="0" distR="0">
            <wp:extent cx="2993893" cy="1719263"/>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15"/>
                    <pic:cNvPicPr>
                      <a:picLocks noChangeAspect="1" noChangeArrowheads="1"/>
                    </pic:cNvPicPr>
                  </pic:nvPicPr>
                  <pic:blipFill rotWithShape="1">
                    <a:blip r:embed="rId22">
                      <a:extLst>
                        <a:ext uri="{28A0092B-C50C-407E-A947-70E740481C1C}">
                          <a14:useLocalDpi xmlns:a14="http://schemas.microsoft.com/office/drawing/2010/main" val="0"/>
                        </a:ext>
                      </a:extLst>
                    </a:blip>
                    <a:srcRect l="4317" t="1435" r="20491" b="15343"/>
                    <a:stretch/>
                  </pic:blipFill>
                  <pic:spPr bwMode="auto">
                    <a:xfrm>
                      <a:off x="0" y="0"/>
                      <a:ext cx="3005756" cy="1726075"/>
                    </a:xfrm>
                    <a:prstGeom prst="rect">
                      <a:avLst/>
                    </a:prstGeom>
                    <a:noFill/>
                    <a:ln>
                      <a:noFill/>
                    </a:ln>
                    <a:extLst>
                      <a:ext uri="{53640926-AAD7-44D8-BBD7-CCE9431645EC}">
                        <a14:shadowObscured xmlns:a14="http://schemas.microsoft.com/office/drawing/2010/main"/>
                      </a:ext>
                    </a:extLst>
                  </pic:spPr>
                </pic:pic>
              </a:graphicData>
            </a:graphic>
          </wp:inline>
        </w:drawing>
      </w:r>
    </w:p>
    <w:p w:rsidR="00297301" w:rsidRDefault="00457FB0" w:rsidP="00457FB0">
      <w:pPr>
        <w:pStyle w:val="af"/>
        <w:rPr>
          <w:color w:val="222222"/>
          <w:szCs w:val="16"/>
        </w:rPr>
      </w:pPr>
      <w:bookmarkStart w:id="10" w:name="_Ref47801102"/>
      <w:bookmarkStart w:id="11" w:name="_Ref47801099"/>
      <w:r>
        <w:t xml:space="preserve">Fig. </w:t>
      </w:r>
      <w:fldSimple w:instr=" SEQ Fig. \* ARABIC ">
        <w:r>
          <w:rPr>
            <w:noProof/>
          </w:rPr>
          <w:t>12</w:t>
        </w:r>
      </w:fldSimple>
      <w:bookmarkEnd w:id="10"/>
      <w:r>
        <w:t xml:space="preserve"> </w:t>
      </w:r>
      <w:r>
        <w:rPr>
          <w:lang w:eastAsia="zh-CN"/>
        </w:rPr>
        <w:t>Electric</w:t>
      </w:r>
      <w:r w:rsidRPr="00175B1C">
        <w:rPr>
          <w:lang w:eastAsia="zh-CN"/>
        </w:rPr>
        <w:t xml:space="preserve"> outputs of the devices at the 10</w:t>
      </w:r>
      <w:r w:rsidRPr="00175B1C">
        <w:rPr>
          <w:vertAlign w:val="superscript"/>
          <w:lang w:eastAsia="zh-CN"/>
        </w:rPr>
        <w:t>th</w:t>
      </w:r>
      <w:r w:rsidRPr="00175B1C">
        <w:rPr>
          <w:lang w:eastAsia="zh-CN"/>
        </w:rPr>
        <w:t xml:space="preserve"> planning year in cases </w:t>
      </w:r>
      <w:r>
        <w:rPr>
          <w:lang w:eastAsia="zh-CN"/>
        </w:rPr>
        <w:t>1</w:t>
      </w:r>
      <w:r w:rsidRPr="00175B1C">
        <w:rPr>
          <w:lang w:eastAsia="zh-CN"/>
        </w:rPr>
        <w:t>-</w:t>
      </w:r>
      <w:r>
        <w:rPr>
          <w:lang w:eastAsia="zh-CN"/>
        </w:rPr>
        <w:t>3</w:t>
      </w:r>
      <w:bookmarkEnd w:id="11"/>
    </w:p>
    <w:p w:rsidR="00297301" w:rsidRDefault="00872676" w:rsidP="00D3032E">
      <w:pPr>
        <w:spacing w:line="240" w:lineRule="auto"/>
        <w:ind w:firstLine="0"/>
        <w:jc w:val="center"/>
        <w:rPr>
          <w:color w:val="222222"/>
          <w:sz w:val="16"/>
          <w:szCs w:val="16"/>
        </w:rPr>
      </w:pPr>
      <w:r w:rsidRPr="00872676">
        <w:rPr>
          <w:noProof/>
          <w:color w:val="222222"/>
          <w:sz w:val="16"/>
          <w:szCs w:val="16"/>
          <w:lang w:eastAsia="zh-CN"/>
        </w:rPr>
        <w:drawing>
          <wp:inline distT="0" distB="0" distL="0" distR="0">
            <wp:extent cx="3001494" cy="17383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a:extLst>
                        <a:ext uri="{28A0092B-C50C-407E-A947-70E740481C1C}">
                          <a14:useLocalDpi xmlns:a14="http://schemas.microsoft.com/office/drawing/2010/main" val="0"/>
                        </a:ext>
                      </a:extLst>
                    </a:blip>
                    <a:srcRect l="10991" t="8179" r="13636" b="7598"/>
                    <a:stretch/>
                  </pic:blipFill>
                  <pic:spPr bwMode="auto">
                    <a:xfrm>
                      <a:off x="0" y="0"/>
                      <a:ext cx="3013127" cy="1745102"/>
                    </a:xfrm>
                    <a:prstGeom prst="rect">
                      <a:avLst/>
                    </a:prstGeom>
                    <a:noFill/>
                    <a:ln>
                      <a:noFill/>
                    </a:ln>
                    <a:extLst>
                      <a:ext uri="{53640926-AAD7-44D8-BBD7-CCE9431645EC}">
                        <a14:shadowObscured xmlns:a14="http://schemas.microsoft.com/office/drawing/2010/main"/>
                      </a:ext>
                    </a:extLst>
                  </pic:spPr>
                </pic:pic>
              </a:graphicData>
            </a:graphic>
          </wp:inline>
        </w:drawing>
      </w:r>
    </w:p>
    <w:p w:rsidR="001333EF" w:rsidRDefault="00457FB0" w:rsidP="00457FB0">
      <w:pPr>
        <w:pStyle w:val="af"/>
        <w:rPr>
          <w:color w:val="222222"/>
          <w:szCs w:val="16"/>
        </w:rPr>
      </w:pPr>
      <w:bookmarkStart w:id="12" w:name="_Ref47801104"/>
      <w:r>
        <w:t xml:space="preserve">Fig. </w:t>
      </w:r>
      <w:fldSimple w:instr=" SEQ Fig. \* ARABIC ">
        <w:r>
          <w:rPr>
            <w:noProof/>
          </w:rPr>
          <w:t>13</w:t>
        </w:r>
      </w:fldSimple>
      <w:bookmarkEnd w:id="12"/>
      <w:r>
        <w:t xml:space="preserve"> </w:t>
      </w:r>
      <w:r w:rsidRPr="00175B1C">
        <w:rPr>
          <w:lang w:eastAsia="zh-CN"/>
        </w:rPr>
        <w:t>Heat outputs of the devices at the 10</w:t>
      </w:r>
      <w:r w:rsidRPr="00175B1C">
        <w:rPr>
          <w:vertAlign w:val="superscript"/>
          <w:lang w:eastAsia="zh-CN"/>
        </w:rPr>
        <w:t>th</w:t>
      </w:r>
      <w:r w:rsidRPr="00175B1C">
        <w:rPr>
          <w:lang w:eastAsia="zh-CN"/>
        </w:rPr>
        <w:t xml:space="preserve"> planning year in cases </w:t>
      </w:r>
      <w:r>
        <w:rPr>
          <w:lang w:eastAsia="zh-CN"/>
        </w:rPr>
        <w:t>1</w:t>
      </w:r>
      <w:r w:rsidRPr="00175B1C">
        <w:rPr>
          <w:lang w:eastAsia="zh-CN"/>
        </w:rPr>
        <w:t>-</w:t>
      </w:r>
      <w:r>
        <w:rPr>
          <w:lang w:eastAsia="zh-CN"/>
        </w:rPr>
        <w:t>3</w:t>
      </w:r>
    </w:p>
    <w:p w:rsidR="00F1318D" w:rsidRPr="005808E7" w:rsidRDefault="00F1318D" w:rsidP="00F1318D">
      <w:pPr>
        <w:pStyle w:val="2"/>
        <w:spacing w:line="240" w:lineRule="exact"/>
      </w:pPr>
      <w:r>
        <w:t>Practical-scale IEHS</w:t>
      </w:r>
    </w:p>
    <w:p w:rsidR="00F1318D" w:rsidRDefault="00F1318D" w:rsidP="00F1318D">
      <w:pPr>
        <w:rPr>
          <w:lang w:eastAsia="zh-CN"/>
        </w:rPr>
      </w:pPr>
      <w:r>
        <w:t xml:space="preserve"> </w:t>
      </w:r>
      <w:r>
        <w:rPr>
          <w:rFonts w:hint="eastAsia"/>
          <w:lang w:eastAsia="zh-CN"/>
        </w:rPr>
        <w:t>T</w:t>
      </w:r>
      <w:r>
        <w:rPr>
          <w:lang w:eastAsia="zh-CN"/>
        </w:rPr>
        <w:t xml:space="preserve">he proposed RO planning model and solution methods are further applied to a real IEHS in Northeastern China which </w:t>
      </w:r>
      <w:r>
        <w:rPr>
          <w:lang w:eastAsia="zh-CN"/>
        </w:rPr>
        <w:t>composed of a provincial-level PTS and 5 city-level DHS</w:t>
      </w:r>
      <w:r w:rsidR="004E7971">
        <w:rPr>
          <w:lang w:eastAsia="zh-CN"/>
        </w:rPr>
        <w:t>s</w:t>
      </w:r>
      <w:r>
        <w:rPr>
          <w:lang w:eastAsia="zh-CN"/>
        </w:rPr>
        <w:t xml:space="preserve"> [4]. The </w:t>
      </w:r>
      <w:r w:rsidR="004E7971">
        <w:rPr>
          <w:lang w:eastAsia="zh-CN"/>
        </w:rPr>
        <w:t xml:space="preserve">existing components in </w:t>
      </w:r>
      <w:r>
        <w:rPr>
          <w:lang w:eastAsia="zh-CN"/>
        </w:rPr>
        <w:t xml:space="preserve">real test system include 16 non-CHP thermal generators, </w:t>
      </w:r>
      <w:r w:rsidR="004E7971">
        <w:rPr>
          <w:lang w:eastAsia="zh-CN"/>
        </w:rPr>
        <w:t>2</w:t>
      </w:r>
      <w:r>
        <w:rPr>
          <w:lang w:eastAsia="zh-CN"/>
        </w:rPr>
        <w:t>2 wind farms, 3</w:t>
      </w:r>
      <w:r w:rsidR="004E7971">
        <w:rPr>
          <w:lang w:eastAsia="zh-CN"/>
        </w:rPr>
        <w:t>81</w:t>
      </w:r>
      <w:r>
        <w:rPr>
          <w:lang w:eastAsia="zh-CN"/>
        </w:rPr>
        <w:t xml:space="preserve"> transmission lines and 25 heat pipelines. </w:t>
      </w:r>
      <w:r w:rsidR="004E7971">
        <w:rPr>
          <w:lang w:eastAsia="zh-CN"/>
        </w:rPr>
        <w:t>Candidate assets comprise</w:t>
      </w:r>
      <w:r>
        <w:rPr>
          <w:lang w:eastAsia="zh-CN"/>
        </w:rPr>
        <w:t xml:space="preserve"> of 20 non-CHP thermal generators, 17 CHP units, </w:t>
      </w:r>
      <w:r w:rsidR="009B0353">
        <w:rPr>
          <w:lang w:eastAsia="zh-CN"/>
        </w:rPr>
        <w:t>85</w:t>
      </w:r>
      <w:r>
        <w:rPr>
          <w:lang w:eastAsia="zh-CN"/>
        </w:rPr>
        <w:t xml:space="preserve"> </w:t>
      </w:r>
      <w:r w:rsidR="009B0353">
        <w:rPr>
          <w:lang w:eastAsia="zh-CN"/>
        </w:rPr>
        <w:t xml:space="preserve">transmission </w:t>
      </w:r>
      <w:r>
        <w:rPr>
          <w:lang w:eastAsia="zh-CN"/>
        </w:rPr>
        <w:t xml:space="preserve">lines and 18 pipelines. A 10-year planning horizon </w:t>
      </w:r>
      <w:r w:rsidR="002B5816">
        <w:rPr>
          <w:rFonts w:hint="eastAsia"/>
          <w:lang w:eastAsia="zh-CN"/>
        </w:rPr>
        <w:t>is</w:t>
      </w:r>
      <w:r w:rsidR="002B5816">
        <w:rPr>
          <w:lang w:eastAsia="zh-CN"/>
        </w:rPr>
        <w:t xml:space="preserve"> carried out with the same</w:t>
      </w:r>
      <w:r>
        <w:rPr>
          <w:lang w:eastAsia="zh-CN"/>
        </w:rPr>
        <w:t xml:space="preserve"> 5 load bl</w:t>
      </w:r>
      <w:r w:rsidR="002B5816">
        <w:rPr>
          <w:lang w:eastAsia="zh-CN"/>
        </w:rPr>
        <w:t>ocks as small-scale IEHS in each year</w:t>
      </w:r>
      <w:r>
        <w:rPr>
          <w:lang w:eastAsia="zh-CN"/>
        </w:rPr>
        <w:t xml:space="preserve">. Peak electric load, heat load in the first planning year are respectively </w:t>
      </w:r>
      <w:r w:rsidR="0020706A">
        <w:rPr>
          <w:lang w:eastAsia="zh-CN"/>
        </w:rPr>
        <w:t>9950.95</w:t>
      </w:r>
      <w:r>
        <w:rPr>
          <w:lang w:eastAsia="zh-CN"/>
        </w:rPr>
        <w:t xml:space="preserve"> MW and </w:t>
      </w:r>
      <w:r w:rsidR="0020706A">
        <w:rPr>
          <w:lang w:eastAsia="zh-CN"/>
        </w:rPr>
        <w:t>2057</w:t>
      </w:r>
      <w:r>
        <w:rPr>
          <w:lang w:eastAsia="zh-CN"/>
        </w:rPr>
        <w:t xml:space="preserve"> MW. Other parameters are the same as the </w:t>
      </w:r>
      <w:r w:rsidR="0020706A">
        <w:rPr>
          <w:lang w:eastAsia="zh-CN"/>
        </w:rPr>
        <w:t>small-scale</w:t>
      </w:r>
      <w:r>
        <w:rPr>
          <w:lang w:eastAsia="zh-CN"/>
        </w:rPr>
        <w:t xml:space="preserve"> IEHS.</w:t>
      </w:r>
    </w:p>
    <w:p w:rsidR="002B5816" w:rsidRDefault="002B5816" w:rsidP="002B5816">
      <w:pPr>
        <w:pStyle w:val="af9"/>
      </w:pPr>
      <w:bookmarkStart w:id="13" w:name="_Ref47970135"/>
      <w:r>
        <w:t xml:space="preserve">TABLE </w:t>
      </w:r>
      <w:fldSimple w:instr=" SEQ TABLE \* ROMAN ">
        <w:r w:rsidR="00962E40">
          <w:rPr>
            <w:noProof/>
          </w:rPr>
          <w:t>II</w:t>
        </w:r>
      </w:fldSimple>
      <w:bookmarkEnd w:id="13"/>
    </w:p>
    <w:p w:rsidR="00E307A5" w:rsidRPr="00132885" w:rsidRDefault="00E307A5" w:rsidP="002B5816">
      <w:pPr>
        <w:pStyle w:val="af9"/>
      </w:pPr>
      <w:r w:rsidRPr="00132885">
        <w:t>Average Mass Flow error/Heat Quantity Error of different cases</w:t>
      </w:r>
    </w:p>
    <w:tbl>
      <w:tblPr>
        <w:tblStyle w:val="af5"/>
        <w:tblW w:w="0" w:type="auto"/>
        <w:tblBorders>
          <w:top w:val="double" w:sz="4"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710"/>
        <w:gridCol w:w="696"/>
        <w:gridCol w:w="710"/>
        <w:gridCol w:w="794"/>
        <w:gridCol w:w="710"/>
        <w:gridCol w:w="670"/>
      </w:tblGrid>
      <w:tr w:rsidR="00E307A5" w:rsidTr="00782E39">
        <w:tc>
          <w:tcPr>
            <w:tcW w:w="750" w:type="dxa"/>
            <w:vMerge w:val="restart"/>
            <w:vAlign w:val="center"/>
          </w:tcPr>
          <w:p w:rsidR="00E307A5" w:rsidRDefault="00E307A5" w:rsidP="00782E39">
            <w:pPr>
              <w:pStyle w:val="afa"/>
            </w:pPr>
            <w:r>
              <w:t>Case</w:t>
            </w:r>
          </w:p>
        </w:tc>
        <w:tc>
          <w:tcPr>
            <w:tcW w:w="1382" w:type="dxa"/>
            <w:gridSpan w:val="2"/>
            <w:tcBorders>
              <w:bottom w:val="single" w:sz="4" w:space="0" w:color="auto"/>
            </w:tcBorders>
            <w:vAlign w:val="center"/>
          </w:tcPr>
          <w:p w:rsidR="00E307A5" w:rsidRDefault="00E307A5" w:rsidP="00782E39">
            <w:pPr>
              <w:pStyle w:val="afa"/>
            </w:pPr>
            <w:r>
              <w:t>Case 1</w:t>
            </w:r>
          </w:p>
        </w:tc>
        <w:tc>
          <w:tcPr>
            <w:tcW w:w="1528" w:type="dxa"/>
            <w:gridSpan w:val="2"/>
            <w:tcBorders>
              <w:bottom w:val="single" w:sz="4" w:space="0" w:color="auto"/>
            </w:tcBorders>
            <w:vAlign w:val="center"/>
          </w:tcPr>
          <w:p w:rsidR="00E307A5" w:rsidRDefault="00E307A5" w:rsidP="00782E39">
            <w:pPr>
              <w:pStyle w:val="afa"/>
            </w:pPr>
            <w:r>
              <w:t>Case 2</w:t>
            </w:r>
          </w:p>
        </w:tc>
        <w:tc>
          <w:tcPr>
            <w:tcW w:w="1380" w:type="dxa"/>
            <w:gridSpan w:val="2"/>
            <w:tcBorders>
              <w:bottom w:val="single" w:sz="4" w:space="0" w:color="auto"/>
            </w:tcBorders>
            <w:vAlign w:val="center"/>
          </w:tcPr>
          <w:p w:rsidR="00E307A5" w:rsidRDefault="00E307A5" w:rsidP="00782E39">
            <w:pPr>
              <w:pStyle w:val="afa"/>
            </w:pPr>
            <w:r>
              <w:t>Case 3</w:t>
            </w:r>
          </w:p>
        </w:tc>
      </w:tr>
      <w:tr w:rsidR="00E307A5" w:rsidTr="00782E39">
        <w:tc>
          <w:tcPr>
            <w:tcW w:w="750" w:type="dxa"/>
            <w:vMerge/>
            <w:tcBorders>
              <w:bottom w:val="single" w:sz="4" w:space="0" w:color="auto"/>
            </w:tcBorders>
            <w:vAlign w:val="center"/>
          </w:tcPr>
          <w:p w:rsidR="00E307A5" w:rsidRDefault="00E307A5" w:rsidP="00782E39">
            <w:pPr>
              <w:pStyle w:val="afa"/>
            </w:pPr>
          </w:p>
        </w:tc>
        <w:tc>
          <w:tcPr>
            <w:tcW w:w="686" w:type="dxa"/>
            <w:tcBorders>
              <w:top w:val="single" w:sz="4" w:space="0" w:color="auto"/>
              <w:bottom w:val="single" w:sz="4" w:space="0" w:color="auto"/>
            </w:tcBorders>
            <w:vAlign w:val="center"/>
          </w:tcPr>
          <w:p w:rsidR="00E307A5" w:rsidRDefault="00E307A5" w:rsidP="00782E39">
            <w:pPr>
              <w:pStyle w:val="afa"/>
            </w:pPr>
            <w:r>
              <w:rPr>
                <w:rFonts w:hint="eastAsia"/>
              </w:rPr>
              <w:t>D</w:t>
            </w:r>
            <w:r>
              <w:t>irect</w:t>
            </w:r>
          </w:p>
        </w:tc>
        <w:tc>
          <w:tcPr>
            <w:tcW w:w="696" w:type="dxa"/>
            <w:tcBorders>
              <w:top w:val="single" w:sz="4" w:space="0" w:color="auto"/>
              <w:bottom w:val="single" w:sz="4" w:space="0" w:color="auto"/>
            </w:tcBorders>
            <w:vAlign w:val="center"/>
          </w:tcPr>
          <w:p w:rsidR="00E307A5" w:rsidRDefault="00E307A5" w:rsidP="00782E39">
            <w:pPr>
              <w:pStyle w:val="afa"/>
            </w:pPr>
            <w:r>
              <w:rPr>
                <w:rFonts w:hint="eastAsia"/>
              </w:rPr>
              <w:t>S</w:t>
            </w:r>
            <w:r>
              <w:t>BT</w:t>
            </w:r>
          </w:p>
        </w:tc>
        <w:tc>
          <w:tcPr>
            <w:tcW w:w="710" w:type="dxa"/>
            <w:tcBorders>
              <w:top w:val="single" w:sz="4" w:space="0" w:color="auto"/>
              <w:bottom w:val="single" w:sz="4" w:space="0" w:color="auto"/>
            </w:tcBorders>
            <w:vAlign w:val="center"/>
          </w:tcPr>
          <w:p w:rsidR="00E307A5" w:rsidRDefault="00E307A5" w:rsidP="00782E39">
            <w:pPr>
              <w:pStyle w:val="afa"/>
            </w:pPr>
            <w:r>
              <w:rPr>
                <w:rFonts w:hint="eastAsia"/>
              </w:rPr>
              <w:t>C</w:t>
            </w:r>
            <w:r>
              <w:t>&amp;CG</w:t>
            </w:r>
          </w:p>
        </w:tc>
        <w:tc>
          <w:tcPr>
            <w:tcW w:w="818" w:type="dxa"/>
            <w:tcBorders>
              <w:top w:val="single" w:sz="4" w:space="0" w:color="auto"/>
              <w:bottom w:val="single" w:sz="4" w:space="0" w:color="auto"/>
            </w:tcBorders>
            <w:vAlign w:val="center"/>
          </w:tcPr>
          <w:p w:rsidR="00E307A5" w:rsidRDefault="00E307A5" w:rsidP="00782E39">
            <w:pPr>
              <w:pStyle w:val="afa"/>
            </w:pPr>
            <w:r>
              <w:rPr>
                <w:rFonts w:hint="eastAsia"/>
              </w:rPr>
              <w:t>C</w:t>
            </w:r>
            <w:r>
              <w:t>&amp;CG</w:t>
            </w:r>
          </w:p>
          <w:p w:rsidR="00E307A5" w:rsidRDefault="00E307A5" w:rsidP="00782E39">
            <w:pPr>
              <w:pStyle w:val="afa"/>
            </w:pPr>
            <w:r>
              <w:rPr>
                <w:rFonts w:hint="eastAsia"/>
              </w:rPr>
              <w:t>+</w:t>
            </w:r>
            <w:r>
              <w:t>SBT</w:t>
            </w:r>
          </w:p>
        </w:tc>
        <w:tc>
          <w:tcPr>
            <w:tcW w:w="710" w:type="dxa"/>
            <w:tcBorders>
              <w:top w:val="single" w:sz="4" w:space="0" w:color="auto"/>
              <w:bottom w:val="single" w:sz="4" w:space="0" w:color="auto"/>
            </w:tcBorders>
            <w:vAlign w:val="center"/>
          </w:tcPr>
          <w:p w:rsidR="00E307A5" w:rsidRDefault="00E307A5" w:rsidP="00782E39">
            <w:pPr>
              <w:pStyle w:val="afa"/>
            </w:pPr>
            <w:r>
              <w:rPr>
                <w:rFonts w:hint="eastAsia"/>
              </w:rPr>
              <w:t>C</w:t>
            </w:r>
            <w:r>
              <w:t>&amp;CG</w:t>
            </w:r>
          </w:p>
        </w:tc>
        <w:tc>
          <w:tcPr>
            <w:tcW w:w="670" w:type="dxa"/>
            <w:tcBorders>
              <w:top w:val="single" w:sz="4" w:space="0" w:color="auto"/>
              <w:bottom w:val="single" w:sz="4" w:space="0" w:color="auto"/>
            </w:tcBorders>
            <w:vAlign w:val="center"/>
          </w:tcPr>
          <w:p w:rsidR="00E307A5" w:rsidRDefault="00E307A5" w:rsidP="00782E39">
            <w:pPr>
              <w:pStyle w:val="afa"/>
            </w:pPr>
            <w:r>
              <w:rPr>
                <w:rFonts w:hint="eastAsia"/>
              </w:rPr>
              <w:t>C</w:t>
            </w:r>
            <w:r>
              <w:t>&amp;CG</w:t>
            </w:r>
          </w:p>
          <w:p w:rsidR="00E307A5" w:rsidRDefault="00E307A5" w:rsidP="00782E39">
            <w:pPr>
              <w:pStyle w:val="afa"/>
            </w:pPr>
            <w:r>
              <w:rPr>
                <w:rFonts w:hint="eastAsia"/>
              </w:rPr>
              <w:t>+</w:t>
            </w:r>
            <w:r>
              <w:t>SBT</w:t>
            </w:r>
          </w:p>
        </w:tc>
      </w:tr>
      <w:tr w:rsidR="00E307A5" w:rsidTr="00782E39">
        <w:tc>
          <w:tcPr>
            <w:tcW w:w="750" w:type="dxa"/>
            <w:tcBorders>
              <w:top w:val="single" w:sz="4" w:space="0" w:color="auto"/>
              <w:bottom w:val="nil"/>
            </w:tcBorders>
            <w:vAlign w:val="center"/>
          </w:tcPr>
          <w:p w:rsidR="00E307A5" w:rsidRDefault="00E307A5" w:rsidP="00782E39">
            <w:pPr>
              <w:pStyle w:val="afa"/>
            </w:pPr>
            <w:r>
              <w:t xml:space="preserve">fluid error </w:t>
            </w:r>
          </w:p>
        </w:tc>
        <w:tc>
          <w:tcPr>
            <w:tcW w:w="686" w:type="dxa"/>
            <w:tcBorders>
              <w:top w:val="single" w:sz="4" w:space="0" w:color="auto"/>
              <w:bottom w:val="nil"/>
            </w:tcBorders>
            <w:vAlign w:val="center"/>
          </w:tcPr>
          <w:p w:rsidR="00E307A5" w:rsidRDefault="00E307A5" w:rsidP="00782E39">
            <w:pPr>
              <w:pStyle w:val="afa"/>
            </w:pPr>
            <w:r>
              <w:rPr>
                <w:rFonts w:hint="eastAsia"/>
              </w:rPr>
              <w:t>2</w:t>
            </w:r>
            <w:r w:rsidR="00B50D03">
              <w:t>5</w:t>
            </w:r>
            <w:r w:rsidR="00B32BDA">
              <w:t>.</w:t>
            </w:r>
            <w:r w:rsidR="00B50D03">
              <w:t>2</w:t>
            </w:r>
            <w:r w:rsidR="003E6720">
              <w:t>2</w:t>
            </w:r>
            <w:r>
              <w:t>%</w:t>
            </w:r>
          </w:p>
        </w:tc>
        <w:tc>
          <w:tcPr>
            <w:tcW w:w="696" w:type="dxa"/>
            <w:tcBorders>
              <w:top w:val="single" w:sz="4" w:space="0" w:color="auto"/>
              <w:bottom w:val="nil"/>
            </w:tcBorders>
            <w:vAlign w:val="center"/>
          </w:tcPr>
          <w:p w:rsidR="00E307A5" w:rsidRDefault="00E307A5" w:rsidP="00782E39">
            <w:pPr>
              <w:pStyle w:val="afa"/>
            </w:pPr>
            <w:r>
              <w:rPr>
                <w:rFonts w:hint="eastAsia"/>
              </w:rPr>
              <w:t>2</w:t>
            </w:r>
            <w:r w:rsidR="00B32BDA">
              <w:t>.</w:t>
            </w:r>
            <w:r w:rsidR="00B50D03">
              <w:t>7</w:t>
            </w:r>
            <w:r>
              <w:t>9%</w:t>
            </w:r>
          </w:p>
        </w:tc>
        <w:tc>
          <w:tcPr>
            <w:tcW w:w="710" w:type="dxa"/>
            <w:tcBorders>
              <w:top w:val="single" w:sz="4" w:space="0" w:color="auto"/>
              <w:bottom w:val="nil"/>
            </w:tcBorders>
            <w:vAlign w:val="center"/>
          </w:tcPr>
          <w:p w:rsidR="00E307A5" w:rsidRDefault="00E307A5" w:rsidP="00782E39">
            <w:pPr>
              <w:pStyle w:val="afa"/>
            </w:pPr>
            <w:r>
              <w:rPr>
                <w:rFonts w:hint="eastAsia"/>
              </w:rPr>
              <w:t>2</w:t>
            </w:r>
            <w:r w:rsidR="00782E39">
              <w:t>5.4</w:t>
            </w:r>
            <w:r w:rsidR="003E6720">
              <w:t>4</w:t>
            </w:r>
            <w:r>
              <w:t>%</w:t>
            </w:r>
          </w:p>
        </w:tc>
        <w:tc>
          <w:tcPr>
            <w:tcW w:w="818" w:type="dxa"/>
            <w:tcBorders>
              <w:top w:val="single" w:sz="4" w:space="0" w:color="auto"/>
              <w:bottom w:val="nil"/>
            </w:tcBorders>
            <w:vAlign w:val="center"/>
          </w:tcPr>
          <w:p w:rsidR="00E307A5" w:rsidRDefault="00E307A5" w:rsidP="00782E39">
            <w:pPr>
              <w:pStyle w:val="afa"/>
            </w:pPr>
            <w:r>
              <w:rPr>
                <w:rFonts w:hint="eastAsia"/>
              </w:rPr>
              <w:t>2</w:t>
            </w:r>
            <w:r w:rsidR="00782E39">
              <w:t>.5</w:t>
            </w:r>
            <w:r>
              <w:t>8%</w:t>
            </w:r>
          </w:p>
        </w:tc>
        <w:tc>
          <w:tcPr>
            <w:tcW w:w="710" w:type="dxa"/>
            <w:tcBorders>
              <w:top w:val="single" w:sz="4" w:space="0" w:color="auto"/>
              <w:bottom w:val="nil"/>
            </w:tcBorders>
            <w:vAlign w:val="center"/>
          </w:tcPr>
          <w:p w:rsidR="00E307A5" w:rsidRDefault="00E307A5" w:rsidP="00782E39">
            <w:pPr>
              <w:pStyle w:val="afa"/>
            </w:pPr>
            <w:r>
              <w:rPr>
                <w:rFonts w:hint="eastAsia"/>
              </w:rPr>
              <w:t>2</w:t>
            </w:r>
            <w:r w:rsidR="003E6720">
              <w:t>5.46</w:t>
            </w:r>
            <w:r>
              <w:t>%</w:t>
            </w:r>
          </w:p>
        </w:tc>
        <w:tc>
          <w:tcPr>
            <w:tcW w:w="670" w:type="dxa"/>
            <w:tcBorders>
              <w:top w:val="single" w:sz="4" w:space="0" w:color="auto"/>
              <w:bottom w:val="nil"/>
            </w:tcBorders>
            <w:vAlign w:val="center"/>
          </w:tcPr>
          <w:p w:rsidR="00E307A5" w:rsidRDefault="00E307A5" w:rsidP="00782E39">
            <w:pPr>
              <w:pStyle w:val="afa"/>
            </w:pPr>
            <w:r>
              <w:rPr>
                <w:rFonts w:hint="eastAsia"/>
              </w:rPr>
              <w:t>2</w:t>
            </w:r>
            <w:r w:rsidR="00695793">
              <w:t>.67</w:t>
            </w:r>
            <w:r>
              <w:t>%</w:t>
            </w:r>
          </w:p>
        </w:tc>
      </w:tr>
      <w:tr w:rsidR="00E307A5" w:rsidTr="00782E39">
        <w:tc>
          <w:tcPr>
            <w:tcW w:w="750" w:type="dxa"/>
            <w:tcBorders>
              <w:top w:val="nil"/>
            </w:tcBorders>
            <w:vAlign w:val="center"/>
          </w:tcPr>
          <w:p w:rsidR="00E307A5" w:rsidRDefault="00E307A5" w:rsidP="00782E39">
            <w:pPr>
              <w:pStyle w:val="afa"/>
            </w:pPr>
            <w:r>
              <w:t xml:space="preserve">source error </w:t>
            </w:r>
          </w:p>
        </w:tc>
        <w:tc>
          <w:tcPr>
            <w:tcW w:w="686" w:type="dxa"/>
            <w:tcBorders>
              <w:top w:val="nil"/>
            </w:tcBorders>
            <w:vAlign w:val="center"/>
          </w:tcPr>
          <w:p w:rsidR="00E307A5" w:rsidRDefault="0026622A" w:rsidP="00782E39">
            <w:pPr>
              <w:pStyle w:val="afa"/>
            </w:pPr>
            <w:r>
              <w:t>1.05</w:t>
            </w:r>
            <w:r w:rsidR="00E307A5">
              <w:t>%</w:t>
            </w:r>
          </w:p>
        </w:tc>
        <w:tc>
          <w:tcPr>
            <w:tcW w:w="696" w:type="dxa"/>
            <w:tcBorders>
              <w:top w:val="nil"/>
            </w:tcBorders>
            <w:vAlign w:val="center"/>
          </w:tcPr>
          <w:p w:rsidR="00E307A5" w:rsidRDefault="00E307A5" w:rsidP="00782E39">
            <w:pPr>
              <w:pStyle w:val="afa"/>
            </w:pPr>
            <w:r>
              <w:t>10</w:t>
            </w:r>
            <w:r>
              <w:rPr>
                <w:vertAlign w:val="superscript"/>
              </w:rPr>
              <w:t>-4</w:t>
            </w:r>
            <w:r>
              <w:t>%</w:t>
            </w:r>
          </w:p>
        </w:tc>
        <w:tc>
          <w:tcPr>
            <w:tcW w:w="710" w:type="dxa"/>
            <w:tcBorders>
              <w:top w:val="nil"/>
            </w:tcBorders>
            <w:vAlign w:val="center"/>
          </w:tcPr>
          <w:p w:rsidR="00E307A5" w:rsidRDefault="001F1F2E" w:rsidP="001F1F2E">
            <w:pPr>
              <w:pStyle w:val="afa"/>
            </w:pPr>
            <w:r>
              <w:t>1</w:t>
            </w:r>
            <w:r w:rsidR="00E307A5">
              <w:t>.</w:t>
            </w:r>
            <w:r>
              <w:t>23</w:t>
            </w:r>
            <w:r w:rsidR="00E307A5">
              <w:t>%</w:t>
            </w:r>
          </w:p>
        </w:tc>
        <w:tc>
          <w:tcPr>
            <w:tcW w:w="818" w:type="dxa"/>
            <w:tcBorders>
              <w:top w:val="nil"/>
            </w:tcBorders>
            <w:vAlign w:val="center"/>
          </w:tcPr>
          <w:p w:rsidR="00E307A5" w:rsidRDefault="00E307A5" w:rsidP="00782E39">
            <w:pPr>
              <w:pStyle w:val="afa"/>
            </w:pPr>
            <w:r>
              <w:t>10</w:t>
            </w:r>
            <w:r>
              <w:rPr>
                <w:vertAlign w:val="superscript"/>
              </w:rPr>
              <w:t>-4</w:t>
            </w:r>
            <w:r>
              <w:t>%</w:t>
            </w:r>
          </w:p>
        </w:tc>
        <w:tc>
          <w:tcPr>
            <w:tcW w:w="710" w:type="dxa"/>
            <w:tcBorders>
              <w:top w:val="nil"/>
            </w:tcBorders>
            <w:vAlign w:val="center"/>
          </w:tcPr>
          <w:p w:rsidR="00E307A5" w:rsidRDefault="003E6720" w:rsidP="00782E39">
            <w:pPr>
              <w:pStyle w:val="afa"/>
            </w:pPr>
            <w:r>
              <w:t>1.21</w:t>
            </w:r>
            <w:r w:rsidR="00E307A5">
              <w:t>%</w:t>
            </w:r>
          </w:p>
        </w:tc>
        <w:tc>
          <w:tcPr>
            <w:tcW w:w="670" w:type="dxa"/>
            <w:tcBorders>
              <w:top w:val="nil"/>
            </w:tcBorders>
            <w:vAlign w:val="center"/>
          </w:tcPr>
          <w:p w:rsidR="00E307A5" w:rsidRDefault="00E307A5" w:rsidP="00782E39">
            <w:pPr>
              <w:pStyle w:val="afa"/>
            </w:pPr>
            <w:r>
              <w:t>10</w:t>
            </w:r>
            <w:r>
              <w:rPr>
                <w:vertAlign w:val="superscript"/>
              </w:rPr>
              <w:t>-4</w:t>
            </w:r>
            <w:r>
              <w:t>%</w:t>
            </w:r>
          </w:p>
        </w:tc>
      </w:tr>
      <w:tr w:rsidR="00E307A5" w:rsidTr="00782E39">
        <w:tc>
          <w:tcPr>
            <w:tcW w:w="750" w:type="dxa"/>
            <w:vAlign w:val="center"/>
          </w:tcPr>
          <w:p w:rsidR="00E307A5" w:rsidRDefault="00E307A5" w:rsidP="00782E39">
            <w:pPr>
              <w:pStyle w:val="afa"/>
            </w:pPr>
            <w:r>
              <w:t xml:space="preserve">load error </w:t>
            </w:r>
          </w:p>
        </w:tc>
        <w:tc>
          <w:tcPr>
            <w:tcW w:w="686" w:type="dxa"/>
            <w:vAlign w:val="center"/>
          </w:tcPr>
          <w:p w:rsidR="00E307A5" w:rsidRDefault="0026622A" w:rsidP="00782E39">
            <w:pPr>
              <w:pStyle w:val="afa"/>
            </w:pPr>
            <w:r>
              <w:t>7.59</w:t>
            </w:r>
            <w:r w:rsidR="00E307A5">
              <w:t>%</w:t>
            </w:r>
          </w:p>
        </w:tc>
        <w:tc>
          <w:tcPr>
            <w:tcW w:w="696" w:type="dxa"/>
            <w:vAlign w:val="center"/>
          </w:tcPr>
          <w:p w:rsidR="00E307A5" w:rsidRDefault="00E307A5" w:rsidP="00B32BDA">
            <w:pPr>
              <w:pStyle w:val="afa"/>
            </w:pPr>
            <w:r>
              <w:t>0.</w:t>
            </w:r>
            <w:r w:rsidR="00B32BDA">
              <w:t>31</w:t>
            </w:r>
            <w:r>
              <w:t>%</w:t>
            </w:r>
          </w:p>
        </w:tc>
        <w:tc>
          <w:tcPr>
            <w:tcW w:w="710" w:type="dxa"/>
            <w:vAlign w:val="center"/>
          </w:tcPr>
          <w:p w:rsidR="00E307A5" w:rsidRDefault="001F1F2E" w:rsidP="001F1F2E">
            <w:pPr>
              <w:pStyle w:val="afa"/>
            </w:pPr>
            <w:r>
              <w:t>5</w:t>
            </w:r>
            <w:r w:rsidR="00E307A5">
              <w:t>.0</w:t>
            </w:r>
            <w:r>
              <w:t>6</w:t>
            </w:r>
            <w:r w:rsidR="00E307A5">
              <w:t>%</w:t>
            </w:r>
          </w:p>
        </w:tc>
        <w:tc>
          <w:tcPr>
            <w:tcW w:w="818" w:type="dxa"/>
            <w:vAlign w:val="center"/>
          </w:tcPr>
          <w:p w:rsidR="00E307A5" w:rsidRDefault="00E307A5" w:rsidP="00782E39">
            <w:pPr>
              <w:pStyle w:val="afa"/>
            </w:pPr>
            <w:r>
              <w:rPr>
                <w:rFonts w:hint="eastAsia"/>
              </w:rPr>
              <w:t>0</w:t>
            </w:r>
            <w:r>
              <w:t>.</w:t>
            </w:r>
            <w:r w:rsidR="00782E39">
              <w:t>28</w:t>
            </w:r>
            <w:r>
              <w:t>%</w:t>
            </w:r>
          </w:p>
        </w:tc>
        <w:tc>
          <w:tcPr>
            <w:tcW w:w="710" w:type="dxa"/>
            <w:vAlign w:val="center"/>
          </w:tcPr>
          <w:p w:rsidR="00E307A5" w:rsidRDefault="00194084" w:rsidP="00782E39">
            <w:pPr>
              <w:pStyle w:val="afa"/>
            </w:pPr>
            <w:r>
              <w:t>7</w:t>
            </w:r>
            <w:r w:rsidR="003E6720">
              <w:t>.</w:t>
            </w:r>
            <w:r>
              <w:t>73</w:t>
            </w:r>
            <w:r w:rsidR="00E307A5">
              <w:t>%</w:t>
            </w:r>
          </w:p>
        </w:tc>
        <w:tc>
          <w:tcPr>
            <w:tcW w:w="670" w:type="dxa"/>
            <w:vAlign w:val="center"/>
          </w:tcPr>
          <w:p w:rsidR="00E307A5" w:rsidRDefault="007C4719" w:rsidP="00782E39">
            <w:pPr>
              <w:pStyle w:val="afa"/>
            </w:pPr>
            <w:r>
              <w:t>0.28</w:t>
            </w:r>
            <w:r w:rsidR="00E307A5">
              <w:t>%</w:t>
            </w:r>
          </w:p>
        </w:tc>
      </w:tr>
      <w:tr w:rsidR="00E307A5" w:rsidTr="00782E39">
        <w:tc>
          <w:tcPr>
            <w:tcW w:w="750" w:type="dxa"/>
            <w:vAlign w:val="center"/>
          </w:tcPr>
          <w:p w:rsidR="00E307A5" w:rsidRDefault="00E307A5" w:rsidP="00782E39">
            <w:pPr>
              <w:pStyle w:val="afa"/>
            </w:pPr>
            <w:r>
              <w:t>Pipeline error</w:t>
            </w:r>
          </w:p>
        </w:tc>
        <w:tc>
          <w:tcPr>
            <w:tcW w:w="686" w:type="dxa"/>
            <w:vAlign w:val="center"/>
          </w:tcPr>
          <w:p w:rsidR="00E307A5" w:rsidRDefault="00E307A5" w:rsidP="00782E39">
            <w:pPr>
              <w:pStyle w:val="afa"/>
            </w:pPr>
            <w:r>
              <w:t>8.22%</w:t>
            </w:r>
          </w:p>
        </w:tc>
        <w:tc>
          <w:tcPr>
            <w:tcW w:w="696" w:type="dxa"/>
            <w:vAlign w:val="center"/>
          </w:tcPr>
          <w:p w:rsidR="00E307A5" w:rsidRDefault="00B32BDA" w:rsidP="00782E39">
            <w:pPr>
              <w:pStyle w:val="afa"/>
            </w:pPr>
            <w:r>
              <w:t>0.13</w:t>
            </w:r>
            <w:r w:rsidR="00E307A5">
              <w:t>%</w:t>
            </w:r>
          </w:p>
        </w:tc>
        <w:tc>
          <w:tcPr>
            <w:tcW w:w="710" w:type="dxa"/>
            <w:vAlign w:val="center"/>
          </w:tcPr>
          <w:p w:rsidR="00E307A5" w:rsidRDefault="001F1F2E" w:rsidP="00782E39">
            <w:pPr>
              <w:pStyle w:val="afa"/>
            </w:pPr>
            <w:r>
              <w:t>6.18</w:t>
            </w:r>
            <w:r w:rsidR="00E307A5">
              <w:t>%</w:t>
            </w:r>
          </w:p>
        </w:tc>
        <w:tc>
          <w:tcPr>
            <w:tcW w:w="818" w:type="dxa"/>
            <w:vAlign w:val="center"/>
          </w:tcPr>
          <w:p w:rsidR="00E307A5" w:rsidRDefault="00E307A5" w:rsidP="00782E39">
            <w:pPr>
              <w:pStyle w:val="afa"/>
            </w:pPr>
            <w:r>
              <w:rPr>
                <w:rFonts w:hint="eastAsia"/>
              </w:rPr>
              <w:t>0</w:t>
            </w:r>
            <w:r>
              <w:t>.</w:t>
            </w:r>
            <w:r w:rsidR="00782E39">
              <w:t>12</w:t>
            </w:r>
            <w:r>
              <w:t>%</w:t>
            </w:r>
          </w:p>
        </w:tc>
        <w:tc>
          <w:tcPr>
            <w:tcW w:w="710" w:type="dxa"/>
            <w:vAlign w:val="center"/>
          </w:tcPr>
          <w:p w:rsidR="00E307A5" w:rsidRDefault="00194084" w:rsidP="00782E39">
            <w:pPr>
              <w:pStyle w:val="afa"/>
            </w:pPr>
            <w:r>
              <w:t>5</w:t>
            </w:r>
            <w:r w:rsidR="003E6720">
              <w:t>.</w:t>
            </w:r>
            <w:r>
              <w:t>91</w:t>
            </w:r>
            <w:r w:rsidR="00E307A5">
              <w:t>%</w:t>
            </w:r>
          </w:p>
        </w:tc>
        <w:tc>
          <w:tcPr>
            <w:tcW w:w="670" w:type="dxa"/>
            <w:vAlign w:val="center"/>
          </w:tcPr>
          <w:p w:rsidR="00E307A5" w:rsidRDefault="007C4719" w:rsidP="00782E39">
            <w:pPr>
              <w:pStyle w:val="afa"/>
            </w:pPr>
            <w:r>
              <w:t>0.12</w:t>
            </w:r>
            <w:r w:rsidR="00E307A5">
              <w:t>%</w:t>
            </w:r>
          </w:p>
        </w:tc>
      </w:tr>
      <w:tr w:rsidR="00E307A5" w:rsidTr="00782E39">
        <w:tc>
          <w:tcPr>
            <w:tcW w:w="750" w:type="dxa"/>
            <w:vAlign w:val="center"/>
          </w:tcPr>
          <w:p w:rsidR="00E307A5" w:rsidRDefault="00E307A5" w:rsidP="00782E39">
            <w:pPr>
              <w:pStyle w:val="afa"/>
            </w:pPr>
            <w:r>
              <w:t>IC(B$)</w:t>
            </w:r>
          </w:p>
        </w:tc>
        <w:tc>
          <w:tcPr>
            <w:tcW w:w="686" w:type="dxa"/>
            <w:vAlign w:val="center"/>
          </w:tcPr>
          <w:p w:rsidR="00E307A5" w:rsidRDefault="00B50D03" w:rsidP="001F1F2E">
            <w:pPr>
              <w:pStyle w:val="afa"/>
            </w:pPr>
            <w:r>
              <w:t>2.01</w:t>
            </w:r>
            <w:r w:rsidR="001F1F2E">
              <w:t>76</w:t>
            </w:r>
          </w:p>
        </w:tc>
        <w:tc>
          <w:tcPr>
            <w:tcW w:w="696" w:type="dxa"/>
            <w:vAlign w:val="center"/>
          </w:tcPr>
          <w:p w:rsidR="00E307A5" w:rsidRDefault="00B50D03" w:rsidP="00782E39">
            <w:pPr>
              <w:pStyle w:val="afa"/>
            </w:pPr>
            <w:r>
              <w:t>2.0168</w:t>
            </w:r>
          </w:p>
        </w:tc>
        <w:tc>
          <w:tcPr>
            <w:tcW w:w="710" w:type="dxa"/>
            <w:vAlign w:val="center"/>
          </w:tcPr>
          <w:p w:rsidR="00E307A5" w:rsidRDefault="00782E39" w:rsidP="001F1F2E">
            <w:pPr>
              <w:pStyle w:val="afa"/>
            </w:pPr>
            <w:r>
              <w:t>2.</w:t>
            </w:r>
            <w:r w:rsidR="001F1F2E">
              <w:t>3005</w:t>
            </w:r>
          </w:p>
        </w:tc>
        <w:tc>
          <w:tcPr>
            <w:tcW w:w="818" w:type="dxa"/>
            <w:vAlign w:val="center"/>
          </w:tcPr>
          <w:p w:rsidR="00E307A5" w:rsidRDefault="00782E39" w:rsidP="00782E39">
            <w:pPr>
              <w:pStyle w:val="afa"/>
            </w:pPr>
            <w:r>
              <w:t>2.2991</w:t>
            </w:r>
          </w:p>
        </w:tc>
        <w:tc>
          <w:tcPr>
            <w:tcW w:w="710" w:type="dxa"/>
            <w:vAlign w:val="center"/>
          </w:tcPr>
          <w:p w:rsidR="00E307A5" w:rsidRDefault="003E6720" w:rsidP="00782E39">
            <w:pPr>
              <w:pStyle w:val="afa"/>
            </w:pPr>
            <w:r>
              <w:t>2.3</w:t>
            </w:r>
            <w:r w:rsidR="00194084">
              <w:t>310</w:t>
            </w:r>
          </w:p>
        </w:tc>
        <w:tc>
          <w:tcPr>
            <w:tcW w:w="670" w:type="dxa"/>
            <w:vAlign w:val="center"/>
          </w:tcPr>
          <w:p w:rsidR="00E307A5" w:rsidRDefault="007C4719" w:rsidP="00DE5B61">
            <w:pPr>
              <w:pStyle w:val="afa"/>
            </w:pPr>
            <w:r>
              <w:t>2.3</w:t>
            </w:r>
            <w:r w:rsidR="00DE5B61">
              <w:t>310</w:t>
            </w:r>
          </w:p>
        </w:tc>
      </w:tr>
      <w:tr w:rsidR="00E307A5" w:rsidTr="00782E39">
        <w:tc>
          <w:tcPr>
            <w:tcW w:w="750" w:type="dxa"/>
            <w:vAlign w:val="center"/>
          </w:tcPr>
          <w:p w:rsidR="00E307A5" w:rsidRDefault="00E307A5" w:rsidP="00782E39">
            <w:pPr>
              <w:pStyle w:val="afa"/>
            </w:pPr>
            <w:r>
              <w:t>OC(B$)</w:t>
            </w:r>
          </w:p>
        </w:tc>
        <w:tc>
          <w:tcPr>
            <w:tcW w:w="686" w:type="dxa"/>
            <w:vAlign w:val="center"/>
          </w:tcPr>
          <w:p w:rsidR="00E307A5" w:rsidRDefault="00B50D03" w:rsidP="0026622A">
            <w:pPr>
              <w:pStyle w:val="afa"/>
            </w:pPr>
            <w:r>
              <w:t>4.888</w:t>
            </w:r>
            <w:r w:rsidR="0026622A">
              <w:t>2</w:t>
            </w:r>
          </w:p>
        </w:tc>
        <w:tc>
          <w:tcPr>
            <w:tcW w:w="696" w:type="dxa"/>
            <w:vAlign w:val="center"/>
          </w:tcPr>
          <w:p w:rsidR="00E307A5" w:rsidRDefault="00B50D03" w:rsidP="00782E39">
            <w:pPr>
              <w:pStyle w:val="afa"/>
            </w:pPr>
            <w:r>
              <w:t>4.8883</w:t>
            </w:r>
          </w:p>
        </w:tc>
        <w:tc>
          <w:tcPr>
            <w:tcW w:w="710" w:type="dxa"/>
            <w:vAlign w:val="center"/>
          </w:tcPr>
          <w:p w:rsidR="00E307A5" w:rsidRDefault="008F12EC" w:rsidP="00782E39">
            <w:pPr>
              <w:pStyle w:val="afa"/>
            </w:pPr>
            <w:r>
              <w:t>5.7</w:t>
            </w:r>
            <w:r w:rsidR="001F1F2E">
              <w:t>284</w:t>
            </w:r>
          </w:p>
        </w:tc>
        <w:tc>
          <w:tcPr>
            <w:tcW w:w="818" w:type="dxa"/>
            <w:vAlign w:val="center"/>
          </w:tcPr>
          <w:p w:rsidR="00E307A5" w:rsidRDefault="00782E39" w:rsidP="00782E39">
            <w:pPr>
              <w:pStyle w:val="afa"/>
            </w:pPr>
            <w:r>
              <w:t>5.7309</w:t>
            </w:r>
          </w:p>
        </w:tc>
        <w:tc>
          <w:tcPr>
            <w:tcW w:w="710" w:type="dxa"/>
            <w:vAlign w:val="center"/>
          </w:tcPr>
          <w:p w:rsidR="00E307A5" w:rsidRDefault="003E6720" w:rsidP="00782E39">
            <w:pPr>
              <w:pStyle w:val="afa"/>
            </w:pPr>
            <w:r>
              <w:t>5.7</w:t>
            </w:r>
            <w:r w:rsidR="00194084">
              <w:t>374</w:t>
            </w:r>
          </w:p>
        </w:tc>
        <w:tc>
          <w:tcPr>
            <w:tcW w:w="670" w:type="dxa"/>
            <w:vAlign w:val="center"/>
          </w:tcPr>
          <w:p w:rsidR="00E307A5" w:rsidRDefault="007C4719" w:rsidP="00782E39">
            <w:pPr>
              <w:pStyle w:val="afa"/>
            </w:pPr>
            <w:r>
              <w:t>5.7</w:t>
            </w:r>
            <w:r w:rsidR="00226BC3">
              <w:t>55</w:t>
            </w:r>
            <w:r w:rsidR="00DE5B61">
              <w:t>4</w:t>
            </w:r>
          </w:p>
        </w:tc>
      </w:tr>
      <w:tr w:rsidR="00E307A5" w:rsidTr="00782E39">
        <w:tc>
          <w:tcPr>
            <w:tcW w:w="750" w:type="dxa"/>
            <w:vAlign w:val="center"/>
          </w:tcPr>
          <w:p w:rsidR="00E307A5" w:rsidRDefault="00E307A5" w:rsidP="00782E39">
            <w:pPr>
              <w:pStyle w:val="afa"/>
            </w:pPr>
            <w:r>
              <w:rPr>
                <w:rFonts w:hint="eastAsia"/>
              </w:rPr>
              <w:t>i</w:t>
            </w:r>
            <w:r>
              <w:t>teration</w:t>
            </w:r>
          </w:p>
        </w:tc>
        <w:tc>
          <w:tcPr>
            <w:tcW w:w="686" w:type="dxa"/>
            <w:vAlign w:val="center"/>
          </w:tcPr>
          <w:p w:rsidR="00E307A5" w:rsidRDefault="00E307A5" w:rsidP="00782E39">
            <w:pPr>
              <w:pStyle w:val="afa"/>
            </w:pPr>
            <w:r>
              <w:rPr>
                <w:rFonts w:hint="eastAsia"/>
              </w:rPr>
              <w:t>-</w:t>
            </w:r>
          </w:p>
        </w:tc>
        <w:tc>
          <w:tcPr>
            <w:tcW w:w="696" w:type="dxa"/>
            <w:vAlign w:val="center"/>
          </w:tcPr>
          <w:p w:rsidR="00E307A5" w:rsidRDefault="002B5816" w:rsidP="00782E39">
            <w:pPr>
              <w:pStyle w:val="afa"/>
            </w:pPr>
            <w:r>
              <w:t>2</w:t>
            </w:r>
            <w:r w:rsidR="00E307A5">
              <w:t>(SBT)</w:t>
            </w:r>
          </w:p>
        </w:tc>
        <w:tc>
          <w:tcPr>
            <w:tcW w:w="710" w:type="dxa"/>
            <w:vAlign w:val="center"/>
          </w:tcPr>
          <w:p w:rsidR="00E307A5" w:rsidRDefault="007748DE" w:rsidP="00782E39">
            <w:pPr>
              <w:pStyle w:val="afa"/>
            </w:pPr>
            <w:r>
              <w:t>3</w:t>
            </w:r>
          </w:p>
        </w:tc>
        <w:tc>
          <w:tcPr>
            <w:tcW w:w="818" w:type="dxa"/>
            <w:vAlign w:val="center"/>
          </w:tcPr>
          <w:p w:rsidR="00E307A5" w:rsidRDefault="00E307A5" w:rsidP="00782E39">
            <w:pPr>
              <w:pStyle w:val="afa"/>
            </w:pPr>
            <w:r>
              <w:rPr>
                <w:rFonts w:hint="eastAsia"/>
              </w:rPr>
              <w:t>3</w:t>
            </w:r>
          </w:p>
        </w:tc>
        <w:tc>
          <w:tcPr>
            <w:tcW w:w="710" w:type="dxa"/>
            <w:vAlign w:val="center"/>
          </w:tcPr>
          <w:p w:rsidR="00E307A5" w:rsidRDefault="007748DE" w:rsidP="00782E39">
            <w:pPr>
              <w:pStyle w:val="afa"/>
            </w:pPr>
            <w:r>
              <w:t>8</w:t>
            </w:r>
          </w:p>
        </w:tc>
        <w:tc>
          <w:tcPr>
            <w:tcW w:w="670" w:type="dxa"/>
            <w:vAlign w:val="center"/>
          </w:tcPr>
          <w:p w:rsidR="00E307A5" w:rsidRDefault="007748DE" w:rsidP="00782E39">
            <w:pPr>
              <w:pStyle w:val="afa"/>
            </w:pPr>
            <w:r>
              <w:t>8</w:t>
            </w:r>
          </w:p>
        </w:tc>
      </w:tr>
      <w:tr w:rsidR="00E307A5" w:rsidTr="00782E39">
        <w:tc>
          <w:tcPr>
            <w:tcW w:w="750" w:type="dxa"/>
            <w:vAlign w:val="center"/>
          </w:tcPr>
          <w:p w:rsidR="00E307A5" w:rsidRDefault="00E307A5" w:rsidP="00782E39">
            <w:pPr>
              <w:pStyle w:val="afa"/>
            </w:pPr>
            <w:r>
              <w:rPr>
                <w:rFonts w:hint="eastAsia"/>
              </w:rPr>
              <w:t>T</w:t>
            </w:r>
            <w:r>
              <w:t>ime(s)</w:t>
            </w:r>
          </w:p>
        </w:tc>
        <w:tc>
          <w:tcPr>
            <w:tcW w:w="686" w:type="dxa"/>
            <w:vAlign w:val="center"/>
          </w:tcPr>
          <w:p w:rsidR="00E307A5" w:rsidRDefault="00E307A5" w:rsidP="001F1F2E">
            <w:pPr>
              <w:pStyle w:val="afa"/>
            </w:pPr>
            <w:r>
              <w:rPr>
                <w:rFonts w:hint="eastAsia"/>
              </w:rPr>
              <w:t>1</w:t>
            </w:r>
            <w:r w:rsidR="001F1F2E">
              <w:t>359</w:t>
            </w:r>
          </w:p>
        </w:tc>
        <w:tc>
          <w:tcPr>
            <w:tcW w:w="696" w:type="dxa"/>
            <w:vAlign w:val="center"/>
          </w:tcPr>
          <w:p w:rsidR="00E307A5" w:rsidRDefault="00B32BDA" w:rsidP="00B50D03">
            <w:pPr>
              <w:pStyle w:val="afa"/>
            </w:pPr>
            <w:r>
              <w:t>2</w:t>
            </w:r>
            <w:r w:rsidR="00B50D03">
              <w:t>547.4</w:t>
            </w:r>
          </w:p>
        </w:tc>
        <w:tc>
          <w:tcPr>
            <w:tcW w:w="710" w:type="dxa"/>
            <w:vAlign w:val="center"/>
          </w:tcPr>
          <w:p w:rsidR="00E307A5" w:rsidRDefault="001F1F2E" w:rsidP="00782E39">
            <w:pPr>
              <w:pStyle w:val="afa"/>
            </w:pPr>
            <w:r>
              <w:t>10942</w:t>
            </w:r>
          </w:p>
        </w:tc>
        <w:tc>
          <w:tcPr>
            <w:tcW w:w="818" w:type="dxa"/>
            <w:vAlign w:val="center"/>
          </w:tcPr>
          <w:p w:rsidR="00E307A5" w:rsidRDefault="00782E39" w:rsidP="00782E39">
            <w:pPr>
              <w:pStyle w:val="afa"/>
            </w:pPr>
            <w:r>
              <w:t>19931</w:t>
            </w:r>
          </w:p>
        </w:tc>
        <w:tc>
          <w:tcPr>
            <w:tcW w:w="710" w:type="dxa"/>
            <w:vAlign w:val="center"/>
          </w:tcPr>
          <w:p w:rsidR="00E307A5" w:rsidRDefault="003E6720" w:rsidP="00194084">
            <w:pPr>
              <w:pStyle w:val="afa"/>
            </w:pPr>
            <w:r>
              <w:t>5</w:t>
            </w:r>
            <w:r w:rsidR="00194084">
              <w:t>7376</w:t>
            </w:r>
          </w:p>
        </w:tc>
        <w:tc>
          <w:tcPr>
            <w:tcW w:w="670" w:type="dxa"/>
            <w:vAlign w:val="center"/>
          </w:tcPr>
          <w:p w:rsidR="00E307A5" w:rsidRDefault="00DE5B61" w:rsidP="00782E39">
            <w:pPr>
              <w:pStyle w:val="afa"/>
            </w:pPr>
            <w:r>
              <w:t>88448</w:t>
            </w:r>
          </w:p>
        </w:tc>
      </w:tr>
    </w:tbl>
    <w:p w:rsidR="00E307A5" w:rsidRDefault="002B5816" w:rsidP="002B5816">
      <w:pPr>
        <w:pStyle w:val="af9"/>
        <w:rPr>
          <w:lang w:eastAsia="zh-CN"/>
        </w:rPr>
      </w:pPr>
      <w:bookmarkStart w:id="14" w:name="_Ref47970182"/>
      <w:r>
        <w:t xml:space="preserve">TABLE </w:t>
      </w:r>
      <w:fldSimple w:instr=" SEQ TABLE \* ROMAN ">
        <w:r w:rsidR="00962E40">
          <w:rPr>
            <w:noProof/>
          </w:rPr>
          <w:t>III</w:t>
        </w:r>
      </w:fldSimple>
      <w:bookmarkEnd w:id="14"/>
    </w:p>
    <w:p w:rsidR="00E307A5" w:rsidRDefault="00E307A5" w:rsidP="002B5816">
      <w:pPr>
        <w:pStyle w:val="af9"/>
      </w:pPr>
      <w:r>
        <w:t>Comparison of Planning Results in Cases 1-3</w:t>
      </w:r>
    </w:p>
    <w:tbl>
      <w:tblPr>
        <w:tblStyle w:val="af5"/>
        <w:tblW w:w="0" w:type="auto"/>
        <w:tblBorders>
          <w:top w:val="double" w:sz="6" w:space="0" w:color="auto"/>
          <w:left w:val="none" w:sz="0" w:space="0" w:color="auto"/>
          <w:bottom w:val="double" w:sz="6" w:space="0" w:color="auto"/>
          <w:right w:val="none" w:sz="0" w:space="0" w:color="auto"/>
          <w:insideH w:val="none" w:sz="0" w:space="0" w:color="auto"/>
          <w:insideV w:val="none" w:sz="0" w:space="0" w:color="auto"/>
        </w:tblBorders>
        <w:tblLook w:val="04A0" w:firstRow="1" w:lastRow="0" w:firstColumn="1" w:lastColumn="0" w:noHBand="0" w:noVBand="1"/>
      </w:tblPr>
      <w:tblGrid>
        <w:gridCol w:w="756"/>
        <w:gridCol w:w="1393"/>
        <w:gridCol w:w="1427"/>
        <w:gridCol w:w="1464"/>
      </w:tblGrid>
      <w:tr w:rsidR="00782E39" w:rsidTr="00782E39">
        <w:tc>
          <w:tcPr>
            <w:tcW w:w="768" w:type="dxa"/>
            <w:tcBorders>
              <w:top w:val="double" w:sz="6" w:space="0" w:color="auto"/>
              <w:bottom w:val="single" w:sz="4" w:space="0" w:color="auto"/>
              <w:right w:val="nil"/>
            </w:tcBorders>
            <w:vAlign w:val="center"/>
          </w:tcPr>
          <w:p w:rsidR="00E307A5" w:rsidRDefault="00E307A5" w:rsidP="00782E39">
            <w:pPr>
              <w:pStyle w:val="afa"/>
            </w:pPr>
            <w:r>
              <w:t>Assets</w:t>
            </w:r>
          </w:p>
        </w:tc>
        <w:tc>
          <w:tcPr>
            <w:tcW w:w="1394" w:type="dxa"/>
            <w:tcBorders>
              <w:top w:val="double" w:sz="6" w:space="0" w:color="auto"/>
              <w:left w:val="nil"/>
              <w:bottom w:val="single" w:sz="4" w:space="0" w:color="auto"/>
              <w:right w:val="nil"/>
            </w:tcBorders>
            <w:vAlign w:val="center"/>
          </w:tcPr>
          <w:p w:rsidR="00E307A5" w:rsidRDefault="00E307A5" w:rsidP="00782E39">
            <w:pPr>
              <w:pStyle w:val="afa"/>
            </w:pPr>
            <w:r>
              <w:t xml:space="preserve">Case </w:t>
            </w:r>
            <w:r>
              <w:rPr>
                <w:rFonts w:hint="eastAsia"/>
              </w:rPr>
              <w:t>1</w:t>
            </w:r>
          </w:p>
        </w:tc>
        <w:tc>
          <w:tcPr>
            <w:tcW w:w="1392" w:type="dxa"/>
            <w:tcBorders>
              <w:top w:val="double" w:sz="6" w:space="0" w:color="auto"/>
              <w:left w:val="nil"/>
              <w:bottom w:val="single" w:sz="4" w:space="0" w:color="auto"/>
              <w:right w:val="nil"/>
            </w:tcBorders>
            <w:vAlign w:val="center"/>
          </w:tcPr>
          <w:p w:rsidR="00E307A5" w:rsidRDefault="00E307A5" w:rsidP="00782E39">
            <w:pPr>
              <w:pStyle w:val="afa"/>
            </w:pPr>
            <w:r>
              <w:t xml:space="preserve">Case </w:t>
            </w:r>
            <w:r>
              <w:rPr>
                <w:rFonts w:hint="eastAsia"/>
              </w:rPr>
              <w:t>2</w:t>
            </w:r>
          </w:p>
        </w:tc>
        <w:tc>
          <w:tcPr>
            <w:tcW w:w="1486" w:type="dxa"/>
            <w:tcBorders>
              <w:top w:val="double" w:sz="6" w:space="0" w:color="auto"/>
              <w:left w:val="nil"/>
              <w:bottom w:val="single" w:sz="4" w:space="0" w:color="auto"/>
            </w:tcBorders>
            <w:vAlign w:val="center"/>
          </w:tcPr>
          <w:p w:rsidR="00E307A5" w:rsidRDefault="00E307A5" w:rsidP="00782E39">
            <w:pPr>
              <w:pStyle w:val="afa"/>
            </w:pPr>
            <w:r>
              <w:t xml:space="preserve">Case </w:t>
            </w:r>
            <w:r>
              <w:rPr>
                <w:rFonts w:hint="eastAsia"/>
              </w:rPr>
              <w:t>3</w:t>
            </w:r>
          </w:p>
        </w:tc>
      </w:tr>
      <w:tr w:rsidR="00782E39" w:rsidTr="00782E39">
        <w:tc>
          <w:tcPr>
            <w:tcW w:w="768" w:type="dxa"/>
            <w:tcBorders>
              <w:top w:val="single" w:sz="4" w:space="0" w:color="auto"/>
              <w:bottom w:val="nil"/>
              <w:right w:val="nil"/>
            </w:tcBorders>
            <w:vAlign w:val="center"/>
          </w:tcPr>
          <w:p w:rsidR="00E307A5" w:rsidRDefault="00E307A5" w:rsidP="00782E39">
            <w:pPr>
              <w:pStyle w:val="afa"/>
            </w:pPr>
            <w:r>
              <w:rPr>
                <w:rFonts w:hint="eastAsia"/>
              </w:rPr>
              <w:t>Non-CHP</w:t>
            </w:r>
          </w:p>
        </w:tc>
        <w:tc>
          <w:tcPr>
            <w:tcW w:w="1394" w:type="dxa"/>
            <w:tcBorders>
              <w:top w:val="single" w:sz="4" w:space="0" w:color="auto"/>
              <w:left w:val="nil"/>
              <w:bottom w:val="nil"/>
              <w:right w:val="nil"/>
            </w:tcBorders>
            <w:vAlign w:val="center"/>
          </w:tcPr>
          <w:p w:rsidR="00E307A5" w:rsidRPr="00B50D03" w:rsidRDefault="00E307A5" w:rsidP="00782E39">
            <w:pPr>
              <w:pStyle w:val="afa"/>
            </w:pPr>
            <w:r>
              <w:rPr>
                <w:rFonts w:hint="eastAsia"/>
              </w:rPr>
              <w:t>G</w:t>
            </w:r>
            <w:r w:rsidR="00B50D03">
              <w:rPr>
                <w:vertAlign w:val="subscript"/>
              </w:rPr>
              <w:t>2,8</w:t>
            </w:r>
            <w:r>
              <w:t>,G</w:t>
            </w:r>
            <w:r w:rsidR="00B50D03">
              <w:rPr>
                <w:vertAlign w:val="subscript"/>
              </w:rPr>
              <w:t>3,6</w:t>
            </w:r>
            <w:r>
              <w:t>,G</w:t>
            </w:r>
            <w:r w:rsidR="00B50D03">
              <w:rPr>
                <w:vertAlign w:val="subscript"/>
              </w:rPr>
              <w:t>6,7</w:t>
            </w:r>
            <w:r>
              <w:t>,</w:t>
            </w:r>
            <w:r w:rsidR="00B50D03">
              <w:t>G</w:t>
            </w:r>
            <w:r w:rsidR="00B50D03">
              <w:rPr>
                <w:vertAlign w:val="subscript"/>
              </w:rPr>
              <w:t>7,3</w:t>
            </w:r>
            <w:r w:rsidR="00B50D03">
              <w:t>,</w:t>
            </w:r>
          </w:p>
          <w:p w:rsidR="00B50D03" w:rsidRDefault="00E307A5" w:rsidP="00782E39">
            <w:pPr>
              <w:pStyle w:val="afa"/>
            </w:pPr>
            <w:r>
              <w:t>G</w:t>
            </w:r>
            <w:r w:rsidR="00B50D03">
              <w:rPr>
                <w:vertAlign w:val="subscript"/>
              </w:rPr>
              <w:t>10,5</w:t>
            </w:r>
            <w:r>
              <w:t>,G</w:t>
            </w:r>
            <w:r w:rsidR="00B50D03">
              <w:rPr>
                <w:vertAlign w:val="subscript"/>
              </w:rPr>
              <w:t>11,9</w:t>
            </w:r>
            <w:r w:rsidR="00B50D03">
              <w:t>,G</w:t>
            </w:r>
            <w:r w:rsidR="00B50D03">
              <w:rPr>
                <w:vertAlign w:val="subscript"/>
              </w:rPr>
              <w:t>12,9</w:t>
            </w:r>
            <w:r w:rsidR="00B50D03">
              <w:t>,</w:t>
            </w:r>
          </w:p>
          <w:p w:rsidR="00B50D03" w:rsidRDefault="00B50D03" w:rsidP="00B50D03">
            <w:pPr>
              <w:pStyle w:val="afa"/>
            </w:pPr>
            <w:r>
              <w:t>G</w:t>
            </w:r>
            <w:r>
              <w:rPr>
                <w:vertAlign w:val="subscript"/>
              </w:rPr>
              <w:t>13,8</w:t>
            </w:r>
            <w:r>
              <w:t>,G</w:t>
            </w:r>
            <w:r>
              <w:rPr>
                <w:vertAlign w:val="subscript"/>
              </w:rPr>
              <w:t>16,1</w:t>
            </w:r>
            <w:r>
              <w:t>,G</w:t>
            </w:r>
            <w:r>
              <w:rPr>
                <w:vertAlign w:val="subscript"/>
              </w:rPr>
              <w:t>17,10</w:t>
            </w:r>
          </w:p>
          <w:p w:rsidR="00B50D03" w:rsidRPr="00DF7778" w:rsidRDefault="00B50D03" w:rsidP="00B50D03">
            <w:pPr>
              <w:pStyle w:val="afa"/>
              <w:rPr>
                <w:rFonts w:hint="eastAsia"/>
              </w:rPr>
            </w:pPr>
            <w:r>
              <w:rPr>
                <w:rFonts w:hint="eastAsia"/>
              </w:rPr>
              <w:t>G</w:t>
            </w:r>
            <w:r>
              <w:rPr>
                <w:vertAlign w:val="subscript"/>
              </w:rPr>
              <w:t>18,2</w:t>
            </w:r>
            <w:r>
              <w:t>,G</w:t>
            </w:r>
            <w:r>
              <w:rPr>
                <w:vertAlign w:val="subscript"/>
              </w:rPr>
              <w:t>20,2</w:t>
            </w:r>
            <w:r w:rsidR="00DF7778">
              <w:t xml:space="preserve"> (12)</w:t>
            </w:r>
          </w:p>
        </w:tc>
        <w:tc>
          <w:tcPr>
            <w:tcW w:w="1392" w:type="dxa"/>
            <w:tcBorders>
              <w:top w:val="single" w:sz="4" w:space="0" w:color="auto"/>
              <w:left w:val="nil"/>
              <w:bottom w:val="nil"/>
              <w:right w:val="nil"/>
            </w:tcBorders>
            <w:vAlign w:val="center"/>
          </w:tcPr>
          <w:p w:rsidR="00782E39" w:rsidRDefault="00782E39" w:rsidP="00782E39">
            <w:pPr>
              <w:pStyle w:val="afa"/>
            </w:pPr>
            <w:r>
              <w:t>G</w:t>
            </w:r>
            <w:r w:rsidR="00962E40">
              <w:rPr>
                <w:vertAlign w:val="subscript"/>
              </w:rPr>
              <w:t>1,6</w:t>
            </w:r>
            <w:r>
              <w:t>,</w:t>
            </w:r>
            <w:r>
              <w:rPr>
                <w:rFonts w:hint="eastAsia"/>
              </w:rPr>
              <w:t>G</w:t>
            </w:r>
            <w:r>
              <w:rPr>
                <w:vertAlign w:val="subscript"/>
              </w:rPr>
              <w:t>2,9</w:t>
            </w:r>
            <w:r>
              <w:t>,G</w:t>
            </w:r>
            <w:r>
              <w:rPr>
                <w:vertAlign w:val="subscript"/>
              </w:rPr>
              <w:t>3,3</w:t>
            </w:r>
            <w:r>
              <w:t>,G</w:t>
            </w:r>
            <w:r>
              <w:rPr>
                <w:vertAlign w:val="subscript"/>
              </w:rPr>
              <w:t>4,8</w:t>
            </w:r>
            <w:r>
              <w:t>,</w:t>
            </w:r>
          </w:p>
          <w:p w:rsidR="00782E39" w:rsidRPr="00782E39" w:rsidRDefault="00782E39" w:rsidP="00782E39">
            <w:pPr>
              <w:pStyle w:val="afa"/>
            </w:pPr>
            <w:r>
              <w:t>G</w:t>
            </w:r>
            <w:r>
              <w:rPr>
                <w:vertAlign w:val="subscript"/>
              </w:rPr>
              <w:t>5,10</w:t>
            </w:r>
            <w:r>
              <w:t>,G</w:t>
            </w:r>
            <w:r>
              <w:rPr>
                <w:vertAlign w:val="subscript"/>
              </w:rPr>
              <w:t>6,</w:t>
            </w:r>
            <w:r w:rsidR="00962E40">
              <w:rPr>
                <w:vertAlign w:val="subscript"/>
              </w:rPr>
              <w:t>4</w:t>
            </w:r>
            <w:r>
              <w:t>,G</w:t>
            </w:r>
            <w:r>
              <w:rPr>
                <w:vertAlign w:val="subscript"/>
              </w:rPr>
              <w:t>7,1</w:t>
            </w:r>
            <w:r>
              <w:t>,G</w:t>
            </w:r>
            <w:r>
              <w:rPr>
                <w:vertAlign w:val="subscript"/>
              </w:rPr>
              <w:t>9,10</w:t>
            </w:r>
          </w:p>
          <w:p w:rsidR="00782E39" w:rsidRDefault="00782E39" w:rsidP="00782E39">
            <w:pPr>
              <w:pStyle w:val="afa"/>
            </w:pPr>
            <w:r>
              <w:t>G</w:t>
            </w:r>
            <w:r>
              <w:rPr>
                <w:vertAlign w:val="subscript"/>
              </w:rPr>
              <w:t>10,5</w:t>
            </w:r>
            <w:r>
              <w:t>,G</w:t>
            </w:r>
            <w:r>
              <w:rPr>
                <w:vertAlign w:val="subscript"/>
              </w:rPr>
              <w:t>13,5</w:t>
            </w:r>
            <w:r>
              <w:t>,G</w:t>
            </w:r>
            <w:r>
              <w:rPr>
                <w:vertAlign w:val="subscript"/>
              </w:rPr>
              <w:t>14,10</w:t>
            </w:r>
            <w:r>
              <w:t>,</w:t>
            </w:r>
          </w:p>
          <w:p w:rsidR="00782E39" w:rsidRPr="00782E39" w:rsidRDefault="00782E39" w:rsidP="00782E39">
            <w:pPr>
              <w:pStyle w:val="afa"/>
              <w:rPr>
                <w:vertAlign w:val="subscript"/>
              </w:rPr>
            </w:pPr>
            <w:r>
              <w:t>G</w:t>
            </w:r>
            <w:r>
              <w:rPr>
                <w:vertAlign w:val="subscript"/>
              </w:rPr>
              <w:t>16,1</w:t>
            </w:r>
            <w:r>
              <w:t>,G</w:t>
            </w:r>
            <w:r>
              <w:rPr>
                <w:vertAlign w:val="subscript"/>
              </w:rPr>
              <w:t>17,7</w:t>
            </w:r>
          </w:p>
          <w:p w:rsidR="00E307A5" w:rsidRPr="00DF7778" w:rsidRDefault="00782E39" w:rsidP="00B2054F">
            <w:pPr>
              <w:pStyle w:val="afa"/>
            </w:pPr>
            <w:r>
              <w:rPr>
                <w:rFonts w:hint="eastAsia"/>
              </w:rPr>
              <w:t>G</w:t>
            </w:r>
            <w:r>
              <w:rPr>
                <w:vertAlign w:val="subscript"/>
              </w:rPr>
              <w:t>18,</w:t>
            </w:r>
            <w:r w:rsidR="00B2054F">
              <w:rPr>
                <w:vertAlign w:val="subscript"/>
              </w:rPr>
              <w:t>1</w:t>
            </w:r>
            <w:r>
              <w:t>,G</w:t>
            </w:r>
            <w:r w:rsidR="00B2054F">
              <w:rPr>
                <w:vertAlign w:val="subscript"/>
              </w:rPr>
              <w:t>20,1</w:t>
            </w:r>
            <w:r w:rsidR="00DF7778">
              <w:t xml:space="preserve"> (15)</w:t>
            </w:r>
          </w:p>
        </w:tc>
        <w:tc>
          <w:tcPr>
            <w:tcW w:w="1486" w:type="dxa"/>
            <w:tcBorders>
              <w:top w:val="single" w:sz="4" w:space="0" w:color="auto"/>
              <w:left w:val="nil"/>
              <w:bottom w:val="nil"/>
            </w:tcBorders>
            <w:vAlign w:val="center"/>
          </w:tcPr>
          <w:p w:rsidR="007C4719" w:rsidRDefault="007C4719" w:rsidP="007C4719">
            <w:pPr>
              <w:pStyle w:val="afa"/>
            </w:pPr>
            <w:r>
              <w:t>G</w:t>
            </w:r>
            <w:r>
              <w:rPr>
                <w:vertAlign w:val="subscript"/>
              </w:rPr>
              <w:t>1,8</w:t>
            </w:r>
            <w:r>
              <w:t>,</w:t>
            </w:r>
            <w:r>
              <w:rPr>
                <w:rFonts w:hint="eastAsia"/>
              </w:rPr>
              <w:t>G</w:t>
            </w:r>
            <w:r>
              <w:rPr>
                <w:vertAlign w:val="subscript"/>
              </w:rPr>
              <w:t>2,9</w:t>
            </w:r>
            <w:r>
              <w:t>,G</w:t>
            </w:r>
            <w:r>
              <w:rPr>
                <w:vertAlign w:val="subscript"/>
              </w:rPr>
              <w:t>3,1</w:t>
            </w:r>
            <w:r>
              <w:t>,G</w:t>
            </w:r>
            <w:r>
              <w:rPr>
                <w:vertAlign w:val="subscript"/>
              </w:rPr>
              <w:t>4</w:t>
            </w:r>
            <w:r w:rsidR="00DE5B61">
              <w:rPr>
                <w:vertAlign w:val="subscript"/>
              </w:rPr>
              <w:t>,4</w:t>
            </w:r>
            <w:r>
              <w:t>,</w:t>
            </w:r>
          </w:p>
          <w:p w:rsidR="007C4719" w:rsidRDefault="007C4719" w:rsidP="007C4719">
            <w:pPr>
              <w:pStyle w:val="afa"/>
            </w:pPr>
            <w:r>
              <w:t>G</w:t>
            </w:r>
            <w:r>
              <w:rPr>
                <w:vertAlign w:val="subscript"/>
              </w:rPr>
              <w:t>5,10</w:t>
            </w:r>
            <w:r>
              <w:t>,G</w:t>
            </w:r>
            <w:r>
              <w:rPr>
                <w:vertAlign w:val="subscript"/>
              </w:rPr>
              <w:t>6,3</w:t>
            </w:r>
            <w:r>
              <w:t>,G</w:t>
            </w:r>
            <w:r>
              <w:rPr>
                <w:vertAlign w:val="subscript"/>
              </w:rPr>
              <w:t>7,1</w:t>
            </w:r>
            <w:r>
              <w:t>,G</w:t>
            </w:r>
            <w:r>
              <w:rPr>
                <w:vertAlign w:val="subscript"/>
              </w:rPr>
              <w:t>10,</w:t>
            </w:r>
            <w:r w:rsidR="00DE5B61">
              <w:rPr>
                <w:vertAlign w:val="subscript"/>
              </w:rPr>
              <w:t>9</w:t>
            </w:r>
            <w:r>
              <w:t>,</w:t>
            </w:r>
          </w:p>
          <w:p w:rsidR="007C4719" w:rsidRDefault="007C4719" w:rsidP="007C4719">
            <w:pPr>
              <w:pStyle w:val="afa"/>
            </w:pPr>
            <w:r>
              <w:t>G</w:t>
            </w:r>
            <w:r>
              <w:rPr>
                <w:vertAlign w:val="subscript"/>
              </w:rPr>
              <w:t>12,9</w:t>
            </w:r>
            <w:r>
              <w:t>,G</w:t>
            </w:r>
            <w:r>
              <w:rPr>
                <w:vertAlign w:val="subscript"/>
              </w:rPr>
              <w:t>13,5</w:t>
            </w:r>
            <w:r>
              <w:t>,G</w:t>
            </w:r>
            <w:r>
              <w:rPr>
                <w:vertAlign w:val="subscript"/>
              </w:rPr>
              <w:t>14,10</w:t>
            </w:r>
            <w:r>
              <w:t>,</w:t>
            </w:r>
          </w:p>
          <w:p w:rsidR="007C4719" w:rsidRPr="00782E39" w:rsidRDefault="007C4719" w:rsidP="007C4719">
            <w:pPr>
              <w:pStyle w:val="afa"/>
              <w:rPr>
                <w:vertAlign w:val="subscript"/>
              </w:rPr>
            </w:pPr>
            <w:r>
              <w:t>G</w:t>
            </w:r>
            <w:r>
              <w:rPr>
                <w:vertAlign w:val="subscript"/>
              </w:rPr>
              <w:t>16,1</w:t>
            </w:r>
            <w:r>
              <w:t>,G</w:t>
            </w:r>
            <w:r>
              <w:rPr>
                <w:vertAlign w:val="subscript"/>
              </w:rPr>
              <w:t>17,7</w:t>
            </w:r>
          </w:p>
          <w:p w:rsidR="00E307A5" w:rsidRPr="00DF7778" w:rsidRDefault="007C4719" w:rsidP="007C4719">
            <w:pPr>
              <w:pStyle w:val="afa"/>
            </w:pPr>
            <w:r>
              <w:rPr>
                <w:rFonts w:hint="eastAsia"/>
              </w:rPr>
              <w:t>G</w:t>
            </w:r>
            <w:r>
              <w:rPr>
                <w:vertAlign w:val="subscript"/>
              </w:rPr>
              <w:t>18,1</w:t>
            </w:r>
            <w:r>
              <w:t>,G</w:t>
            </w:r>
            <w:r>
              <w:rPr>
                <w:vertAlign w:val="subscript"/>
              </w:rPr>
              <w:t>20,1</w:t>
            </w:r>
            <w:r w:rsidR="00DF7778">
              <w:rPr>
                <w:vertAlign w:val="subscript"/>
              </w:rPr>
              <w:t xml:space="preserve"> </w:t>
            </w:r>
            <w:r w:rsidR="00DF7778">
              <w:t>(15)</w:t>
            </w:r>
          </w:p>
        </w:tc>
      </w:tr>
      <w:tr w:rsidR="00782E39" w:rsidTr="00782E39">
        <w:tc>
          <w:tcPr>
            <w:tcW w:w="768" w:type="dxa"/>
            <w:tcBorders>
              <w:top w:val="nil"/>
              <w:right w:val="nil"/>
            </w:tcBorders>
            <w:vAlign w:val="center"/>
          </w:tcPr>
          <w:p w:rsidR="00E307A5" w:rsidRDefault="00E307A5" w:rsidP="00782E39">
            <w:pPr>
              <w:pStyle w:val="afa"/>
            </w:pPr>
            <w:r>
              <w:t>CHP</w:t>
            </w:r>
          </w:p>
        </w:tc>
        <w:tc>
          <w:tcPr>
            <w:tcW w:w="1394" w:type="dxa"/>
            <w:tcBorders>
              <w:top w:val="nil"/>
              <w:left w:val="nil"/>
              <w:right w:val="nil"/>
            </w:tcBorders>
            <w:vAlign w:val="center"/>
          </w:tcPr>
          <w:p w:rsidR="00E307A5" w:rsidRPr="00B50D03" w:rsidRDefault="00E307A5" w:rsidP="00782E39">
            <w:pPr>
              <w:pStyle w:val="afa"/>
              <w:rPr>
                <w:vertAlign w:val="subscript"/>
              </w:rPr>
            </w:pPr>
            <w:r>
              <w:t>C</w:t>
            </w:r>
            <w:r w:rsidR="00B50D03">
              <w:rPr>
                <w:vertAlign w:val="subscript"/>
              </w:rPr>
              <w:t>7</w:t>
            </w:r>
            <w:r>
              <w:rPr>
                <w:vertAlign w:val="subscript"/>
              </w:rPr>
              <w:t>,1</w:t>
            </w:r>
            <w:r>
              <w:t>,C</w:t>
            </w:r>
            <w:r w:rsidR="00B50D03">
              <w:rPr>
                <w:vertAlign w:val="subscript"/>
              </w:rPr>
              <w:t>9,1</w:t>
            </w:r>
            <w:r>
              <w:t>,C</w:t>
            </w:r>
            <w:r w:rsidR="00B50D03">
              <w:rPr>
                <w:vertAlign w:val="subscript"/>
              </w:rPr>
              <w:t>10</w:t>
            </w:r>
            <w:r>
              <w:rPr>
                <w:vertAlign w:val="subscript"/>
              </w:rPr>
              <w:t>,1</w:t>
            </w:r>
            <w:r w:rsidR="00B50D03">
              <w:t>,C</w:t>
            </w:r>
            <w:r w:rsidR="00B50D03">
              <w:rPr>
                <w:vertAlign w:val="subscript"/>
              </w:rPr>
              <w:t>11,1</w:t>
            </w:r>
          </w:p>
          <w:p w:rsidR="00B50D03" w:rsidRDefault="00B50D03" w:rsidP="00B50D03">
            <w:pPr>
              <w:pStyle w:val="afa"/>
            </w:pPr>
            <w:r>
              <w:t>C</w:t>
            </w:r>
            <w:r>
              <w:rPr>
                <w:vertAlign w:val="subscript"/>
              </w:rPr>
              <w:t>12,1</w:t>
            </w:r>
            <w:r>
              <w:t>,C</w:t>
            </w:r>
            <w:r>
              <w:rPr>
                <w:vertAlign w:val="subscript"/>
              </w:rPr>
              <w:t>13,1</w:t>
            </w:r>
            <w:r>
              <w:t>,C</w:t>
            </w:r>
            <w:r>
              <w:rPr>
                <w:vertAlign w:val="subscript"/>
              </w:rPr>
              <w:t>14,1</w:t>
            </w:r>
            <w:r>
              <w:t>,</w:t>
            </w:r>
          </w:p>
          <w:p w:rsidR="00E307A5" w:rsidRPr="00DF7778" w:rsidRDefault="00B50D03" w:rsidP="00B2054F">
            <w:pPr>
              <w:pStyle w:val="afa"/>
              <w:rPr>
                <w:rFonts w:hint="eastAsia"/>
              </w:rPr>
            </w:pPr>
            <w:r>
              <w:t>C</w:t>
            </w:r>
            <w:r>
              <w:rPr>
                <w:vertAlign w:val="subscript"/>
              </w:rPr>
              <w:t>15,1</w:t>
            </w:r>
            <w:r>
              <w:t>,C</w:t>
            </w:r>
            <w:r>
              <w:rPr>
                <w:vertAlign w:val="subscript"/>
              </w:rPr>
              <w:t>16,1</w:t>
            </w:r>
            <w:r>
              <w:t>,C</w:t>
            </w:r>
            <w:r>
              <w:rPr>
                <w:vertAlign w:val="subscript"/>
              </w:rPr>
              <w:t>17,1</w:t>
            </w:r>
            <w:r w:rsidR="00DF7778">
              <w:rPr>
                <w:vertAlign w:val="subscript"/>
              </w:rPr>
              <w:t xml:space="preserve"> </w:t>
            </w:r>
            <w:r w:rsidR="00DF7778">
              <w:t>(7)</w:t>
            </w:r>
          </w:p>
        </w:tc>
        <w:tc>
          <w:tcPr>
            <w:tcW w:w="1392" w:type="dxa"/>
            <w:tcBorders>
              <w:top w:val="nil"/>
              <w:left w:val="nil"/>
              <w:right w:val="nil"/>
            </w:tcBorders>
            <w:vAlign w:val="center"/>
          </w:tcPr>
          <w:p w:rsidR="00B2054F" w:rsidRPr="00B50D03" w:rsidRDefault="00B2054F" w:rsidP="00B2054F">
            <w:pPr>
              <w:pStyle w:val="afa"/>
              <w:rPr>
                <w:vertAlign w:val="subscript"/>
              </w:rPr>
            </w:pPr>
            <w:r>
              <w:t>C</w:t>
            </w:r>
            <w:r>
              <w:rPr>
                <w:vertAlign w:val="subscript"/>
              </w:rPr>
              <w:t>6,1</w:t>
            </w:r>
            <w:r>
              <w:t>,C</w:t>
            </w:r>
            <w:r>
              <w:rPr>
                <w:vertAlign w:val="subscript"/>
              </w:rPr>
              <w:t>8,1</w:t>
            </w:r>
            <w:r>
              <w:t>,C</w:t>
            </w:r>
            <w:r>
              <w:rPr>
                <w:vertAlign w:val="subscript"/>
              </w:rPr>
              <w:t>10,1</w:t>
            </w:r>
            <w:r>
              <w:t>,C</w:t>
            </w:r>
            <w:r>
              <w:rPr>
                <w:vertAlign w:val="subscript"/>
              </w:rPr>
              <w:t>11,1</w:t>
            </w:r>
          </w:p>
          <w:p w:rsidR="00B2054F" w:rsidRDefault="00B2054F" w:rsidP="00B2054F">
            <w:pPr>
              <w:pStyle w:val="afa"/>
            </w:pPr>
            <w:r>
              <w:t>C</w:t>
            </w:r>
            <w:r>
              <w:rPr>
                <w:vertAlign w:val="subscript"/>
              </w:rPr>
              <w:t>12,1</w:t>
            </w:r>
            <w:r>
              <w:t>,C</w:t>
            </w:r>
            <w:r>
              <w:rPr>
                <w:vertAlign w:val="subscript"/>
              </w:rPr>
              <w:t>13,1</w:t>
            </w:r>
            <w:r>
              <w:t>,C</w:t>
            </w:r>
            <w:r>
              <w:rPr>
                <w:vertAlign w:val="subscript"/>
              </w:rPr>
              <w:t>14,1</w:t>
            </w:r>
            <w:r>
              <w:t>,</w:t>
            </w:r>
          </w:p>
          <w:p w:rsidR="00E307A5" w:rsidRPr="00DF7778" w:rsidRDefault="00B2054F" w:rsidP="00B2054F">
            <w:pPr>
              <w:pStyle w:val="afa"/>
            </w:pPr>
            <w:r>
              <w:t>C</w:t>
            </w:r>
            <w:r>
              <w:rPr>
                <w:vertAlign w:val="subscript"/>
              </w:rPr>
              <w:t>15,1</w:t>
            </w:r>
            <w:r>
              <w:t>,C</w:t>
            </w:r>
            <w:r>
              <w:rPr>
                <w:vertAlign w:val="subscript"/>
              </w:rPr>
              <w:t>16,1</w:t>
            </w:r>
            <w:r>
              <w:t>,C</w:t>
            </w:r>
            <w:r>
              <w:rPr>
                <w:vertAlign w:val="subscript"/>
              </w:rPr>
              <w:t>17,1</w:t>
            </w:r>
            <w:r w:rsidR="00DF7778">
              <w:t xml:space="preserve"> (7)</w:t>
            </w:r>
          </w:p>
        </w:tc>
        <w:tc>
          <w:tcPr>
            <w:tcW w:w="1486" w:type="dxa"/>
            <w:tcBorders>
              <w:top w:val="nil"/>
              <w:left w:val="nil"/>
            </w:tcBorders>
            <w:vAlign w:val="center"/>
          </w:tcPr>
          <w:p w:rsidR="007C4719" w:rsidRPr="00B50D03" w:rsidRDefault="007C4719" w:rsidP="007C4719">
            <w:pPr>
              <w:pStyle w:val="afa"/>
              <w:rPr>
                <w:vertAlign w:val="subscript"/>
              </w:rPr>
            </w:pPr>
            <w:r>
              <w:t>C</w:t>
            </w:r>
            <w:r>
              <w:rPr>
                <w:vertAlign w:val="subscript"/>
              </w:rPr>
              <w:t>6,1</w:t>
            </w:r>
            <w:r>
              <w:t>,C</w:t>
            </w:r>
            <w:r>
              <w:rPr>
                <w:vertAlign w:val="subscript"/>
              </w:rPr>
              <w:t>8,1</w:t>
            </w:r>
            <w:r>
              <w:t>,C</w:t>
            </w:r>
            <w:r>
              <w:rPr>
                <w:vertAlign w:val="subscript"/>
              </w:rPr>
              <w:t>10,1</w:t>
            </w:r>
            <w:r>
              <w:t>,C</w:t>
            </w:r>
            <w:r>
              <w:rPr>
                <w:vertAlign w:val="subscript"/>
              </w:rPr>
              <w:t>11,1</w:t>
            </w:r>
          </w:p>
          <w:p w:rsidR="007C4719" w:rsidRDefault="007C4719" w:rsidP="007C4719">
            <w:pPr>
              <w:pStyle w:val="afa"/>
            </w:pPr>
            <w:r>
              <w:t>C</w:t>
            </w:r>
            <w:r>
              <w:rPr>
                <w:vertAlign w:val="subscript"/>
              </w:rPr>
              <w:t>12,1</w:t>
            </w:r>
            <w:r>
              <w:t>,C</w:t>
            </w:r>
            <w:r>
              <w:rPr>
                <w:vertAlign w:val="subscript"/>
              </w:rPr>
              <w:t>13,1</w:t>
            </w:r>
            <w:r>
              <w:t>,C</w:t>
            </w:r>
            <w:r>
              <w:rPr>
                <w:vertAlign w:val="subscript"/>
              </w:rPr>
              <w:t>14,1</w:t>
            </w:r>
            <w:r>
              <w:t>,</w:t>
            </w:r>
          </w:p>
          <w:p w:rsidR="00E307A5" w:rsidRPr="00DF7778" w:rsidRDefault="007C4719" w:rsidP="007C4719">
            <w:pPr>
              <w:pStyle w:val="afa"/>
            </w:pPr>
            <w:r>
              <w:t>C</w:t>
            </w:r>
            <w:r>
              <w:rPr>
                <w:vertAlign w:val="subscript"/>
              </w:rPr>
              <w:t>15,1</w:t>
            </w:r>
            <w:r>
              <w:t>,C</w:t>
            </w:r>
            <w:r>
              <w:rPr>
                <w:vertAlign w:val="subscript"/>
              </w:rPr>
              <w:t>16,1</w:t>
            </w:r>
            <w:r>
              <w:t>,C</w:t>
            </w:r>
            <w:r>
              <w:rPr>
                <w:vertAlign w:val="subscript"/>
              </w:rPr>
              <w:t>17,1</w:t>
            </w:r>
            <w:r w:rsidR="00DF7778">
              <w:rPr>
                <w:vertAlign w:val="superscript"/>
              </w:rPr>
              <w:t xml:space="preserve"> </w:t>
            </w:r>
            <w:r w:rsidR="00DF7778">
              <w:t>(7)</w:t>
            </w:r>
          </w:p>
        </w:tc>
      </w:tr>
      <w:tr w:rsidR="00782E39" w:rsidTr="00782E39">
        <w:tc>
          <w:tcPr>
            <w:tcW w:w="768" w:type="dxa"/>
            <w:tcBorders>
              <w:right w:val="nil"/>
            </w:tcBorders>
            <w:vAlign w:val="center"/>
          </w:tcPr>
          <w:p w:rsidR="00E307A5" w:rsidRDefault="00E307A5" w:rsidP="00782E39">
            <w:pPr>
              <w:pStyle w:val="afa"/>
            </w:pPr>
            <w:r>
              <w:t>Line</w:t>
            </w:r>
          </w:p>
        </w:tc>
        <w:tc>
          <w:tcPr>
            <w:tcW w:w="1394" w:type="dxa"/>
            <w:tcBorders>
              <w:left w:val="nil"/>
              <w:right w:val="nil"/>
            </w:tcBorders>
            <w:vAlign w:val="center"/>
          </w:tcPr>
          <w:p w:rsidR="00B2054F" w:rsidRDefault="00B2054F" w:rsidP="00B2054F">
            <w:pPr>
              <w:pStyle w:val="afa"/>
            </w:pPr>
            <w:r>
              <w:t>L</w:t>
            </w:r>
            <w:r>
              <w:rPr>
                <w:vertAlign w:val="subscript"/>
              </w:rPr>
              <w:t>2,1</w:t>
            </w:r>
            <w:r>
              <w:t>,</w:t>
            </w:r>
            <w:r>
              <w:rPr>
                <w:rFonts w:hint="eastAsia"/>
              </w:rPr>
              <w:t>L</w:t>
            </w:r>
            <w:r>
              <w:rPr>
                <w:vertAlign w:val="subscript"/>
              </w:rPr>
              <w:t>3,1</w:t>
            </w:r>
            <w:r>
              <w:t>,L</w:t>
            </w:r>
            <w:r>
              <w:rPr>
                <w:vertAlign w:val="subscript"/>
              </w:rPr>
              <w:t>4,1</w:t>
            </w:r>
            <w:r>
              <w:t>,L</w:t>
            </w:r>
            <w:r>
              <w:rPr>
                <w:vertAlign w:val="subscript"/>
              </w:rPr>
              <w:t>5,1</w:t>
            </w:r>
            <w:r>
              <w:t>,</w:t>
            </w:r>
          </w:p>
          <w:p w:rsidR="00B2054F" w:rsidRPr="008F12EC" w:rsidRDefault="00B2054F" w:rsidP="00B2054F">
            <w:pPr>
              <w:pStyle w:val="afa"/>
              <w:rPr>
                <w:vertAlign w:val="subscript"/>
              </w:rPr>
            </w:pPr>
            <w:r>
              <w:t>L</w:t>
            </w:r>
            <w:r w:rsidR="008F12EC">
              <w:rPr>
                <w:vertAlign w:val="subscript"/>
              </w:rPr>
              <w:t>6</w:t>
            </w:r>
            <w:r>
              <w:rPr>
                <w:vertAlign w:val="subscript"/>
              </w:rPr>
              <w:t>,1</w:t>
            </w:r>
            <w:r>
              <w:t>,L</w:t>
            </w:r>
            <w:r w:rsidR="008F12EC">
              <w:rPr>
                <w:vertAlign w:val="subscript"/>
              </w:rPr>
              <w:t>8</w:t>
            </w:r>
            <w:r>
              <w:rPr>
                <w:vertAlign w:val="subscript"/>
              </w:rPr>
              <w:t>,1</w:t>
            </w:r>
            <w:r>
              <w:t>,L</w:t>
            </w:r>
            <w:r w:rsidR="008F12EC">
              <w:rPr>
                <w:vertAlign w:val="subscript"/>
              </w:rPr>
              <w:t>10</w:t>
            </w:r>
            <w:r>
              <w:rPr>
                <w:vertAlign w:val="subscript"/>
              </w:rPr>
              <w:t>,1</w:t>
            </w:r>
            <w:r>
              <w:t>,</w:t>
            </w:r>
            <w:r w:rsidR="008F12EC">
              <w:t>L</w:t>
            </w:r>
            <w:r w:rsidR="008F12EC">
              <w:rPr>
                <w:vertAlign w:val="subscript"/>
              </w:rPr>
              <w:t>13,1</w:t>
            </w:r>
          </w:p>
          <w:p w:rsidR="008F12EC" w:rsidRDefault="00B2054F" w:rsidP="008F12EC">
            <w:pPr>
              <w:pStyle w:val="afa"/>
            </w:pPr>
            <w:r>
              <w:t>L</w:t>
            </w:r>
            <w:r w:rsidR="008F12EC">
              <w:rPr>
                <w:vertAlign w:val="subscript"/>
              </w:rPr>
              <w:t>16</w:t>
            </w:r>
            <w:r>
              <w:rPr>
                <w:vertAlign w:val="subscript"/>
              </w:rPr>
              <w:t>,1</w:t>
            </w:r>
            <w:r>
              <w:t>,L</w:t>
            </w:r>
            <w:r w:rsidR="008F12EC">
              <w:rPr>
                <w:vertAlign w:val="subscript"/>
              </w:rPr>
              <w:t>17</w:t>
            </w:r>
            <w:r>
              <w:rPr>
                <w:vertAlign w:val="subscript"/>
              </w:rPr>
              <w:t>,1</w:t>
            </w:r>
            <w:r w:rsidR="008F12EC">
              <w:t>,L</w:t>
            </w:r>
            <w:r w:rsidR="008F12EC">
              <w:rPr>
                <w:vertAlign w:val="subscript"/>
              </w:rPr>
              <w:t>30,1</w:t>
            </w:r>
            <w:r w:rsidR="008F12EC">
              <w:t>,</w:t>
            </w:r>
          </w:p>
          <w:p w:rsidR="00E307A5" w:rsidRDefault="008F12EC" w:rsidP="008F12EC">
            <w:pPr>
              <w:pStyle w:val="afa"/>
            </w:pPr>
            <w:r>
              <w:t>L</w:t>
            </w:r>
            <w:r>
              <w:rPr>
                <w:vertAlign w:val="subscript"/>
              </w:rPr>
              <w:t>56,1</w:t>
            </w:r>
            <w:r>
              <w:t>,L</w:t>
            </w:r>
            <w:r>
              <w:rPr>
                <w:vertAlign w:val="subscript"/>
              </w:rPr>
              <w:t>58,1</w:t>
            </w:r>
            <w:r>
              <w:t>,L</w:t>
            </w:r>
            <w:r>
              <w:rPr>
                <w:vertAlign w:val="subscript"/>
              </w:rPr>
              <w:t>64,1</w:t>
            </w:r>
          </w:p>
          <w:p w:rsidR="008F12EC" w:rsidRDefault="008F12EC" w:rsidP="008F12EC">
            <w:pPr>
              <w:pStyle w:val="afa"/>
            </w:pPr>
            <w:r>
              <w:t>L</w:t>
            </w:r>
            <w:r>
              <w:rPr>
                <w:vertAlign w:val="subscript"/>
              </w:rPr>
              <w:t>67,1</w:t>
            </w:r>
            <w:r>
              <w:t>,L</w:t>
            </w:r>
            <w:r>
              <w:rPr>
                <w:vertAlign w:val="subscript"/>
              </w:rPr>
              <w:t>69,1</w:t>
            </w:r>
            <w:r>
              <w:t>,L</w:t>
            </w:r>
            <w:r>
              <w:rPr>
                <w:vertAlign w:val="subscript"/>
              </w:rPr>
              <w:t>70,1</w:t>
            </w:r>
          </w:p>
          <w:p w:rsidR="008F12EC" w:rsidRPr="00DF7778" w:rsidRDefault="008F12EC" w:rsidP="008F12EC">
            <w:pPr>
              <w:pStyle w:val="afa"/>
            </w:pPr>
            <w:r>
              <w:t>L</w:t>
            </w:r>
            <w:r>
              <w:rPr>
                <w:vertAlign w:val="subscript"/>
              </w:rPr>
              <w:t>71,1</w:t>
            </w:r>
            <w:r>
              <w:t>,L</w:t>
            </w:r>
            <w:r>
              <w:rPr>
                <w:vertAlign w:val="subscript"/>
              </w:rPr>
              <w:t>77,1</w:t>
            </w:r>
            <w:r>
              <w:t>,L</w:t>
            </w:r>
            <w:r>
              <w:rPr>
                <w:vertAlign w:val="subscript"/>
              </w:rPr>
              <w:t>80,1</w:t>
            </w:r>
            <w:r w:rsidR="00DF7778">
              <w:t xml:space="preserve"> (20)</w:t>
            </w:r>
          </w:p>
        </w:tc>
        <w:tc>
          <w:tcPr>
            <w:tcW w:w="1392" w:type="dxa"/>
            <w:tcBorders>
              <w:left w:val="nil"/>
              <w:right w:val="nil"/>
            </w:tcBorders>
            <w:vAlign w:val="center"/>
          </w:tcPr>
          <w:p w:rsidR="008F12EC" w:rsidRDefault="008F12EC" w:rsidP="008F12EC">
            <w:pPr>
              <w:pStyle w:val="afa"/>
            </w:pPr>
            <w:r>
              <w:t>L</w:t>
            </w:r>
            <w:r>
              <w:rPr>
                <w:vertAlign w:val="subscript"/>
              </w:rPr>
              <w:t>2,1</w:t>
            </w:r>
            <w:r>
              <w:t>,</w:t>
            </w:r>
            <w:r>
              <w:rPr>
                <w:rFonts w:hint="eastAsia"/>
              </w:rPr>
              <w:t>L</w:t>
            </w:r>
            <w:r>
              <w:rPr>
                <w:vertAlign w:val="subscript"/>
              </w:rPr>
              <w:t>3,1</w:t>
            </w:r>
            <w:r>
              <w:t>,L</w:t>
            </w:r>
            <w:r>
              <w:rPr>
                <w:vertAlign w:val="subscript"/>
              </w:rPr>
              <w:t>4,1</w:t>
            </w:r>
            <w:r>
              <w:t>,L</w:t>
            </w:r>
            <w:r>
              <w:rPr>
                <w:vertAlign w:val="subscript"/>
              </w:rPr>
              <w:t>5,1</w:t>
            </w:r>
            <w:r>
              <w:t>,</w:t>
            </w:r>
          </w:p>
          <w:p w:rsidR="008F12EC" w:rsidRPr="008F12EC" w:rsidRDefault="008F12EC" w:rsidP="008F12EC">
            <w:pPr>
              <w:pStyle w:val="afa"/>
              <w:rPr>
                <w:vertAlign w:val="subscript"/>
              </w:rPr>
            </w:pPr>
            <w:r>
              <w:t>L</w:t>
            </w:r>
            <w:r>
              <w:rPr>
                <w:vertAlign w:val="subscript"/>
              </w:rPr>
              <w:t>6,1</w:t>
            </w:r>
            <w:r>
              <w:t>,L</w:t>
            </w:r>
            <w:r>
              <w:rPr>
                <w:vertAlign w:val="subscript"/>
              </w:rPr>
              <w:t>8,1</w:t>
            </w:r>
            <w:r>
              <w:t>,L</w:t>
            </w:r>
            <w:r>
              <w:rPr>
                <w:vertAlign w:val="subscript"/>
              </w:rPr>
              <w:t>10,1</w:t>
            </w:r>
            <w:r>
              <w:t>,L</w:t>
            </w:r>
            <w:r>
              <w:rPr>
                <w:vertAlign w:val="subscript"/>
              </w:rPr>
              <w:t>13,1</w:t>
            </w:r>
          </w:p>
          <w:p w:rsidR="008F12EC" w:rsidRPr="008F12EC" w:rsidRDefault="008F12EC" w:rsidP="008F12EC">
            <w:pPr>
              <w:pStyle w:val="afa"/>
              <w:rPr>
                <w:vertAlign w:val="subscript"/>
              </w:rPr>
            </w:pPr>
            <w:r>
              <w:t>L</w:t>
            </w:r>
            <w:r>
              <w:rPr>
                <w:vertAlign w:val="subscript"/>
              </w:rPr>
              <w:t>16,1</w:t>
            </w:r>
            <w:r>
              <w:t>,L</w:t>
            </w:r>
            <w:r>
              <w:rPr>
                <w:vertAlign w:val="subscript"/>
              </w:rPr>
              <w:t>17,1</w:t>
            </w:r>
            <w:r>
              <w:t>,L</w:t>
            </w:r>
            <w:r>
              <w:rPr>
                <w:vertAlign w:val="subscript"/>
              </w:rPr>
              <w:t>30,1</w:t>
            </w:r>
            <w:r>
              <w:t>,L</w:t>
            </w:r>
            <w:r>
              <w:rPr>
                <w:vertAlign w:val="subscript"/>
              </w:rPr>
              <w:t>40,1</w:t>
            </w:r>
          </w:p>
          <w:p w:rsidR="008F12EC" w:rsidRDefault="008F12EC" w:rsidP="008F12EC">
            <w:pPr>
              <w:pStyle w:val="afa"/>
            </w:pPr>
            <w:r>
              <w:t>L</w:t>
            </w:r>
            <w:r>
              <w:rPr>
                <w:vertAlign w:val="subscript"/>
              </w:rPr>
              <w:t>56,1</w:t>
            </w:r>
            <w:r>
              <w:t>,L</w:t>
            </w:r>
            <w:r>
              <w:rPr>
                <w:vertAlign w:val="subscript"/>
              </w:rPr>
              <w:t>58,1</w:t>
            </w:r>
            <w:r>
              <w:t>,L</w:t>
            </w:r>
            <w:r>
              <w:rPr>
                <w:vertAlign w:val="subscript"/>
              </w:rPr>
              <w:t>64,1</w:t>
            </w:r>
          </w:p>
          <w:p w:rsidR="008F12EC" w:rsidRDefault="008F12EC" w:rsidP="008F12EC">
            <w:pPr>
              <w:pStyle w:val="afa"/>
            </w:pPr>
            <w:r>
              <w:t>L</w:t>
            </w:r>
            <w:r>
              <w:rPr>
                <w:vertAlign w:val="subscript"/>
              </w:rPr>
              <w:t>67,1</w:t>
            </w:r>
            <w:r>
              <w:t>,L</w:t>
            </w:r>
            <w:r>
              <w:rPr>
                <w:vertAlign w:val="subscript"/>
              </w:rPr>
              <w:t>69,1</w:t>
            </w:r>
            <w:r>
              <w:t>,L</w:t>
            </w:r>
            <w:r>
              <w:rPr>
                <w:vertAlign w:val="subscript"/>
              </w:rPr>
              <w:t>70,1</w:t>
            </w:r>
          </w:p>
          <w:p w:rsidR="00E307A5" w:rsidRDefault="008F12EC" w:rsidP="008F12EC">
            <w:pPr>
              <w:pStyle w:val="afa"/>
            </w:pPr>
            <w:r>
              <w:t>L</w:t>
            </w:r>
            <w:r>
              <w:rPr>
                <w:vertAlign w:val="subscript"/>
              </w:rPr>
              <w:t>71,1</w:t>
            </w:r>
            <w:r>
              <w:t>,L</w:t>
            </w:r>
            <w:r>
              <w:rPr>
                <w:vertAlign w:val="subscript"/>
              </w:rPr>
              <w:t>77,1</w:t>
            </w:r>
            <w:r>
              <w:t>,L</w:t>
            </w:r>
            <w:r>
              <w:rPr>
                <w:vertAlign w:val="subscript"/>
              </w:rPr>
              <w:t>80,1</w:t>
            </w:r>
          </w:p>
          <w:p w:rsidR="00DF7778" w:rsidRPr="00DF7778" w:rsidRDefault="00DF7778" w:rsidP="008F12EC">
            <w:pPr>
              <w:pStyle w:val="afa"/>
            </w:pPr>
            <w:r>
              <w:t>(21)</w:t>
            </w:r>
          </w:p>
        </w:tc>
        <w:tc>
          <w:tcPr>
            <w:tcW w:w="1486" w:type="dxa"/>
            <w:tcBorders>
              <w:left w:val="nil"/>
            </w:tcBorders>
            <w:vAlign w:val="center"/>
          </w:tcPr>
          <w:p w:rsidR="007C4719" w:rsidRDefault="007C4719" w:rsidP="007C4719">
            <w:pPr>
              <w:pStyle w:val="afa"/>
            </w:pPr>
            <w:r>
              <w:t>L</w:t>
            </w:r>
            <w:r>
              <w:rPr>
                <w:vertAlign w:val="subscript"/>
              </w:rPr>
              <w:t>2,1</w:t>
            </w:r>
            <w:r>
              <w:t>,</w:t>
            </w:r>
            <w:r>
              <w:rPr>
                <w:rFonts w:hint="eastAsia"/>
              </w:rPr>
              <w:t>L</w:t>
            </w:r>
            <w:r>
              <w:rPr>
                <w:vertAlign w:val="subscript"/>
              </w:rPr>
              <w:t>3,1</w:t>
            </w:r>
            <w:r>
              <w:t>,L</w:t>
            </w:r>
            <w:r>
              <w:rPr>
                <w:vertAlign w:val="subscript"/>
              </w:rPr>
              <w:t>4,1</w:t>
            </w:r>
            <w:r>
              <w:t>,L</w:t>
            </w:r>
            <w:r>
              <w:rPr>
                <w:vertAlign w:val="subscript"/>
              </w:rPr>
              <w:t>5,1</w:t>
            </w:r>
            <w:r>
              <w:t>,</w:t>
            </w:r>
          </w:p>
          <w:p w:rsidR="007C4719" w:rsidRPr="008F12EC" w:rsidRDefault="007C4719" w:rsidP="007C4719">
            <w:pPr>
              <w:pStyle w:val="afa"/>
              <w:rPr>
                <w:vertAlign w:val="subscript"/>
              </w:rPr>
            </w:pPr>
            <w:r>
              <w:t>L</w:t>
            </w:r>
            <w:r>
              <w:rPr>
                <w:vertAlign w:val="subscript"/>
              </w:rPr>
              <w:t>6,1</w:t>
            </w:r>
            <w:r>
              <w:t>,L</w:t>
            </w:r>
            <w:r>
              <w:rPr>
                <w:vertAlign w:val="subscript"/>
              </w:rPr>
              <w:t>8,1</w:t>
            </w:r>
            <w:r>
              <w:t>,L</w:t>
            </w:r>
            <w:r>
              <w:rPr>
                <w:vertAlign w:val="subscript"/>
              </w:rPr>
              <w:t>10,1</w:t>
            </w:r>
            <w:r>
              <w:t>,L</w:t>
            </w:r>
            <w:r>
              <w:rPr>
                <w:vertAlign w:val="subscript"/>
              </w:rPr>
              <w:t>13,1</w:t>
            </w:r>
          </w:p>
          <w:p w:rsidR="00DE5B61" w:rsidRDefault="007C4719" w:rsidP="007C4719">
            <w:pPr>
              <w:pStyle w:val="afa"/>
            </w:pPr>
            <w:r>
              <w:t>L</w:t>
            </w:r>
            <w:r>
              <w:rPr>
                <w:vertAlign w:val="subscript"/>
              </w:rPr>
              <w:t>16,1</w:t>
            </w:r>
            <w:r>
              <w:t>,L</w:t>
            </w:r>
            <w:r>
              <w:rPr>
                <w:vertAlign w:val="subscript"/>
              </w:rPr>
              <w:t>17,1</w:t>
            </w:r>
            <w:r>
              <w:t>,L</w:t>
            </w:r>
            <w:r>
              <w:rPr>
                <w:vertAlign w:val="subscript"/>
              </w:rPr>
              <w:t>30,1</w:t>
            </w:r>
            <w:r>
              <w:t>,</w:t>
            </w:r>
            <w:r w:rsidR="00DE5B61">
              <w:t>L</w:t>
            </w:r>
            <w:r w:rsidR="00DE5B61">
              <w:rPr>
                <w:vertAlign w:val="subscript"/>
              </w:rPr>
              <w:t>36,1</w:t>
            </w:r>
          </w:p>
          <w:p w:rsidR="007C4719" w:rsidRPr="00DE5B61" w:rsidRDefault="00DE5B61" w:rsidP="007C4719">
            <w:pPr>
              <w:pStyle w:val="afa"/>
              <w:rPr>
                <w:vertAlign w:val="subscript"/>
              </w:rPr>
            </w:pPr>
            <w:r>
              <w:t>L</w:t>
            </w:r>
            <w:r>
              <w:rPr>
                <w:vertAlign w:val="subscript"/>
              </w:rPr>
              <w:t>37,1</w:t>
            </w:r>
            <w:r>
              <w:t>,</w:t>
            </w:r>
            <w:r w:rsidR="007C4719">
              <w:t>L</w:t>
            </w:r>
            <w:r w:rsidR="007C4719">
              <w:rPr>
                <w:vertAlign w:val="subscript"/>
              </w:rPr>
              <w:t>40,1</w:t>
            </w:r>
            <w:r>
              <w:t>,L</w:t>
            </w:r>
            <w:r>
              <w:rPr>
                <w:vertAlign w:val="subscript"/>
              </w:rPr>
              <w:t>43,1</w:t>
            </w:r>
          </w:p>
          <w:p w:rsidR="007C4719" w:rsidRDefault="007C4719" w:rsidP="007C4719">
            <w:pPr>
              <w:pStyle w:val="afa"/>
            </w:pPr>
            <w:r>
              <w:t>L</w:t>
            </w:r>
            <w:r>
              <w:rPr>
                <w:vertAlign w:val="subscript"/>
              </w:rPr>
              <w:t>56,1</w:t>
            </w:r>
            <w:r>
              <w:t>,L</w:t>
            </w:r>
            <w:r>
              <w:rPr>
                <w:vertAlign w:val="subscript"/>
              </w:rPr>
              <w:t>58,1</w:t>
            </w:r>
            <w:r>
              <w:t>,L</w:t>
            </w:r>
            <w:r>
              <w:rPr>
                <w:vertAlign w:val="subscript"/>
              </w:rPr>
              <w:t>64,1</w:t>
            </w:r>
          </w:p>
          <w:p w:rsidR="00E307A5" w:rsidRDefault="007C4719" w:rsidP="00DE5B61">
            <w:pPr>
              <w:pStyle w:val="afa"/>
            </w:pPr>
            <w:r>
              <w:t>L</w:t>
            </w:r>
            <w:r>
              <w:rPr>
                <w:vertAlign w:val="subscript"/>
              </w:rPr>
              <w:t>67,1</w:t>
            </w:r>
            <w:r>
              <w:t>,L</w:t>
            </w:r>
            <w:r>
              <w:rPr>
                <w:vertAlign w:val="subscript"/>
              </w:rPr>
              <w:t>69,1</w:t>
            </w:r>
            <w:r>
              <w:t>,L</w:t>
            </w:r>
            <w:r>
              <w:rPr>
                <w:vertAlign w:val="subscript"/>
              </w:rPr>
              <w:t>70,1</w:t>
            </w:r>
          </w:p>
          <w:p w:rsidR="00DE5B61" w:rsidRDefault="00DE5B61" w:rsidP="00DE5B61">
            <w:pPr>
              <w:pStyle w:val="afa"/>
              <w:rPr>
                <w:vertAlign w:val="subscript"/>
              </w:rPr>
            </w:pPr>
            <w:r>
              <w:t>L</w:t>
            </w:r>
            <w:r>
              <w:rPr>
                <w:vertAlign w:val="subscript"/>
              </w:rPr>
              <w:t>71,1</w:t>
            </w:r>
            <w:r>
              <w:t>,L</w:t>
            </w:r>
            <w:r>
              <w:rPr>
                <w:vertAlign w:val="subscript"/>
              </w:rPr>
              <w:t>77,1</w:t>
            </w:r>
            <w:r>
              <w:t>,L</w:t>
            </w:r>
            <w:r>
              <w:rPr>
                <w:vertAlign w:val="subscript"/>
              </w:rPr>
              <w:t>80,1</w:t>
            </w:r>
          </w:p>
          <w:p w:rsidR="00DF7778" w:rsidRPr="00DF7778" w:rsidRDefault="00DF7778" w:rsidP="00DE5B61">
            <w:pPr>
              <w:pStyle w:val="afa"/>
              <w:rPr>
                <w:rFonts w:hint="eastAsia"/>
              </w:rPr>
            </w:pPr>
            <w:r>
              <w:t>(24)</w:t>
            </w:r>
          </w:p>
        </w:tc>
      </w:tr>
      <w:tr w:rsidR="00782E39" w:rsidTr="00782E39">
        <w:tc>
          <w:tcPr>
            <w:tcW w:w="768" w:type="dxa"/>
            <w:tcBorders>
              <w:bottom w:val="double" w:sz="6" w:space="0" w:color="auto"/>
              <w:right w:val="nil"/>
            </w:tcBorders>
            <w:vAlign w:val="center"/>
          </w:tcPr>
          <w:p w:rsidR="00E307A5" w:rsidRDefault="00E307A5" w:rsidP="00782E39">
            <w:pPr>
              <w:pStyle w:val="afa"/>
            </w:pPr>
            <w:r>
              <w:t>Pipeline</w:t>
            </w:r>
          </w:p>
        </w:tc>
        <w:tc>
          <w:tcPr>
            <w:tcW w:w="1394" w:type="dxa"/>
            <w:tcBorders>
              <w:left w:val="nil"/>
              <w:bottom w:val="double" w:sz="6" w:space="0" w:color="auto"/>
              <w:right w:val="nil"/>
            </w:tcBorders>
            <w:vAlign w:val="center"/>
          </w:tcPr>
          <w:p w:rsidR="00E307A5" w:rsidRDefault="00E307A5" w:rsidP="00782E39">
            <w:pPr>
              <w:pStyle w:val="afa"/>
            </w:pPr>
            <w:r>
              <w:t>P</w:t>
            </w:r>
            <w:r w:rsidR="00782E39">
              <w:rPr>
                <w:vertAlign w:val="subscript"/>
              </w:rPr>
              <w:t>3,1</w:t>
            </w:r>
            <w:r>
              <w:t>,P</w:t>
            </w:r>
            <w:r w:rsidR="00782E39">
              <w:rPr>
                <w:vertAlign w:val="subscript"/>
              </w:rPr>
              <w:t>4</w:t>
            </w:r>
            <w:r>
              <w:rPr>
                <w:vertAlign w:val="subscript"/>
              </w:rPr>
              <w:t>,1</w:t>
            </w:r>
            <w:r>
              <w:t>,P</w:t>
            </w:r>
            <w:r w:rsidR="00782E39">
              <w:rPr>
                <w:vertAlign w:val="subscript"/>
              </w:rPr>
              <w:t>7,1</w:t>
            </w:r>
            <w:r>
              <w:t>,</w:t>
            </w:r>
            <w:r>
              <w:rPr>
                <w:rFonts w:hint="eastAsia"/>
              </w:rPr>
              <w:t>P</w:t>
            </w:r>
            <w:r w:rsidR="00782E39">
              <w:rPr>
                <w:vertAlign w:val="subscript"/>
              </w:rPr>
              <w:t>8</w:t>
            </w:r>
            <w:r>
              <w:rPr>
                <w:vertAlign w:val="subscript"/>
              </w:rPr>
              <w:t>,1</w:t>
            </w:r>
            <w:r>
              <w:t>,</w:t>
            </w:r>
          </w:p>
          <w:p w:rsidR="00E307A5" w:rsidRDefault="00E307A5" w:rsidP="00782E39">
            <w:pPr>
              <w:pStyle w:val="afa"/>
            </w:pPr>
            <w:r>
              <w:rPr>
                <w:rFonts w:hint="eastAsia"/>
              </w:rPr>
              <w:t>P</w:t>
            </w:r>
            <w:r w:rsidR="00782E39">
              <w:rPr>
                <w:vertAlign w:val="subscript"/>
              </w:rPr>
              <w:t>10</w:t>
            </w:r>
            <w:r>
              <w:rPr>
                <w:vertAlign w:val="subscript"/>
              </w:rPr>
              <w:t>,1</w:t>
            </w:r>
            <w:r>
              <w:t>,P</w:t>
            </w:r>
            <w:r w:rsidR="00782E39">
              <w:rPr>
                <w:vertAlign w:val="subscript"/>
              </w:rPr>
              <w:t>11</w:t>
            </w:r>
            <w:r>
              <w:rPr>
                <w:vertAlign w:val="subscript"/>
              </w:rPr>
              <w:t>,1</w:t>
            </w:r>
            <w:r>
              <w:t>,P</w:t>
            </w:r>
            <w:r w:rsidR="00782E39">
              <w:rPr>
                <w:vertAlign w:val="subscript"/>
              </w:rPr>
              <w:t>13</w:t>
            </w:r>
            <w:r>
              <w:rPr>
                <w:vertAlign w:val="subscript"/>
              </w:rPr>
              <w:t>,1</w:t>
            </w:r>
            <w:r>
              <w:t>P</w:t>
            </w:r>
            <w:r w:rsidR="00782E39">
              <w:rPr>
                <w:vertAlign w:val="subscript"/>
              </w:rPr>
              <w:t>14</w:t>
            </w:r>
            <w:r>
              <w:rPr>
                <w:vertAlign w:val="subscript"/>
              </w:rPr>
              <w:t>,1</w:t>
            </w:r>
            <w:r>
              <w:t>,</w:t>
            </w:r>
          </w:p>
          <w:p w:rsidR="00E307A5" w:rsidRPr="00DF7778" w:rsidRDefault="00E307A5" w:rsidP="00782E39">
            <w:pPr>
              <w:pStyle w:val="afa"/>
            </w:pPr>
            <w:r>
              <w:t>P</w:t>
            </w:r>
            <w:r>
              <w:rPr>
                <w:vertAlign w:val="subscript"/>
              </w:rPr>
              <w:t>1</w:t>
            </w:r>
            <w:r w:rsidR="00782E39">
              <w:rPr>
                <w:vertAlign w:val="subscript"/>
              </w:rPr>
              <w:t>7</w:t>
            </w:r>
            <w:r>
              <w:rPr>
                <w:vertAlign w:val="subscript"/>
              </w:rPr>
              <w:t>,1</w:t>
            </w:r>
            <w:r>
              <w:t>,P</w:t>
            </w:r>
            <w:r w:rsidR="00782E39">
              <w:rPr>
                <w:vertAlign w:val="subscript"/>
              </w:rPr>
              <w:t>18</w:t>
            </w:r>
            <w:r>
              <w:rPr>
                <w:vertAlign w:val="subscript"/>
              </w:rPr>
              <w:t>,1</w:t>
            </w:r>
            <w:r w:rsidR="00DF7778">
              <w:t xml:space="preserve"> (10)</w:t>
            </w:r>
          </w:p>
        </w:tc>
        <w:tc>
          <w:tcPr>
            <w:tcW w:w="1392" w:type="dxa"/>
            <w:tcBorders>
              <w:left w:val="nil"/>
              <w:bottom w:val="double" w:sz="6" w:space="0" w:color="auto"/>
              <w:right w:val="nil"/>
            </w:tcBorders>
            <w:vAlign w:val="center"/>
          </w:tcPr>
          <w:p w:rsidR="00782E39" w:rsidRDefault="00782E39" w:rsidP="00782E39">
            <w:pPr>
              <w:pStyle w:val="afa"/>
            </w:pPr>
            <w:r>
              <w:t>P</w:t>
            </w:r>
            <w:r>
              <w:rPr>
                <w:vertAlign w:val="subscript"/>
              </w:rPr>
              <w:t>3,1</w:t>
            </w:r>
            <w:r>
              <w:t>,P</w:t>
            </w:r>
            <w:r>
              <w:rPr>
                <w:vertAlign w:val="subscript"/>
              </w:rPr>
              <w:t>4,1</w:t>
            </w:r>
            <w:r>
              <w:t>,P</w:t>
            </w:r>
            <w:r>
              <w:rPr>
                <w:vertAlign w:val="subscript"/>
              </w:rPr>
              <w:t>7,1</w:t>
            </w:r>
            <w:r>
              <w:t>,</w:t>
            </w:r>
            <w:r>
              <w:rPr>
                <w:rFonts w:hint="eastAsia"/>
              </w:rPr>
              <w:t>P</w:t>
            </w:r>
            <w:r>
              <w:rPr>
                <w:vertAlign w:val="subscript"/>
              </w:rPr>
              <w:t>8,1</w:t>
            </w:r>
            <w:r>
              <w:t>,</w:t>
            </w:r>
          </w:p>
          <w:p w:rsidR="00782E39" w:rsidRDefault="00782E39" w:rsidP="00782E39">
            <w:pPr>
              <w:pStyle w:val="afa"/>
            </w:pPr>
            <w:r>
              <w:rPr>
                <w:rFonts w:hint="eastAsia"/>
              </w:rPr>
              <w:t>P</w:t>
            </w:r>
            <w:r>
              <w:rPr>
                <w:vertAlign w:val="subscript"/>
              </w:rPr>
              <w:t>10,1</w:t>
            </w:r>
            <w:r>
              <w:t>,P</w:t>
            </w:r>
            <w:r>
              <w:rPr>
                <w:vertAlign w:val="subscript"/>
              </w:rPr>
              <w:t>11,1</w:t>
            </w:r>
            <w:r>
              <w:t>,P</w:t>
            </w:r>
            <w:r>
              <w:rPr>
                <w:vertAlign w:val="subscript"/>
              </w:rPr>
              <w:t>13,1</w:t>
            </w:r>
            <w:r>
              <w:t>P</w:t>
            </w:r>
            <w:r>
              <w:rPr>
                <w:vertAlign w:val="subscript"/>
              </w:rPr>
              <w:t>14,1</w:t>
            </w:r>
            <w:r>
              <w:t>,</w:t>
            </w:r>
          </w:p>
          <w:p w:rsidR="00E307A5" w:rsidRPr="00DF7778" w:rsidRDefault="00782E39" w:rsidP="00782E39">
            <w:pPr>
              <w:pStyle w:val="afa"/>
            </w:pPr>
            <w:r>
              <w:t>P</w:t>
            </w:r>
            <w:r>
              <w:rPr>
                <w:vertAlign w:val="subscript"/>
              </w:rPr>
              <w:t>17,1</w:t>
            </w:r>
            <w:r>
              <w:t>,P</w:t>
            </w:r>
            <w:r>
              <w:rPr>
                <w:vertAlign w:val="subscript"/>
              </w:rPr>
              <w:t>18,1</w:t>
            </w:r>
            <w:r w:rsidR="00DF7778">
              <w:t xml:space="preserve"> (10)</w:t>
            </w:r>
          </w:p>
        </w:tc>
        <w:tc>
          <w:tcPr>
            <w:tcW w:w="1486" w:type="dxa"/>
            <w:tcBorders>
              <w:left w:val="nil"/>
              <w:bottom w:val="double" w:sz="6" w:space="0" w:color="auto"/>
            </w:tcBorders>
            <w:vAlign w:val="center"/>
          </w:tcPr>
          <w:p w:rsidR="00782E39" w:rsidRDefault="00782E39" w:rsidP="00782E39">
            <w:pPr>
              <w:pStyle w:val="afa"/>
            </w:pPr>
            <w:r>
              <w:t>P</w:t>
            </w:r>
            <w:r>
              <w:rPr>
                <w:vertAlign w:val="subscript"/>
              </w:rPr>
              <w:t>3,1</w:t>
            </w:r>
            <w:r>
              <w:t>,P</w:t>
            </w:r>
            <w:r>
              <w:rPr>
                <w:vertAlign w:val="subscript"/>
              </w:rPr>
              <w:t>4,1</w:t>
            </w:r>
            <w:r>
              <w:t>,P</w:t>
            </w:r>
            <w:r>
              <w:rPr>
                <w:vertAlign w:val="subscript"/>
              </w:rPr>
              <w:t>7,1</w:t>
            </w:r>
            <w:r>
              <w:t>,</w:t>
            </w:r>
            <w:r>
              <w:rPr>
                <w:rFonts w:hint="eastAsia"/>
              </w:rPr>
              <w:t>P</w:t>
            </w:r>
            <w:r>
              <w:rPr>
                <w:vertAlign w:val="subscript"/>
              </w:rPr>
              <w:t>8,1</w:t>
            </w:r>
            <w:r>
              <w:t>,</w:t>
            </w:r>
          </w:p>
          <w:p w:rsidR="00782E39" w:rsidRDefault="00782E39" w:rsidP="00782E39">
            <w:pPr>
              <w:pStyle w:val="afa"/>
            </w:pPr>
            <w:r>
              <w:rPr>
                <w:rFonts w:hint="eastAsia"/>
              </w:rPr>
              <w:t>P</w:t>
            </w:r>
            <w:r>
              <w:rPr>
                <w:vertAlign w:val="subscript"/>
              </w:rPr>
              <w:t>10,1</w:t>
            </w:r>
            <w:r>
              <w:t>,P</w:t>
            </w:r>
            <w:r>
              <w:rPr>
                <w:vertAlign w:val="subscript"/>
              </w:rPr>
              <w:t>11,1</w:t>
            </w:r>
            <w:r>
              <w:t>,P</w:t>
            </w:r>
            <w:r>
              <w:rPr>
                <w:vertAlign w:val="subscript"/>
              </w:rPr>
              <w:t>13,1</w:t>
            </w:r>
            <w:r>
              <w:t>P</w:t>
            </w:r>
            <w:r>
              <w:rPr>
                <w:vertAlign w:val="subscript"/>
              </w:rPr>
              <w:t>14,1</w:t>
            </w:r>
            <w:r>
              <w:t>,</w:t>
            </w:r>
          </w:p>
          <w:p w:rsidR="00E307A5" w:rsidRPr="00DF7778" w:rsidRDefault="00782E39" w:rsidP="00782E39">
            <w:pPr>
              <w:pStyle w:val="afa"/>
            </w:pPr>
            <w:r>
              <w:t>P</w:t>
            </w:r>
            <w:r>
              <w:rPr>
                <w:vertAlign w:val="subscript"/>
              </w:rPr>
              <w:t>17,1</w:t>
            </w:r>
            <w:r>
              <w:t>,P</w:t>
            </w:r>
            <w:r>
              <w:rPr>
                <w:vertAlign w:val="subscript"/>
              </w:rPr>
              <w:t>18,1</w:t>
            </w:r>
            <w:r w:rsidR="00DF7778">
              <w:t xml:space="preserve"> (10)</w:t>
            </w:r>
          </w:p>
        </w:tc>
      </w:tr>
    </w:tbl>
    <w:p w:rsidR="008871EA" w:rsidRDefault="00962E40" w:rsidP="00962E40">
      <w:pPr>
        <w:pStyle w:val="af9"/>
        <w:rPr>
          <w:lang w:eastAsia="zh-CN"/>
        </w:rPr>
      </w:pPr>
      <w:bookmarkStart w:id="15" w:name="_Ref48057382"/>
      <w:r>
        <w:t xml:space="preserve">TABLE </w:t>
      </w:r>
      <w:fldSimple w:instr=" SEQ TABLE \* ROMAN ">
        <w:r>
          <w:rPr>
            <w:noProof/>
          </w:rPr>
          <w:t>IV</w:t>
        </w:r>
      </w:fldSimple>
      <w:bookmarkEnd w:id="15"/>
    </w:p>
    <w:p w:rsidR="008871EA" w:rsidRDefault="00962E40" w:rsidP="00962E40">
      <w:pPr>
        <w:pStyle w:val="af9"/>
        <w:rPr>
          <w:rFonts w:hint="eastAsia"/>
          <w:lang w:eastAsia="zh-CN"/>
        </w:rPr>
      </w:pPr>
      <w:r>
        <w:rPr>
          <w:lang w:eastAsia="zh-CN"/>
        </w:rPr>
        <w:t>Comparisons of planning results of cases 1-2 with/without SBT</w:t>
      </w:r>
    </w:p>
    <w:tbl>
      <w:tblPr>
        <w:tblStyle w:val="af5"/>
        <w:tblW w:w="0" w:type="auto"/>
        <w:tblBorders>
          <w:top w:val="double" w:sz="6" w:space="0" w:color="auto"/>
          <w:left w:val="none" w:sz="0" w:space="0" w:color="auto"/>
          <w:bottom w:val="double" w:sz="6"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911"/>
        <w:gridCol w:w="901"/>
        <w:gridCol w:w="1086"/>
        <w:gridCol w:w="1160"/>
      </w:tblGrid>
      <w:tr w:rsidR="00962E40" w:rsidTr="00962E40">
        <w:tc>
          <w:tcPr>
            <w:tcW w:w="992" w:type="dxa"/>
            <w:tcBorders>
              <w:bottom w:val="single" w:sz="6" w:space="0" w:color="auto"/>
            </w:tcBorders>
            <w:vAlign w:val="center"/>
          </w:tcPr>
          <w:p w:rsidR="008871EA" w:rsidRDefault="008871EA" w:rsidP="00115DE2">
            <w:pPr>
              <w:pStyle w:val="afa"/>
            </w:pPr>
            <w:r>
              <w:t>Investment cost (B$)</w:t>
            </w:r>
          </w:p>
        </w:tc>
        <w:tc>
          <w:tcPr>
            <w:tcW w:w="949" w:type="dxa"/>
            <w:tcBorders>
              <w:bottom w:val="single" w:sz="6" w:space="0" w:color="auto"/>
            </w:tcBorders>
            <w:vAlign w:val="center"/>
          </w:tcPr>
          <w:p w:rsidR="008871EA" w:rsidRDefault="008871EA" w:rsidP="00115DE2">
            <w:pPr>
              <w:pStyle w:val="afa"/>
            </w:pPr>
            <w:r>
              <w:t xml:space="preserve">Case </w:t>
            </w:r>
            <w:r>
              <w:rPr>
                <w:rFonts w:hint="eastAsia"/>
              </w:rPr>
              <w:t>1</w:t>
            </w:r>
            <w:r>
              <w:t xml:space="preserve"> (direct)</w:t>
            </w:r>
          </w:p>
        </w:tc>
        <w:tc>
          <w:tcPr>
            <w:tcW w:w="944" w:type="dxa"/>
            <w:tcBorders>
              <w:bottom w:val="single" w:sz="6" w:space="0" w:color="auto"/>
            </w:tcBorders>
            <w:vAlign w:val="center"/>
          </w:tcPr>
          <w:p w:rsidR="008871EA" w:rsidRDefault="008871EA" w:rsidP="00115DE2">
            <w:pPr>
              <w:pStyle w:val="afa"/>
            </w:pPr>
            <w:r>
              <w:t xml:space="preserve">Case </w:t>
            </w:r>
            <w:r>
              <w:rPr>
                <w:rFonts w:hint="eastAsia"/>
              </w:rPr>
              <w:t>1</w:t>
            </w:r>
            <w:r>
              <w:t xml:space="preserve"> (SBT)</w:t>
            </w:r>
          </w:p>
        </w:tc>
        <w:tc>
          <w:tcPr>
            <w:tcW w:w="1218" w:type="dxa"/>
            <w:tcBorders>
              <w:bottom w:val="single" w:sz="6" w:space="0" w:color="auto"/>
            </w:tcBorders>
            <w:vAlign w:val="center"/>
          </w:tcPr>
          <w:p w:rsidR="008871EA" w:rsidRDefault="008871EA" w:rsidP="00962E40">
            <w:pPr>
              <w:pStyle w:val="afa"/>
            </w:pPr>
            <w:r>
              <w:t xml:space="preserve">Case </w:t>
            </w:r>
            <w:r w:rsidR="00962E40">
              <w:t>2</w:t>
            </w:r>
            <w:r>
              <w:t xml:space="preserve"> (</w:t>
            </w:r>
            <w:r w:rsidR="00962E40">
              <w:t>C&amp;CG</w:t>
            </w:r>
            <w:r>
              <w:t>)</w:t>
            </w:r>
          </w:p>
        </w:tc>
        <w:tc>
          <w:tcPr>
            <w:tcW w:w="937" w:type="dxa"/>
            <w:tcBorders>
              <w:bottom w:val="single" w:sz="6" w:space="0" w:color="auto"/>
            </w:tcBorders>
            <w:vAlign w:val="center"/>
          </w:tcPr>
          <w:p w:rsidR="008871EA" w:rsidRDefault="008871EA" w:rsidP="00962E40">
            <w:pPr>
              <w:pStyle w:val="afa"/>
            </w:pPr>
            <w:r>
              <w:t xml:space="preserve">Case </w:t>
            </w:r>
            <w:r w:rsidR="00962E40">
              <w:t>2</w:t>
            </w:r>
            <w:r>
              <w:t xml:space="preserve"> (</w:t>
            </w:r>
            <w:r w:rsidR="00962E40">
              <w:t>C&amp;CG+</w:t>
            </w:r>
            <w:r>
              <w:t>SBT)</w:t>
            </w:r>
          </w:p>
        </w:tc>
      </w:tr>
      <w:tr w:rsidR="00962E40" w:rsidTr="00962E40">
        <w:tc>
          <w:tcPr>
            <w:tcW w:w="1006" w:type="dxa"/>
            <w:tcBorders>
              <w:top w:val="single" w:sz="6" w:space="0" w:color="auto"/>
              <w:bottom w:val="nil"/>
            </w:tcBorders>
            <w:vAlign w:val="center"/>
          </w:tcPr>
          <w:p w:rsidR="008871EA" w:rsidRDefault="008871EA" w:rsidP="00115DE2">
            <w:pPr>
              <w:pStyle w:val="afa"/>
            </w:pPr>
            <w:r>
              <w:rPr>
                <w:rFonts w:hint="eastAsia"/>
              </w:rPr>
              <w:t>Non-CHP</w:t>
            </w:r>
          </w:p>
        </w:tc>
        <w:tc>
          <w:tcPr>
            <w:tcW w:w="1006" w:type="dxa"/>
            <w:tcBorders>
              <w:top w:val="single" w:sz="6" w:space="0" w:color="auto"/>
              <w:bottom w:val="nil"/>
            </w:tcBorders>
          </w:tcPr>
          <w:p w:rsidR="008871EA" w:rsidRDefault="008871EA" w:rsidP="00115DE2">
            <w:pPr>
              <w:pStyle w:val="afa"/>
            </w:pPr>
            <w:r>
              <w:t>0.8498</w:t>
            </w:r>
          </w:p>
        </w:tc>
        <w:tc>
          <w:tcPr>
            <w:tcW w:w="1006" w:type="dxa"/>
            <w:tcBorders>
              <w:top w:val="single" w:sz="6" w:space="0" w:color="auto"/>
              <w:bottom w:val="nil"/>
            </w:tcBorders>
          </w:tcPr>
          <w:p w:rsidR="008871EA" w:rsidRDefault="008871EA" w:rsidP="00115DE2">
            <w:pPr>
              <w:pStyle w:val="afa"/>
            </w:pPr>
            <w:r>
              <w:t>0.8490</w:t>
            </w:r>
          </w:p>
        </w:tc>
        <w:tc>
          <w:tcPr>
            <w:tcW w:w="1006" w:type="dxa"/>
            <w:tcBorders>
              <w:top w:val="single" w:sz="6" w:space="0" w:color="auto"/>
              <w:bottom w:val="nil"/>
            </w:tcBorders>
          </w:tcPr>
          <w:p w:rsidR="008871EA" w:rsidRDefault="008871EA" w:rsidP="00115DE2">
            <w:pPr>
              <w:pStyle w:val="afa"/>
            </w:pPr>
            <w:r>
              <w:rPr>
                <w:rFonts w:hint="eastAsia"/>
              </w:rPr>
              <w:t>1</w:t>
            </w:r>
            <w:r>
              <w:t>.0654</w:t>
            </w:r>
          </w:p>
        </w:tc>
        <w:tc>
          <w:tcPr>
            <w:tcW w:w="1006" w:type="dxa"/>
            <w:tcBorders>
              <w:top w:val="single" w:sz="6" w:space="0" w:color="auto"/>
              <w:bottom w:val="nil"/>
            </w:tcBorders>
          </w:tcPr>
          <w:p w:rsidR="008871EA" w:rsidRDefault="00962E40" w:rsidP="00962E40">
            <w:pPr>
              <w:pStyle w:val="afa"/>
            </w:pPr>
            <w:r>
              <w:rPr>
                <w:rFonts w:hint="eastAsia"/>
              </w:rPr>
              <w:t>1</w:t>
            </w:r>
            <w:r>
              <w:t>.0640</w:t>
            </w:r>
          </w:p>
        </w:tc>
      </w:tr>
      <w:tr w:rsidR="00962E40" w:rsidTr="00962E40">
        <w:tc>
          <w:tcPr>
            <w:tcW w:w="1006" w:type="dxa"/>
            <w:tcBorders>
              <w:top w:val="nil"/>
            </w:tcBorders>
            <w:vAlign w:val="center"/>
          </w:tcPr>
          <w:p w:rsidR="008871EA" w:rsidRDefault="008871EA" w:rsidP="00115DE2">
            <w:pPr>
              <w:pStyle w:val="afa"/>
            </w:pPr>
            <w:r>
              <w:t>CHP</w:t>
            </w:r>
          </w:p>
        </w:tc>
        <w:tc>
          <w:tcPr>
            <w:tcW w:w="1006" w:type="dxa"/>
            <w:tcBorders>
              <w:top w:val="nil"/>
            </w:tcBorders>
          </w:tcPr>
          <w:p w:rsidR="008871EA" w:rsidRDefault="008871EA" w:rsidP="00115DE2">
            <w:pPr>
              <w:pStyle w:val="afa"/>
            </w:pPr>
            <w:r>
              <w:t>0.9394</w:t>
            </w:r>
          </w:p>
        </w:tc>
        <w:tc>
          <w:tcPr>
            <w:tcW w:w="1006" w:type="dxa"/>
            <w:tcBorders>
              <w:top w:val="nil"/>
            </w:tcBorders>
          </w:tcPr>
          <w:p w:rsidR="008871EA" w:rsidRDefault="008871EA" w:rsidP="00115DE2">
            <w:pPr>
              <w:pStyle w:val="afa"/>
            </w:pPr>
            <w:r>
              <w:t>0.9394</w:t>
            </w:r>
          </w:p>
        </w:tc>
        <w:tc>
          <w:tcPr>
            <w:tcW w:w="1006" w:type="dxa"/>
            <w:tcBorders>
              <w:top w:val="nil"/>
            </w:tcBorders>
          </w:tcPr>
          <w:p w:rsidR="008871EA" w:rsidRDefault="008871EA" w:rsidP="00115DE2">
            <w:pPr>
              <w:pStyle w:val="afa"/>
            </w:pPr>
            <w:r>
              <w:rPr>
                <w:rFonts w:hint="eastAsia"/>
              </w:rPr>
              <w:t>1</w:t>
            </w:r>
            <w:r>
              <w:t>.0002</w:t>
            </w:r>
          </w:p>
        </w:tc>
        <w:tc>
          <w:tcPr>
            <w:tcW w:w="1006" w:type="dxa"/>
            <w:tcBorders>
              <w:top w:val="nil"/>
            </w:tcBorders>
          </w:tcPr>
          <w:p w:rsidR="008871EA" w:rsidRDefault="00962E40" w:rsidP="00115DE2">
            <w:pPr>
              <w:pStyle w:val="afa"/>
            </w:pPr>
            <w:r>
              <w:rPr>
                <w:rFonts w:hint="eastAsia"/>
              </w:rPr>
              <w:t>1</w:t>
            </w:r>
            <w:r>
              <w:t>.0002</w:t>
            </w:r>
          </w:p>
        </w:tc>
      </w:tr>
      <w:tr w:rsidR="00962E40" w:rsidTr="00962E40">
        <w:tc>
          <w:tcPr>
            <w:tcW w:w="1006" w:type="dxa"/>
            <w:vAlign w:val="center"/>
          </w:tcPr>
          <w:p w:rsidR="008871EA" w:rsidRDefault="008871EA" w:rsidP="00115DE2">
            <w:pPr>
              <w:pStyle w:val="afa"/>
            </w:pPr>
            <w:r>
              <w:t>Line</w:t>
            </w:r>
          </w:p>
        </w:tc>
        <w:tc>
          <w:tcPr>
            <w:tcW w:w="1006" w:type="dxa"/>
          </w:tcPr>
          <w:p w:rsidR="008871EA" w:rsidRDefault="008871EA" w:rsidP="00115DE2">
            <w:pPr>
              <w:pStyle w:val="afa"/>
            </w:pPr>
            <w:r>
              <w:t>0.1441</w:t>
            </w:r>
          </w:p>
        </w:tc>
        <w:tc>
          <w:tcPr>
            <w:tcW w:w="1006" w:type="dxa"/>
          </w:tcPr>
          <w:p w:rsidR="008871EA" w:rsidRDefault="008871EA" w:rsidP="00115DE2">
            <w:pPr>
              <w:pStyle w:val="afa"/>
            </w:pPr>
            <w:r>
              <w:t>0.1441</w:t>
            </w:r>
          </w:p>
        </w:tc>
        <w:tc>
          <w:tcPr>
            <w:tcW w:w="1006" w:type="dxa"/>
          </w:tcPr>
          <w:p w:rsidR="008871EA" w:rsidRDefault="008871EA" w:rsidP="00115DE2">
            <w:pPr>
              <w:pStyle w:val="afa"/>
            </w:pPr>
            <w:r>
              <w:rPr>
                <w:rFonts w:hint="eastAsia"/>
              </w:rPr>
              <w:t>0</w:t>
            </w:r>
            <w:r>
              <w:t>.1508</w:t>
            </w:r>
          </w:p>
        </w:tc>
        <w:tc>
          <w:tcPr>
            <w:tcW w:w="1006" w:type="dxa"/>
          </w:tcPr>
          <w:p w:rsidR="008871EA" w:rsidRDefault="00962E40" w:rsidP="00115DE2">
            <w:pPr>
              <w:pStyle w:val="afa"/>
            </w:pPr>
            <w:r>
              <w:rPr>
                <w:rFonts w:hint="eastAsia"/>
              </w:rPr>
              <w:t>0</w:t>
            </w:r>
            <w:r>
              <w:t>.1508</w:t>
            </w:r>
          </w:p>
        </w:tc>
      </w:tr>
      <w:tr w:rsidR="00962E40" w:rsidTr="00962E40">
        <w:tc>
          <w:tcPr>
            <w:tcW w:w="1006" w:type="dxa"/>
            <w:vAlign w:val="center"/>
          </w:tcPr>
          <w:p w:rsidR="008871EA" w:rsidRDefault="008871EA" w:rsidP="00115DE2">
            <w:pPr>
              <w:pStyle w:val="afa"/>
            </w:pPr>
            <w:r>
              <w:t>Pipeline</w:t>
            </w:r>
          </w:p>
        </w:tc>
        <w:tc>
          <w:tcPr>
            <w:tcW w:w="1006" w:type="dxa"/>
          </w:tcPr>
          <w:p w:rsidR="008871EA" w:rsidRDefault="008871EA" w:rsidP="00115DE2">
            <w:pPr>
              <w:pStyle w:val="afa"/>
            </w:pPr>
            <w:r>
              <w:t>0.0841</w:t>
            </w:r>
          </w:p>
        </w:tc>
        <w:tc>
          <w:tcPr>
            <w:tcW w:w="1006" w:type="dxa"/>
          </w:tcPr>
          <w:p w:rsidR="008871EA" w:rsidRDefault="008871EA" w:rsidP="00115DE2">
            <w:pPr>
              <w:pStyle w:val="afa"/>
            </w:pPr>
            <w:r>
              <w:t>0.0841</w:t>
            </w:r>
          </w:p>
        </w:tc>
        <w:tc>
          <w:tcPr>
            <w:tcW w:w="1006" w:type="dxa"/>
          </w:tcPr>
          <w:p w:rsidR="008871EA" w:rsidRDefault="008871EA" w:rsidP="00115DE2">
            <w:pPr>
              <w:pStyle w:val="afa"/>
            </w:pPr>
            <w:r>
              <w:rPr>
                <w:rFonts w:hint="eastAsia"/>
              </w:rPr>
              <w:t>0</w:t>
            </w:r>
            <w:r>
              <w:t>.0841</w:t>
            </w:r>
          </w:p>
        </w:tc>
        <w:tc>
          <w:tcPr>
            <w:tcW w:w="1006" w:type="dxa"/>
          </w:tcPr>
          <w:p w:rsidR="008871EA" w:rsidRDefault="00962E40" w:rsidP="00115DE2">
            <w:pPr>
              <w:pStyle w:val="afa"/>
            </w:pPr>
            <w:r>
              <w:rPr>
                <w:rFonts w:hint="eastAsia"/>
              </w:rPr>
              <w:t>0</w:t>
            </w:r>
            <w:r>
              <w:t>.0841</w:t>
            </w:r>
          </w:p>
        </w:tc>
      </w:tr>
      <w:tr w:rsidR="00962E40" w:rsidTr="00115DE2">
        <w:tc>
          <w:tcPr>
            <w:tcW w:w="1006" w:type="dxa"/>
            <w:vAlign w:val="center"/>
          </w:tcPr>
          <w:p w:rsidR="00962E40" w:rsidRDefault="00962E40" w:rsidP="00115DE2">
            <w:pPr>
              <w:pStyle w:val="afa"/>
            </w:pPr>
            <w:r>
              <w:t>Difference</w:t>
            </w:r>
          </w:p>
        </w:tc>
        <w:tc>
          <w:tcPr>
            <w:tcW w:w="1928" w:type="dxa"/>
            <w:gridSpan w:val="2"/>
            <w:vAlign w:val="center"/>
          </w:tcPr>
          <w:p w:rsidR="00962E40" w:rsidRPr="00962E40" w:rsidRDefault="00962E40" w:rsidP="00962E40">
            <w:pPr>
              <w:pStyle w:val="afa"/>
              <w:rPr>
                <w:vertAlign w:val="subscript"/>
              </w:rPr>
            </w:pPr>
            <w:r>
              <w:t>G</w:t>
            </w:r>
            <w:r>
              <w:rPr>
                <w:vertAlign w:val="subscript"/>
              </w:rPr>
              <w:t>10,7</w:t>
            </w:r>
            <w:r>
              <w:t>,G</w:t>
            </w:r>
            <w:r>
              <w:rPr>
                <w:vertAlign w:val="subscript"/>
              </w:rPr>
              <w:t>13,6</w:t>
            </w:r>
            <w:r w:rsidRPr="00850140">
              <w:rPr>
                <w:position w:val="-6"/>
              </w:rPr>
              <w:object w:dxaOrig="279" w:dyaOrig="200">
                <v:shape id="_x0000_i1027" type="#_x0000_t75" style="width:13.75pt;height:10.4pt" o:ole="">
                  <v:imagedata r:id="rId24" o:title=""/>
                </v:shape>
                <o:OLEObject Type="Embed" ProgID="Equation.DSMT4" ShapeID="_x0000_i1027" DrawAspect="Content" ObjectID="_1658687292" r:id="rId25"/>
              </w:object>
            </w:r>
            <w:r>
              <w:t>G</w:t>
            </w:r>
            <w:r>
              <w:rPr>
                <w:vertAlign w:val="subscript"/>
              </w:rPr>
              <w:t>10,5</w:t>
            </w:r>
            <w:r>
              <w:t>,G</w:t>
            </w:r>
            <w:r>
              <w:rPr>
                <w:vertAlign w:val="subscript"/>
              </w:rPr>
              <w:t>13,8</w:t>
            </w:r>
          </w:p>
        </w:tc>
        <w:tc>
          <w:tcPr>
            <w:tcW w:w="2155" w:type="dxa"/>
            <w:gridSpan w:val="2"/>
            <w:vAlign w:val="center"/>
          </w:tcPr>
          <w:p w:rsidR="00962E40" w:rsidRDefault="00962E40" w:rsidP="00962E40">
            <w:pPr>
              <w:pStyle w:val="afa"/>
            </w:pPr>
            <w:r>
              <w:rPr>
                <w:rFonts w:hint="eastAsia"/>
              </w:rPr>
              <w:t>G</w:t>
            </w:r>
            <w:r>
              <w:rPr>
                <w:vertAlign w:val="subscript"/>
              </w:rPr>
              <w:t>12,10</w:t>
            </w:r>
            <w:r>
              <w:t>,G</w:t>
            </w:r>
            <w:r>
              <w:rPr>
                <w:vertAlign w:val="subscript"/>
              </w:rPr>
              <w:t>14,8</w:t>
            </w:r>
            <w:r>
              <w:t>,G</w:t>
            </w:r>
            <w:r>
              <w:rPr>
                <w:vertAlign w:val="subscript"/>
              </w:rPr>
              <w:t>17,9</w:t>
            </w:r>
            <w:r w:rsidRPr="00850140">
              <w:rPr>
                <w:position w:val="-6"/>
              </w:rPr>
              <w:object w:dxaOrig="279" w:dyaOrig="200">
                <v:shape id="_x0000_i1028" type="#_x0000_t75" style="width:13.75pt;height:10.4pt" o:ole="">
                  <v:imagedata r:id="rId24" o:title=""/>
                </v:shape>
                <o:OLEObject Type="Embed" ProgID="Equation.DSMT4" ShapeID="_x0000_i1028" DrawAspect="Content" ObjectID="_1658687293" r:id="rId26"/>
              </w:object>
            </w:r>
          </w:p>
          <w:p w:rsidR="00962E40" w:rsidRPr="00962E40" w:rsidRDefault="00962E40" w:rsidP="00962E40">
            <w:pPr>
              <w:pStyle w:val="afa"/>
            </w:pPr>
            <w:r>
              <w:rPr>
                <w:rFonts w:hint="eastAsia"/>
              </w:rPr>
              <w:t>G</w:t>
            </w:r>
            <w:r>
              <w:rPr>
                <w:vertAlign w:val="subscript"/>
              </w:rPr>
              <w:t>9,10</w:t>
            </w:r>
            <w:r>
              <w:t>,G</w:t>
            </w:r>
            <w:r>
              <w:rPr>
                <w:vertAlign w:val="subscript"/>
              </w:rPr>
              <w:t>14,10</w:t>
            </w:r>
            <w:r>
              <w:t>,G</w:t>
            </w:r>
            <w:r>
              <w:rPr>
                <w:vertAlign w:val="subscript"/>
              </w:rPr>
              <w:t>17,7</w:t>
            </w:r>
          </w:p>
        </w:tc>
      </w:tr>
    </w:tbl>
    <w:p w:rsidR="00115DE2" w:rsidRDefault="00BA27D8" w:rsidP="00F1318D">
      <w:pPr>
        <w:rPr>
          <w:lang w:eastAsia="zh-CN"/>
        </w:rPr>
      </w:pPr>
      <w:r>
        <w:rPr>
          <w:rFonts w:hint="eastAsia"/>
          <w:lang w:eastAsia="zh-CN"/>
        </w:rPr>
        <w:t>T</w:t>
      </w:r>
      <w:r>
        <w:rPr>
          <w:lang w:eastAsia="zh-CN"/>
        </w:rPr>
        <w:t xml:space="preserve">he same three cases are explored for real IEHS. The average mass flow error and the average heat quantity errors of different components are shown in </w:t>
      </w:r>
      <w:r>
        <w:rPr>
          <w:lang w:eastAsia="zh-CN"/>
        </w:rPr>
        <w:fldChar w:fldCharType="begin"/>
      </w:r>
      <w:r>
        <w:rPr>
          <w:lang w:eastAsia="zh-CN"/>
        </w:rPr>
        <w:instrText xml:space="preserve"> REF _Ref47970135 \h </w:instrText>
      </w:r>
      <w:r>
        <w:rPr>
          <w:lang w:eastAsia="zh-CN"/>
        </w:rPr>
      </w:r>
      <w:r>
        <w:rPr>
          <w:lang w:eastAsia="zh-CN"/>
        </w:rPr>
        <w:fldChar w:fldCharType="separate"/>
      </w:r>
      <w:r>
        <w:t xml:space="preserve">TABLE </w:t>
      </w:r>
      <w:r>
        <w:rPr>
          <w:noProof/>
        </w:rPr>
        <w:t>II</w:t>
      </w:r>
      <w:r>
        <w:rPr>
          <w:lang w:eastAsia="zh-CN"/>
        </w:rPr>
        <w:fldChar w:fldCharType="end"/>
      </w:r>
      <w:r>
        <w:rPr>
          <w:lang w:eastAsia="zh-CN"/>
        </w:rPr>
        <w:t xml:space="preserve">. And the detailed planning results are displayed in </w:t>
      </w:r>
      <w:r>
        <w:rPr>
          <w:lang w:eastAsia="zh-CN"/>
        </w:rPr>
        <w:fldChar w:fldCharType="begin"/>
      </w:r>
      <w:r>
        <w:rPr>
          <w:lang w:eastAsia="zh-CN"/>
        </w:rPr>
        <w:instrText xml:space="preserve"> REF _Ref47970182 \h </w:instrText>
      </w:r>
      <w:r>
        <w:rPr>
          <w:lang w:eastAsia="zh-CN"/>
        </w:rPr>
      </w:r>
      <w:r>
        <w:rPr>
          <w:lang w:eastAsia="zh-CN"/>
        </w:rPr>
        <w:fldChar w:fldCharType="separate"/>
      </w:r>
      <w:r>
        <w:t xml:space="preserve">TABLE </w:t>
      </w:r>
      <w:r>
        <w:rPr>
          <w:noProof/>
        </w:rPr>
        <w:t>III</w:t>
      </w:r>
      <w:r>
        <w:rPr>
          <w:lang w:eastAsia="zh-CN"/>
        </w:rPr>
        <w:fldChar w:fldCharType="end"/>
      </w:r>
      <w:r>
        <w:rPr>
          <w:lang w:eastAsia="zh-CN"/>
        </w:rPr>
        <w:t xml:space="preserve">. </w:t>
      </w:r>
      <w:r w:rsidR="007748DE">
        <w:rPr>
          <w:lang w:eastAsia="zh-CN"/>
        </w:rPr>
        <w:t>It can be seen that both the average mass flow error and the average heat quantity errors are reduced evidently by applying the SBT pr</w:t>
      </w:r>
      <w:r w:rsidR="00194084">
        <w:rPr>
          <w:lang w:eastAsia="zh-CN"/>
        </w:rPr>
        <w:t xml:space="preserve">ocedure. </w:t>
      </w:r>
      <w:r w:rsidR="00115DE2">
        <w:rPr>
          <w:lang w:eastAsia="zh-CN"/>
        </w:rPr>
        <w:t xml:space="preserve">In practical IEHS, the application of SBT procedure leads to the different planning schemes of cases 1-2. The comparisons of different planning results are shown in </w:t>
      </w:r>
      <w:r w:rsidR="00115DE2">
        <w:rPr>
          <w:lang w:eastAsia="zh-CN"/>
        </w:rPr>
        <w:fldChar w:fldCharType="begin"/>
      </w:r>
      <w:r w:rsidR="00115DE2">
        <w:rPr>
          <w:lang w:eastAsia="zh-CN"/>
        </w:rPr>
        <w:instrText xml:space="preserve"> REF _Ref48057382 \h </w:instrText>
      </w:r>
      <w:r w:rsidR="00115DE2">
        <w:rPr>
          <w:lang w:eastAsia="zh-CN"/>
        </w:rPr>
      </w:r>
      <w:r w:rsidR="00115DE2">
        <w:rPr>
          <w:lang w:eastAsia="zh-CN"/>
        </w:rPr>
        <w:fldChar w:fldCharType="separate"/>
      </w:r>
      <w:r w:rsidR="00115DE2">
        <w:t xml:space="preserve">TABLE </w:t>
      </w:r>
      <w:r w:rsidR="00115DE2">
        <w:rPr>
          <w:noProof/>
        </w:rPr>
        <w:t>IV</w:t>
      </w:r>
      <w:r w:rsidR="00115DE2">
        <w:rPr>
          <w:lang w:eastAsia="zh-CN"/>
        </w:rPr>
        <w:fldChar w:fldCharType="end"/>
      </w:r>
      <w:r w:rsidR="00115DE2">
        <w:rPr>
          <w:lang w:eastAsia="zh-CN"/>
        </w:rPr>
        <w:t xml:space="preserve">. Though SBT </w:t>
      </w:r>
      <w:r w:rsidR="00115DE2">
        <w:rPr>
          <w:lang w:eastAsia="zh-CN"/>
        </w:rPr>
        <w:lastRenderedPageBreak/>
        <w:t>procedure reduce</w:t>
      </w:r>
      <w:r w:rsidR="00724910">
        <w:rPr>
          <w:lang w:eastAsia="zh-CN"/>
        </w:rPr>
        <w:t>s</w:t>
      </w:r>
      <w:r w:rsidR="00115DE2">
        <w:rPr>
          <w:lang w:eastAsia="zh-CN"/>
        </w:rPr>
        <w:t xml:space="preserve"> the relaxation errors of DHS constraints, it affects the construction of non-CHP thermal generators. It is because the utilization of SBT procedure can obtain more accurate heat power production of CHP units. Since there is a strong relationship between electricity output and heat energy production of CHP units, the electricity output of CHP units is also refined by SBT procedure. Thus, the tightening procedure of relaxations for DHS affects the </w:t>
      </w:r>
      <w:r w:rsidR="00724910">
        <w:rPr>
          <w:lang w:eastAsia="zh-CN"/>
        </w:rPr>
        <w:t xml:space="preserve">electricity generation and the </w:t>
      </w:r>
      <w:r w:rsidR="00115DE2">
        <w:rPr>
          <w:lang w:eastAsia="zh-CN"/>
        </w:rPr>
        <w:t>installation of non-CHP thermal generators.</w:t>
      </w:r>
      <w:r w:rsidR="00CB095A">
        <w:rPr>
          <w:lang w:eastAsia="zh-CN"/>
        </w:rPr>
        <w:t xml:space="preserve"> It also illustrates the strong correlation between DHS and PTS. </w:t>
      </w:r>
      <w:r w:rsidR="00724910">
        <w:rPr>
          <w:lang w:eastAsia="zh-CN"/>
        </w:rPr>
        <w:t xml:space="preserve">The combination of proposed convex reformulation method and SBT procedure can obtain the accurate investment decisions and operation costs </w:t>
      </w:r>
      <w:r w:rsidR="009B0353">
        <w:rPr>
          <w:lang w:eastAsia="zh-CN"/>
        </w:rPr>
        <w:t>for</w:t>
      </w:r>
      <w:r w:rsidR="00724910">
        <w:rPr>
          <w:lang w:eastAsia="zh-CN"/>
        </w:rPr>
        <w:t xml:space="preserve"> the planning model</w:t>
      </w:r>
      <w:r w:rsidR="00CB095A">
        <w:rPr>
          <w:lang w:eastAsia="zh-CN"/>
        </w:rPr>
        <w:t>.</w:t>
      </w:r>
    </w:p>
    <w:p w:rsidR="007748DE" w:rsidRDefault="00DF4962" w:rsidP="00F1318D">
      <w:pPr>
        <w:rPr>
          <w:lang w:eastAsia="zh-CN"/>
        </w:rPr>
      </w:pPr>
      <w:r>
        <w:rPr>
          <w:lang w:eastAsia="zh-CN"/>
        </w:rPr>
        <w:t xml:space="preserve">For case 1, the computation time of SBT procedure is nearly double of solving the reformulated planning model directly. It is because SBT procedure needs 2 iterations to be converged. </w:t>
      </w:r>
      <w:r w:rsidR="00CB095A">
        <w:rPr>
          <w:lang w:eastAsia="zh-CN"/>
        </w:rPr>
        <w:t xml:space="preserve">In cases 2-3, </w:t>
      </w:r>
      <w:r w:rsidR="009B0353">
        <w:rPr>
          <w:lang w:eastAsia="zh-CN"/>
        </w:rPr>
        <w:t xml:space="preserve">the complexity of master planning problem improves </w:t>
      </w:r>
      <w:r w:rsidR="00CB095A">
        <w:rPr>
          <w:lang w:eastAsia="zh-CN"/>
        </w:rPr>
        <w:t>with t</w:t>
      </w:r>
      <w:r w:rsidR="009B0353">
        <w:rPr>
          <w:lang w:eastAsia="zh-CN"/>
        </w:rPr>
        <w:t>he iterations of C&amp;CG algorithm</w:t>
      </w:r>
      <w:r w:rsidR="00CB095A">
        <w:rPr>
          <w:lang w:eastAsia="zh-CN"/>
        </w:rPr>
        <w:t>. The computation time is therefore increased a lot. As well recognized in [22], it is still an issue for applying the robust optimization to the planning model of practical large-scale system. However, the running time</w:t>
      </w:r>
      <w:r w:rsidR="009B0353">
        <w:rPr>
          <w:lang w:eastAsia="zh-CN"/>
        </w:rPr>
        <w:t xml:space="preserve"> less than 24 hours</w:t>
      </w:r>
      <w:r w:rsidR="00CB095A">
        <w:rPr>
          <w:lang w:eastAsia="zh-CN"/>
        </w:rPr>
        <w:t xml:space="preserve"> is still acceptable for a practical system with 10-year planning horizon. </w:t>
      </w:r>
      <w:r w:rsidR="00DF7778">
        <w:rPr>
          <w:lang w:eastAsia="zh-CN"/>
        </w:rPr>
        <w:t>(In [31], it spends several weeks for analyzing a single future scenario in NYISO practice.)</w:t>
      </w:r>
    </w:p>
    <w:p w:rsidR="00DF7778" w:rsidRPr="005A7995" w:rsidRDefault="00701518" w:rsidP="00F1318D">
      <w:pPr>
        <w:rPr>
          <w:lang w:eastAsia="zh-CN"/>
        </w:rPr>
      </w:pPr>
      <w:r>
        <w:rPr>
          <w:lang w:eastAsia="zh-CN"/>
        </w:rPr>
        <w:t xml:space="preserve">Similar as small-scale IEHS, the consideration of uncertainties lead to more conservative </w:t>
      </w:r>
      <w:r w:rsidR="00DF7778">
        <w:rPr>
          <w:lang w:eastAsia="zh-CN"/>
        </w:rPr>
        <w:t>investment decisions</w:t>
      </w:r>
      <w:r>
        <w:rPr>
          <w:lang w:eastAsia="zh-CN"/>
        </w:rPr>
        <w:t xml:space="preserve">. </w:t>
      </w:r>
      <w:r w:rsidR="00DF7778">
        <w:rPr>
          <w:lang w:eastAsia="zh-CN"/>
        </w:rPr>
        <w:t xml:space="preserve">To satisfy the </w:t>
      </w:r>
      <w:r w:rsidR="00B243C5">
        <w:rPr>
          <w:lang w:eastAsia="zh-CN"/>
        </w:rPr>
        <w:t>electric load</w:t>
      </w:r>
      <w:r w:rsidR="00DF7778">
        <w:rPr>
          <w:lang w:eastAsia="zh-CN"/>
        </w:rPr>
        <w:t xml:space="preserve"> in worst-case scenarios, 3 more non-CHP thermal generators </w:t>
      </w:r>
      <w:r w:rsidR="005A7995">
        <w:rPr>
          <w:lang w:eastAsia="zh-CN"/>
        </w:rPr>
        <w:t>G</w:t>
      </w:r>
      <w:r w:rsidR="005A7995" w:rsidRPr="005A7995">
        <w:rPr>
          <w:vertAlign w:val="subscript"/>
          <w:lang w:eastAsia="zh-CN"/>
        </w:rPr>
        <w:t>1</w:t>
      </w:r>
      <w:r w:rsidR="005A7995">
        <w:rPr>
          <w:lang w:eastAsia="zh-CN"/>
        </w:rPr>
        <w:t>, G</w:t>
      </w:r>
      <w:r w:rsidR="005A7995" w:rsidRPr="005A7995">
        <w:rPr>
          <w:vertAlign w:val="subscript"/>
          <w:lang w:eastAsia="zh-CN"/>
        </w:rPr>
        <w:t>4</w:t>
      </w:r>
      <w:r w:rsidR="005A7995">
        <w:rPr>
          <w:lang w:eastAsia="zh-CN"/>
        </w:rPr>
        <w:t>, G</w:t>
      </w:r>
      <w:r w:rsidR="005A7995" w:rsidRPr="005A7995">
        <w:rPr>
          <w:vertAlign w:val="subscript"/>
          <w:lang w:eastAsia="zh-CN"/>
        </w:rPr>
        <w:t>5</w:t>
      </w:r>
      <w:r w:rsidR="005A7995">
        <w:rPr>
          <w:lang w:eastAsia="zh-CN"/>
        </w:rPr>
        <w:t xml:space="preserve"> and 1 more transmission line L</w:t>
      </w:r>
      <w:r w:rsidR="005A7995" w:rsidRPr="005A7995">
        <w:rPr>
          <w:vertAlign w:val="subscript"/>
          <w:lang w:eastAsia="zh-CN"/>
        </w:rPr>
        <w:t>40</w:t>
      </w:r>
      <w:r w:rsidR="00B243C5">
        <w:rPr>
          <w:lang w:eastAsia="zh-CN"/>
        </w:rPr>
        <w:t xml:space="preserve"> are installed in case 2</w:t>
      </w:r>
      <w:r>
        <w:rPr>
          <w:lang w:eastAsia="zh-CN"/>
        </w:rPr>
        <w:t xml:space="preserve">. </w:t>
      </w:r>
      <w:r w:rsidR="00B243C5">
        <w:rPr>
          <w:lang w:eastAsia="zh-CN"/>
        </w:rPr>
        <w:t>Meanwhile, CHP units C</w:t>
      </w:r>
      <w:r w:rsidR="00B243C5" w:rsidRPr="005A7995">
        <w:rPr>
          <w:vertAlign w:val="subscript"/>
          <w:lang w:eastAsia="zh-CN"/>
        </w:rPr>
        <w:t>6</w:t>
      </w:r>
      <w:r w:rsidR="00B243C5">
        <w:rPr>
          <w:lang w:eastAsia="zh-CN"/>
        </w:rPr>
        <w:t xml:space="preserve"> and C</w:t>
      </w:r>
      <w:r w:rsidR="00B243C5" w:rsidRPr="005A7995">
        <w:rPr>
          <w:vertAlign w:val="subscript"/>
          <w:lang w:eastAsia="zh-CN"/>
        </w:rPr>
        <w:t>8</w:t>
      </w:r>
      <w:r w:rsidR="00B243C5">
        <w:rPr>
          <w:lang w:eastAsia="zh-CN"/>
        </w:rPr>
        <w:t xml:space="preserve"> with larger capacity is installed instead of C7 and C</w:t>
      </w:r>
      <w:r w:rsidR="00B243C5" w:rsidRPr="005A7995">
        <w:rPr>
          <w:vertAlign w:val="subscript"/>
          <w:lang w:eastAsia="zh-CN"/>
        </w:rPr>
        <w:t>9</w:t>
      </w:r>
      <w:r w:rsidR="00B243C5">
        <w:rPr>
          <w:lang w:eastAsia="zh-CN"/>
        </w:rPr>
        <w:t xml:space="preserve"> to meet heat demands. When uncertainties of p</w:t>
      </w:r>
      <w:r w:rsidR="005A7995">
        <w:rPr>
          <w:lang w:eastAsia="zh-CN"/>
        </w:rPr>
        <w:t>ossible component outage is further</w:t>
      </w:r>
      <w:r w:rsidR="00B243C5">
        <w:rPr>
          <w:lang w:eastAsia="zh-CN"/>
        </w:rPr>
        <w:t xml:space="preserve"> considered</w:t>
      </w:r>
      <w:r w:rsidR="005A7995">
        <w:rPr>
          <w:lang w:eastAsia="zh-CN"/>
        </w:rPr>
        <w:t xml:space="preserve"> in case 3</w:t>
      </w:r>
      <w:r w:rsidR="00B243C5">
        <w:rPr>
          <w:lang w:eastAsia="zh-CN"/>
        </w:rPr>
        <w:t xml:space="preserve">, </w:t>
      </w:r>
      <w:r w:rsidR="005A7995">
        <w:rPr>
          <w:lang w:eastAsia="zh-CN"/>
        </w:rPr>
        <w:t xml:space="preserve">all of </w:t>
      </w:r>
      <w:r w:rsidR="00B243C5">
        <w:rPr>
          <w:lang w:eastAsia="zh-CN"/>
        </w:rPr>
        <w:t>large-capacity g</w:t>
      </w:r>
      <w:r w:rsidR="005A7995">
        <w:rPr>
          <w:lang w:eastAsia="zh-CN"/>
        </w:rPr>
        <w:t>enerators are constructed ahead and t</w:t>
      </w:r>
      <w:r w:rsidR="00B243C5">
        <w:rPr>
          <w:lang w:eastAsia="zh-CN"/>
        </w:rPr>
        <w:t xml:space="preserve">hree more transmission lines </w:t>
      </w:r>
      <w:r w:rsidR="005A7995">
        <w:rPr>
          <w:lang w:eastAsia="zh-CN"/>
        </w:rPr>
        <w:t>L</w:t>
      </w:r>
      <w:r w:rsidR="005A7995" w:rsidRPr="005A7995">
        <w:rPr>
          <w:vertAlign w:val="subscript"/>
          <w:lang w:eastAsia="zh-CN"/>
        </w:rPr>
        <w:t>36</w:t>
      </w:r>
      <w:r w:rsidR="005A7995">
        <w:rPr>
          <w:lang w:eastAsia="zh-CN"/>
        </w:rPr>
        <w:t>, L</w:t>
      </w:r>
      <w:r w:rsidR="005A7995" w:rsidRPr="005A7995">
        <w:rPr>
          <w:vertAlign w:val="subscript"/>
          <w:lang w:eastAsia="zh-CN"/>
        </w:rPr>
        <w:t>37</w:t>
      </w:r>
      <w:r w:rsidR="005A7995">
        <w:rPr>
          <w:lang w:eastAsia="zh-CN"/>
        </w:rPr>
        <w:t>, L</w:t>
      </w:r>
      <w:r w:rsidR="005A7995" w:rsidRPr="005A7995">
        <w:rPr>
          <w:vertAlign w:val="subscript"/>
          <w:lang w:eastAsia="zh-CN"/>
        </w:rPr>
        <w:t>43</w:t>
      </w:r>
      <w:r w:rsidR="005A7995">
        <w:rPr>
          <w:lang w:eastAsia="zh-CN"/>
        </w:rPr>
        <w:t xml:space="preserve"> are installed to prevent load shedding in worst-case scenarios. Since electric and heat load increases in worst-case scenarios, the operation costs of cases 2-3 also increases. In summary, the simulation results verify that the proposed SOC-based C</w:t>
      </w:r>
      <w:r w:rsidR="005A7995">
        <w:rPr>
          <w:rFonts w:hint="eastAsia"/>
          <w:lang w:eastAsia="zh-CN"/>
        </w:rPr>
        <w:t>&amp;</w:t>
      </w:r>
      <w:r w:rsidR="005A7995">
        <w:rPr>
          <w:lang w:eastAsia="zh-CN"/>
        </w:rPr>
        <w:t>CG algorithm combined with SBT procedure can obtain a</w:t>
      </w:r>
      <w:r w:rsidR="00724910">
        <w:rPr>
          <w:lang w:eastAsia="zh-CN"/>
        </w:rPr>
        <w:t xml:space="preserve"> </w:t>
      </w:r>
      <w:r w:rsidR="005A7995">
        <w:rPr>
          <w:lang w:eastAsia="zh-CN"/>
        </w:rPr>
        <w:t>reliable IEHS against the various uncertaint</w:t>
      </w:r>
      <w:r w:rsidR="00724910">
        <w:rPr>
          <w:lang w:eastAsia="zh-CN"/>
        </w:rPr>
        <w:t>i</w:t>
      </w:r>
      <w:r w:rsidR="005A7995">
        <w:rPr>
          <w:lang w:eastAsia="zh-CN"/>
        </w:rPr>
        <w:t xml:space="preserve">es </w:t>
      </w:r>
      <w:r w:rsidR="00724910">
        <w:rPr>
          <w:lang w:eastAsia="zh-CN"/>
        </w:rPr>
        <w:t>of electric/heat load, wind power and N-1 criterion of components</w:t>
      </w:r>
      <w:r w:rsidR="005A7995">
        <w:rPr>
          <w:lang w:eastAsia="zh-CN"/>
        </w:rPr>
        <w:t>.</w:t>
      </w:r>
    </w:p>
    <w:p w:rsidR="00DF7778" w:rsidRDefault="00DF7778" w:rsidP="00DF7778">
      <w:pPr>
        <w:pStyle w:val="Default"/>
        <w:rPr>
          <w:rFonts w:hint="eastAsia"/>
        </w:rPr>
      </w:pPr>
    </w:p>
    <w:p w:rsidR="00DF7778" w:rsidRPr="00724910" w:rsidRDefault="00DF7778" w:rsidP="00724910">
      <w:pPr>
        <w:pStyle w:val="af1"/>
        <w:numPr>
          <w:ilvl w:val="0"/>
          <w:numId w:val="3"/>
        </w:numPr>
        <w:shd w:val="clear" w:color="auto" w:fill="FFFFFF"/>
        <w:snapToGrid w:val="0"/>
        <w:ind w:firstLineChars="0"/>
        <w:jc w:val="both"/>
        <w:rPr>
          <w:rFonts w:hint="eastAsia"/>
          <w:color w:val="222222"/>
          <w:sz w:val="16"/>
          <w:szCs w:val="16"/>
        </w:rPr>
      </w:pPr>
      <w:r w:rsidRPr="00DF7778">
        <w:rPr>
          <w:color w:val="222222"/>
          <w:sz w:val="16"/>
          <w:szCs w:val="16"/>
        </w:rPr>
        <w:t>New York Independent System Operator, “2015 congestion assessment and resource integration study, CARIS-Phase I,” Nov. 2015 [Online]. Available:http://www.nyiso.com/public/webdocs/markets_operations/services/planning/Planning_Studie</w:t>
      </w:r>
      <w:r>
        <w:rPr>
          <w:color w:val="222222"/>
          <w:sz w:val="16"/>
          <w:szCs w:val="16"/>
        </w:rPr>
        <w:t>s/Economic_Planning_Studies</w:t>
      </w:r>
      <w:proofErr w:type="gramStart"/>
      <w:r>
        <w:rPr>
          <w:color w:val="222222"/>
          <w:sz w:val="16"/>
          <w:szCs w:val="16"/>
        </w:rPr>
        <w:t>_(</w:t>
      </w:r>
      <w:proofErr w:type="gramEnd"/>
      <w:r>
        <w:rPr>
          <w:color w:val="222222"/>
          <w:sz w:val="16"/>
          <w:szCs w:val="16"/>
        </w:rPr>
        <w:t>CAR</w:t>
      </w:r>
      <w:r w:rsidRPr="00DF7778">
        <w:rPr>
          <w:color w:val="222222"/>
          <w:sz w:val="16"/>
          <w:szCs w:val="16"/>
        </w:rPr>
        <w:t xml:space="preserve">IS)/CARIS_Final_Reports/2015_CARIS_Report_FINAL.pdf. </w:t>
      </w:r>
    </w:p>
    <w:sectPr w:rsidR="00DF7778" w:rsidRPr="00724910"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204" w:rsidRDefault="00A76204">
      <w:r>
        <w:separator/>
      </w:r>
    </w:p>
  </w:endnote>
  <w:endnote w:type="continuationSeparator" w:id="0">
    <w:p w:rsidR="00A76204" w:rsidRDefault="00A76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204" w:rsidRDefault="00A76204"/>
  </w:footnote>
  <w:footnote w:type="continuationSeparator" w:id="0">
    <w:p w:rsidR="00A76204" w:rsidRDefault="00A762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2361" w:rsidRDefault="00372361">
    <w:pPr>
      <w:framePr w:wrap="auto" w:vAnchor="text" w:hAnchor="margin" w:xAlign="right" w:y="1"/>
    </w:pPr>
    <w:r>
      <w:fldChar w:fldCharType="begin"/>
    </w:r>
    <w:r>
      <w:instrText xml:space="preserve">PAGE  </w:instrText>
    </w:r>
    <w:r>
      <w:fldChar w:fldCharType="separate"/>
    </w:r>
    <w:r w:rsidR="00102BFC">
      <w:rPr>
        <w:noProof/>
      </w:rPr>
      <w:t>2</w:t>
    </w:r>
    <w:r>
      <w:fldChar w:fldCharType="end"/>
    </w:r>
  </w:p>
  <w:p w:rsidR="00372361" w:rsidRDefault="00372361">
    <w:pPr>
      <w:ind w:right="360"/>
    </w:pPr>
    <w:r>
      <w:t>&gt; REPLACE THIS LINE WITH YOUR PAPER IDENTIFICATION NUMBER (DOUBLE-CLICK HERE TO EDIT) &lt;</w:t>
    </w:r>
  </w:p>
  <w:p w:rsidR="00372361" w:rsidRDefault="00372361">
    <w:pPr>
      <w:ind w:right="360"/>
    </w:pPr>
  </w:p>
  <w:p w:rsidR="00372361" w:rsidRDefault="0037236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55E0037C"/>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val="0"/>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 w15:restartNumberingAfterBreak="0">
    <w:nsid w:val="4426328F"/>
    <w:multiLevelType w:val="hybridMultilevel"/>
    <w:tmpl w:val="2EAAA3D4"/>
    <w:lvl w:ilvl="0" w:tplc="896A3812">
      <w:start w:val="1"/>
      <w:numFmt w:val="decimal"/>
      <w:lvlText w:val="(%1)"/>
      <w:lvlJc w:val="left"/>
      <w:pPr>
        <w:ind w:left="420" w:hanging="42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675B3E"/>
    <w:multiLevelType w:val="hybridMultilevel"/>
    <w:tmpl w:val="26C23B68"/>
    <w:lvl w:ilvl="0" w:tplc="DAC2C104">
      <w:start w:val="3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23712F"/>
    <w:multiLevelType w:val="hybridMultilevel"/>
    <w:tmpl w:val="39DE46C6"/>
    <w:lvl w:ilvl="0" w:tplc="EE9C704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02C06"/>
    <w:rsid w:val="0000436A"/>
    <w:rsid w:val="00004372"/>
    <w:rsid w:val="00006643"/>
    <w:rsid w:val="00006706"/>
    <w:rsid w:val="000074FE"/>
    <w:rsid w:val="00011434"/>
    <w:rsid w:val="00012DF8"/>
    <w:rsid w:val="000131AC"/>
    <w:rsid w:val="0001474D"/>
    <w:rsid w:val="00014B88"/>
    <w:rsid w:val="00015B79"/>
    <w:rsid w:val="00016576"/>
    <w:rsid w:val="00016A5C"/>
    <w:rsid w:val="00017A99"/>
    <w:rsid w:val="0002008F"/>
    <w:rsid w:val="000206F9"/>
    <w:rsid w:val="00022D14"/>
    <w:rsid w:val="000231E1"/>
    <w:rsid w:val="00024634"/>
    <w:rsid w:val="00025A4E"/>
    <w:rsid w:val="0002649C"/>
    <w:rsid w:val="00026907"/>
    <w:rsid w:val="00026E6F"/>
    <w:rsid w:val="00030024"/>
    <w:rsid w:val="000311F7"/>
    <w:rsid w:val="00031EB7"/>
    <w:rsid w:val="000323C4"/>
    <w:rsid w:val="000327E0"/>
    <w:rsid w:val="00033477"/>
    <w:rsid w:val="000345F2"/>
    <w:rsid w:val="00036044"/>
    <w:rsid w:val="0003779B"/>
    <w:rsid w:val="00037C98"/>
    <w:rsid w:val="00037CEC"/>
    <w:rsid w:val="00040204"/>
    <w:rsid w:val="00040CB8"/>
    <w:rsid w:val="0004293F"/>
    <w:rsid w:val="00042E13"/>
    <w:rsid w:val="00042FF4"/>
    <w:rsid w:val="00043855"/>
    <w:rsid w:val="000441DF"/>
    <w:rsid w:val="00044646"/>
    <w:rsid w:val="00046719"/>
    <w:rsid w:val="00050A4E"/>
    <w:rsid w:val="0005159C"/>
    <w:rsid w:val="00052058"/>
    <w:rsid w:val="00052F89"/>
    <w:rsid w:val="00055E00"/>
    <w:rsid w:val="000576FF"/>
    <w:rsid w:val="000651B4"/>
    <w:rsid w:val="0006580C"/>
    <w:rsid w:val="00067C29"/>
    <w:rsid w:val="00067EA8"/>
    <w:rsid w:val="00071125"/>
    <w:rsid w:val="00073BFC"/>
    <w:rsid w:val="0007521D"/>
    <w:rsid w:val="00077578"/>
    <w:rsid w:val="00077F02"/>
    <w:rsid w:val="00081B1B"/>
    <w:rsid w:val="000831DA"/>
    <w:rsid w:val="00086EF6"/>
    <w:rsid w:val="000916BA"/>
    <w:rsid w:val="00091D09"/>
    <w:rsid w:val="0009360D"/>
    <w:rsid w:val="0009364D"/>
    <w:rsid w:val="0009407A"/>
    <w:rsid w:val="00097EDD"/>
    <w:rsid w:val="00097F60"/>
    <w:rsid w:val="000A0510"/>
    <w:rsid w:val="000A0956"/>
    <w:rsid w:val="000A0C2F"/>
    <w:rsid w:val="000A1571"/>
    <w:rsid w:val="000A168B"/>
    <w:rsid w:val="000A1856"/>
    <w:rsid w:val="000A18E6"/>
    <w:rsid w:val="000A32D5"/>
    <w:rsid w:val="000A353C"/>
    <w:rsid w:val="000A434B"/>
    <w:rsid w:val="000A46F1"/>
    <w:rsid w:val="000A497F"/>
    <w:rsid w:val="000A4FDB"/>
    <w:rsid w:val="000A53D9"/>
    <w:rsid w:val="000A7807"/>
    <w:rsid w:val="000B08AB"/>
    <w:rsid w:val="000B098E"/>
    <w:rsid w:val="000B128C"/>
    <w:rsid w:val="000B1F4E"/>
    <w:rsid w:val="000B2CE6"/>
    <w:rsid w:val="000B401E"/>
    <w:rsid w:val="000B5778"/>
    <w:rsid w:val="000B5C8F"/>
    <w:rsid w:val="000C0396"/>
    <w:rsid w:val="000C26A6"/>
    <w:rsid w:val="000C463C"/>
    <w:rsid w:val="000C5D6F"/>
    <w:rsid w:val="000C62DE"/>
    <w:rsid w:val="000C663B"/>
    <w:rsid w:val="000C6E1F"/>
    <w:rsid w:val="000C6FA0"/>
    <w:rsid w:val="000D114C"/>
    <w:rsid w:val="000D1635"/>
    <w:rsid w:val="000D2BDE"/>
    <w:rsid w:val="000D2EAF"/>
    <w:rsid w:val="000D625D"/>
    <w:rsid w:val="000D6870"/>
    <w:rsid w:val="000D7674"/>
    <w:rsid w:val="000E3B2E"/>
    <w:rsid w:val="000E40CD"/>
    <w:rsid w:val="000E4AFF"/>
    <w:rsid w:val="000E5C6E"/>
    <w:rsid w:val="000E62B3"/>
    <w:rsid w:val="000E63DC"/>
    <w:rsid w:val="000E6B73"/>
    <w:rsid w:val="000E7F61"/>
    <w:rsid w:val="000F05CC"/>
    <w:rsid w:val="000F1365"/>
    <w:rsid w:val="000F1C73"/>
    <w:rsid w:val="000F1F8D"/>
    <w:rsid w:val="000F2398"/>
    <w:rsid w:val="000F26EA"/>
    <w:rsid w:val="000F2F96"/>
    <w:rsid w:val="000F3579"/>
    <w:rsid w:val="000F388E"/>
    <w:rsid w:val="000F39DD"/>
    <w:rsid w:val="000F62B4"/>
    <w:rsid w:val="000F6F5F"/>
    <w:rsid w:val="000F74BC"/>
    <w:rsid w:val="00100FA9"/>
    <w:rsid w:val="00102AEA"/>
    <w:rsid w:val="00102BFC"/>
    <w:rsid w:val="00104BB0"/>
    <w:rsid w:val="00105060"/>
    <w:rsid w:val="00105A5F"/>
    <w:rsid w:val="00105ECC"/>
    <w:rsid w:val="00106986"/>
    <w:rsid w:val="00106B24"/>
    <w:rsid w:val="0010749B"/>
    <w:rsid w:val="0010794E"/>
    <w:rsid w:val="00107D26"/>
    <w:rsid w:val="00107D53"/>
    <w:rsid w:val="00110AE5"/>
    <w:rsid w:val="0011100F"/>
    <w:rsid w:val="0011157C"/>
    <w:rsid w:val="001129D5"/>
    <w:rsid w:val="00113321"/>
    <w:rsid w:val="00113F26"/>
    <w:rsid w:val="001158F8"/>
    <w:rsid w:val="00115DE2"/>
    <w:rsid w:val="00120BDC"/>
    <w:rsid w:val="001238A5"/>
    <w:rsid w:val="00124BB0"/>
    <w:rsid w:val="00125A76"/>
    <w:rsid w:val="0012782F"/>
    <w:rsid w:val="00127F50"/>
    <w:rsid w:val="00130EB2"/>
    <w:rsid w:val="00130F30"/>
    <w:rsid w:val="001315B8"/>
    <w:rsid w:val="001333EF"/>
    <w:rsid w:val="0013354F"/>
    <w:rsid w:val="00133CC3"/>
    <w:rsid w:val="00134564"/>
    <w:rsid w:val="0013468C"/>
    <w:rsid w:val="001350EB"/>
    <w:rsid w:val="00135858"/>
    <w:rsid w:val="001361C9"/>
    <w:rsid w:val="00136582"/>
    <w:rsid w:val="001366D9"/>
    <w:rsid w:val="00136D47"/>
    <w:rsid w:val="00140BB5"/>
    <w:rsid w:val="0014332E"/>
    <w:rsid w:val="00143457"/>
    <w:rsid w:val="00143DE1"/>
    <w:rsid w:val="00143F2E"/>
    <w:rsid w:val="00144E72"/>
    <w:rsid w:val="001472A1"/>
    <w:rsid w:val="00151744"/>
    <w:rsid w:val="00151ED1"/>
    <w:rsid w:val="001521E3"/>
    <w:rsid w:val="00153381"/>
    <w:rsid w:val="00154106"/>
    <w:rsid w:val="001573A2"/>
    <w:rsid w:val="00160127"/>
    <w:rsid w:val="0016419E"/>
    <w:rsid w:val="00167956"/>
    <w:rsid w:val="0017160A"/>
    <w:rsid w:val="00173625"/>
    <w:rsid w:val="0017397D"/>
    <w:rsid w:val="00173B3C"/>
    <w:rsid w:val="0017435D"/>
    <w:rsid w:val="00174E2C"/>
    <w:rsid w:val="001758EB"/>
    <w:rsid w:val="00175AF1"/>
    <w:rsid w:val="001768FF"/>
    <w:rsid w:val="00177067"/>
    <w:rsid w:val="00177902"/>
    <w:rsid w:val="00182B2E"/>
    <w:rsid w:val="001831D1"/>
    <w:rsid w:val="00183321"/>
    <w:rsid w:val="00185B3B"/>
    <w:rsid w:val="00186530"/>
    <w:rsid w:val="00187914"/>
    <w:rsid w:val="00190CC3"/>
    <w:rsid w:val="00191937"/>
    <w:rsid w:val="0019258F"/>
    <w:rsid w:val="0019333C"/>
    <w:rsid w:val="00194084"/>
    <w:rsid w:val="001A1732"/>
    <w:rsid w:val="001A1A44"/>
    <w:rsid w:val="001A1C44"/>
    <w:rsid w:val="001A38B5"/>
    <w:rsid w:val="001A39CC"/>
    <w:rsid w:val="001A4684"/>
    <w:rsid w:val="001A5EF5"/>
    <w:rsid w:val="001A60B1"/>
    <w:rsid w:val="001B0254"/>
    <w:rsid w:val="001B1EFF"/>
    <w:rsid w:val="001B22BB"/>
    <w:rsid w:val="001B2686"/>
    <w:rsid w:val="001B364C"/>
    <w:rsid w:val="001B36B1"/>
    <w:rsid w:val="001B701E"/>
    <w:rsid w:val="001C22EA"/>
    <w:rsid w:val="001C28F0"/>
    <w:rsid w:val="001C4D70"/>
    <w:rsid w:val="001C508E"/>
    <w:rsid w:val="001C52E4"/>
    <w:rsid w:val="001C7E47"/>
    <w:rsid w:val="001D0887"/>
    <w:rsid w:val="001D093E"/>
    <w:rsid w:val="001D0F72"/>
    <w:rsid w:val="001D2A87"/>
    <w:rsid w:val="001D327D"/>
    <w:rsid w:val="001D42E2"/>
    <w:rsid w:val="001D5306"/>
    <w:rsid w:val="001E0806"/>
    <w:rsid w:val="001E1506"/>
    <w:rsid w:val="001E1ECE"/>
    <w:rsid w:val="001E2186"/>
    <w:rsid w:val="001E70F8"/>
    <w:rsid w:val="001E76C1"/>
    <w:rsid w:val="001E77A0"/>
    <w:rsid w:val="001E7B7A"/>
    <w:rsid w:val="001F14DB"/>
    <w:rsid w:val="001F1F2E"/>
    <w:rsid w:val="001F29CB"/>
    <w:rsid w:val="001F2FC3"/>
    <w:rsid w:val="001F31C3"/>
    <w:rsid w:val="001F3FD2"/>
    <w:rsid w:val="001F4C5C"/>
    <w:rsid w:val="001F52AC"/>
    <w:rsid w:val="001F5C84"/>
    <w:rsid w:val="001F70F1"/>
    <w:rsid w:val="001F7783"/>
    <w:rsid w:val="002009C4"/>
    <w:rsid w:val="00200C14"/>
    <w:rsid w:val="0020156F"/>
    <w:rsid w:val="00201F65"/>
    <w:rsid w:val="00202523"/>
    <w:rsid w:val="00202B48"/>
    <w:rsid w:val="00202F40"/>
    <w:rsid w:val="0020397C"/>
    <w:rsid w:val="00204478"/>
    <w:rsid w:val="00204D4A"/>
    <w:rsid w:val="002055F3"/>
    <w:rsid w:val="002056AD"/>
    <w:rsid w:val="00205C7E"/>
    <w:rsid w:val="00206DE7"/>
    <w:rsid w:val="0020706A"/>
    <w:rsid w:val="00211987"/>
    <w:rsid w:val="00212753"/>
    <w:rsid w:val="00212EE2"/>
    <w:rsid w:val="00214336"/>
    <w:rsid w:val="002144D7"/>
    <w:rsid w:val="00214538"/>
    <w:rsid w:val="0021472B"/>
    <w:rsid w:val="00214799"/>
    <w:rsid w:val="00214E2E"/>
    <w:rsid w:val="002159BF"/>
    <w:rsid w:val="00216076"/>
    <w:rsid w:val="00216141"/>
    <w:rsid w:val="0021654D"/>
    <w:rsid w:val="0021675E"/>
    <w:rsid w:val="00217186"/>
    <w:rsid w:val="002179D8"/>
    <w:rsid w:val="00220860"/>
    <w:rsid w:val="002211EF"/>
    <w:rsid w:val="002212AA"/>
    <w:rsid w:val="002224A0"/>
    <w:rsid w:val="002228A3"/>
    <w:rsid w:val="00224BCE"/>
    <w:rsid w:val="002251CE"/>
    <w:rsid w:val="00226BC3"/>
    <w:rsid w:val="00227003"/>
    <w:rsid w:val="00230315"/>
    <w:rsid w:val="00230DE4"/>
    <w:rsid w:val="00230ECB"/>
    <w:rsid w:val="002318E4"/>
    <w:rsid w:val="00231E54"/>
    <w:rsid w:val="00232388"/>
    <w:rsid w:val="00234249"/>
    <w:rsid w:val="00234C5D"/>
    <w:rsid w:val="00234E35"/>
    <w:rsid w:val="00235709"/>
    <w:rsid w:val="0023676A"/>
    <w:rsid w:val="002434A1"/>
    <w:rsid w:val="00243721"/>
    <w:rsid w:val="00243A29"/>
    <w:rsid w:val="0024450A"/>
    <w:rsid w:val="00245196"/>
    <w:rsid w:val="00245E8A"/>
    <w:rsid w:val="00246DDD"/>
    <w:rsid w:val="002504DE"/>
    <w:rsid w:val="002507B6"/>
    <w:rsid w:val="00253198"/>
    <w:rsid w:val="00254541"/>
    <w:rsid w:val="002546B5"/>
    <w:rsid w:val="002562B7"/>
    <w:rsid w:val="002567EA"/>
    <w:rsid w:val="00257326"/>
    <w:rsid w:val="00260455"/>
    <w:rsid w:val="00260464"/>
    <w:rsid w:val="002609BD"/>
    <w:rsid w:val="00260DB5"/>
    <w:rsid w:val="00260E48"/>
    <w:rsid w:val="0026111E"/>
    <w:rsid w:val="002613B1"/>
    <w:rsid w:val="002613F2"/>
    <w:rsid w:val="002630D6"/>
    <w:rsid w:val="00263943"/>
    <w:rsid w:val="0026481E"/>
    <w:rsid w:val="0026622A"/>
    <w:rsid w:val="00266687"/>
    <w:rsid w:val="00266BC5"/>
    <w:rsid w:val="00266BE4"/>
    <w:rsid w:val="00266F4A"/>
    <w:rsid w:val="00267201"/>
    <w:rsid w:val="00267B35"/>
    <w:rsid w:val="00267C6C"/>
    <w:rsid w:val="00271153"/>
    <w:rsid w:val="00271CE8"/>
    <w:rsid w:val="00271FFA"/>
    <w:rsid w:val="00272572"/>
    <w:rsid w:val="002731FB"/>
    <w:rsid w:val="002735DD"/>
    <w:rsid w:val="00275AAB"/>
    <w:rsid w:val="00276793"/>
    <w:rsid w:val="0027706D"/>
    <w:rsid w:val="00281C73"/>
    <w:rsid w:val="00282F0A"/>
    <w:rsid w:val="00283B5C"/>
    <w:rsid w:val="00283FE0"/>
    <w:rsid w:val="00284DF5"/>
    <w:rsid w:val="00287F3C"/>
    <w:rsid w:val="00290140"/>
    <w:rsid w:val="00290924"/>
    <w:rsid w:val="00290BF9"/>
    <w:rsid w:val="00290DB3"/>
    <w:rsid w:val="00292B40"/>
    <w:rsid w:val="00295C87"/>
    <w:rsid w:val="002961CC"/>
    <w:rsid w:val="002966FA"/>
    <w:rsid w:val="00297301"/>
    <w:rsid w:val="002A19C8"/>
    <w:rsid w:val="002A32FD"/>
    <w:rsid w:val="002A3CC9"/>
    <w:rsid w:val="002A42C7"/>
    <w:rsid w:val="002A4CD8"/>
    <w:rsid w:val="002A581F"/>
    <w:rsid w:val="002A5863"/>
    <w:rsid w:val="002A6616"/>
    <w:rsid w:val="002A6795"/>
    <w:rsid w:val="002A7312"/>
    <w:rsid w:val="002B006F"/>
    <w:rsid w:val="002B093A"/>
    <w:rsid w:val="002B0BD2"/>
    <w:rsid w:val="002B2A8D"/>
    <w:rsid w:val="002B2C33"/>
    <w:rsid w:val="002B2FA4"/>
    <w:rsid w:val="002B461E"/>
    <w:rsid w:val="002B476D"/>
    <w:rsid w:val="002B48D2"/>
    <w:rsid w:val="002B539A"/>
    <w:rsid w:val="002B5816"/>
    <w:rsid w:val="002B7411"/>
    <w:rsid w:val="002C0B75"/>
    <w:rsid w:val="002C11B3"/>
    <w:rsid w:val="002C1ECB"/>
    <w:rsid w:val="002C2085"/>
    <w:rsid w:val="002C4C6A"/>
    <w:rsid w:val="002C4E45"/>
    <w:rsid w:val="002C626D"/>
    <w:rsid w:val="002C636A"/>
    <w:rsid w:val="002C733D"/>
    <w:rsid w:val="002D049F"/>
    <w:rsid w:val="002D3D9D"/>
    <w:rsid w:val="002D46CC"/>
    <w:rsid w:val="002D6978"/>
    <w:rsid w:val="002D7832"/>
    <w:rsid w:val="002D7968"/>
    <w:rsid w:val="002E108B"/>
    <w:rsid w:val="002E10CA"/>
    <w:rsid w:val="002E1F95"/>
    <w:rsid w:val="002E364C"/>
    <w:rsid w:val="002E3BB4"/>
    <w:rsid w:val="002E407B"/>
    <w:rsid w:val="002E497F"/>
    <w:rsid w:val="002E4FB5"/>
    <w:rsid w:val="002E5357"/>
    <w:rsid w:val="002E5C8D"/>
    <w:rsid w:val="002E6363"/>
    <w:rsid w:val="002E7E23"/>
    <w:rsid w:val="002F1A23"/>
    <w:rsid w:val="002F2239"/>
    <w:rsid w:val="002F38D2"/>
    <w:rsid w:val="002F40B5"/>
    <w:rsid w:val="002F4618"/>
    <w:rsid w:val="002F6297"/>
    <w:rsid w:val="002F66F6"/>
    <w:rsid w:val="002F706E"/>
    <w:rsid w:val="002F70FE"/>
    <w:rsid w:val="002F7910"/>
    <w:rsid w:val="00300018"/>
    <w:rsid w:val="00303883"/>
    <w:rsid w:val="00304AD7"/>
    <w:rsid w:val="003056AF"/>
    <w:rsid w:val="00306818"/>
    <w:rsid w:val="00307CF5"/>
    <w:rsid w:val="00310D06"/>
    <w:rsid w:val="00310FC4"/>
    <w:rsid w:val="00311BB4"/>
    <w:rsid w:val="003120CF"/>
    <w:rsid w:val="003134A4"/>
    <w:rsid w:val="00314F82"/>
    <w:rsid w:val="00315133"/>
    <w:rsid w:val="00315432"/>
    <w:rsid w:val="00315811"/>
    <w:rsid w:val="00315858"/>
    <w:rsid w:val="00315A0D"/>
    <w:rsid w:val="00316C7B"/>
    <w:rsid w:val="003170D7"/>
    <w:rsid w:val="0031726C"/>
    <w:rsid w:val="0032114F"/>
    <w:rsid w:val="0032167E"/>
    <w:rsid w:val="00321CF5"/>
    <w:rsid w:val="00322C83"/>
    <w:rsid w:val="0032339A"/>
    <w:rsid w:val="00323D5B"/>
    <w:rsid w:val="00324A89"/>
    <w:rsid w:val="003250A7"/>
    <w:rsid w:val="00325912"/>
    <w:rsid w:val="00325C12"/>
    <w:rsid w:val="00325E0F"/>
    <w:rsid w:val="0032652D"/>
    <w:rsid w:val="003266D0"/>
    <w:rsid w:val="003266F4"/>
    <w:rsid w:val="00327293"/>
    <w:rsid w:val="00327360"/>
    <w:rsid w:val="003305FC"/>
    <w:rsid w:val="0033088D"/>
    <w:rsid w:val="0033174A"/>
    <w:rsid w:val="0033181C"/>
    <w:rsid w:val="00333093"/>
    <w:rsid w:val="00333342"/>
    <w:rsid w:val="00333F6A"/>
    <w:rsid w:val="00335555"/>
    <w:rsid w:val="00335755"/>
    <w:rsid w:val="00336E4D"/>
    <w:rsid w:val="00337248"/>
    <w:rsid w:val="00340A47"/>
    <w:rsid w:val="003413A8"/>
    <w:rsid w:val="00341754"/>
    <w:rsid w:val="003427CE"/>
    <w:rsid w:val="00342BE1"/>
    <w:rsid w:val="00343959"/>
    <w:rsid w:val="00343A27"/>
    <w:rsid w:val="00344D66"/>
    <w:rsid w:val="003461E8"/>
    <w:rsid w:val="00347223"/>
    <w:rsid w:val="00347AB0"/>
    <w:rsid w:val="00350699"/>
    <w:rsid w:val="00350DF7"/>
    <w:rsid w:val="00351D3D"/>
    <w:rsid w:val="00352BE8"/>
    <w:rsid w:val="00353EAD"/>
    <w:rsid w:val="00354110"/>
    <w:rsid w:val="00355C87"/>
    <w:rsid w:val="003573D1"/>
    <w:rsid w:val="00357714"/>
    <w:rsid w:val="00357B36"/>
    <w:rsid w:val="003600D4"/>
    <w:rsid w:val="00360269"/>
    <w:rsid w:val="0036195D"/>
    <w:rsid w:val="003649D6"/>
    <w:rsid w:val="003654B3"/>
    <w:rsid w:val="003655AE"/>
    <w:rsid w:val="00366490"/>
    <w:rsid w:val="00367389"/>
    <w:rsid w:val="00370C6E"/>
    <w:rsid w:val="00372361"/>
    <w:rsid w:val="003733E1"/>
    <w:rsid w:val="0037466D"/>
    <w:rsid w:val="003753E9"/>
    <w:rsid w:val="0037551B"/>
    <w:rsid w:val="0037587C"/>
    <w:rsid w:val="003760E2"/>
    <w:rsid w:val="00376EF9"/>
    <w:rsid w:val="00377716"/>
    <w:rsid w:val="00380F98"/>
    <w:rsid w:val="00382C38"/>
    <w:rsid w:val="00383A8A"/>
    <w:rsid w:val="003855D5"/>
    <w:rsid w:val="00386547"/>
    <w:rsid w:val="003867BA"/>
    <w:rsid w:val="00386D99"/>
    <w:rsid w:val="0038738C"/>
    <w:rsid w:val="00387A1B"/>
    <w:rsid w:val="00387F82"/>
    <w:rsid w:val="00390EE8"/>
    <w:rsid w:val="00392436"/>
    <w:rsid w:val="00392DA6"/>
    <w:rsid w:val="00392DBA"/>
    <w:rsid w:val="00395681"/>
    <w:rsid w:val="0039583B"/>
    <w:rsid w:val="00395B89"/>
    <w:rsid w:val="00395D79"/>
    <w:rsid w:val="00396241"/>
    <w:rsid w:val="003A0E61"/>
    <w:rsid w:val="003A1133"/>
    <w:rsid w:val="003A292F"/>
    <w:rsid w:val="003A2C1F"/>
    <w:rsid w:val="003A2EA7"/>
    <w:rsid w:val="003A2EBC"/>
    <w:rsid w:val="003A3397"/>
    <w:rsid w:val="003A35CA"/>
    <w:rsid w:val="003A3B5C"/>
    <w:rsid w:val="003A4CA1"/>
    <w:rsid w:val="003A4E70"/>
    <w:rsid w:val="003A5997"/>
    <w:rsid w:val="003A631C"/>
    <w:rsid w:val="003A6E3C"/>
    <w:rsid w:val="003A7F09"/>
    <w:rsid w:val="003B23B7"/>
    <w:rsid w:val="003B4A52"/>
    <w:rsid w:val="003B4F64"/>
    <w:rsid w:val="003B4F95"/>
    <w:rsid w:val="003B4FE9"/>
    <w:rsid w:val="003B6557"/>
    <w:rsid w:val="003B74A7"/>
    <w:rsid w:val="003C07D7"/>
    <w:rsid w:val="003C3322"/>
    <w:rsid w:val="003C3BDB"/>
    <w:rsid w:val="003C3CD9"/>
    <w:rsid w:val="003C4845"/>
    <w:rsid w:val="003C6077"/>
    <w:rsid w:val="003C68C2"/>
    <w:rsid w:val="003C6EE0"/>
    <w:rsid w:val="003C7D02"/>
    <w:rsid w:val="003D000E"/>
    <w:rsid w:val="003D0A61"/>
    <w:rsid w:val="003D0B64"/>
    <w:rsid w:val="003D13D7"/>
    <w:rsid w:val="003D16DC"/>
    <w:rsid w:val="003D1BC5"/>
    <w:rsid w:val="003D1EBF"/>
    <w:rsid w:val="003D2B0E"/>
    <w:rsid w:val="003D3043"/>
    <w:rsid w:val="003D338D"/>
    <w:rsid w:val="003D343C"/>
    <w:rsid w:val="003D4CAE"/>
    <w:rsid w:val="003D5A5C"/>
    <w:rsid w:val="003D68E4"/>
    <w:rsid w:val="003D6F7B"/>
    <w:rsid w:val="003E004C"/>
    <w:rsid w:val="003E15A0"/>
    <w:rsid w:val="003E5523"/>
    <w:rsid w:val="003E65E2"/>
    <w:rsid w:val="003E6720"/>
    <w:rsid w:val="003E6BB0"/>
    <w:rsid w:val="003F029A"/>
    <w:rsid w:val="003F0CC6"/>
    <w:rsid w:val="003F0DA7"/>
    <w:rsid w:val="003F109F"/>
    <w:rsid w:val="003F26BD"/>
    <w:rsid w:val="003F34EB"/>
    <w:rsid w:val="003F3694"/>
    <w:rsid w:val="003F3C32"/>
    <w:rsid w:val="003F4016"/>
    <w:rsid w:val="003F42F7"/>
    <w:rsid w:val="003F52AD"/>
    <w:rsid w:val="003F5BD2"/>
    <w:rsid w:val="003F5DC1"/>
    <w:rsid w:val="003F5DE1"/>
    <w:rsid w:val="003F63EF"/>
    <w:rsid w:val="003F6F65"/>
    <w:rsid w:val="00400B53"/>
    <w:rsid w:val="00401EA9"/>
    <w:rsid w:val="0040253A"/>
    <w:rsid w:val="00402D93"/>
    <w:rsid w:val="00402F65"/>
    <w:rsid w:val="00403D40"/>
    <w:rsid w:val="00403DE8"/>
    <w:rsid w:val="004049EF"/>
    <w:rsid w:val="00404B80"/>
    <w:rsid w:val="00404C7D"/>
    <w:rsid w:val="004052F7"/>
    <w:rsid w:val="0040751B"/>
    <w:rsid w:val="00407748"/>
    <w:rsid w:val="00410659"/>
    <w:rsid w:val="004106A8"/>
    <w:rsid w:val="004113CD"/>
    <w:rsid w:val="00412286"/>
    <w:rsid w:val="00412EFB"/>
    <w:rsid w:val="00413C5C"/>
    <w:rsid w:val="00414762"/>
    <w:rsid w:val="004151B4"/>
    <w:rsid w:val="00420495"/>
    <w:rsid w:val="00422F03"/>
    <w:rsid w:val="004233CB"/>
    <w:rsid w:val="004254B8"/>
    <w:rsid w:val="004255A4"/>
    <w:rsid w:val="0043073B"/>
    <w:rsid w:val="0043144F"/>
    <w:rsid w:val="004316B6"/>
    <w:rsid w:val="00431BFA"/>
    <w:rsid w:val="00432C2E"/>
    <w:rsid w:val="0043463B"/>
    <w:rsid w:val="004353CF"/>
    <w:rsid w:val="00435577"/>
    <w:rsid w:val="00436692"/>
    <w:rsid w:val="00442584"/>
    <w:rsid w:val="00442653"/>
    <w:rsid w:val="00442BC2"/>
    <w:rsid w:val="00442E15"/>
    <w:rsid w:val="00442FF9"/>
    <w:rsid w:val="00445FA7"/>
    <w:rsid w:val="00446ADB"/>
    <w:rsid w:val="004474C4"/>
    <w:rsid w:val="00447CC2"/>
    <w:rsid w:val="004504D1"/>
    <w:rsid w:val="00451927"/>
    <w:rsid w:val="00452005"/>
    <w:rsid w:val="004520B1"/>
    <w:rsid w:val="00452495"/>
    <w:rsid w:val="004525B5"/>
    <w:rsid w:val="00452E2B"/>
    <w:rsid w:val="00453F1D"/>
    <w:rsid w:val="00454357"/>
    <w:rsid w:val="00455694"/>
    <w:rsid w:val="004557F6"/>
    <w:rsid w:val="00457FB0"/>
    <w:rsid w:val="00460334"/>
    <w:rsid w:val="004631BC"/>
    <w:rsid w:val="00463A0E"/>
    <w:rsid w:val="00463E89"/>
    <w:rsid w:val="00464BCC"/>
    <w:rsid w:val="00465119"/>
    <w:rsid w:val="00466A26"/>
    <w:rsid w:val="00466E4E"/>
    <w:rsid w:val="004673A9"/>
    <w:rsid w:val="00472D0B"/>
    <w:rsid w:val="00472E9F"/>
    <w:rsid w:val="00473C77"/>
    <w:rsid w:val="00474CE2"/>
    <w:rsid w:val="00474D0A"/>
    <w:rsid w:val="00475E5F"/>
    <w:rsid w:val="00475E83"/>
    <w:rsid w:val="00476AA7"/>
    <w:rsid w:val="00476B0E"/>
    <w:rsid w:val="00476FC6"/>
    <w:rsid w:val="00480352"/>
    <w:rsid w:val="0048044A"/>
    <w:rsid w:val="0048054A"/>
    <w:rsid w:val="00480848"/>
    <w:rsid w:val="00480F30"/>
    <w:rsid w:val="00484761"/>
    <w:rsid w:val="00484959"/>
    <w:rsid w:val="00484DD5"/>
    <w:rsid w:val="00485892"/>
    <w:rsid w:val="004907FB"/>
    <w:rsid w:val="0049217C"/>
    <w:rsid w:val="00493DF5"/>
    <w:rsid w:val="00494950"/>
    <w:rsid w:val="00494A0B"/>
    <w:rsid w:val="0049515D"/>
    <w:rsid w:val="004951B3"/>
    <w:rsid w:val="0049584E"/>
    <w:rsid w:val="00495865"/>
    <w:rsid w:val="004973A9"/>
    <w:rsid w:val="004978EF"/>
    <w:rsid w:val="004A15B4"/>
    <w:rsid w:val="004A2448"/>
    <w:rsid w:val="004A37EF"/>
    <w:rsid w:val="004A3D16"/>
    <w:rsid w:val="004A3F41"/>
    <w:rsid w:val="004A47B0"/>
    <w:rsid w:val="004A480C"/>
    <w:rsid w:val="004A547F"/>
    <w:rsid w:val="004A6EF2"/>
    <w:rsid w:val="004A78A3"/>
    <w:rsid w:val="004A7BC0"/>
    <w:rsid w:val="004B2991"/>
    <w:rsid w:val="004B3572"/>
    <w:rsid w:val="004B407D"/>
    <w:rsid w:val="004B49DA"/>
    <w:rsid w:val="004B4E80"/>
    <w:rsid w:val="004B558A"/>
    <w:rsid w:val="004B62E8"/>
    <w:rsid w:val="004B63B4"/>
    <w:rsid w:val="004B6A2D"/>
    <w:rsid w:val="004B6BE9"/>
    <w:rsid w:val="004B7A9B"/>
    <w:rsid w:val="004B7CE1"/>
    <w:rsid w:val="004C079F"/>
    <w:rsid w:val="004C0F83"/>
    <w:rsid w:val="004C1E16"/>
    <w:rsid w:val="004C2543"/>
    <w:rsid w:val="004C27DA"/>
    <w:rsid w:val="004C5F27"/>
    <w:rsid w:val="004C6CB4"/>
    <w:rsid w:val="004C7700"/>
    <w:rsid w:val="004C7734"/>
    <w:rsid w:val="004C7F7C"/>
    <w:rsid w:val="004D0F51"/>
    <w:rsid w:val="004D15CA"/>
    <w:rsid w:val="004D1647"/>
    <w:rsid w:val="004D1662"/>
    <w:rsid w:val="004D1B4D"/>
    <w:rsid w:val="004D3E2F"/>
    <w:rsid w:val="004D47F9"/>
    <w:rsid w:val="004E289B"/>
    <w:rsid w:val="004E2E0F"/>
    <w:rsid w:val="004E3342"/>
    <w:rsid w:val="004E3E4C"/>
    <w:rsid w:val="004E4992"/>
    <w:rsid w:val="004E5EA6"/>
    <w:rsid w:val="004E5F80"/>
    <w:rsid w:val="004E7971"/>
    <w:rsid w:val="004E7F80"/>
    <w:rsid w:val="004F0426"/>
    <w:rsid w:val="004F23A0"/>
    <w:rsid w:val="004F23A5"/>
    <w:rsid w:val="004F3174"/>
    <w:rsid w:val="004F3DCA"/>
    <w:rsid w:val="004F5481"/>
    <w:rsid w:val="004F6508"/>
    <w:rsid w:val="004F6C96"/>
    <w:rsid w:val="004F7614"/>
    <w:rsid w:val="005003E3"/>
    <w:rsid w:val="0050058C"/>
    <w:rsid w:val="005007D5"/>
    <w:rsid w:val="00501133"/>
    <w:rsid w:val="00502503"/>
    <w:rsid w:val="00502A77"/>
    <w:rsid w:val="00502FEA"/>
    <w:rsid w:val="005052CD"/>
    <w:rsid w:val="00505902"/>
    <w:rsid w:val="00505C24"/>
    <w:rsid w:val="0050608C"/>
    <w:rsid w:val="0050674E"/>
    <w:rsid w:val="0051152E"/>
    <w:rsid w:val="00511BE3"/>
    <w:rsid w:val="0051347E"/>
    <w:rsid w:val="00513F0F"/>
    <w:rsid w:val="005148A6"/>
    <w:rsid w:val="005153B4"/>
    <w:rsid w:val="0051540E"/>
    <w:rsid w:val="005158B6"/>
    <w:rsid w:val="00515BD0"/>
    <w:rsid w:val="00516528"/>
    <w:rsid w:val="00520B98"/>
    <w:rsid w:val="00521939"/>
    <w:rsid w:val="00523DF7"/>
    <w:rsid w:val="00524BA1"/>
    <w:rsid w:val="00524DC9"/>
    <w:rsid w:val="00526750"/>
    <w:rsid w:val="0052798B"/>
    <w:rsid w:val="00530F5A"/>
    <w:rsid w:val="005318EE"/>
    <w:rsid w:val="00532A78"/>
    <w:rsid w:val="00533B4C"/>
    <w:rsid w:val="00534121"/>
    <w:rsid w:val="00535307"/>
    <w:rsid w:val="0053560B"/>
    <w:rsid w:val="00536698"/>
    <w:rsid w:val="00536874"/>
    <w:rsid w:val="00537453"/>
    <w:rsid w:val="00537F50"/>
    <w:rsid w:val="00541627"/>
    <w:rsid w:val="00541B93"/>
    <w:rsid w:val="00542AD5"/>
    <w:rsid w:val="00543289"/>
    <w:rsid w:val="00545CE3"/>
    <w:rsid w:val="00546645"/>
    <w:rsid w:val="00546DC3"/>
    <w:rsid w:val="00547535"/>
    <w:rsid w:val="00550A26"/>
    <w:rsid w:val="00550BF5"/>
    <w:rsid w:val="00550F3A"/>
    <w:rsid w:val="00551C14"/>
    <w:rsid w:val="005528B3"/>
    <w:rsid w:val="00552C57"/>
    <w:rsid w:val="00553461"/>
    <w:rsid w:val="00554266"/>
    <w:rsid w:val="0055480B"/>
    <w:rsid w:val="00554C4E"/>
    <w:rsid w:val="00555158"/>
    <w:rsid w:val="005557F7"/>
    <w:rsid w:val="00555C5F"/>
    <w:rsid w:val="005566BC"/>
    <w:rsid w:val="005566EA"/>
    <w:rsid w:val="005572BC"/>
    <w:rsid w:val="005603BC"/>
    <w:rsid w:val="00560D2C"/>
    <w:rsid w:val="005618D1"/>
    <w:rsid w:val="00561F57"/>
    <w:rsid w:val="00561FDB"/>
    <w:rsid w:val="00562976"/>
    <w:rsid w:val="00563809"/>
    <w:rsid w:val="00563CBE"/>
    <w:rsid w:val="005643D8"/>
    <w:rsid w:val="00565E8F"/>
    <w:rsid w:val="00566751"/>
    <w:rsid w:val="0056681C"/>
    <w:rsid w:val="00567A70"/>
    <w:rsid w:val="005705D9"/>
    <w:rsid w:val="005714D4"/>
    <w:rsid w:val="00571C26"/>
    <w:rsid w:val="00573282"/>
    <w:rsid w:val="005739B5"/>
    <w:rsid w:val="00574634"/>
    <w:rsid w:val="005808E7"/>
    <w:rsid w:val="0058105C"/>
    <w:rsid w:val="00581D53"/>
    <w:rsid w:val="00582BC7"/>
    <w:rsid w:val="0058328F"/>
    <w:rsid w:val="00584A16"/>
    <w:rsid w:val="00590632"/>
    <w:rsid w:val="00592E1B"/>
    <w:rsid w:val="00596256"/>
    <w:rsid w:val="00596947"/>
    <w:rsid w:val="005A0FF7"/>
    <w:rsid w:val="005A121A"/>
    <w:rsid w:val="005A12A0"/>
    <w:rsid w:val="005A2A15"/>
    <w:rsid w:val="005A3B48"/>
    <w:rsid w:val="005A51B2"/>
    <w:rsid w:val="005A5303"/>
    <w:rsid w:val="005A602B"/>
    <w:rsid w:val="005A72D4"/>
    <w:rsid w:val="005A7995"/>
    <w:rsid w:val="005B0C19"/>
    <w:rsid w:val="005B425D"/>
    <w:rsid w:val="005B4A14"/>
    <w:rsid w:val="005B55FF"/>
    <w:rsid w:val="005B7348"/>
    <w:rsid w:val="005B7B5D"/>
    <w:rsid w:val="005C0D8A"/>
    <w:rsid w:val="005C0DCF"/>
    <w:rsid w:val="005C2FE9"/>
    <w:rsid w:val="005C315F"/>
    <w:rsid w:val="005C3FCA"/>
    <w:rsid w:val="005C445C"/>
    <w:rsid w:val="005C6955"/>
    <w:rsid w:val="005C6CCD"/>
    <w:rsid w:val="005C6EA6"/>
    <w:rsid w:val="005C7D2C"/>
    <w:rsid w:val="005D1B15"/>
    <w:rsid w:val="005D22BA"/>
    <w:rsid w:val="005D2824"/>
    <w:rsid w:val="005D351D"/>
    <w:rsid w:val="005D4D85"/>
    <w:rsid w:val="005D4F1A"/>
    <w:rsid w:val="005D5108"/>
    <w:rsid w:val="005D72BB"/>
    <w:rsid w:val="005E0D88"/>
    <w:rsid w:val="005E13A7"/>
    <w:rsid w:val="005E14FC"/>
    <w:rsid w:val="005E2370"/>
    <w:rsid w:val="005E3EBB"/>
    <w:rsid w:val="005E55C8"/>
    <w:rsid w:val="005E692F"/>
    <w:rsid w:val="005E6CF1"/>
    <w:rsid w:val="005F0E97"/>
    <w:rsid w:val="005F1E9E"/>
    <w:rsid w:val="005F2FAA"/>
    <w:rsid w:val="005F392D"/>
    <w:rsid w:val="005F4FB1"/>
    <w:rsid w:val="005F6D20"/>
    <w:rsid w:val="005F6DF5"/>
    <w:rsid w:val="005F7477"/>
    <w:rsid w:val="005F785D"/>
    <w:rsid w:val="005F7D94"/>
    <w:rsid w:val="005F7E3E"/>
    <w:rsid w:val="00600813"/>
    <w:rsid w:val="006009C2"/>
    <w:rsid w:val="00600F9E"/>
    <w:rsid w:val="0060158A"/>
    <w:rsid w:val="00601A0C"/>
    <w:rsid w:val="00601BB9"/>
    <w:rsid w:val="00603802"/>
    <w:rsid w:val="00605888"/>
    <w:rsid w:val="00606834"/>
    <w:rsid w:val="006075DC"/>
    <w:rsid w:val="0060773E"/>
    <w:rsid w:val="00607B9B"/>
    <w:rsid w:val="00610816"/>
    <w:rsid w:val="00610825"/>
    <w:rsid w:val="00610B65"/>
    <w:rsid w:val="0061143E"/>
    <w:rsid w:val="00611880"/>
    <w:rsid w:val="00612B48"/>
    <w:rsid w:val="00613D3B"/>
    <w:rsid w:val="0061540E"/>
    <w:rsid w:val="0061543B"/>
    <w:rsid w:val="00616C61"/>
    <w:rsid w:val="00617A58"/>
    <w:rsid w:val="00620F3D"/>
    <w:rsid w:val="0062114B"/>
    <w:rsid w:val="0062150D"/>
    <w:rsid w:val="00622569"/>
    <w:rsid w:val="006225AB"/>
    <w:rsid w:val="00623698"/>
    <w:rsid w:val="00623960"/>
    <w:rsid w:val="006241E1"/>
    <w:rsid w:val="00625961"/>
    <w:rsid w:val="00625AAD"/>
    <w:rsid w:val="00625E96"/>
    <w:rsid w:val="00627A32"/>
    <w:rsid w:val="00627B60"/>
    <w:rsid w:val="00630C5B"/>
    <w:rsid w:val="00631330"/>
    <w:rsid w:val="00632310"/>
    <w:rsid w:val="006345CE"/>
    <w:rsid w:val="00635EA3"/>
    <w:rsid w:val="006364D8"/>
    <w:rsid w:val="00637BFD"/>
    <w:rsid w:val="00640E14"/>
    <w:rsid w:val="0064226C"/>
    <w:rsid w:val="006437FA"/>
    <w:rsid w:val="00643976"/>
    <w:rsid w:val="00643AF9"/>
    <w:rsid w:val="006446F4"/>
    <w:rsid w:val="00645EA0"/>
    <w:rsid w:val="006466BA"/>
    <w:rsid w:val="00646A08"/>
    <w:rsid w:val="00647C09"/>
    <w:rsid w:val="00650384"/>
    <w:rsid w:val="00650A5C"/>
    <w:rsid w:val="00651F2C"/>
    <w:rsid w:val="00660087"/>
    <w:rsid w:val="006610D5"/>
    <w:rsid w:val="0066110F"/>
    <w:rsid w:val="006635E4"/>
    <w:rsid w:val="00665536"/>
    <w:rsid w:val="0066679F"/>
    <w:rsid w:val="00666A39"/>
    <w:rsid w:val="00667D72"/>
    <w:rsid w:val="00670526"/>
    <w:rsid w:val="006712A9"/>
    <w:rsid w:val="00671F0C"/>
    <w:rsid w:val="00672D1F"/>
    <w:rsid w:val="00675F91"/>
    <w:rsid w:val="00676CA3"/>
    <w:rsid w:val="00677120"/>
    <w:rsid w:val="00677C22"/>
    <w:rsid w:val="006807D3"/>
    <w:rsid w:val="006825FC"/>
    <w:rsid w:val="00682ADB"/>
    <w:rsid w:val="00683FE8"/>
    <w:rsid w:val="00685D0E"/>
    <w:rsid w:val="00687645"/>
    <w:rsid w:val="006921A1"/>
    <w:rsid w:val="00693D5D"/>
    <w:rsid w:val="0069419F"/>
    <w:rsid w:val="00695793"/>
    <w:rsid w:val="006962AF"/>
    <w:rsid w:val="00696314"/>
    <w:rsid w:val="006A0751"/>
    <w:rsid w:val="006A12EF"/>
    <w:rsid w:val="006A1564"/>
    <w:rsid w:val="006A2DEB"/>
    <w:rsid w:val="006A3DA9"/>
    <w:rsid w:val="006A541C"/>
    <w:rsid w:val="006B00B7"/>
    <w:rsid w:val="006B0A95"/>
    <w:rsid w:val="006B0FBC"/>
    <w:rsid w:val="006B18EB"/>
    <w:rsid w:val="006B25B1"/>
    <w:rsid w:val="006B3B90"/>
    <w:rsid w:val="006B3C08"/>
    <w:rsid w:val="006B3EEB"/>
    <w:rsid w:val="006B5C3F"/>
    <w:rsid w:val="006B6746"/>
    <w:rsid w:val="006B67F2"/>
    <w:rsid w:val="006B7160"/>
    <w:rsid w:val="006B744B"/>
    <w:rsid w:val="006B7C1D"/>
    <w:rsid w:val="006B7F03"/>
    <w:rsid w:val="006C16F3"/>
    <w:rsid w:val="006C299C"/>
    <w:rsid w:val="006C3AE3"/>
    <w:rsid w:val="006C3D75"/>
    <w:rsid w:val="006C6E96"/>
    <w:rsid w:val="006C7307"/>
    <w:rsid w:val="006C79B6"/>
    <w:rsid w:val="006D0646"/>
    <w:rsid w:val="006D2968"/>
    <w:rsid w:val="006D4247"/>
    <w:rsid w:val="006D5547"/>
    <w:rsid w:val="006D5E3A"/>
    <w:rsid w:val="006D6810"/>
    <w:rsid w:val="006D6F84"/>
    <w:rsid w:val="006D7101"/>
    <w:rsid w:val="006D77E5"/>
    <w:rsid w:val="006E1684"/>
    <w:rsid w:val="006E1A45"/>
    <w:rsid w:val="006E3776"/>
    <w:rsid w:val="006E3DD5"/>
    <w:rsid w:val="006E40FD"/>
    <w:rsid w:val="006E43BD"/>
    <w:rsid w:val="006E4976"/>
    <w:rsid w:val="006E4AD0"/>
    <w:rsid w:val="006E4E73"/>
    <w:rsid w:val="006E59BB"/>
    <w:rsid w:val="006E62B2"/>
    <w:rsid w:val="006E6381"/>
    <w:rsid w:val="006E6CB8"/>
    <w:rsid w:val="006E6E06"/>
    <w:rsid w:val="006E6EB6"/>
    <w:rsid w:val="006E7340"/>
    <w:rsid w:val="006E757B"/>
    <w:rsid w:val="006E7828"/>
    <w:rsid w:val="006E7835"/>
    <w:rsid w:val="006F1B5D"/>
    <w:rsid w:val="006F6543"/>
    <w:rsid w:val="007001CC"/>
    <w:rsid w:val="00700F6C"/>
    <w:rsid w:val="00701518"/>
    <w:rsid w:val="00701BF8"/>
    <w:rsid w:val="007020D1"/>
    <w:rsid w:val="00702DCB"/>
    <w:rsid w:val="00703488"/>
    <w:rsid w:val="00703F40"/>
    <w:rsid w:val="00704B8C"/>
    <w:rsid w:val="00705644"/>
    <w:rsid w:val="007056DD"/>
    <w:rsid w:val="00706DC7"/>
    <w:rsid w:val="007116D4"/>
    <w:rsid w:val="00711993"/>
    <w:rsid w:val="00712E82"/>
    <w:rsid w:val="00713F13"/>
    <w:rsid w:val="00714388"/>
    <w:rsid w:val="007143EA"/>
    <w:rsid w:val="007147E1"/>
    <w:rsid w:val="00714E78"/>
    <w:rsid w:val="00715AAD"/>
    <w:rsid w:val="0072027E"/>
    <w:rsid w:val="00720521"/>
    <w:rsid w:val="00720B8E"/>
    <w:rsid w:val="007211E7"/>
    <w:rsid w:val="00721571"/>
    <w:rsid w:val="00721FA1"/>
    <w:rsid w:val="007220FF"/>
    <w:rsid w:val="007222C8"/>
    <w:rsid w:val="0072266D"/>
    <w:rsid w:val="007245F1"/>
    <w:rsid w:val="00724910"/>
    <w:rsid w:val="00724C03"/>
    <w:rsid w:val="00725B45"/>
    <w:rsid w:val="0073013B"/>
    <w:rsid w:val="00730486"/>
    <w:rsid w:val="00731F3A"/>
    <w:rsid w:val="00734655"/>
    <w:rsid w:val="007356E0"/>
    <w:rsid w:val="00735879"/>
    <w:rsid w:val="00740AE7"/>
    <w:rsid w:val="00741809"/>
    <w:rsid w:val="00741847"/>
    <w:rsid w:val="00741C8C"/>
    <w:rsid w:val="007433CA"/>
    <w:rsid w:val="00744A7E"/>
    <w:rsid w:val="0074674B"/>
    <w:rsid w:val="007474D6"/>
    <w:rsid w:val="0075098A"/>
    <w:rsid w:val="00750BC0"/>
    <w:rsid w:val="007511C1"/>
    <w:rsid w:val="00751A0D"/>
    <w:rsid w:val="00752692"/>
    <w:rsid w:val="007530A3"/>
    <w:rsid w:val="00753891"/>
    <w:rsid w:val="00754FAD"/>
    <w:rsid w:val="00755443"/>
    <w:rsid w:val="00755D60"/>
    <w:rsid w:val="00756532"/>
    <w:rsid w:val="00756C1C"/>
    <w:rsid w:val="00760E6D"/>
    <w:rsid w:val="007612AA"/>
    <w:rsid w:val="007625A9"/>
    <w:rsid w:val="0076355A"/>
    <w:rsid w:val="00764FAA"/>
    <w:rsid w:val="0076509E"/>
    <w:rsid w:val="00766691"/>
    <w:rsid w:val="00766F2D"/>
    <w:rsid w:val="0076724F"/>
    <w:rsid w:val="007704C5"/>
    <w:rsid w:val="007707AB"/>
    <w:rsid w:val="00774747"/>
    <w:rsid w:val="007748DE"/>
    <w:rsid w:val="00774C14"/>
    <w:rsid w:val="00774EA2"/>
    <w:rsid w:val="007757EE"/>
    <w:rsid w:val="00776BAA"/>
    <w:rsid w:val="0077780D"/>
    <w:rsid w:val="007778D4"/>
    <w:rsid w:val="00777922"/>
    <w:rsid w:val="00777A4F"/>
    <w:rsid w:val="0078049D"/>
    <w:rsid w:val="0078096F"/>
    <w:rsid w:val="00781D4D"/>
    <w:rsid w:val="00782211"/>
    <w:rsid w:val="0078291B"/>
    <w:rsid w:val="00782E39"/>
    <w:rsid w:val="0078377C"/>
    <w:rsid w:val="00784631"/>
    <w:rsid w:val="007846D1"/>
    <w:rsid w:val="007857CA"/>
    <w:rsid w:val="007877D6"/>
    <w:rsid w:val="00793B55"/>
    <w:rsid w:val="00793EFE"/>
    <w:rsid w:val="0079594F"/>
    <w:rsid w:val="00796C91"/>
    <w:rsid w:val="00796EAC"/>
    <w:rsid w:val="00797659"/>
    <w:rsid w:val="0079798A"/>
    <w:rsid w:val="00797CB8"/>
    <w:rsid w:val="007A050B"/>
    <w:rsid w:val="007A0A70"/>
    <w:rsid w:val="007A0F51"/>
    <w:rsid w:val="007A1FEC"/>
    <w:rsid w:val="007A4797"/>
    <w:rsid w:val="007A5750"/>
    <w:rsid w:val="007A72DE"/>
    <w:rsid w:val="007A7572"/>
    <w:rsid w:val="007A796D"/>
    <w:rsid w:val="007A7D60"/>
    <w:rsid w:val="007B03F4"/>
    <w:rsid w:val="007B1265"/>
    <w:rsid w:val="007B1FCA"/>
    <w:rsid w:val="007B233A"/>
    <w:rsid w:val="007B26A4"/>
    <w:rsid w:val="007B42AF"/>
    <w:rsid w:val="007B621C"/>
    <w:rsid w:val="007C1414"/>
    <w:rsid w:val="007C4071"/>
    <w:rsid w:val="007C432E"/>
    <w:rsid w:val="007C4336"/>
    <w:rsid w:val="007C4719"/>
    <w:rsid w:val="007C536E"/>
    <w:rsid w:val="007C570C"/>
    <w:rsid w:val="007C6641"/>
    <w:rsid w:val="007D0385"/>
    <w:rsid w:val="007D1495"/>
    <w:rsid w:val="007D2A8E"/>
    <w:rsid w:val="007D45B4"/>
    <w:rsid w:val="007D46B5"/>
    <w:rsid w:val="007D5B7E"/>
    <w:rsid w:val="007D5FB1"/>
    <w:rsid w:val="007D6006"/>
    <w:rsid w:val="007D77CA"/>
    <w:rsid w:val="007D7CE6"/>
    <w:rsid w:val="007E097A"/>
    <w:rsid w:val="007E12B7"/>
    <w:rsid w:val="007E1CC6"/>
    <w:rsid w:val="007E27DA"/>
    <w:rsid w:val="007E55AF"/>
    <w:rsid w:val="007E6157"/>
    <w:rsid w:val="007E7AD4"/>
    <w:rsid w:val="007F06B4"/>
    <w:rsid w:val="007F16D0"/>
    <w:rsid w:val="007F1E8C"/>
    <w:rsid w:val="007F332B"/>
    <w:rsid w:val="007F6B4F"/>
    <w:rsid w:val="007F6E7A"/>
    <w:rsid w:val="007F729E"/>
    <w:rsid w:val="007F7AA6"/>
    <w:rsid w:val="008001EB"/>
    <w:rsid w:val="00801978"/>
    <w:rsid w:val="00801D70"/>
    <w:rsid w:val="00802213"/>
    <w:rsid w:val="0080223C"/>
    <w:rsid w:val="0080248E"/>
    <w:rsid w:val="008024C5"/>
    <w:rsid w:val="0080413F"/>
    <w:rsid w:val="0080426D"/>
    <w:rsid w:val="008045CB"/>
    <w:rsid w:val="00804E2E"/>
    <w:rsid w:val="00806BC7"/>
    <w:rsid w:val="00810A8E"/>
    <w:rsid w:val="008110E5"/>
    <w:rsid w:val="008115B6"/>
    <w:rsid w:val="008120ED"/>
    <w:rsid w:val="0081251E"/>
    <w:rsid w:val="00812952"/>
    <w:rsid w:val="00812B55"/>
    <w:rsid w:val="00812C9B"/>
    <w:rsid w:val="0081663F"/>
    <w:rsid w:val="0081683B"/>
    <w:rsid w:val="00817553"/>
    <w:rsid w:val="008178D6"/>
    <w:rsid w:val="00817A0A"/>
    <w:rsid w:val="00820329"/>
    <w:rsid w:val="00821B86"/>
    <w:rsid w:val="00822AAB"/>
    <w:rsid w:val="00823624"/>
    <w:rsid w:val="00824960"/>
    <w:rsid w:val="00824F4C"/>
    <w:rsid w:val="00825724"/>
    <w:rsid w:val="00825F1B"/>
    <w:rsid w:val="008263E9"/>
    <w:rsid w:val="00826E8B"/>
    <w:rsid w:val="00827DB0"/>
    <w:rsid w:val="008312D4"/>
    <w:rsid w:val="008317F8"/>
    <w:rsid w:val="00831A29"/>
    <w:rsid w:val="008332A5"/>
    <w:rsid w:val="0083370D"/>
    <w:rsid w:val="00833B87"/>
    <w:rsid w:val="00833D9E"/>
    <w:rsid w:val="00833DE2"/>
    <w:rsid w:val="00834F5B"/>
    <w:rsid w:val="008376B1"/>
    <w:rsid w:val="00837E47"/>
    <w:rsid w:val="008412B5"/>
    <w:rsid w:val="00841675"/>
    <w:rsid w:val="00841BA1"/>
    <w:rsid w:val="00842158"/>
    <w:rsid w:val="008428A0"/>
    <w:rsid w:val="00842BE6"/>
    <w:rsid w:val="008446E8"/>
    <w:rsid w:val="00844C3B"/>
    <w:rsid w:val="008453E8"/>
    <w:rsid w:val="00846016"/>
    <w:rsid w:val="00846147"/>
    <w:rsid w:val="00846363"/>
    <w:rsid w:val="00846778"/>
    <w:rsid w:val="00846B2D"/>
    <w:rsid w:val="008477AF"/>
    <w:rsid w:val="00850A96"/>
    <w:rsid w:val="008516C6"/>
    <w:rsid w:val="008518FE"/>
    <w:rsid w:val="008530C3"/>
    <w:rsid w:val="008540EB"/>
    <w:rsid w:val="008545CF"/>
    <w:rsid w:val="00855305"/>
    <w:rsid w:val="0085659C"/>
    <w:rsid w:val="00860485"/>
    <w:rsid w:val="00861069"/>
    <w:rsid w:val="00861768"/>
    <w:rsid w:val="00861979"/>
    <w:rsid w:val="00861A74"/>
    <w:rsid w:val="008626FD"/>
    <w:rsid w:val="00863638"/>
    <w:rsid w:val="00864212"/>
    <w:rsid w:val="00864AFD"/>
    <w:rsid w:val="0086551E"/>
    <w:rsid w:val="008677A6"/>
    <w:rsid w:val="008711AE"/>
    <w:rsid w:val="00871261"/>
    <w:rsid w:val="00871C52"/>
    <w:rsid w:val="00872026"/>
    <w:rsid w:val="00872588"/>
    <w:rsid w:val="00872676"/>
    <w:rsid w:val="00872AC1"/>
    <w:rsid w:val="00875B41"/>
    <w:rsid w:val="00875CCE"/>
    <w:rsid w:val="0087792E"/>
    <w:rsid w:val="00877F8F"/>
    <w:rsid w:val="00880D82"/>
    <w:rsid w:val="00883EAF"/>
    <w:rsid w:val="00884BF9"/>
    <w:rsid w:val="00885258"/>
    <w:rsid w:val="008871EA"/>
    <w:rsid w:val="00891F59"/>
    <w:rsid w:val="00891FC6"/>
    <w:rsid w:val="0089298D"/>
    <w:rsid w:val="008946A1"/>
    <w:rsid w:val="00894712"/>
    <w:rsid w:val="0089620A"/>
    <w:rsid w:val="008A0656"/>
    <w:rsid w:val="008A0911"/>
    <w:rsid w:val="008A21B9"/>
    <w:rsid w:val="008A3058"/>
    <w:rsid w:val="008A30C3"/>
    <w:rsid w:val="008A30F2"/>
    <w:rsid w:val="008A3125"/>
    <w:rsid w:val="008A3AAC"/>
    <w:rsid w:val="008A3C23"/>
    <w:rsid w:val="008A3EF6"/>
    <w:rsid w:val="008A3F85"/>
    <w:rsid w:val="008A5F04"/>
    <w:rsid w:val="008A63A1"/>
    <w:rsid w:val="008B08D8"/>
    <w:rsid w:val="008B0E22"/>
    <w:rsid w:val="008B0EEC"/>
    <w:rsid w:val="008B1E10"/>
    <w:rsid w:val="008B2A1F"/>
    <w:rsid w:val="008B2B07"/>
    <w:rsid w:val="008B2E26"/>
    <w:rsid w:val="008B3908"/>
    <w:rsid w:val="008B4C71"/>
    <w:rsid w:val="008C06FF"/>
    <w:rsid w:val="008C09D9"/>
    <w:rsid w:val="008C1CF0"/>
    <w:rsid w:val="008C3890"/>
    <w:rsid w:val="008C3DFC"/>
    <w:rsid w:val="008C49CC"/>
    <w:rsid w:val="008C4D49"/>
    <w:rsid w:val="008C6CEA"/>
    <w:rsid w:val="008C7939"/>
    <w:rsid w:val="008C7F62"/>
    <w:rsid w:val="008D30E1"/>
    <w:rsid w:val="008D3434"/>
    <w:rsid w:val="008D37F6"/>
    <w:rsid w:val="008D561E"/>
    <w:rsid w:val="008D61A8"/>
    <w:rsid w:val="008D62EC"/>
    <w:rsid w:val="008D650F"/>
    <w:rsid w:val="008D651D"/>
    <w:rsid w:val="008D69E9"/>
    <w:rsid w:val="008D6FD7"/>
    <w:rsid w:val="008E04F3"/>
    <w:rsid w:val="008E0645"/>
    <w:rsid w:val="008E06F1"/>
    <w:rsid w:val="008E13E0"/>
    <w:rsid w:val="008E5581"/>
    <w:rsid w:val="008E716D"/>
    <w:rsid w:val="008E76E1"/>
    <w:rsid w:val="008F12EC"/>
    <w:rsid w:val="008F1A38"/>
    <w:rsid w:val="008F1CF4"/>
    <w:rsid w:val="008F2E8D"/>
    <w:rsid w:val="008F2ED9"/>
    <w:rsid w:val="008F30FD"/>
    <w:rsid w:val="008F3533"/>
    <w:rsid w:val="008F37FF"/>
    <w:rsid w:val="008F450B"/>
    <w:rsid w:val="008F594A"/>
    <w:rsid w:val="008F6069"/>
    <w:rsid w:val="008F62E4"/>
    <w:rsid w:val="00900274"/>
    <w:rsid w:val="00900B10"/>
    <w:rsid w:val="00901999"/>
    <w:rsid w:val="00902EE8"/>
    <w:rsid w:val="00904C7E"/>
    <w:rsid w:val="0090589B"/>
    <w:rsid w:val="00905961"/>
    <w:rsid w:val="00907BA6"/>
    <w:rsid w:val="0091035B"/>
    <w:rsid w:val="0091064E"/>
    <w:rsid w:val="009108A0"/>
    <w:rsid w:val="00910FC0"/>
    <w:rsid w:val="00911DAD"/>
    <w:rsid w:val="0091421B"/>
    <w:rsid w:val="00914C81"/>
    <w:rsid w:val="009154CD"/>
    <w:rsid w:val="0091758D"/>
    <w:rsid w:val="00920950"/>
    <w:rsid w:val="009212B6"/>
    <w:rsid w:val="00921EB2"/>
    <w:rsid w:val="00921EF6"/>
    <w:rsid w:val="00923C14"/>
    <w:rsid w:val="00924172"/>
    <w:rsid w:val="0092530B"/>
    <w:rsid w:val="009253A9"/>
    <w:rsid w:val="00926969"/>
    <w:rsid w:val="00927E7E"/>
    <w:rsid w:val="00927FFB"/>
    <w:rsid w:val="00931358"/>
    <w:rsid w:val="009316D4"/>
    <w:rsid w:val="00931A05"/>
    <w:rsid w:val="00931D30"/>
    <w:rsid w:val="009321B5"/>
    <w:rsid w:val="00932577"/>
    <w:rsid w:val="0093288A"/>
    <w:rsid w:val="00933E21"/>
    <w:rsid w:val="00935360"/>
    <w:rsid w:val="009354ED"/>
    <w:rsid w:val="00935AA9"/>
    <w:rsid w:val="00936DE7"/>
    <w:rsid w:val="00942BA9"/>
    <w:rsid w:val="00944185"/>
    <w:rsid w:val="00944C30"/>
    <w:rsid w:val="00945669"/>
    <w:rsid w:val="00945AE0"/>
    <w:rsid w:val="00945C8F"/>
    <w:rsid w:val="00952045"/>
    <w:rsid w:val="009524A3"/>
    <w:rsid w:val="0095379A"/>
    <w:rsid w:val="00953AD9"/>
    <w:rsid w:val="00954936"/>
    <w:rsid w:val="00954C59"/>
    <w:rsid w:val="00954CDC"/>
    <w:rsid w:val="00955721"/>
    <w:rsid w:val="009560B3"/>
    <w:rsid w:val="00956B18"/>
    <w:rsid w:val="00957F30"/>
    <w:rsid w:val="009629DF"/>
    <w:rsid w:val="00962B7D"/>
    <w:rsid w:val="00962E40"/>
    <w:rsid w:val="009637CB"/>
    <w:rsid w:val="00964093"/>
    <w:rsid w:val="009640C0"/>
    <w:rsid w:val="0096647A"/>
    <w:rsid w:val="00971150"/>
    <w:rsid w:val="0097193A"/>
    <w:rsid w:val="00972801"/>
    <w:rsid w:val="0097391F"/>
    <w:rsid w:val="00976836"/>
    <w:rsid w:val="00981387"/>
    <w:rsid w:val="00982A02"/>
    <w:rsid w:val="00982C6D"/>
    <w:rsid w:val="00982D43"/>
    <w:rsid w:val="00983A0C"/>
    <w:rsid w:val="00984101"/>
    <w:rsid w:val="0098433E"/>
    <w:rsid w:val="00984936"/>
    <w:rsid w:val="00984D7E"/>
    <w:rsid w:val="00984E40"/>
    <w:rsid w:val="009855CE"/>
    <w:rsid w:val="00986333"/>
    <w:rsid w:val="0098657A"/>
    <w:rsid w:val="00986EC0"/>
    <w:rsid w:val="009906DD"/>
    <w:rsid w:val="00991EC8"/>
    <w:rsid w:val="00993629"/>
    <w:rsid w:val="0099464A"/>
    <w:rsid w:val="009954CA"/>
    <w:rsid w:val="00996701"/>
    <w:rsid w:val="0099699E"/>
    <w:rsid w:val="009A019D"/>
    <w:rsid w:val="009A1F6E"/>
    <w:rsid w:val="009A2D8A"/>
    <w:rsid w:val="009A2E73"/>
    <w:rsid w:val="009A4238"/>
    <w:rsid w:val="009A4562"/>
    <w:rsid w:val="009A4680"/>
    <w:rsid w:val="009A6DBE"/>
    <w:rsid w:val="009B0353"/>
    <w:rsid w:val="009B0841"/>
    <w:rsid w:val="009B0D54"/>
    <w:rsid w:val="009B4A42"/>
    <w:rsid w:val="009B5DE9"/>
    <w:rsid w:val="009B7D10"/>
    <w:rsid w:val="009C0E29"/>
    <w:rsid w:val="009C1072"/>
    <w:rsid w:val="009C2AE4"/>
    <w:rsid w:val="009C302D"/>
    <w:rsid w:val="009C4545"/>
    <w:rsid w:val="009C667E"/>
    <w:rsid w:val="009C7B1D"/>
    <w:rsid w:val="009C7D17"/>
    <w:rsid w:val="009D567C"/>
    <w:rsid w:val="009D5AA2"/>
    <w:rsid w:val="009D7F2F"/>
    <w:rsid w:val="009D7FE9"/>
    <w:rsid w:val="009E03D6"/>
    <w:rsid w:val="009E1C9B"/>
    <w:rsid w:val="009E2076"/>
    <w:rsid w:val="009E4716"/>
    <w:rsid w:val="009E484E"/>
    <w:rsid w:val="009E4C4C"/>
    <w:rsid w:val="009E4DEE"/>
    <w:rsid w:val="009E4E4C"/>
    <w:rsid w:val="009E52D0"/>
    <w:rsid w:val="009E5C50"/>
    <w:rsid w:val="009E64E8"/>
    <w:rsid w:val="009E6E06"/>
    <w:rsid w:val="009E7BBE"/>
    <w:rsid w:val="009F1127"/>
    <w:rsid w:val="009F2151"/>
    <w:rsid w:val="009F40FB"/>
    <w:rsid w:val="009F4B45"/>
    <w:rsid w:val="009F4C29"/>
    <w:rsid w:val="009F5E36"/>
    <w:rsid w:val="009F638D"/>
    <w:rsid w:val="009F7432"/>
    <w:rsid w:val="009F7CAC"/>
    <w:rsid w:val="00A0205D"/>
    <w:rsid w:val="00A02BBB"/>
    <w:rsid w:val="00A0395D"/>
    <w:rsid w:val="00A04514"/>
    <w:rsid w:val="00A05894"/>
    <w:rsid w:val="00A06853"/>
    <w:rsid w:val="00A06BB0"/>
    <w:rsid w:val="00A074E8"/>
    <w:rsid w:val="00A07E04"/>
    <w:rsid w:val="00A07E32"/>
    <w:rsid w:val="00A10E0E"/>
    <w:rsid w:val="00A119AB"/>
    <w:rsid w:val="00A1449B"/>
    <w:rsid w:val="00A15184"/>
    <w:rsid w:val="00A16A10"/>
    <w:rsid w:val="00A17584"/>
    <w:rsid w:val="00A22BC3"/>
    <w:rsid w:val="00A22C3B"/>
    <w:rsid w:val="00A22F32"/>
    <w:rsid w:val="00A22FCB"/>
    <w:rsid w:val="00A24DD7"/>
    <w:rsid w:val="00A25444"/>
    <w:rsid w:val="00A259EA"/>
    <w:rsid w:val="00A25B3B"/>
    <w:rsid w:val="00A30802"/>
    <w:rsid w:val="00A30B90"/>
    <w:rsid w:val="00A312A1"/>
    <w:rsid w:val="00A3194F"/>
    <w:rsid w:val="00A31BC6"/>
    <w:rsid w:val="00A31F60"/>
    <w:rsid w:val="00A33B1F"/>
    <w:rsid w:val="00A33B83"/>
    <w:rsid w:val="00A33BC6"/>
    <w:rsid w:val="00A36C07"/>
    <w:rsid w:val="00A37DF3"/>
    <w:rsid w:val="00A40127"/>
    <w:rsid w:val="00A414D3"/>
    <w:rsid w:val="00A41632"/>
    <w:rsid w:val="00A455F3"/>
    <w:rsid w:val="00A45A1F"/>
    <w:rsid w:val="00A47192"/>
    <w:rsid w:val="00A472F1"/>
    <w:rsid w:val="00A50445"/>
    <w:rsid w:val="00A50657"/>
    <w:rsid w:val="00A5094E"/>
    <w:rsid w:val="00A51537"/>
    <w:rsid w:val="00A5229F"/>
    <w:rsid w:val="00A52363"/>
    <w:rsid w:val="00A5237D"/>
    <w:rsid w:val="00A525BE"/>
    <w:rsid w:val="00A5349F"/>
    <w:rsid w:val="00A5379F"/>
    <w:rsid w:val="00A552E0"/>
    <w:rsid w:val="00A554A3"/>
    <w:rsid w:val="00A56B31"/>
    <w:rsid w:val="00A60B8C"/>
    <w:rsid w:val="00A614AE"/>
    <w:rsid w:val="00A61DA4"/>
    <w:rsid w:val="00A62B28"/>
    <w:rsid w:val="00A6343B"/>
    <w:rsid w:val="00A63CEE"/>
    <w:rsid w:val="00A63F08"/>
    <w:rsid w:val="00A64EDC"/>
    <w:rsid w:val="00A65A03"/>
    <w:rsid w:val="00A65DAC"/>
    <w:rsid w:val="00A66ABC"/>
    <w:rsid w:val="00A67471"/>
    <w:rsid w:val="00A71A35"/>
    <w:rsid w:val="00A73D03"/>
    <w:rsid w:val="00A740FB"/>
    <w:rsid w:val="00A741C3"/>
    <w:rsid w:val="00A74FE4"/>
    <w:rsid w:val="00A758EA"/>
    <w:rsid w:val="00A75A0E"/>
    <w:rsid w:val="00A76204"/>
    <w:rsid w:val="00A76472"/>
    <w:rsid w:val="00A767A4"/>
    <w:rsid w:val="00A8048A"/>
    <w:rsid w:val="00A81D68"/>
    <w:rsid w:val="00A85C6E"/>
    <w:rsid w:val="00A865A5"/>
    <w:rsid w:val="00A866FE"/>
    <w:rsid w:val="00A91937"/>
    <w:rsid w:val="00A91A81"/>
    <w:rsid w:val="00A925CD"/>
    <w:rsid w:val="00A92883"/>
    <w:rsid w:val="00A93201"/>
    <w:rsid w:val="00A93FC4"/>
    <w:rsid w:val="00A941E9"/>
    <w:rsid w:val="00A9434E"/>
    <w:rsid w:val="00A95C50"/>
    <w:rsid w:val="00A9745A"/>
    <w:rsid w:val="00A97B94"/>
    <w:rsid w:val="00AA02E9"/>
    <w:rsid w:val="00AA1458"/>
    <w:rsid w:val="00AA1819"/>
    <w:rsid w:val="00AA19A8"/>
    <w:rsid w:val="00AA2201"/>
    <w:rsid w:val="00AA56EC"/>
    <w:rsid w:val="00AA62C9"/>
    <w:rsid w:val="00AA6A4A"/>
    <w:rsid w:val="00AA6BD7"/>
    <w:rsid w:val="00AA7819"/>
    <w:rsid w:val="00AA7B32"/>
    <w:rsid w:val="00AA7C59"/>
    <w:rsid w:val="00AB0866"/>
    <w:rsid w:val="00AB2EE1"/>
    <w:rsid w:val="00AB3B15"/>
    <w:rsid w:val="00AB3E5E"/>
    <w:rsid w:val="00AB416D"/>
    <w:rsid w:val="00AB4739"/>
    <w:rsid w:val="00AB4757"/>
    <w:rsid w:val="00AB48AC"/>
    <w:rsid w:val="00AB48E4"/>
    <w:rsid w:val="00AB49D3"/>
    <w:rsid w:val="00AB4A2B"/>
    <w:rsid w:val="00AB5514"/>
    <w:rsid w:val="00AB55CF"/>
    <w:rsid w:val="00AB6C4C"/>
    <w:rsid w:val="00AB79A6"/>
    <w:rsid w:val="00AC2896"/>
    <w:rsid w:val="00AC28FE"/>
    <w:rsid w:val="00AC3140"/>
    <w:rsid w:val="00AC3CBF"/>
    <w:rsid w:val="00AC4850"/>
    <w:rsid w:val="00AC6AF6"/>
    <w:rsid w:val="00AD04B1"/>
    <w:rsid w:val="00AD0BBF"/>
    <w:rsid w:val="00AD0C48"/>
    <w:rsid w:val="00AD0EB3"/>
    <w:rsid w:val="00AD1687"/>
    <w:rsid w:val="00AD5861"/>
    <w:rsid w:val="00AD5FAB"/>
    <w:rsid w:val="00AE0E9A"/>
    <w:rsid w:val="00AE138D"/>
    <w:rsid w:val="00AE1DB8"/>
    <w:rsid w:val="00AE25F9"/>
    <w:rsid w:val="00AE33C3"/>
    <w:rsid w:val="00AE431B"/>
    <w:rsid w:val="00AE4804"/>
    <w:rsid w:val="00AE661A"/>
    <w:rsid w:val="00AE77EE"/>
    <w:rsid w:val="00AF1279"/>
    <w:rsid w:val="00AF14E3"/>
    <w:rsid w:val="00AF40D1"/>
    <w:rsid w:val="00AF4AEE"/>
    <w:rsid w:val="00AF5776"/>
    <w:rsid w:val="00AF5D72"/>
    <w:rsid w:val="00AF646D"/>
    <w:rsid w:val="00AF7255"/>
    <w:rsid w:val="00AF72FC"/>
    <w:rsid w:val="00B000D5"/>
    <w:rsid w:val="00B00D24"/>
    <w:rsid w:val="00B00DA4"/>
    <w:rsid w:val="00B0161D"/>
    <w:rsid w:val="00B01D69"/>
    <w:rsid w:val="00B0472C"/>
    <w:rsid w:val="00B05FAE"/>
    <w:rsid w:val="00B07B3E"/>
    <w:rsid w:val="00B07BC1"/>
    <w:rsid w:val="00B11212"/>
    <w:rsid w:val="00B12497"/>
    <w:rsid w:val="00B12A5A"/>
    <w:rsid w:val="00B12A6D"/>
    <w:rsid w:val="00B12D1B"/>
    <w:rsid w:val="00B14ED9"/>
    <w:rsid w:val="00B16DB5"/>
    <w:rsid w:val="00B2054F"/>
    <w:rsid w:val="00B21A3B"/>
    <w:rsid w:val="00B243C5"/>
    <w:rsid w:val="00B24C9E"/>
    <w:rsid w:val="00B24ED8"/>
    <w:rsid w:val="00B252B3"/>
    <w:rsid w:val="00B27D54"/>
    <w:rsid w:val="00B27E47"/>
    <w:rsid w:val="00B27FDD"/>
    <w:rsid w:val="00B3039A"/>
    <w:rsid w:val="00B30886"/>
    <w:rsid w:val="00B31790"/>
    <w:rsid w:val="00B32BDA"/>
    <w:rsid w:val="00B3348C"/>
    <w:rsid w:val="00B34005"/>
    <w:rsid w:val="00B357F2"/>
    <w:rsid w:val="00B35841"/>
    <w:rsid w:val="00B358D5"/>
    <w:rsid w:val="00B36608"/>
    <w:rsid w:val="00B40E00"/>
    <w:rsid w:val="00B4190B"/>
    <w:rsid w:val="00B4253F"/>
    <w:rsid w:val="00B42A4C"/>
    <w:rsid w:val="00B4357C"/>
    <w:rsid w:val="00B436E4"/>
    <w:rsid w:val="00B43F91"/>
    <w:rsid w:val="00B451E0"/>
    <w:rsid w:val="00B45C91"/>
    <w:rsid w:val="00B47B59"/>
    <w:rsid w:val="00B50CCC"/>
    <w:rsid w:val="00B50D03"/>
    <w:rsid w:val="00B517C5"/>
    <w:rsid w:val="00B518B1"/>
    <w:rsid w:val="00B523BA"/>
    <w:rsid w:val="00B53C13"/>
    <w:rsid w:val="00B53D2D"/>
    <w:rsid w:val="00B53F81"/>
    <w:rsid w:val="00B5424D"/>
    <w:rsid w:val="00B5564E"/>
    <w:rsid w:val="00B55A23"/>
    <w:rsid w:val="00B56A97"/>
    <w:rsid w:val="00B56AB8"/>
    <w:rsid w:val="00B56C2B"/>
    <w:rsid w:val="00B57691"/>
    <w:rsid w:val="00B57B71"/>
    <w:rsid w:val="00B630F1"/>
    <w:rsid w:val="00B639F5"/>
    <w:rsid w:val="00B65BD3"/>
    <w:rsid w:val="00B66026"/>
    <w:rsid w:val="00B660A5"/>
    <w:rsid w:val="00B6746D"/>
    <w:rsid w:val="00B67DCB"/>
    <w:rsid w:val="00B70461"/>
    <w:rsid w:val="00B70469"/>
    <w:rsid w:val="00B709A6"/>
    <w:rsid w:val="00B70DBF"/>
    <w:rsid w:val="00B72DD8"/>
    <w:rsid w:val="00B72E09"/>
    <w:rsid w:val="00B7482D"/>
    <w:rsid w:val="00B75307"/>
    <w:rsid w:val="00B75CFD"/>
    <w:rsid w:val="00B76D2D"/>
    <w:rsid w:val="00B81D25"/>
    <w:rsid w:val="00B85C11"/>
    <w:rsid w:val="00B86059"/>
    <w:rsid w:val="00B87386"/>
    <w:rsid w:val="00B8783E"/>
    <w:rsid w:val="00B87F2A"/>
    <w:rsid w:val="00B87F44"/>
    <w:rsid w:val="00B9057F"/>
    <w:rsid w:val="00B91509"/>
    <w:rsid w:val="00B9192B"/>
    <w:rsid w:val="00B91B25"/>
    <w:rsid w:val="00B932B6"/>
    <w:rsid w:val="00B93342"/>
    <w:rsid w:val="00B93AE6"/>
    <w:rsid w:val="00B93F06"/>
    <w:rsid w:val="00B96C7F"/>
    <w:rsid w:val="00B970A0"/>
    <w:rsid w:val="00BA1F68"/>
    <w:rsid w:val="00BA1F9A"/>
    <w:rsid w:val="00BA27D8"/>
    <w:rsid w:val="00BA411E"/>
    <w:rsid w:val="00BA5CCA"/>
    <w:rsid w:val="00BA77AA"/>
    <w:rsid w:val="00BB07E5"/>
    <w:rsid w:val="00BB2EEC"/>
    <w:rsid w:val="00BB3289"/>
    <w:rsid w:val="00BB33A5"/>
    <w:rsid w:val="00BB47EE"/>
    <w:rsid w:val="00BB48D1"/>
    <w:rsid w:val="00BB54D3"/>
    <w:rsid w:val="00BB5966"/>
    <w:rsid w:val="00BB671D"/>
    <w:rsid w:val="00BB673D"/>
    <w:rsid w:val="00BB69FE"/>
    <w:rsid w:val="00BC0EB8"/>
    <w:rsid w:val="00BC27F9"/>
    <w:rsid w:val="00BC4055"/>
    <w:rsid w:val="00BC41E0"/>
    <w:rsid w:val="00BC4681"/>
    <w:rsid w:val="00BC52C4"/>
    <w:rsid w:val="00BC6633"/>
    <w:rsid w:val="00BC6B23"/>
    <w:rsid w:val="00BC7513"/>
    <w:rsid w:val="00BD0A19"/>
    <w:rsid w:val="00BD0C0D"/>
    <w:rsid w:val="00BD188F"/>
    <w:rsid w:val="00BD2AFB"/>
    <w:rsid w:val="00BD2FF2"/>
    <w:rsid w:val="00BD3974"/>
    <w:rsid w:val="00BD546F"/>
    <w:rsid w:val="00BD558D"/>
    <w:rsid w:val="00BD76C1"/>
    <w:rsid w:val="00BE025A"/>
    <w:rsid w:val="00BE135C"/>
    <w:rsid w:val="00BE16C2"/>
    <w:rsid w:val="00BE1C78"/>
    <w:rsid w:val="00BE3F17"/>
    <w:rsid w:val="00BE3F4A"/>
    <w:rsid w:val="00BE40CE"/>
    <w:rsid w:val="00BE5E75"/>
    <w:rsid w:val="00BE6080"/>
    <w:rsid w:val="00BE737F"/>
    <w:rsid w:val="00BE74BA"/>
    <w:rsid w:val="00BE7D6A"/>
    <w:rsid w:val="00BF0C69"/>
    <w:rsid w:val="00BF1784"/>
    <w:rsid w:val="00BF1EC7"/>
    <w:rsid w:val="00BF220C"/>
    <w:rsid w:val="00BF2D85"/>
    <w:rsid w:val="00BF4F9A"/>
    <w:rsid w:val="00BF5072"/>
    <w:rsid w:val="00BF5083"/>
    <w:rsid w:val="00BF520D"/>
    <w:rsid w:val="00BF629B"/>
    <w:rsid w:val="00BF655C"/>
    <w:rsid w:val="00BF6709"/>
    <w:rsid w:val="00BF75AB"/>
    <w:rsid w:val="00C01840"/>
    <w:rsid w:val="00C021D7"/>
    <w:rsid w:val="00C023DD"/>
    <w:rsid w:val="00C047FD"/>
    <w:rsid w:val="00C04A43"/>
    <w:rsid w:val="00C06083"/>
    <w:rsid w:val="00C075EF"/>
    <w:rsid w:val="00C10F31"/>
    <w:rsid w:val="00C1108B"/>
    <w:rsid w:val="00C11E83"/>
    <w:rsid w:val="00C1294D"/>
    <w:rsid w:val="00C13E9B"/>
    <w:rsid w:val="00C15323"/>
    <w:rsid w:val="00C153C7"/>
    <w:rsid w:val="00C177FA"/>
    <w:rsid w:val="00C17882"/>
    <w:rsid w:val="00C17D70"/>
    <w:rsid w:val="00C21543"/>
    <w:rsid w:val="00C21D8E"/>
    <w:rsid w:val="00C2378A"/>
    <w:rsid w:val="00C243EA"/>
    <w:rsid w:val="00C2570B"/>
    <w:rsid w:val="00C25913"/>
    <w:rsid w:val="00C27B59"/>
    <w:rsid w:val="00C31A26"/>
    <w:rsid w:val="00C31B78"/>
    <w:rsid w:val="00C328E2"/>
    <w:rsid w:val="00C33EF8"/>
    <w:rsid w:val="00C3402C"/>
    <w:rsid w:val="00C34932"/>
    <w:rsid w:val="00C34F93"/>
    <w:rsid w:val="00C355FB"/>
    <w:rsid w:val="00C378A1"/>
    <w:rsid w:val="00C40E01"/>
    <w:rsid w:val="00C42146"/>
    <w:rsid w:val="00C429E2"/>
    <w:rsid w:val="00C42ADC"/>
    <w:rsid w:val="00C42F04"/>
    <w:rsid w:val="00C43645"/>
    <w:rsid w:val="00C43913"/>
    <w:rsid w:val="00C4448C"/>
    <w:rsid w:val="00C44B99"/>
    <w:rsid w:val="00C46289"/>
    <w:rsid w:val="00C50324"/>
    <w:rsid w:val="00C50992"/>
    <w:rsid w:val="00C51858"/>
    <w:rsid w:val="00C51EBF"/>
    <w:rsid w:val="00C534F5"/>
    <w:rsid w:val="00C54B7B"/>
    <w:rsid w:val="00C54FCF"/>
    <w:rsid w:val="00C55E17"/>
    <w:rsid w:val="00C573F9"/>
    <w:rsid w:val="00C578B8"/>
    <w:rsid w:val="00C60463"/>
    <w:rsid w:val="00C6156E"/>
    <w:rsid w:val="00C621D6"/>
    <w:rsid w:val="00C631E9"/>
    <w:rsid w:val="00C65ACF"/>
    <w:rsid w:val="00C66F61"/>
    <w:rsid w:val="00C67E4D"/>
    <w:rsid w:val="00C7021C"/>
    <w:rsid w:val="00C71F7D"/>
    <w:rsid w:val="00C7344B"/>
    <w:rsid w:val="00C74C09"/>
    <w:rsid w:val="00C75907"/>
    <w:rsid w:val="00C7684F"/>
    <w:rsid w:val="00C800FA"/>
    <w:rsid w:val="00C80BE8"/>
    <w:rsid w:val="00C812E0"/>
    <w:rsid w:val="00C82D86"/>
    <w:rsid w:val="00C845EC"/>
    <w:rsid w:val="00C85EE4"/>
    <w:rsid w:val="00C87283"/>
    <w:rsid w:val="00C9017C"/>
    <w:rsid w:val="00C907C9"/>
    <w:rsid w:val="00C93365"/>
    <w:rsid w:val="00C9446F"/>
    <w:rsid w:val="00C95352"/>
    <w:rsid w:val="00C96A60"/>
    <w:rsid w:val="00CA0164"/>
    <w:rsid w:val="00CA1AC5"/>
    <w:rsid w:val="00CA2353"/>
    <w:rsid w:val="00CA2A16"/>
    <w:rsid w:val="00CA2F7E"/>
    <w:rsid w:val="00CB095A"/>
    <w:rsid w:val="00CB2A8C"/>
    <w:rsid w:val="00CB442E"/>
    <w:rsid w:val="00CB45A6"/>
    <w:rsid w:val="00CB49E9"/>
    <w:rsid w:val="00CB4B8D"/>
    <w:rsid w:val="00CB5ABB"/>
    <w:rsid w:val="00CB5B29"/>
    <w:rsid w:val="00CB69E9"/>
    <w:rsid w:val="00CB7022"/>
    <w:rsid w:val="00CB78BA"/>
    <w:rsid w:val="00CB7CC6"/>
    <w:rsid w:val="00CC0DDA"/>
    <w:rsid w:val="00CC1147"/>
    <w:rsid w:val="00CC13D5"/>
    <w:rsid w:val="00CC2013"/>
    <w:rsid w:val="00CC2E1C"/>
    <w:rsid w:val="00CC3017"/>
    <w:rsid w:val="00CC483E"/>
    <w:rsid w:val="00CC6443"/>
    <w:rsid w:val="00CC651A"/>
    <w:rsid w:val="00CC6BAA"/>
    <w:rsid w:val="00CC6FB8"/>
    <w:rsid w:val="00CD4DB6"/>
    <w:rsid w:val="00CD684F"/>
    <w:rsid w:val="00CE0319"/>
    <w:rsid w:val="00CE0F1D"/>
    <w:rsid w:val="00CE1C09"/>
    <w:rsid w:val="00CE2D1F"/>
    <w:rsid w:val="00CE38D9"/>
    <w:rsid w:val="00CE49C3"/>
    <w:rsid w:val="00CE643F"/>
    <w:rsid w:val="00CE6825"/>
    <w:rsid w:val="00CE709D"/>
    <w:rsid w:val="00CF127B"/>
    <w:rsid w:val="00CF16C9"/>
    <w:rsid w:val="00CF70BF"/>
    <w:rsid w:val="00CF758A"/>
    <w:rsid w:val="00D00AF7"/>
    <w:rsid w:val="00D0146B"/>
    <w:rsid w:val="00D01541"/>
    <w:rsid w:val="00D018A6"/>
    <w:rsid w:val="00D0257A"/>
    <w:rsid w:val="00D037BB"/>
    <w:rsid w:val="00D06372"/>
    <w:rsid w:val="00D06623"/>
    <w:rsid w:val="00D074C7"/>
    <w:rsid w:val="00D07874"/>
    <w:rsid w:val="00D11640"/>
    <w:rsid w:val="00D11A14"/>
    <w:rsid w:val="00D1254A"/>
    <w:rsid w:val="00D1331A"/>
    <w:rsid w:val="00D13B2F"/>
    <w:rsid w:val="00D146A1"/>
    <w:rsid w:val="00D14C6B"/>
    <w:rsid w:val="00D14DFF"/>
    <w:rsid w:val="00D1671E"/>
    <w:rsid w:val="00D17E08"/>
    <w:rsid w:val="00D2102C"/>
    <w:rsid w:val="00D217B0"/>
    <w:rsid w:val="00D2250F"/>
    <w:rsid w:val="00D22680"/>
    <w:rsid w:val="00D23051"/>
    <w:rsid w:val="00D25CCE"/>
    <w:rsid w:val="00D26EE2"/>
    <w:rsid w:val="00D277A4"/>
    <w:rsid w:val="00D27D84"/>
    <w:rsid w:val="00D3032E"/>
    <w:rsid w:val="00D3175C"/>
    <w:rsid w:val="00D32031"/>
    <w:rsid w:val="00D32395"/>
    <w:rsid w:val="00D324CD"/>
    <w:rsid w:val="00D33A78"/>
    <w:rsid w:val="00D34A49"/>
    <w:rsid w:val="00D35233"/>
    <w:rsid w:val="00D362F7"/>
    <w:rsid w:val="00D3736C"/>
    <w:rsid w:val="00D40190"/>
    <w:rsid w:val="00D402EB"/>
    <w:rsid w:val="00D40727"/>
    <w:rsid w:val="00D4166D"/>
    <w:rsid w:val="00D416E7"/>
    <w:rsid w:val="00D41756"/>
    <w:rsid w:val="00D43B0B"/>
    <w:rsid w:val="00D44AE5"/>
    <w:rsid w:val="00D44E98"/>
    <w:rsid w:val="00D44F6F"/>
    <w:rsid w:val="00D461E1"/>
    <w:rsid w:val="00D47605"/>
    <w:rsid w:val="00D47618"/>
    <w:rsid w:val="00D50A0E"/>
    <w:rsid w:val="00D53702"/>
    <w:rsid w:val="00D538A0"/>
    <w:rsid w:val="00D5536F"/>
    <w:rsid w:val="00D56935"/>
    <w:rsid w:val="00D574A4"/>
    <w:rsid w:val="00D61217"/>
    <w:rsid w:val="00D61631"/>
    <w:rsid w:val="00D64828"/>
    <w:rsid w:val="00D65843"/>
    <w:rsid w:val="00D65B96"/>
    <w:rsid w:val="00D6652A"/>
    <w:rsid w:val="00D665AA"/>
    <w:rsid w:val="00D70C4B"/>
    <w:rsid w:val="00D716BA"/>
    <w:rsid w:val="00D74B42"/>
    <w:rsid w:val="00D758C6"/>
    <w:rsid w:val="00D7598F"/>
    <w:rsid w:val="00D7612F"/>
    <w:rsid w:val="00D774CE"/>
    <w:rsid w:val="00D8009D"/>
    <w:rsid w:val="00D80889"/>
    <w:rsid w:val="00D80D48"/>
    <w:rsid w:val="00D81881"/>
    <w:rsid w:val="00D818F0"/>
    <w:rsid w:val="00D81C02"/>
    <w:rsid w:val="00D8233B"/>
    <w:rsid w:val="00D82B1B"/>
    <w:rsid w:val="00D85BFE"/>
    <w:rsid w:val="00D87CAF"/>
    <w:rsid w:val="00D905C9"/>
    <w:rsid w:val="00D90C10"/>
    <w:rsid w:val="00D90F9F"/>
    <w:rsid w:val="00D912A6"/>
    <w:rsid w:val="00D91CB1"/>
    <w:rsid w:val="00D92E96"/>
    <w:rsid w:val="00D93F42"/>
    <w:rsid w:val="00D953C5"/>
    <w:rsid w:val="00D95C69"/>
    <w:rsid w:val="00D969F3"/>
    <w:rsid w:val="00D97E11"/>
    <w:rsid w:val="00DA0A0C"/>
    <w:rsid w:val="00DA258C"/>
    <w:rsid w:val="00DA25C9"/>
    <w:rsid w:val="00DA2F61"/>
    <w:rsid w:val="00DA2FA3"/>
    <w:rsid w:val="00DA4345"/>
    <w:rsid w:val="00DA522C"/>
    <w:rsid w:val="00DA55B2"/>
    <w:rsid w:val="00DA6180"/>
    <w:rsid w:val="00DA652F"/>
    <w:rsid w:val="00DA79E0"/>
    <w:rsid w:val="00DB169A"/>
    <w:rsid w:val="00DB3FC2"/>
    <w:rsid w:val="00DB5F44"/>
    <w:rsid w:val="00DB751D"/>
    <w:rsid w:val="00DC0224"/>
    <w:rsid w:val="00DC1D71"/>
    <w:rsid w:val="00DC39C4"/>
    <w:rsid w:val="00DC40D8"/>
    <w:rsid w:val="00DC4D2D"/>
    <w:rsid w:val="00DC5695"/>
    <w:rsid w:val="00DC6DEB"/>
    <w:rsid w:val="00DC708F"/>
    <w:rsid w:val="00DC7109"/>
    <w:rsid w:val="00DC7374"/>
    <w:rsid w:val="00DD1BC6"/>
    <w:rsid w:val="00DD302F"/>
    <w:rsid w:val="00DD3087"/>
    <w:rsid w:val="00DD309A"/>
    <w:rsid w:val="00DD3F16"/>
    <w:rsid w:val="00DD5BD4"/>
    <w:rsid w:val="00DD62BD"/>
    <w:rsid w:val="00DE07FA"/>
    <w:rsid w:val="00DE0AF4"/>
    <w:rsid w:val="00DE1A22"/>
    <w:rsid w:val="00DE20DB"/>
    <w:rsid w:val="00DE2945"/>
    <w:rsid w:val="00DE2DF4"/>
    <w:rsid w:val="00DE3C41"/>
    <w:rsid w:val="00DE5B61"/>
    <w:rsid w:val="00DE5C42"/>
    <w:rsid w:val="00DF1344"/>
    <w:rsid w:val="00DF161E"/>
    <w:rsid w:val="00DF19EE"/>
    <w:rsid w:val="00DF2DDE"/>
    <w:rsid w:val="00DF4962"/>
    <w:rsid w:val="00DF5261"/>
    <w:rsid w:val="00DF5C93"/>
    <w:rsid w:val="00DF69F7"/>
    <w:rsid w:val="00DF76EE"/>
    <w:rsid w:val="00DF7778"/>
    <w:rsid w:val="00DF77C8"/>
    <w:rsid w:val="00E00B89"/>
    <w:rsid w:val="00E01667"/>
    <w:rsid w:val="00E104AD"/>
    <w:rsid w:val="00E13680"/>
    <w:rsid w:val="00E15C88"/>
    <w:rsid w:val="00E17185"/>
    <w:rsid w:val="00E20BD3"/>
    <w:rsid w:val="00E2180D"/>
    <w:rsid w:val="00E2198A"/>
    <w:rsid w:val="00E22E2E"/>
    <w:rsid w:val="00E233C3"/>
    <w:rsid w:val="00E23642"/>
    <w:rsid w:val="00E23C25"/>
    <w:rsid w:val="00E2453C"/>
    <w:rsid w:val="00E26284"/>
    <w:rsid w:val="00E26FAC"/>
    <w:rsid w:val="00E27BA9"/>
    <w:rsid w:val="00E27BFB"/>
    <w:rsid w:val="00E30483"/>
    <w:rsid w:val="00E307A5"/>
    <w:rsid w:val="00E30C28"/>
    <w:rsid w:val="00E32F2B"/>
    <w:rsid w:val="00E33609"/>
    <w:rsid w:val="00E35987"/>
    <w:rsid w:val="00E36209"/>
    <w:rsid w:val="00E3717F"/>
    <w:rsid w:val="00E37323"/>
    <w:rsid w:val="00E37AF9"/>
    <w:rsid w:val="00E37EB7"/>
    <w:rsid w:val="00E37F08"/>
    <w:rsid w:val="00E40A2A"/>
    <w:rsid w:val="00E40DEC"/>
    <w:rsid w:val="00E4150F"/>
    <w:rsid w:val="00E420BB"/>
    <w:rsid w:val="00E43163"/>
    <w:rsid w:val="00E445CE"/>
    <w:rsid w:val="00E45901"/>
    <w:rsid w:val="00E50DF6"/>
    <w:rsid w:val="00E517E7"/>
    <w:rsid w:val="00E52039"/>
    <w:rsid w:val="00E53CD9"/>
    <w:rsid w:val="00E55042"/>
    <w:rsid w:val="00E558B5"/>
    <w:rsid w:val="00E55B4C"/>
    <w:rsid w:val="00E5749F"/>
    <w:rsid w:val="00E6080A"/>
    <w:rsid w:val="00E61206"/>
    <w:rsid w:val="00E61896"/>
    <w:rsid w:val="00E6263D"/>
    <w:rsid w:val="00E627D5"/>
    <w:rsid w:val="00E6336D"/>
    <w:rsid w:val="00E6366C"/>
    <w:rsid w:val="00E63997"/>
    <w:rsid w:val="00E63B9E"/>
    <w:rsid w:val="00E64D07"/>
    <w:rsid w:val="00E65C46"/>
    <w:rsid w:val="00E67869"/>
    <w:rsid w:val="00E70159"/>
    <w:rsid w:val="00E7016D"/>
    <w:rsid w:val="00E717A6"/>
    <w:rsid w:val="00E7190A"/>
    <w:rsid w:val="00E71D80"/>
    <w:rsid w:val="00E71D8F"/>
    <w:rsid w:val="00E726C7"/>
    <w:rsid w:val="00E72AFC"/>
    <w:rsid w:val="00E73250"/>
    <w:rsid w:val="00E74F3B"/>
    <w:rsid w:val="00E75198"/>
    <w:rsid w:val="00E7605F"/>
    <w:rsid w:val="00E76796"/>
    <w:rsid w:val="00E800D9"/>
    <w:rsid w:val="00E80509"/>
    <w:rsid w:val="00E80F97"/>
    <w:rsid w:val="00E83973"/>
    <w:rsid w:val="00E83BFD"/>
    <w:rsid w:val="00E84440"/>
    <w:rsid w:val="00E85FA5"/>
    <w:rsid w:val="00E867D2"/>
    <w:rsid w:val="00E91F11"/>
    <w:rsid w:val="00E923CA"/>
    <w:rsid w:val="00E939E0"/>
    <w:rsid w:val="00E93C49"/>
    <w:rsid w:val="00E955B8"/>
    <w:rsid w:val="00E9624D"/>
    <w:rsid w:val="00E965C5"/>
    <w:rsid w:val="00E96A3A"/>
    <w:rsid w:val="00E97402"/>
    <w:rsid w:val="00E97B99"/>
    <w:rsid w:val="00E97D3C"/>
    <w:rsid w:val="00EA06AE"/>
    <w:rsid w:val="00EA3CB3"/>
    <w:rsid w:val="00EA438B"/>
    <w:rsid w:val="00EA4704"/>
    <w:rsid w:val="00EA488A"/>
    <w:rsid w:val="00EA56AC"/>
    <w:rsid w:val="00EA5938"/>
    <w:rsid w:val="00EA60AE"/>
    <w:rsid w:val="00EA66C4"/>
    <w:rsid w:val="00EA707E"/>
    <w:rsid w:val="00EA7227"/>
    <w:rsid w:val="00EA74E9"/>
    <w:rsid w:val="00EB2E9D"/>
    <w:rsid w:val="00EB4EA5"/>
    <w:rsid w:val="00EB57C3"/>
    <w:rsid w:val="00EB5E4A"/>
    <w:rsid w:val="00EB64D4"/>
    <w:rsid w:val="00EB68F9"/>
    <w:rsid w:val="00EC09BC"/>
    <w:rsid w:val="00EC2284"/>
    <w:rsid w:val="00EC2613"/>
    <w:rsid w:val="00EC38AA"/>
    <w:rsid w:val="00EC40F5"/>
    <w:rsid w:val="00EC66CE"/>
    <w:rsid w:val="00ED00D1"/>
    <w:rsid w:val="00ED04FE"/>
    <w:rsid w:val="00ED1E14"/>
    <w:rsid w:val="00ED31AE"/>
    <w:rsid w:val="00ED6AEA"/>
    <w:rsid w:val="00EE07E5"/>
    <w:rsid w:val="00EE27EE"/>
    <w:rsid w:val="00EE382F"/>
    <w:rsid w:val="00EE3FA3"/>
    <w:rsid w:val="00EE42D0"/>
    <w:rsid w:val="00EE4EB8"/>
    <w:rsid w:val="00EE5001"/>
    <w:rsid w:val="00EE54CB"/>
    <w:rsid w:val="00EE6FFC"/>
    <w:rsid w:val="00EE701E"/>
    <w:rsid w:val="00EE7EA0"/>
    <w:rsid w:val="00EF0FBC"/>
    <w:rsid w:val="00EF10AC"/>
    <w:rsid w:val="00EF143B"/>
    <w:rsid w:val="00EF20B3"/>
    <w:rsid w:val="00EF304B"/>
    <w:rsid w:val="00EF4701"/>
    <w:rsid w:val="00EF564E"/>
    <w:rsid w:val="00EF7644"/>
    <w:rsid w:val="00EF7E0D"/>
    <w:rsid w:val="00F00FDF"/>
    <w:rsid w:val="00F010ED"/>
    <w:rsid w:val="00F01845"/>
    <w:rsid w:val="00F01C2E"/>
    <w:rsid w:val="00F0217E"/>
    <w:rsid w:val="00F02C71"/>
    <w:rsid w:val="00F02F70"/>
    <w:rsid w:val="00F0323B"/>
    <w:rsid w:val="00F03ED3"/>
    <w:rsid w:val="00F045FE"/>
    <w:rsid w:val="00F04784"/>
    <w:rsid w:val="00F05011"/>
    <w:rsid w:val="00F0673F"/>
    <w:rsid w:val="00F06A10"/>
    <w:rsid w:val="00F07B8A"/>
    <w:rsid w:val="00F10ADB"/>
    <w:rsid w:val="00F1106A"/>
    <w:rsid w:val="00F11131"/>
    <w:rsid w:val="00F11C5F"/>
    <w:rsid w:val="00F1318D"/>
    <w:rsid w:val="00F134EA"/>
    <w:rsid w:val="00F1351F"/>
    <w:rsid w:val="00F13B00"/>
    <w:rsid w:val="00F140E7"/>
    <w:rsid w:val="00F14541"/>
    <w:rsid w:val="00F1622E"/>
    <w:rsid w:val="00F2048C"/>
    <w:rsid w:val="00F22198"/>
    <w:rsid w:val="00F235CD"/>
    <w:rsid w:val="00F25706"/>
    <w:rsid w:val="00F263CF"/>
    <w:rsid w:val="00F26430"/>
    <w:rsid w:val="00F271D7"/>
    <w:rsid w:val="00F272D2"/>
    <w:rsid w:val="00F27D2C"/>
    <w:rsid w:val="00F31F30"/>
    <w:rsid w:val="00F32C62"/>
    <w:rsid w:val="00F33D49"/>
    <w:rsid w:val="00F33F22"/>
    <w:rsid w:val="00F3481E"/>
    <w:rsid w:val="00F352C5"/>
    <w:rsid w:val="00F40193"/>
    <w:rsid w:val="00F40856"/>
    <w:rsid w:val="00F40EA9"/>
    <w:rsid w:val="00F42000"/>
    <w:rsid w:val="00F4296A"/>
    <w:rsid w:val="00F453A7"/>
    <w:rsid w:val="00F46EFA"/>
    <w:rsid w:val="00F47731"/>
    <w:rsid w:val="00F502A4"/>
    <w:rsid w:val="00F50443"/>
    <w:rsid w:val="00F51BC8"/>
    <w:rsid w:val="00F541F2"/>
    <w:rsid w:val="00F554B6"/>
    <w:rsid w:val="00F555DE"/>
    <w:rsid w:val="00F56377"/>
    <w:rsid w:val="00F56AC0"/>
    <w:rsid w:val="00F5721C"/>
    <w:rsid w:val="00F577F6"/>
    <w:rsid w:val="00F6093F"/>
    <w:rsid w:val="00F632C2"/>
    <w:rsid w:val="00F63476"/>
    <w:rsid w:val="00F64A01"/>
    <w:rsid w:val="00F65039"/>
    <w:rsid w:val="00F650B3"/>
    <w:rsid w:val="00F65266"/>
    <w:rsid w:val="00F6532F"/>
    <w:rsid w:val="00F65F0E"/>
    <w:rsid w:val="00F662B3"/>
    <w:rsid w:val="00F66461"/>
    <w:rsid w:val="00F66723"/>
    <w:rsid w:val="00F66B47"/>
    <w:rsid w:val="00F71E43"/>
    <w:rsid w:val="00F73A86"/>
    <w:rsid w:val="00F751E1"/>
    <w:rsid w:val="00F75EA6"/>
    <w:rsid w:val="00F77870"/>
    <w:rsid w:val="00F81580"/>
    <w:rsid w:val="00F8211A"/>
    <w:rsid w:val="00F82CDA"/>
    <w:rsid w:val="00F82ECC"/>
    <w:rsid w:val="00F842A3"/>
    <w:rsid w:val="00F849BB"/>
    <w:rsid w:val="00F84B08"/>
    <w:rsid w:val="00F8560A"/>
    <w:rsid w:val="00F86224"/>
    <w:rsid w:val="00F869BC"/>
    <w:rsid w:val="00F874CD"/>
    <w:rsid w:val="00F8778C"/>
    <w:rsid w:val="00F87D6A"/>
    <w:rsid w:val="00F90973"/>
    <w:rsid w:val="00F90EE7"/>
    <w:rsid w:val="00F91485"/>
    <w:rsid w:val="00F9294D"/>
    <w:rsid w:val="00F932B6"/>
    <w:rsid w:val="00F94710"/>
    <w:rsid w:val="00F952A8"/>
    <w:rsid w:val="00F95D25"/>
    <w:rsid w:val="00F95E57"/>
    <w:rsid w:val="00FA0909"/>
    <w:rsid w:val="00FA0E18"/>
    <w:rsid w:val="00FA1F8D"/>
    <w:rsid w:val="00FA2056"/>
    <w:rsid w:val="00FA3018"/>
    <w:rsid w:val="00FA3AA2"/>
    <w:rsid w:val="00FA3CEE"/>
    <w:rsid w:val="00FA416D"/>
    <w:rsid w:val="00FA6E3C"/>
    <w:rsid w:val="00FA7DD5"/>
    <w:rsid w:val="00FB16B2"/>
    <w:rsid w:val="00FB36B8"/>
    <w:rsid w:val="00FB3EB1"/>
    <w:rsid w:val="00FB4144"/>
    <w:rsid w:val="00FB50EB"/>
    <w:rsid w:val="00FB5239"/>
    <w:rsid w:val="00FB736E"/>
    <w:rsid w:val="00FC0535"/>
    <w:rsid w:val="00FC0711"/>
    <w:rsid w:val="00FC0B7B"/>
    <w:rsid w:val="00FC1010"/>
    <w:rsid w:val="00FC1553"/>
    <w:rsid w:val="00FC2697"/>
    <w:rsid w:val="00FC2D27"/>
    <w:rsid w:val="00FC368C"/>
    <w:rsid w:val="00FC4CD1"/>
    <w:rsid w:val="00FD00DC"/>
    <w:rsid w:val="00FD0586"/>
    <w:rsid w:val="00FD2543"/>
    <w:rsid w:val="00FD347F"/>
    <w:rsid w:val="00FD3B4C"/>
    <w:rsid w:val="00FD40DE"/>
    <w:rsid w:val="00FD54F2"/>
    <w:rsid w:val="00FD57A0"/>
    <w:rsid w:val="00FD5D11"/>
    <w:rsid w:val="00FD634F"/>
    <w:rsid w:val="00FD6EB7"/>
    <w:rsid w:val="00FD705B"/>
    <w:rsid w:val="00FE05D0"/>
    <w:rsid w:val="00FE0ED9"/>
    <w:rsid w:val="00FE1157"/>
    <w:rsid w:val="00FE2146"/>
    <w:rsid w:val="00FE22E3"/>
    <w:rsid w:val="00FE41D2"/>
    <w:rsid w:val="00FE5218"/>
    <w:rsid w:val="00FE6B4B"/>
    <w:rsid w:val="00FE79EB"/>
    <w:rsid w:val="00FF05A5"/>
    <w:rsid w:val="00FF1646"/>
    <w:rsid w:val="00FF43CE"/>
    <w:rsid w:val="00FF53B2"/>
    <w:rsid w:val="00FF5BF3"/>
    <w:rsid w:val="00FF6A40"/>
    <w:rsid w:val="00FF6CF3"/>
    <w:rsid w:val="00FF7B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11F6F62C-85B0-45B6-BA00-D8FE60DE5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4C14"/>
    <w:pPr>
      <w:widowControl w:val="0"/>
      <w:spacing w:line="230" w:lineRule="exact"/>
      <w:ind w:firstLine="204"/>
      <w:jc w:val="both"/>
    </w:pPr>
    <w:rPr>
      <w:rFonts w:eastAsia="宋体"/>
    </w:rPr>
  </w:style>
  <w:style w:type="paragraph" w:styleId="1">
    <w:name w:val="heading 1"/>
    <w:basedOn w:val="a"/>
    <w:next w:val="a"/>
    <w:link w:val="1Char"/>
    <w:uiPriority w:val="9"/>
    <w:qFormat/>
    <w:pPr>
      <w:keepNext/>
      <w:numPr>
        <w:numId w:val="1"/>
      </w:numPr>
      <w:spacing w:before="240" w:after="80"/>
      <w:jc w:val="center"/>
      <w:outlineLvl w:val="0"/>
    </w:pPr>
    <w:rPr>
      <w:smallCaps/>
      <w:kern w:val="28"/>
    </w:rPr>
  </w:style>
  <w:style w:type="paragraph" w:styleId="2">
    <w:name w:val="heading 2"/>
    <w:basedOn w:val="a"/>
    <w:next w:val="a"/>
    <w:link w:val="2Char"/>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next w:val="a"/>
    <w:pPr>
      <w:spacing w:before="20"/>
      <w:ind w:firstLine="202"/>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3">
    <w:name w:val="Title"/>
    <w:basedOn w:val="a"/>
    <w:next w:val="a"/>
    <w:qFormat/>
    <w:pPr>
      <w:framePr w:w="9360" w:hSpace="187" w:vSpace="187" w:wrap="notBeside" w:vAnchor="text" w:hAnchor="page" w:xAlign="center" w:y="1"/>
      <w:jc w:val="center"/>
    </w:pPr>
    <w:rPr>
      <w:kern w:val="28"/>
      <w:sz w:val="48"/>
      <w:szCs w:val="48"/>
    </w:rPr>
  </w:style>
  <w:style w:type="paragraph" w:styleId="a4">
    <w:name w:val="footnote text"/>
    <w:basedOn w:val="a"/>
    <w:link w:val="Char"/>
    <w:semiHidden/>
    <w:pPr>
      <w:ind w:firstLine="202"/>
    </w:pPr>
    <w:rPr>
      <w:sz w:val="16"/>
      <w:szCs w:val="16"/>
    </w:rPr>
  </w:style>
  <w:style w:type="paragraph" w:customStyle="1" w:styleId="References">
    <w:name w:val="References"/>
    <w:basedOn w:val="a"/>
    <w:pPr>
      <w:numPr>
        <w:numId w:val="2"/>
      </w:numPr>
    </w:pPr>
    <w:rPr>
      <w:sz w:val="16"/>
      <w:szCs w:val="16"/>
    </w:rPr>
  </w:style>
  <w:style w:type="paragraph" w:customStyle="1" w:styleId="IndexTerms">
    <w:name w:val="IndexTerms"/>
    <w:basedOn w:val="a"/>
    <w:next w:val="a"/>
    <w:pPr>
      <w:ind w:firstLine="202"/>
    </w:pPr>
    <w:rPr>
      <w:b/>
      <w:bCs/>
      <w:sz w:val="18"/>
      <w:szCs w:val="18"/>
    </w:rPr>
  </w:style>
  <w:style w:type="character" w:styleId="a5">
    <w:name w:val="footnote reference"/>
    <w:semiHidden/>
    <w:rPr>
      <w:vertAlign w:val="superscript"/>
    </w:rPr>
  </w:style>
  <w:style w:type="paragraph" w:styleId="a6">
    <w:name w:val="footer"/>
    <w:basedOn w:val="a"/>
    <w:link w:val="Char0"/>
    <w:uiPriority w:val="99"/>
    <w:pPr>
      <w:tabs>
        <w:tab w:val="center" w:pos="4320"/>
        <w:tab w:val="right" w:pos="8640"/>
      </w:tabs>
    </w:pPr>
  </w:style>
  <w:style w:type="paragraph" w:customStyle="1" w:styleId="Text">
    <w:name w:val="Text"/>
    <w:basedOn w:val="a"/>
    <w:pPr>
      <w:ind w:firstLine="202"/>
    </w:pPr>
  </w:style>
  <w:style w:type="paragraph" w:customStyle="1" w:styleId="FigureCaption">
    <w:name w:val="Figure Caption"/>
    <w:basedOn w:val="a"/>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styleId="a7">
    <w:name w:val="header"/>
    <w:basedOn w:val="a"/>
    <w:pPr>
      <w:tabs>
        <w:tab w:val="center" w:pos="4320"/>
        <w:tab w:val="right" w:pos="8640"/>
      </w:tabs>
    </w:pPr>
  </w:style>
  <w:style w:type="paragraph" w:customStyle="1" w:styleId="Equation">
    <w:name w:val="Equation"/>
    <w:basedOn w:val="a"/>
    <w:next w:val="a"/>
    <w:pPr>
      <w:tabs>
        <w:tab w:val="right" w:pos="5040"/>
      </w:tabs>
    </w:pPr>
  </w:style>
  <w:style w:type="character" w:styleId="a8">
    <w:name w:val="Hyperlink"/>
    <w:rPr>
      <w:color w:val="0000FF"/>
      <w:u w:val="single"/>
    </w:rPr>
  </w:style>
  <w:style w:type="character" w:styleId="a9">
    <w:name w:val="FollowedHyperlink"/>
    <w:rPr>
      <w:color w:val="800080"/>
      <w:u w:val="single"/>
    </w:rPr>
  </w:style>
  <w:style w:type="paragraph" w:styleId="aa">
    <w:name w:val="Body Text Indent"/>
    <w:basedOn w:val="a"/>
    <w:link w:val="Char1"/>
    <w:pPr>
      <w:ind w:left="630" w:hanging="630"/>
    </w:pPr>
    <w:rPr>
      <w:szCs w:val="24"/>
    </w:rPr>
  </w:style>
  <w:style w:type="paragraph" w:styleId="ab">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c">
    <w:name w:val="Balloon Text"/>
    <w:basedOn w:val="a"/>
    <w:link w:val="Char2"/>
    <w:rsid w:val="00F33D49"/>
    <w:rPr>
      <w:rFonts w:ascii="Tahoma" w:hAnsi="Tahoma" w:cs="Tahoma"/>
      <w:sz w:val="16"/>
      <w:szCs w:val="16"/>
    </w:rPr>
  </w:style>
  <w:style w:type="character" w:customStyle="1" w:styleId="Char2">
    <w:name w:val="批注框文本 Char"/>
    <w:link w:val="ac"/>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Char">
    <w:name w:val="标题 1 Char"/>
    <w:link w:val="1"/>
    <w:uiPriority w:val="9"/>
    <w:rsid w:val="003F52AD"/>
    <w:rPr>
      <w:rFonts w:eastAsia="宋体"/>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Char">
    <w:name w:val="标题 2 Char"/>
    <w:link w:val="2"/>
    <w:uiPriority w:val="9"/>
    <w:rsid w:val="001B36B1"/>
    <w:rPr>
      <w:rFonts w:eastAsia="宋体"/>
      <w:i/>
      <w:iCs/>
    </w:rPr>
  </w:style>
  <w:style w:type="paragraph" w:customStyle="1" w:styleId="TextL-MAG">
    <w:name w:val="Text L-MAG"/>
    <w:basedOn w:val="a"/>
    <w:link w:val="TextL-MAGChar"/>
    <w:qFormat/>
    <w:rsid w:val="009C7D17"/>
    <w:pPr>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Char0">
    <w:name w:val="页脚 Char"/>
    <w:basedOn w:val="a0"/>
    <w:link w:val="a6"/>
    <w:uiPriority w:val="99"/>
    <w:rsid w:val="00D90C10"/>
  </w:style>
  <w:style w:type="character" w:customStyle="1" w:styleId="Char">
    <w:name w:val="脚注文本 Char"/>
    <w:link w:val="a4"/>
    <w:semiHidden/>
    <w:rsid w:val="00C075EF"/>
    <w:rPr>
      <w:sz w:val="16"/>
      <w:szCs w:val="16"/>
    </w:rPr>
  </w:style>
  <w:style w:type="character" w:customStyle="1" w:styleId="Char1">
    <w:name w:val="正文文本缩进 Char"/>
    <w:link w:val="aa"/>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paragraph" w:styleId="ad">
    <w:name w:val="endnote text"/>
    <w:basedOn w:val="a"/>
    <w:link w:val="Char3"/>
    <w:rsid w:val="00EE3FA3"/>
  </w:style>
  <w:style w:type="character" w:customStyle="1" w:styleId="Char3">
    <w:name w:val="尾注文本 Char"/>
    <w:basedOn w:val="a0"/>
    <w:link w:val="ad"/>
    <w:rsid w:val="00EE3FA3"/>
  </w:style>
  <w:style w:type="character" w:styleId="ae">
    <w:name w:val="endnote reference"/>
    <w:basedOn w:val="a0"/>
    <w:rsid w:val="00EE3FA3"/>
    <w:rPr>
      <w:vertAlign w:val="superscript"/>
    </w:rPr>
  </w:style>
  <w:style w:type="character" w:customStyle="1" w:styleId="MTEquationSection">
    <w:name w:val="MTEquationSection"/>
    <w:basedOn w:val="a0"/>
    <w:rsid w:val="00627A32"/>
    <w:rPr>
      <w:vanish/>
      <w:color w:val="FF0000"/>
    </w:rPr>
  </w:style>
  <w:style w:type="paragraph" w:customStyle="1" w:styleId="MTDisplayEquation">
    <w:name w:val="MTDisplayEquation"/>
    <w:basedOn w:val="a"/>
    <w:next w:val="a"/>
    <w:link w:val="MTDisplayEquationChar"/>
    <w:rsid w:val="00627A32"/>
    <w:pPr>
      <w:tabs>
        <w:tab w:val="center" w:pos="2520"/>
        <w:tab w:val="right" w:pos="5040"/>
      </w:tabs>
      <w:autoSpaceDE w:val="0"/>
      <w:autoSpaceDN w:val="0"/>
      <w:adjustRightInd w:val="0"/>
      <w:ind w:firstLine="202"/>
    </w:pPr>
  </w:style>
  <w:style w:type="character" w:customStyle="1" w:styleId="MTDisplayEquationChar">
    <w:name w:val="MTDisplayEquation Char"/>
    <w:basedOn w:val="a0"/>
    <w:link w:val="MTDisplayEquation"/>
    <w:rsid w:val="00627A32"/>
  </w:style>
  <w:style w:type="paragraph" w:customStyle="1" w:styleId="af">
    <w:name w:val="插图题注"/>
    <w:basedOn w:val="a"/>
    <w:link w:val="Char4"/>
    <w:qFormat/>
    <w:rsid w:val="00DE3C41"/>
    <w:pPr>
      <w:autoSpaceDE w:val="0"/>
      <w:autoSpaceDN w:val="0"/>
      <w:ind w:firstLine="0"/>
      <w:jc w:val="center"/>
    </w:pPr>
    <w:rPr>
      <w:sz w:val="16"/>
    </w:rPr>
  </w:style>
  <w:style w:type="paragraph" w:styleId="af0">
    <w:name w:val="caption"/>
    <w:basedOn w:val="a"/>
    <w:next w:val="a"/>
    <w:link w:val="Char5"/>
    <w:unhideWhenUsed/>
    <w:qFormat/>
    <w:rsid w:val="00DE3C41"/>
    <w:rPr>
      <w:rFonts w:asciiTheme="majorHAnsi" w:eastAsia="黑体" w:hAnsiTheme="majorHAnsi" w:cstheme="majorBidi"/>
    </w:rPr>
  </w:style>
  <w:style w:type="character" w:customStyle="1" w:styleId="Char4">
    <w:name w:val="插图题注 Char"/>
    <w:basedOn w:val="a0"/>
    <w:link w:val="af"/>
    <w:rsid w:val="00DE3C41"/>
    <w:rPr>
      <w:rFonts w:eastAsia="宋体"/>
      <w:sz w:val="16"/>
    </w:rPr>
  </w:style>
  <w:style w:type="paragraph" w:styleId="af1">
    <w:name w:val="List Paragraph"/>
    <w:basedOn w:val="a"/>
    <w:uiPriority w:val="72"/>
    <w:qFormat/>
    <w:rsid w:val="00D037BB"/>
    <w:pPr>
      <w:spacing w:line="240" w:lineRule="auto"/>
      <w:ind w:firstLineChars="200" w:firstLine="420"/>
      <w:jc w:val="left"/>
    </w:pPr>
    <w:rPr>
      <w:rFonts w:eastAsia="等线"/>
    </w:rPr>
  </w:style>
  <w:style w:type="character" w:styleId="af2">
    <w:name w:val="Emphasis"/>
    <w:basedOn w:val="a0"/>
    <w:uiPriority w:val="20"/>
    <w:qFormat/>
    <w:rsid w:val="002055F3"/>
    <w:rPr>
      <w:i/>
      <w:iCs/>
    </w:rPr>
  </w:style>
  <w:style w:type="paragraph" w:customStyle="1" w:styleId="Default">
    <w:name w:val="Default"/>
    <w:rsid w:val="009253A9"/>
    <w:pPr>
      <w:widowControl w:val="0"/>
      <w:autoSpaceDE w:val="0"/>
      <w:autoSpaceDN w:val="0"/>
      <w:adjustRightInd w:val="0"/>
    </w:pPr>
    <w:rPr>
      <w:color w:val="000000"/>
      <w:sz w:val="24"/>
      <w:szCs w:val="24"/>
    </w:rPr>
  </w:style>
  <w:style w:type="paragraph" w:customStyle="1" w:styleId="af3">
    <w:name w:val="公式"/>
    <w:basedOn w:val="MTDisplayEquation"/>
    <w:link w:val="Char6"/>
    <w:qFormat/>
    <w:rsid w:val="0016419E"/>
    <w:pPr>
      <w:spacing w:line="202" w:lineRule="auto"/>
      <w:ind w:firstLine="0"/>
    </w:pPr>
  </w:style>
  <w:style w:type="character" w:customStyle="1" w:styleId="Char6">
    <w:name w:val="公式 Char"/>
    <w:basedOn w:val="MTDisplayEquationChar"/>
    <w:link w:val="af3"/>
    <w:rsid w:val="0016419E"/>
    <w:rPr>
      <w:rFonts w:eastAsia="宋体"/>
    </w:rPr>
  </w:style>
  <w:style w:type="paragraph" w:customStyle="1" w:styleId="af4">
    <w:name w:val="变量声明"/>
    <w:basedOn w:val="a"/>
    <w:link w:val="Char7"/>
    <w:qFormat/>
    <w:rsid w:val="00C800FA"/>
    <w:pPr>
      <w:snapToGrid w:val="0"/>
      <w:ind w:left="964" w:hanging="964"/>
    </w:pPr>
    <w:rPr>
      <w:kern w:val="2"/>
      <w:szCs w:val="24"/>
      <w:lang w:val="en-AU" w:eastAsia="zh-CN"/>
    </w:rPr>
  </w:style>
  <w:style w:type="character" w:customStyle="1" w:styleId="Char7">
    <w:name w:val="变量声明 Char"/>
    <w:basedOn w:val="a0"/>
    <w:link w:val="af4"/>
    <w:rsid w:val="00C800FA"/>
    <w:rPr>
      <w:rFonts w:eastAsia="宋体"/>
      <w:kern w:val="2"/>
      <w:szCs w:val="24"/>
      <w:lang w:val="en-AU" w:eastAsia="zh-CN"/>
    </w:rPr>
  </w:style>
  <w:style w:type="table" w:styleId="af5">
    <w:name w:val="Table Grid"/>
    <w:basedOn w:val="a1"/>
    <w:rsid w:val="00B7482D"/>
    <w:rPr>
      <w:rFonts w:eastAsia="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表格"/>
    <w:basedOn w:val="af7"/>
    <w:link w:val="Char8"/>
    <w:qFormat/>
    <w:rsid w:val="00B7482D"/>
    <w:pPr>
      <w:tabs>
        <w:tab w:val="left" w:pos="288"/>
      </w:tabs>
      <w:spacing w:after="0" w:line="240" w:lineRule="auto"/>
      <w:ind w:firstLine="0"/>
      <w:jc w:val="center"/>
    </w:pPr>
    <w:rPr>
      <w:spacing w:val="-1"/>
      <w:sz w:val="16"/>
      <w:lang w:val="x-none" w:eastAsia="zh-CN"/>
    </w:rPr>
  </w:style>
  <w:style w:type="character" w:customStyle="1" w:styleId="Char8">
    <w:name w:val="表格 Char"/>
    <w:basedOn w:val="Char9"/>
    <w:link w:val="af6"/>
    <w:rsid w:val="00B7482D"/>
    <w:rPr>
      <w:rFonts w:eastAsia="宋体"/>
      <w:spacing w:val="-1"/>
      <w:sz w:val="16"/>
      <w:lang w:val="x-none" w:eastAsia="zh-CN"/>
    </w:rPr>
  </w:style>
  <w:style w:type="paragraph" w:styleId="af7">
    <w:name w:val="Body Text"/>
    <w:basedOn w:val="a"/>
    <w:link w:val="Char9"/>
    <w:semiHidden/>
    <w:unhideWhenUsed/>
    <w:rsid w:val="00B7482D"/>
    <w:pPr>
      <w:spacing w:after="120"/>
    </w:pPr>
  </w:style>
  <w:style w:type="character" w:customStyle="1" w:styleId="Char9">
    <w:name w:val="正文文本 Char"/>
    <w:basedOn w:val="a0"/>
    <w:link w:val="af7"/>
    <w:semiHidden/>
    <w:rsid w:val="00B7482D"/>
    <w:rPr>
      <w:rFonts w:eastAsia="宋体"/>
    </w:rPr>
  </w:style>
  <w:style w:type="paragraph" w:customStyle="1" w:styleId="af8">
    <w:name w:val="图片题注"/>
    <w:basedOn w:val="af0"/>
    <w:link w:val="Chara"/>
    <w:qFormat/>
    <w:rsid w:val="00982A02"/>
    <w:pPr>
      <w:spacing w:after="60" w:line="240" w:lineRule="auto"/>
      <w:ind w:firstLine="0"/>
      <w:jc w:val="center"/>
    </w:pPr>
    <w:rPr>
      <w:rFonts w:ascii="Times New Roman" w:eastAsia="宋体" w:hAnsi="Times New Roman"/>
      <w:sz w:val="16"/>
    </w:rPr>
  </w:style>
  <w:style w:type="paragraph" w:customStyle="1" w:styleId="af9">
    <w:name w:val="表格题注"/>
    <w:basedOn w:val="TableTitle"/>
    <w:link w:val="Charb"/>
    <w:qFormat/>
    <w:rsid w:val="00B11212"/>
    <w:pPr>
      <w:spacing w:line="240" w:lineRule="auto"/>
      <w:ind w:firstLine="0"/>
    </w:pPr>
  </w:style>
  <w:style w:type="character" w:customStyle="1" w:styleId="Char5">
    <w:name w:val="题注 Char"/>
    <w:basedOn w:val="a0"/>
    <w:link w:val="af0"/>
    <w:rsid w:val="00982A02"/>
    <w:rPr>
      <w:rFonts w:asciiTheme="majorHAnsi" w:eastAsia="黑体" w:hAnsiTheme="majorHAnsi" w:cstheme="majorBidi"/>
    </w:rPr>
  </w:style>
  <w:style w:type="character" w:customStyle="1" w:styleId="Chara">
    <w:name w:val="图片题注 Char"/>
    <w:basedOn w:val="Char5"/>
    <w:link w:val="af8"/>
    <w:rsid w:val="00982A02"/>
    <w:rPr>
      <w:rFonts w:asciiTheme="majorHAnsi" w:eastAsia="宋体" w:hAnsiTheme="majorHAnsi" w:cstheme="majorBidi"/>
      <w:sz w:val="16"/>
    </w:rPr>
  </w:style>
  <w:style w:type="paragraph" w:customStyle="1" w:styleId="afa">
    <w:name w:val="表格内容"/>
    <w:basedOn w:val="a"/>
    <w:link w:val="Charc"/>
    <w:qFormat/>
    <w:rsid w:val="00B11212"/>
    <w:pPr>
      <w:spacing w:line="240" w:lineRule="auto"/>
      <w:ind w:firstLine="0"/>
      <w:jc w:val="center"/>
    </w:pPr>
    <w:rPr>
      <w:sz w:val="16"/>
      <w:lang w:eastAsia="zh-CN"/>
    </w:rPr>
  </w:style>
  <w:style w:type="character" w:customStyle="1" w:styleId="Charb">
    <w:name w:val="表格题注 Char"/>
    <w:basedOn w:val="a0"/>
    <w:link w:val="af9"/>
    <w:rsid w:val="00B11212"/>
    <w:rPr>
      <w:rFonts w:eastAsia="宋体"/>
      <w:smallCaps/>
      <w:sz w:val="16"/>
      <w:szCs w:val="16"/>
    </w:rPr>
  </w:style>
  <w:style w:type="character" w:customStyle="1" w:styleId="Charc">
    <w:name w:val="表格内容 Char"/>
    <w:basedOn w:val="a0"/>
    <w:link w:val="afa"/>
    <w:rsid w:val="00B11212"/>
    <w:rPr>
      <w:rFonts w:eastAsia="宋体"/>
      <w:sz w:val="16"/>
      <w:lang w:eastAsia="zh-CN"/>
    </w:rPr>
  </w:style>
  <w:style w:type="character" w:styleId="afb">
    <w:name w:val="annotation reference"/>
    <w:basedOn w:val="a0"/>
    <w:semiHidden/>
    <w:unhideWhenUsed/>
    <w:rsid w:val="008F62E4"/>
    <w:rPr>
      <w:sz w:val="21"/>
      <w:szCs w:val="21"/>
    </w:rPr>
  </w:style>
  <w:style w:type="paragraph" w:styleId="afc">
    <w:name w:val="annotation text"/>
    <w:basedOn w:val="a"/>
    <w:link w:val="Chard"/>
    <w:semiHidden/>
    <w:unhideWhenUsed/>
    <w:rsid w:val="008F62E4"/>
    <w:pPr>
      <w:jc w:val="left"/>
    </w:pPr>
  </w:style>
  <w:style w:type="character" w:customStyle="1" w:styleId="Chard">
    <w:name w:val="批注文字 Char"/>
    <w:basedOn w:val="a0"/>
    <w:link w:val="afc"/>
    <w:semiHidden/>
    <w:rsid w:val="008F62E4"/>
    <w:rPr>
      <w:rFonts w:eastAsia="宋体"/>
    </w:rPr>
  </w:style>
  <w:style w:type="paragraph" w:styleId="afd">
    <w:name w:val="annotation subject"/>
    <w:basedOn w:val="afc"/>
    <w:next w:val="afc"/>
    <w:link w:val="Chare"/>
    <w:semiHidden/>
    <w:unhideWhenUsed/>
    <w:rsid w:val="008F62E4"/>
    <w:rPr>
      <w:b/>
      <w:bCs/>
    </w:rPr>
  </w:style>
  <w:style w:type="character" w:customStyle="1" w:styleId="Chare">
    <w:name w:val="批注主题 Char"/>
    <w:basedOn w:val="Chard"/>
    <w:link w:val="afd"/>
    <w:semiHidden/>
    <w:rsid w:val="008F62E4"/>
    <w:rPr>
      <w:rFonts w:eastAsia="宋体"/>
      <w:b/>
      <w:bCs/>
    </w:rPr>
  </w:style>
  <w:style w:type="paragraph" w:styleId="afe">
    <w:name w:val="Normal (Web)"/>
    <w:basedOn w:val="a"/>
    <w:uiPriority w:val="99"/>
    <w:semiHidden/>
    <w:unhideWhenUsed/>
    <w:rsid w:val="00F40856"/>
    <w:pPr>
      <w:widowControl/>
      <w:spacing w:before="100" w:beforeAutospacing="1" w:after="100" w:afterAutospacing="1" w:line="240" w:lineRule="auto"/>
      <w:ind w:firstLine="0"/>
      <w:jc w:val="left"/>
    </w:pPr>
    <w:rPr>
      <w:rFonts w:ascii="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09297563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213486078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image" Target="media/image7.emf"/><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4.wmf"/><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theme" Target="theme/theme1.xml"/><Relationship Id="rId10" Type="http://schemas.openxmlformats.org/officeDocument/2006/relationships/package" Target="embeddings/Microsoft_Visio___1.vsdx"/><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F7AD73-7244-4E83-B9DB-6A1C34E0E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3807</TotalTime>
  <Pages>5</Pages>
  <Words>2290</Words>
  <Characters>13058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15318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王旭</cp:lastModifiedBy>
  <cp:revision>12</cp:revision>
  <cp:lastPrinted>2020-05-01T09:36:00Z</cp:lastPrinted>
  <dcterms:created xsi:type="dcterms:W3CDTF">2020-08-05T01:01:00Z</dcterms:created>
  <dcterms:modified xsi:type="dcterms:W3CDTF">2020-08-11T13:05:00Z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4" name="MTPreferences 1">
    <vt:lpwstr>
_x000d_
[Sizes]_x000d_
Full=10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SubscriptDepth=15 </vt:lpwstr>
  </property>
  <property fmtid="{D5CDD505-2E9C-101B-9397-08002B2CF9AE}" pid="5" name="MTPreferences 2">
    <vt:lpwstr>%_x000d_
SubSupGap=10 %_x000d_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vt:lpwstr>
  </property>
  <property fmtid="{D5CDD505-2E9C-101B-9397-08002B2CF9AE}" pid="6" name="MTPreferences 3">
    <vt:lpwstr>MinGap=8 %_x000d_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PreferenceSource">
    <vt:lpwstr>equation1.eqp</vt:lpwstr>
  </property>
  <property fmtid="{D5CDD505-2E9C-101B-9397-08002B2CF9AE}" pid="8" name="MTWinEqns">
    <vt:bool>true</vt:bool>
  </property>
  <property fmtid="{D5CDD505-2E9C-101B-9397-08002B2CF9AE}" pid="9" name="MTEquationNumber2">
    <vt:lpwstr>(#E1)</vt:lpwstr>
  </property>
</Properties>
</file>