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友邦保险 2019 年报（前10页中文试译）</w:t>
      </w:r>
    </w:p>
    <w:p>
      <w:r>
        <w:t>说明：本文件为英文年报《AIA_2020_Annual_Report_en.pdf》前10页的中文试译版，按页号对应整理。</w:t>
      </w:r>
    </w:p>
    <w:p>
      <w:pPr>
        <w:pStyle w:val="Heading2"/>
      </w:pPr>
      <w:r>
        <w:t>第 1 页</w:t>
      </w:r>
    </w:p>
    <w:p>
      <w:r>
        <w:t>2019 年年报</w:t>
      </w:r>
    </w:p>
    <w:p>
      <w:r>
        <w:t>以目标引领前行</w:t>
      </w:r>
    </w:p>
    <w:p>
      <w:r>
        <w:t>股票代码 1299</w:t>
      </w:r>
    </w:p>
    <w:p>
      <w:pPr>
        <w:pStyle w:val="Heading2"/>
      </w:pPr>
      <w:r>
        <w:t>第 2 页</w:t>
      </w:r>
    </w:p>
    <w:p>
      <w:r>
        <w:t>注：</w:t>
      </w:r>
    </w:p>
    <w:p>
      <w:r>
        <w:t>(1) 香港特别行政区简称“香港特区”。</w:t>
      </w:r>
    </w:p>
    <w:p>
      <w:r>
        <w:t>(2) 澳门特别行政区简称“澳门特区”。</w:t>
      </w:r>
    </w:p>
    <w:p>
      <w:r>
        <w:t>(3) 本报告所用若干术语及缩写释义见“词汇表”。</w:t>
      </w:r>
    </w:p>
    <w:p>
      <w:r>
        <w:t>友邦保险控股有限公司及其附属公司（统称“友邦保险”或“本集团”）构成亚洲最大独立上市泛亚人寿保险集团。本集团业务覆盖亚太区18个市场，在香港特区、泰国、新加坡、马来西亚、中国内地、韩国、菲律宾、澳大利亚、印度尼西亚、中国台湾、越南、新西兰、澳门特区、文莱、柬埔寨、缅甸拥有全资分公司及附属公司，在斯里兰卡拥有99%控股附属公司，并在印度拥有49%合资公司。</w:t>
      </w:r>
    </w:p>
    <w:p>
      <w:r>
        <w:t>今日的友邦保险最早可追溯至1919年在上海成立的业务。按寿险保费计，友邦保险是亚太地区（不含日本）的市场领导者，并在大多数经营市场位居领先地位。截至2019年12月31日，本集团总资产达2,840亿美元。</w:t>
      </w:r>
    </w:p>
    <w:p>
      <w:r>
        <w:t>友邦保险通过提供寿险、意外及医疗保险、储蓄计划等产品与服务，满足个人客户的长期储蓄和保障需求。本集团亦为企业客户提供员工福利、信贷寿险及退休金服务。凭借遍布亚太区的代理、合作伙伴及员工网络，友邦保险服务逾3,600万份个人保单持有人，以及超过1,600万名团体保险计划的参与成员。</w:t>
      </w:r>
    </w:p>
    <w:p>
      <w:r>
        <w:t>友邦保险控股有限公司于香港联合交易所有限公司主板上市，股票代码为“1299”，其一级美国存托凭证亦于美国场外市场交易，代码为“AAGIY”。</w:t>
      </w:r>
    </w:p>
    <w:p>
      <w:r>
        <w:t>关于友邦保险</w:t>
      </w:r>
    </w:p>
    <w:p>
      <w:r>
        <w:t>我们的愿景是成为全球最卓越的人寿保险公司。</w:t>
      </w:r>
    </w:p>
    <w:p>
      <w:r>
        <w:t>愿景与目标</w:t>
      </w:r>
    </w:p>
    <w:p>
      <w:r>
        <w:t>我们的目标是在推动亚洲区经济与社会发展方面发挥领导作用。</w:t>
      </w:r>
    </w:p>
    <w:p>
      <w:pPr>
        <w:pStyle w:val="Heading2"/>
      </w:pPr>
      <w:r>
        <w:t>第 3 页</w:t>
      </w:r>
    </w:p>
    <w:p>
      <w:r>
        <w:t>自1919年以来推动亚洲经济与社会发展</w:t>
      </w:r>
    </w:p>
    <w:p>
      <w:r>
        <w:t>1919年：创办人Cornelius Vander Starr先生在上海设立保险代理机构，奠定友邦保险在亚洲的企业根基。</w:t>
      </w:r>
    </w:p>
    <w:p>
      <w:r>
        <w:t>1921年：Cornelius Vander Starr先生在上海创办其首家寿险企业——Asia Life Insurance Company。</w:t>
      </w:r>
    </w:p>
    <w:p>
      <w:r>
        <w:t>1931年：Cornelius Vander Starr先生在上海创办International Assurance Company, Limited（INTASCO），并在香港和新加坡设立分支机构。</w:t>
      </w:r>
    </w:p>
    <w:p>
      <w:r>
        <w:t>1947年：菲律宾American Life and General Insurance Company（Philam Life）在菲律宾成立；INTASCO将总部迁至香港。</w:t>
      </w:r>
    </w:p>
    <w:p>
      <w:r>
        <w:t>1948年：INTASCO更名为American International Assurance Company, Limited。</w:t>
      </w:r>
    </w:p>
    <w:p>
      <w:r>
        <w:t>1992年：我们通过在上海设立分公司重返中国市场，成为首家获准在中国经营的外资寿险公司。</w:t>
      </w:r>
    </w:p>
    <w:p>
      <w:r>
        <w:t>1998年：我们重返位于上海外滩的旧总部大楼。</w:t>
      </w:r>
    </w:p>
    <w:p>
      <w:r>
        <w:t>2009年：在2008年AIG流动性危机后，我们完成重组，为公司上市做好准备。</w:t>
      </w:r>
    </w:p>
    <w:p>
      <w:r>
        <w:t>2010年：友邦保险控股有限公司成功在香港联交所主板上市，当时为全球历史上第三大首次公开募股。</w:t>
      </w:r>
    </w:p>
    <w:p>
      <w:r>
        <w:t>2011年：友邦保险控股有限公司成为恒生指数成份股，并推出一级美国存托凭证计划。</w:t>
      </w:r>
    </w:p>
    <w:p>
      <w:r>
        <w:t>2013年：完成友邦保险与ING马来西亚业务的全面整合；并通过收购Aviva NDB Insurance在斯里兰卡开展业务。</w:t>
      </w:r>
    </w:p>
    <w:p>
      <w:r>
        <w:t>2014年：友邦保险与花旗银行建立覆盖亚太区11个市场的长期独家银行保险合作关系；并成为托特纳姆热刺足球俱乐部官方球衣合作伙伴，推广运动在健康生活中的重要性。</w:t>
      </w:r>
    </w:p>
    <w:p>
      <w:r>
        <w:t>2015年：友邦保险成为全球百万圆桌会（MDRT）会员人数第一的公司。</w:t>
      </w:r>
    </w:p>
    <w:p>
      <w:r>
        <w:t>2016年：友邦保险领导力中心在曼谷开幕；并将印度合资公司Tata AIA Life Insurance Company Limited的持股比例由26%提高至49%。</w:t>
      </w:r>
    </w:p>
    <w:p>
      <w:r>
        <w:t>2017年：友邦保险呈献香港摩天轮及AIA Vitality Park。</w:t>
      </w:r>
    </w:p>
    <w:p>
      <w:r>
        <w:t>2018年：友邦保险推出全新品牌承诺——“健康长久好生活”。</w:t>
      </w:r>
    </w:p>
    <w:p>
      <w:pPr>
        <w:pStyle w:val="Heading2"/>
      </w:pPr>
      <w:r>
        <w:t>第 4 页</w:t>
      </w:r>
    </w:p>
    <w:p>
      <w:r>
        <w:t>以目标引领前行</w:t>
      </w:r>
    </w:p>
    <w:p>
      <w:r>
        <w:t>2019年是我们的百年庆典之年。友邦保险走过百年历程，成长为亚洲最大独立上市泛亚人寿保险集团。集团在区内各市场举行庆祝活动及体能挑战，并支持本地社区慈善机构和特别公益项目。</w:t>
      </w:r>
    </w:p>
    <w:p>
      <w:r>
        <w:t>我们致力于引领行业，兑现“健康长久好生活”的品牌承诺，并以推动我们经营市场的经济与社会发展为使命。</w:t>
      </w:r>
    </w:p>
    <w:p>
      <w:pPr>
        <w:pStyle w:val="Heading2"/>
      </w:pPr>
      <w:r>
        <w:t>第 5 页</w:t>
      </w:r>
    </w:p>
    <w:p>
      <w:r>
        <w:t>2019年：友邦保险庆祝百年华诞</w:t>
      </w:r>
    </w:p>
    <w:p>
      <w:r>
        <w:t>在100年的发展历程中，友邦保险不断开拓增长，现已成为亚洲最大独立上市泛亚人寿保险集团，业务遍及18个市场。2019年，我们在所有市场开展全年百年主题活动，支持当地慈善机构和特别公益事业。</w:t>
      </w:r>
    </w:p>
    <w:p>
      <w:r>
        <w:t>友邦保险在中国内地新设销售及服务中心</w:t>
      </w:r>
    </w:p>
    <w:p>
      <w:r>
        <w:t>根据京津冀保险一体化试点计划，友邦保险在天津及河北石家庄设立销售及服务中心。</w:t>
      </w:r>
    </w:p>
    <w:p>
      <w:r>
        <w:t>友邦保险获批于缅甸经营</w:t>
      </w:r>
    </w:p>
    <w:p>
      <w:r>
        <w:t>友邦保险获准通过全资附属公司在缅甸开展业务，并于2019年11月正式开业，成为首家在该国签发保单的外资保险公司。</w:t>
      </w:r>
    </w:p>
    <w:p>
      <w:r>
        <w:t>友邦保险与澳洲联邦银行签署联合合作协议，并将战略合作延长至25年</w:t>
      </w:r>
    </w:p>
    <w:p>
      <w:r>
        <w:t>友邦保险与澳洲联邦银行（CBA）签署联合合作协议，使友邦保险能够对CBA在澳大利亚的寿险业务进行一定程度的直接管理与监督。此外，友邦保险澳大利亚与CBA在澳洲及与新西兰ASB Bank Limited的银行保险战略合作亦延长至25年。</w:t>
      </w:r>
    </w:p>
    <w:p>
      <w:r>
        <w:t>友邦保险与热刺将全球主要合作伙伴关系延长至2027年</w:t>
      </w:r>
    </w:p>
    <w:p>
      <w:r>
        <w:t>友邦保险与托特纳姆热刺足球俱乐部将合作延长至2026/27赛季结束，AIA品牌将继续出现在球队所有赛事球衣正面。</w:t>
      </w:r>
    </w:p>
    <w:p>
      <w:r>
        <w:t>友邦保险连续第五年位列全球第一</w:t>
      </w:r>
    </w:p>
    <w:p>
      <w:r>
        <w:t>友邦保险成为全球唯一一家连续五年拥有最多百万圆桌会会员人数的跨国公司。</w:t>
      </w:r>
    </w:p>
    <w:p>
      <w:pPr>
        <w:pStyle w:val="Heading2"/>
      </w:pPr>
      <w:r>
        <w:t>第 6 页</w:t>
      </w:r>
    </w:p>
    <w:p>
      <w:r>
        <w:t>友邦保险概览</w:t>
      </w:r>
    </w:p>
    <w:p>
      <w:r>
        <w:t>业务覆盖18个市场。</w:t>
      </w:r>
    </w:p>
    <w:p>
      <w:r>
        <w:t>是于香港注册并以香港为总部的香港联交所最大上市公司。</w:t>
      </w:r>
    </w:p>
    <w:p>
      <w:r>
        <w:t>按市值计为全球最大的人寿保险公司。</w:t>
      </w:r>
    </w:p>
    <w:p>
      <w:r>
        <w:t>全球MDRT会员人数排名第一，是唯一连续五年位居榜首的跨国公司。</w:t>
      </w:r>
    </w:p>
    <w:p>
      <w:r>
        <w:t>在亚太地区为客户提供总额达1.74万亿美元的保障。</w:t>
      </w:r>
    </w:p>
    <w:p>
      <w:r>
        <w:t>是唯一以香港为总部及上市地点、并100%专注亚太市场的国际寿险公司。</w:t>
      </w:r>
    </w:p>
    <w:p>
      <w:r>
        <w:t>2019年共支付超过1,400万宗保险给付，帮助客户及其家庭应对人生不同阶段的挑战。</w:t>
      </w:r>
    </w:p>
    <w:p>
      <w:r>
        <w:t>服务对象包括超过3,600万份个人保单持有人及逾1,600万名团体保险计划参与成员。</w:t>
      </w:r>
    </w:p>
    <w:p>
      <w:r>
        <w:t>注：</w:t>
      </w:r>
    </w:p>
    <w:p>
      <w:r>
        <w:t>(1) 按截至2020年3月12日的市值计算，友邦保险为全球最大寿险公司。</w:t>
      </w:r>
    </w:p>
    <w:p>
      <w:pPr>
        <w:pStyle w:val="Heading2"/>
      </w:pPr>
      <w:r>
        <w:t>第 7 页</w:t>
      </w:r>
    </w:p>
    <w:p>
      <w:r>
        <w:t>目录</w:t>
      </w:r>
    </w:p>
    <w:p>
      <w:r>
        <w:t>概览</w:t>
      </w:r>
    </w:p>
    <w:p>
      <w:r>
        <w:t>004 财务摘要</w:t>
      </w:r>
    </w:p>
    <w:p>
      <w:r>
        <w:t>006 主席报告</w:t>
      </w:r>
    </w:p>
    <w:p>
      <w:r>
        <w:t>009 集团首席执行官兼总裁报告</w:t>
      </w:r>
    </w:p>
    <w:p>
      <w:r>
        <w:t>财务及经营回顾</w:t>
      </w:r>
    </w:p>
    <w:p>
      <w:r>
        <w:t>017 财务回顾</w:t>
      </w:r>
    </w:p>
    <w:p>
      <w:r>
        <w:t>038 业务回顾</w:t>
      </w:r>
    </w:p>
    <w:p>
      <w:r>
        <w:t>056 风险管理</w:t>
      </w:r>
    </w:p>
    <w:p>
      <w:r>
        <w:t>064 监管与国际发展</w:t>
      </w:r>
    </w:p>
    <w:p>
      <w:r>
        <w:t>066 我们的员工</w:t>
      </w:r>
    </w:p>
    <w:p>
      <w:r>
        <w:t>企业管治</w:t>
      </w:r>
    </w:p>
    <w:p>
      <w:r>
        <w:t>071 董事责任声明</w:t>
      </w:r>
    </w:p>
    <w:p>
      <w:r>
        <w:t>072 董事会</w:t>
      </w:r>
    </w:p>
    <w:p>
      <w:r>
        <w:t>080 执行委员会</w:t>
      </w:r>
    </w:p>
    <w:p>
      <w:r>
        <w:t>085 董事会报告</w:t>
      </w:r>
    </w:p>
    <w:p>
      <w:r>
        <w:t>095 企业管治报告</w:t>
      </w:r>
    </w:p>
    <w:p>
      <w:r>
        <w:t>108 薪酬报告</w:t>
      </w:r>
    </w:p>
    <w:p>
      <w:r>
        <w:t>财务报表</w:t>
      </w:r>
    </w:p>
    <w:p>
      <w:r>
        <w:t>125 独立核数师报告</w:t>
      </w:r>
    </w:p>
    <w:p>
      <w:r>
        <w:t>132 综合收益表</w:t>
      </w:r>
    </w:p>
    <w:p>
      <w:r>
        <w:t>133 综合全面收益表</w:t>
      </w:r>
    </w:p>
    <w:p>
      <w:r>
        <w:t>134 综合财务状况表</w:t>
      </w:r>
    </w:p>
    <w:p>
      <w:r>
        <w:t>136 综合权益变动表</w:t>
      </w:r>
    </w:p>
    <w:p>
      <w:r>
        <w:t>138 综合现金流量表</w:t>
      </w:r>
    </w:p>
    <w:p>
      <w:r>
        <w:t>140 综合财务报表附注及主要会计政策</w:t>
      </w:r>
    </w:p>
    <w:p>
      <w:r>
        <w:t>257 按历年基准编制的补充财务资料</w:t>
      </w:r>
    </w:p>
    <w:p>
      <w:r>
        <w:t>269 补充内含价值资料独立核数师报告</w:t>
      </w:r>
    </w:p>
    <w:p>
      <w:r>
        <w:t>273 补充内含价值资料</w:t>
      </w:r>
    </w:p>
    <w:p>
      <w:r>
        <w:t>其他资料</w:t>
      </w:r>
    </w:p>
    <w:p>
      <w:r>
        <w:t>299 股东资料</w:t>
      </w:r>
    </w:p>
    <w:p>
      <w:r>
        <w:t>302 公司资料</w:t>
      </w:r>
    </w:p>
    <w:p>
      <w:r>
        <w:t>303 词汇表</w:t>
      </w:r>
    </w:p>
    <w:p>
      <w:pPr>
        <w:pStyle w:val="Heading2"/>
      </w:pPr>
      <w:r>
        <w:t>第 8 页</w:t>
      </w:r>
    </w:p>
    <w:p>
      <w:r>
        <w:t>2019年业绩概览（第1页）</w:t>
      </w:r>
    </w:p>
    <w:p>
      <w:r>
        <w:t>新业务价值、年化新保费、税后营运溢利、总加权保费收入、内含价值权益、总资产及总负债等核心指标均录得增长。</w:t>
      </w:r>
    </w:p>
    <w:p>
      <w:r>
        <w:t>重点数据包括：</w:t>
      </w:r>
    </w:p>
    <w:p>
      <w:r>
        <w:t>- 新业务价值（VONB）</w:t>
      </w:r>
    </w:p>
    <w:p>
      <w:r>
        <w:t>- 年化新保费（ANP）</w:t>
      </w:r>
    </w:p>
    <w:p>
      <w:r>
        <w:t>- 税后营运溢利（OPAT）</w:t>
      </w:r>
    </w:p>
    <w:p>
      <w:r>
        <w:t>- 总加权保费收入（TWPI）</w:t>
      </w:r>
    </w:p>
    <w:p>
      <w:r>
        <w:t>- 内含价值权益（EV Equity）</w:t>
      </w:r>
    </w:p>
    <w:p>
      <w:r>
        <w:t>- 总资产与总负债</w:t>
      </w:r>
    </w:p>
    <w:p>
      <w:r>
        <w:t>本页主要以图表形式展示2015年至2019年的趋势，反映集团主要经营指标持续增长。</w:t>
      </w:r>
    </w:p>
    <w:p>
      <w:pPr>
        <w:pStyle w:val="Heading2"/>
      </w:pPr>
      <w:r>
        <w:t>第 9 页</w:t>
      </w:r>
    </w:p>
    <w:p>
      <w:r>
        <w:t>2019年业绩概览（第2页）</w:t>
      </w:r>
    </w:p>
    <w:p>
      <w:r>
        <w:t>附注摘要：</w:t>
      </w:r>
    </w:p>
    <w:p>
      <w:r>
        <w:t>(1) 2017至2019年的财务资料按12月31日财政年度结算日呈列；2015至2016年则按11月30日财政年度结算日呈列。为便于比较，增长率均按12月31日财政年度基准列示。</w:t>
      </w:r>
    </w:p>
    <w:p>
      <w:r>
        <w:t>(2) 新业务价值（VONB）指在销售时点计量的新业务未来预计税后法定利润现值，减去为支持该业务而持有超出监管准备金所需资本的成本。</w:t>
      </w:r>
    </w:p>
    <w:p>
      <w:r>
        <w:t>(3) 年化新保费（ANP）为新业务活动指标，按100%年化首年保费加上10%趸缴保费计算，再保险分出前。</w:t>
      </w:r>
    </w:p>
    <w:p>
      <w:r>
        <w:t>(4) 税后营运溢利（OPAT）按扣除非控股权益后列示。</w:t>
      </w:r>
    </w:p>
    <w:p>
      <w:r>
        <w:t>(5) 总加权保费收入（TWPI）包括100%续保保费、100%首年保费及10%趸缴保费，再保险分出前。</w:t>
      </w:r>
    </w:p>
    <w:p>
      <w:r>
        <w:t>(6) 内含价值（EV）是在特定未来经验假设下，对寿险业务经济价值作出的精算估值，不包括未来新业务带来的经济价值；内含价值权益则为内含价值、商誉及其他无形资产之和。</w:t>
      </w:r>
    </w:p>
    <w:p>
      <w:r>
        <w:t>(7) 按当地法定基准并在集团总部未分配费用及非控股权益扣除前，各分部新业务价值包含退休金业务。</w:t>
      </w:r>
    </w:p>
    <w:p>
      <w:r>
        <w:t>(8) 2019年，其他市场的ANP与VONB包含印度合资公司Tata AIA Life 49%的业绩，以反映持股比例。</w:t>
      </w:r>
    </w:p>
    <w:p>
      <w:r>
        <w:t>2019年按市场分部拆分：香港、中国内地、泰国、新加坡、马来西亚及其他市场。</w:t>
      </w:r>
    </w:p>
    <w:p>
      <w:pPr>
        <w:pStyle w:val="Heading2"/>
      </w:pPr>
      <w:r>
        <w:t>第 10 页</w:t>
      </w:r>
    </w:p>
    <w:p>
      <w:r>
        <w:t>主席报告</w:t>
      </w:r>
    </w:p>
    <w:p>
      <w:r>
        <w:t>年内，受多项地缘政治事件影响，消费者信心受到冲击，包括中美贸易谈判不确定性以及香港社会事件。在此背景下，友邦保险仍继续实现所有主要财务指标增长。</w:t>
      </w:r>
    </w:p>
    <w:p>
      <w:r>
        <w:t>新业务价值（VONB）在外部逆风、尤其香港事件影响下，仍增长至41.54亿美元。若不计香港，集团新业务价值增长16%。税后营运溢利（OPAT）增长9%至57.41亿美元；基本自由盈余产生（UFSG）增长13%至55.01亿美元。增长率均按固定汇率（CER）列示，以更清晰反映基础业务同比表现。</w:t>
      </w:r>
    </w:p>
    <w:p>
      <w:r>
        <w:t>按内含价值基准，友邦保险控股有限公司股东应占权益（EV Equity）年内增至639.05亿美元，增长12%。截至2019年12月31日，集团主要受监管营运公司友邦保险有限公司（AIA Co.）的偿付能力比率为362%，按香港《保险业条例》基准计量，集团高于监管资本要求的自由盈余为149.17亿美元，进一步彰显集团雄厚财务实力。</w:t>
      </w:r>
    </w:p>
    <w:p>
      <w:r>
        <w:t>董事会建议派发末期股息每股93.30港仙，延续友邦保险一贯审慎、可持续及渐进的派息政策，同时兼顾未来增长机会以及集团在当前宏观经济及资本市场环境下的财务灵活性。</w:t>
      </w:r>
    </w:p>
    <w:p>
      <w:r>
        <w:t>友邦保险在亚洲区的长期机遇十分巨大：随着越来越多亚洲居民迈向中产生活，他们对储蓄与财务保障的需求将持续提升。与此同时，亚洲整体保障不足，且许多市场的政府社会福利保障有限。这一“保障缺口”为作为领先泛亚寿险公司的友邦保险提供了重要发展机遇，使我们能够满足客户需求。</w:t>
      </w:r>
    </w:p>
    <w:p>
      <w:r>
        <w:t>2019年是友邦保险百年庆典之年，这让所有与集团相关的人深感自豪。从故事起点上海，到2019年11月正式开业的最新市场缅甸，我们在18个市场举行活动，共同庆祝这一历史性里程碑。员工及其家属、客户、朋友及合作伙伴——包括托特纳姆热刺足球俱乐部代表——一同庆贺这段非凡旅程。董事会谨向所有客户、员工、代理及合作伙伴致以衷心感谢，正是他们跨越数代的忠诚与奉献，成就了今天的友邦保险。百年庆典不仅让我们有机会致敬过去与现在所有为集团作出贡献的人，也让我们满怀信心展望未来百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