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友</w:t>
      </w:r>
      <w:r>
        <w:br/>
      </w:r>
      <w:r>
        <w:rPr>
          <w:rFonts w:hint="eastAsia"/>
        </w:rPr>
        <w:t xml:space="preserve">邦</w:t>
      </w:r>
      <w:r>
        <w:br/>
      </w:r>
      <w:r>
        <w:rPr>
          <w:rFonts w:hint="eastAsia"/>
        </w:rPr>
        <w:t xml:space="preserve">保</w:t>
      </w:r>
      <w:r>
        <w:br/>
      </w:r>
      <w:r>
        <w:rPr>
          <w:rFonts w:hint="eastAsia"/>
        </w:rPr>
        <w:t xml:space="preserve">險</w:t>
      </w:r>
      <w:r>
        <w:br/>
      </w:r>
      <w:r>
        <w:rPr>
          <w:rFonts w:hint="eastAsia"/>
        </w:rPr>
        <w:t xml:space="preserve">控</w:t>
      </w:r>
      <w:r>
        <w:br/>
      </w:r>
      <w:r>
        <w:rPr>
          <w:rFonts w:hint="eastAsia"/>
        </w:rPr>
        <w:t xml:space="preserve">股</w:t>
      </w:r>
      <w:r>
        <w:br/>
      </w:r>
      <w:r>
        <w:rPr>
          <w:rFonts w:hint="eastAsia"/>
        </w:rPr>
        <w:t xml:space="preserve">有</w:t>
      </w:r>
      <w:r>
        <w:br/>
      </w:r>
      <w:r>
        <w:rPr>
          <w:rFonts w:hint="eastAsia"/>
        </w:rPr>
        <w:t xml:space="preserve">限</w:t>
      </w:r>
      <w:r>
        <w:br/>
      </w:r>
      <w:r>
        <w:rPr>
          <w:rFonts w:hint="eastAsia"/>
        </w:rPr>
        <w:t xml:space="preserve">公</w:t>
      </w:r>
      <w:r>
        <w:br/>
      </w:r>
      <w:r>
        <w:rPr>
          <w:rFonts w:hint="eastAsia"/>
        </w:rPr>
        <w:t xml:space="preserve">司</w:t>
      </w:r>
    </w:p>
    <w:p>
      <w:pPr>
        <w:pStyle w:val="BodyText"/>
      </w:pPr>
      <w:r>
        <w:t xml:space="preserve">A</w:t>
      </w:r>
    </w:p>
    <w:p>
      <w:pPr>
        <w:pStyle w:val="BodyText"/>
      </w:pPr>
      <w:r>
        <w:t xml:space="preserve">I</w:t>
      </w:r>
    </w:p>
    <w:p>
      <w:pPr>
        <w:pStyle w:val="BodyText"/>
      </w:pPr>
      <w:r>
        <w:t xml:space="preserve">A</w:t>
      </w:r>
    </w:p>
    <w:p>
      <w:pPr>
        <w:pStyle w:val="BodyText"/>
      </w:pPr>
      <w:r>
        <w:t xml:space="preserve">G</w:t>
      </w:r>
      <w:r>
        <w:br/>
      </w:r>
      <w:r>
        <w:t xml:space="preserve">R</w:t>
      </w:r>
      <w:r>
        <w:br/>
      </w:r>
      <w:r>
        <w:t xml:space="preserve">O</w:t>
      </w:r>
      <w:r>
        <w:br/>
      </w:r>
      <w:r>
        <w:t xml:space="preserve">U</w:t>
      </w:r>
      <w:r>
        <w:br/>
      </w:r>
      <w:r>
        <w:t xml:space="preserve">P</w:t>
      </w:r>
    </w:p>
    <w:p>
      <w:pPr>
        <w:pStyle w:val="BodyText"/>
      </w:pPr>
      <w:r>
        <w:t xml:space="preserve">L</w:t>
      </w:r>
      <w:r>
        <w:br/>
      </w:r>
      <w:r>
        <w:t xml:space="preserve">I</w:t>
      </w:r>
    </w:p>
    <w:p>
      <w:pPr>
        <w:pStyle w:val="BodyText"/>
      </w:pPr>
      <w:r>
        <w:t xml:space="preserve">M</w:t>
      </w:r>
    </w:p>
    <w:p>
      <w:pPr>
        <w:pStyle w:val="BodyText"/>
      </w:pPr>
      <w:r>
        <w:t xml:space="preserve">I</w:t>
      </w:r>
      <w:r>
        <w:br/>
      </w:r>
      <w:r>
        <w:t xml:space="preserve">T</w:t>
      </w:r>
      <w:r>
        <w:br/>
      </w:r>
      <w:r>
        <w:t xml:space="preserve">E</w:t>
      </w:r>
      <w:r>
        <w:br/>
      </w:r>
      <w:r>
        <w:t xml:space="preserve">D</w:t>
      </w:r>
    </w:p>
    <w:p>
      <w:pPr>
        <w:pStyle w:val="BodyText"/>
      </w:pPr>
      <w:r>
        <w:t xml:space="preserve">2</w:t>
      </w:r>
      <w:r>
        <w:br/>
      </w:r>
      <w:r>
        <w:t xml:space="preserve">0</w:t>
      </w:r>
      <w:r>
        <w:br/>
      </w:r>
      <w:r>
        <w:t xml:space="preserve">2</w:t>
      </w:r>
      <w:r>
        <w:br/>
      </w:r>
      <w:r>
        <w:t xml:space="preserve">0</w:t>
      </w:r>
      <w:r>
        <w:br/>
      </w:r>
      <w:r>
        <w:rPr>
          <w:rFonts w:hint="eastAsia"/>
        </w:rPr>
        <w:t xml:space="preserve">年</w:t>
      </w:r>
      <w:r>
        <w:br/>
      </w:r>
      <w:r>
        <w:rPr>
          <w:rFonts w:hint="eastAsia"/>
        </w:rPr>
        <w:t xml:space="preserve">報</w:t>
      </w:r>
    </w:p>
    <w:p>
      <w:pPr>
        <w:pStyle w:val="BodyText"/>
      </w:pPr>
      <w:r>
        <w:t xml:space="preserve">HEALTHIER</w:t>
      </w:r>
      <w:r>
        <w:br/>
      </w:r>
      <w:r>
        <w:t xml:space="preserve">LONGER</w:t>
      </w:r>
      <w:r>
        <w:br/>
      </w:r>
      <w:r>
        <w:t xml:space="preserve">BETTER</w:t>
      </w:r>
      <w:r>
        <w:br/>
      </w:r>
      <w:r>
        <w:t xml:space="preserve">LIVES</w:t>
      </w:r>
      <w:r>
        <w:br/>
      </w:r>
      <w:r>
        <w:rPr>
          <w:rFonts w:hint="eastAsia"/>
        </w:rPr>
        <w:t xml:space="preserve">健康、長久、好生活</w:t>
      </w:r>
    </w:p>
    <w:p>
      <w:pPr>
        <w:pStyle w:val="BodyText"/>
      </w:pPr>
      <w:r>
        <w:t xml:space="preserve">AIA.COM</w:t>
      </w:r>
    </w:p>
    <w:p>
      <w:pPr>
        <w:pStyle w:val="BodyText"/>
      </w:pPr>
      <w:r>
        <w:t xml:space="preserve">2020 </w:t>
      </w:r>
      <w:r>
        <w:rPr>
          <w:rFonts w:hint="eastAsia"/>
        </w:rPr>
        <w:t xml:space="preserve">年報</w:t>
      </w:r>
    </w:p>
    <w:p>
      <w:pPr>
        <w:pStyle w:val="BodyText"/>
      </w:pPr>
      <w:r>
        <w:rPr>
          <w:rFonts w:hint="eastAsia"/>
        </w:rPr>
        <w:t xml:space="preserve">友邦保險控股有限公司</w:t>
      </w:r>
      <w:r>
        <w:t xml:space="preserve"> AIA GROUP LIMITED</w:t>
      </w:r>
    </w:p>
    <w:p>
      <w:pPr>
        <w:pStyle w:val="BodyText"/>
      </w:pPr>
      <w:r>
        <w:rPr>
          <w:rFonts w:hint="eastAsia"/>
        </w:rPr>
        <w:t xml:space="preserve">股份代號</w:t>
      </w:r>
      <w:r>
        <w:t xml:space="preserve"> 1299</w:t>
      </w:r>
    </w:p>
    <w:p>
      <w:pPr>
        <w:pStyle w:val="BodyText"/>
      </w:pPr>
      <w:r>
        <w:rPr>
          <w:rFonts w:hint="eastAsia"/>
        </w:rPr>
        <w:t xml:space="preserve">我們的目標</w:t>
      </w:r>
    </w:p>
    <w:p>
      <w:pPr>
        <w:pStyle w:val="BodyText"/>
      </w:pPr>
      <w:r>
        <w:rPr>
          <w:rFonts w:hint="eastAsia"/>
        </w:rPr>
        <w:t xml:space="preserve">目錄</w:t>
      </w:r>
    </w:p>
    <w:p>
      <w:pPr>
        <w:pStyle w:val="BodyText"/>
      </w:pPr>
      <w:r>
        <w:rPr>
          <w:rFonts w:hint="eastAsia"/>
        </w:rPr>
        <w:t xml:space="preserve">我們的目標是</w:t>
      </w:r>
    </w:p>
    <w:p>
      <w:pPr>
        <w:pStyle w:val="BodyText"/>
      </w:pPr>
      <w:r>
        <w:rPr>
          <w:rFonts w:hint="eastAsia"/>
        </w:rPr>
        <w:t xml:space="preserve">協助大眾實現健康、</w:t>
      </w:r>
    </w:p>
    <w:p>
      <w:pPr>
        <w:pStyle w:val="BodyText"/>
      </w:pPr>
      <w:r>
        <w:rPr>
          <w:rFonts w:hint="eastAsia"/>
        </w:rPr>
        <w:t xml:space="preserve">長久、好生活。</w:t>
      </w:r>
    </w:p>
    <w:p>
      <w:pPr>
        <w:pStyle w:val="BodyText"/>
      </w:pPr>
      <w:r>
        <w:rPr>
          <w:rFonts w:hint="eastAsia"/>
        </w:rPr>
        <w:t xml:space="preserve">友邦保險簡介</w:t>
      </w:r>
    </w:p>
    <w:p>
      <w:pPr>
        <w:pStyle w:val="BodyText"/>
      </w:pPr>
      <w:r>
        <w:rPr>
          <w:rFonts w:hint="eastAsia"/>
        </w:rPr>
        <w:t xml:space="preserve">友</w:t>
      </w:r>
      <w:r>
        <w:t xml:space="preserve"> </w:t>
      </w:r>
      <w:r>
        <w:rPr>
          <w:rFonts w:hint="eastAsia"/>
        </w:rPr>
        <w:t xml:space="preserve">邦</w:t>
      </w:r>
      <w:r>
        <w:t xml:space="preserve"> </w:t>
      </w:r>
      <w:r>
        <w:rPr>
          <w:rFonts w:hint="eastAsia"/>
        </w:rPr>
        <w:t xml:space="preserve">保</w:t>
      </w:r>
      <w:r>
        <w:t xml:space="preserve"> </w:t>
      </w:r>
      <w:r>
        <w:rPr>
          <w:rFonts w:hint="eastAsia"/>
        </w:rPr>
        <w:t xml:space="preserve">險</w:t>
      </w:r>
      <w:r>
        <w:t xml:space="preserve"> </w:t>
      </w:r>
      <w:r>
        <w:rPr>
          <w:rFonts w:hint="eastAsia"/>
        </w:rPr>
        <w:t xml:space="preserve">控</w:t>
      </w:r>
      <w:r>
        <w:t xml:space="preserve"> </w:t>
      </w:r>
      <w:r>
        <w:rPr>
          <w:rFonts w:hint="eastAsia"/>
        </w:rPr>
        <w:t xml:space="preserve">股</w:t>
      </w:r>
      <w:r>
        <w:t xml:space="preserve"> </w:t>
      </w:r>
      <w:r>
        <w:rPr>
          <w:rFonts w:hint="eastAsia"/>
        </w:rPr>
        <w:t xml:space="preserve">有</w:t>
      </w:r>
      <w:r>
        <w:t xml:space="preserve"> </w:t>
      </w:r>
      <w:r>
        <w:rPr>
          <w:rFonts w:hint="eastAsia"/>
        </w:rPr>
        <w:t xml:space="preserve">限</w:t>
      </w:r>
      <w:r>
        <w:t xml:space="preserve"> </w:t>
      </w:r>
      <w:r>
        <w:rPr>
          <w:rFonts w:hint="eastAsia"/>
        </w:rPr>
        <w:t xml:space="preserve">公</w:t>
      </w:r>
      <w:r>
        <w:t xml:space="preserve"> </w:t>
      </w:r>
      <w:r>
        <w:rPr>
          <w:rFonts w:hint="eastAsia"/>
        </w:rPr>
        <w:t xml:space="preserve">司</w:t>
      </w:r>
      <w:r>
        <w:t xml:space="preserve"> </w:t>
      </w:r>
      <w:r>
        <w:rPr>
          <w:rFonts w:hint="eastAsia"/>
        </w:rPr>
        <w:t xml:space="preserve">及</w:t>
      </w:r>
      <w:r>
        <w:t xml:space="preserve"> </w:t>
      </w:r>
      <w:r>
        <w:rPr>
          <w:rFonts w:hint="eastAsia"/>
        </w:rPr>
        <w:t xml:space="preserve">其</w:t>
      </w:r>
      <w:r>
        <w:t xml:space="preserve"> </w:t>
      </w:r>
      <w:r>
        <w:rPr>
          <w:rFonts w:hint="eastAsia"/>
        </w:rPr>
        <w:t xml:space="preserve">附</w:t>
      </w:r>
      <w:r>
        <w:t xml:space="preserve"> </w:t>
      </w:r>
      <w:r>
        <w:rPr>
          <w:rFonts w:hint="eastAsia"/>
        </w:rPr>
        <w:t xml:space="preserve">屬</w:t>
      </w:r>
      <w:r>
        <w:t xml:space="preserve"> </w:t>
      </w:r>
      <w:r>
        <w:rPr>
          <w:rFonts w:hint="eastAsia"/>
        </w:rPr>
        <w:t xml:space="preserve">公</w:t>
      </w:r>
      <w:r>
        <w:t xml:space="preserve"> </w:t>
      </w:r>
      <w:r>
        <w:rPr>
          <w:rFonts w:hint="eastAsia"/>
        </w:rPr>
        <w:t xml:space="preserve">司</w:t>
      </w:r>
    </w:p>
    <w:p>
      <w:pPr>
        <w:pStyle w:val="BodyText"/>
      </w:pPr>
      <w:r>
        <w:rPr>
          <w:rFonts w:hint="eastAsia"/>
        </w:rPr>
        <w:t xml:space="preserve">友</w:t>
      </w:r>
      <w:r>
        <w:t xml:space="preserve"> </w:t>
      </w:r>
      <w:r>
        <w:rPr>
          <w:rFonts w:hint="eastAsia"/>
        </w:rPr>
        <w:t xml:space="preserve">邦</w:t>
      </w:r>
      <w:r>
        <w:t xml:space="preserve"> </w:t>
      </w:r>
      <w:r>
        <w:rPr>
          <w:rFonts w:hint="eastAsia"/>
        </w:rPr>
        <w:t xml:space="preserve">保</w:t>
      </w:r>
      <w:r>
        <w:t xml:space="preserve"> </w:t>
      </w:r>
      <w:r>
        <w:rPr>
          <w:rFonts w:hint="eastAsia"/>
        </w:rPr>
        <w:t xml:space="preserve">險</w:t>
      </w:r>
      <w:r>
        <w:t xml:space="preserve"> </w:t>
      </w:r>
      <w:r>
        <w:rPr>
          <w:rFonts w:hint="eastAsia"/>
        </w:rPr>
        <w:t xml:space="preserve">提</w:t>
      </w:r>
      <w:r>
        <w:t xml:space="preserve"> </w:t>
      </w:r>
      <w:r>
        <w:rPr>
          <w:rFonts w:hint="eastAsia"/>
        </w:rPr>
        <w:t xml:space="preserve">供</w:t>
      </w:r>
      <w:r>
        <w:t xml:space="preserve"> </w:t>
      </w:r>
      <w:r>
        <w:rPr>
          <w:rFonts w:hint="eastAsia"/>
        </w:rPr>
        <w:t xml:space="preserve">一</w:t>
      </w:r>
      <w:r>
        <w:t xml:space="preserve"> </w:t>
      </w:r>
      <w:r>
        <w:rPr>
          <w:rFonts w:hint="eastAsia"/>
        </w:rPr>
        <w:t xml:space="preserve">系</w:t>
      </w:r>
      <w:r>
        <w:t xml:space="preserve"> </w:t>
      </w:r>
      <w:r>
        <w:rPr>
          <w:rFonts w:hint="eastAsia"/>
        </w:rPr>
        <w:t xml:space="preserve">列</w:t>
      </w:r>
      <w:r>
        <w:t xml:space="preserve"> </w:t>
      </w:r>
      <w:r>
        <w:rPr>
          <w:rFonts w:hint="eastAsia"/>
        </w:rPr>
        <w:t xml:space="preserve">的</w:t>
      </w:r>
      <w:r>
        <w:t xml:space="preserve"> </w:t>
      </w:r>
      <w:r>
        <w:rPr>
          <w:rFonts w:hint="eastAsia"/>
        </w:rPr>
        <w:t xml:space="preserve">產</w:t>
      </w:r>
      <w:r>
        <w:t xml:space="preserve"> </w:t>
      </w:r>
      <w:r>
        <w:rPr>
          <w:rFonts w:hint="eastAsia"/>
        </w:rPr>
        <w:t xml:space="preserve">品</w:t>
      </w:r>
      <w:r>
        <w:t xml:space="preserve"> </w:t>
      </w:r>
      <w:r>
        <w:rPr>
          <w:rFonts w:hint="eastAsia"/>
        </w:rPr>
        <w:t xml:space="preserve">及</w:t>
      </w:r>
      <w:r>
        <w:t xml:space="preserve"> </w:t>
      </w:r>
      <w:r>
        <w:rPr>
          <w:rFonts w:hint="eastAsia"/>
        </w:rPr>
        <w:t xml:space="preserve">服</w:t>
      </w:r>
      <w:r>
        <w:t xml:space="preserve"> </w:t>
      </w:r>
      <w:r>
        <w:rPr>
          <w:rFonts w:hint="eastAsia"/>
        </w:rPr>
        <w:t xml:space="preserve">務，</w:t>
      </w:r>
    </w:p>
    <w:p>
      <w:pPr>
        <w:pStyle w:val="BodyText"/>
      </w:pPr>
      <w:r>
        <w:rPr>
          <w:rFonts w:hint="eastAsia"/>
        </w:rPr>
        <w:t xml:space="preserve">概覽</w:t>
      </w:r>
      <w:r>
        <w:br/>
      </w:r>
      <w:r>
        <w:t xml:space="preserve">006 </w:t>
      </w:r>
      <w:r>
        <w:rPr>
          <w:rFonts w:hint="eastAsia"/>
        </w:rPr>
        <w:t xml:space="preserve">財務摘要</w:t>
      </w:r>
    </w:p>
    <w:p>
      <w:pPr>
        <w:pStyle w:val="BodyText"/>
      </w:pPr>
      <w:r>
        <w:t xml:space="preserve">008 </w:t>
      </w:r>
      <w:r>
        <w:rPr>
          <w:rFonts w:hint="eastAsia"/>
        </w:rPr>
        <w:t xml:space="preserve">主席報告</w:t>
      </w:r>
    </w:p>
    <w:p>
      <w:pPr>
        <w:pStyle w:val="BodyText"/>
      </w:pPr>
      <w:r>
        <w:t xml:space="preserve">010 </w:t>
      </w:r>
      <w:r>
        <w:rPr>
          <w:rFonts w:hint="eastAsia"/>
        </w:rPr>
        <w:t xml:space="preserve">集團首席執行官</w:t>
      </w:r>
      <w:r>
        <w:br/>
      </w:r>
      <w:r>
        <w:rPr>
          <w:rFonts w:hint="eastAsia"/>
        </w:rPr>
        <w:t xml:space="preserve">兼總裁報告</w:t>
      </w:r>
    </w:p>
    <w:p>
      <w:pPr>
        <w:pStyle w:val="BodyText"/>
      </w:pPr>
      <w:r>
        <w:rPr>
          <w:rFonts w:hint="eastAsia"/>
        </w:rPr>
        <w:t xml:space="preserve">財務及營運回顧</w:t>
      </w:r>
      <w:r>
        <w:br/>
      </w:r>
      <w:r>
        <w:t xml:space="preserve">016 </w:t>
      </w:r>
      <w:r>
        <w:rPr>
          <w:rFonts w:hint="eastAsia"/>
        </w:rPr>
        <w:t xml:space="preserve">集團首席財務總監回顧</w:t>
      </w:r>
    </w:p>
    <w:p>
      <w:pPr>
        <w:pStyle w:val="BodyText"/>
      </w:pPr>
      <w:r>
        <w:t xml:space="preserve">040 </w:t>
      </w:r>
      <w:r>
        <w:rPr>
          <w:rFonts w:hint="eastAsia"/>
        </w:rPr>
        <w:t xml:space="preserve">業務回顧</w:t>
      </w:r>
    </w:p>
    <w:p>
      <w:pPr>
        <w:pStyle w:val="BodyText"/>
      </w:pPr>
      <w:r>
        <w:t xml:space="preserve">056 </w:t>
      </w:r>
      <w:r>
        <w:rPr>
          <w:rFonts w:hint="eastAsia"/>
        </w:rPr>
        <w:t xml:space="preserve">風險管理</w:t>
      </w:r>
    </w:p>
    <w:p>
      <w:pPr>
        <w:pStyle w:val="BodyText"/>
      </w:pPr>
      <w:r>
        <w:t xml:space="preserve">062 </w:t>
      </w:r>
      <w:r>
        <w:rPr>
          <w:rFonts w:hint="eastAsia"/>
        </w:rPr>
        <w:t xml:space="preserve">監管及國際發展</w:t>
      </w:r>
    </w:p>
    <w:p>
      <w:pPr>
        <w:pStyle w:val="BodyText"/>
      </w:pPr>
      <w:r>
        <w:t xml:space="preserve">064 </w:t>
      </w:r>
      <w:r>
        <w:rPr>
          <w:rFonts w:hint="eastAsia"/>
        </w:rPr>
        <w:t xml:space="preserve">我們的團隊</w:t>
      </w:r>
    </w:p>
    <w:p>
      <w:pPr>
        <w:pStyle w:val="BodyText"/>
      </w:pPr>
      <w:r>
        <w:rPr>
          <w:rFonts w:hint="eastAsia"/>
        </w:rPr>
        <w:t xml:space="preserve">企業管治</w:t>
      </w:r>
      <w:r>
        <w:br/>
      </w:r>
      <w:r>
        <w:t xml:space="preserve">069 </w:t>
      </w:r>
      <w:r>
        <w:rPr>
          <w:rFonts w:hint="eastAsia"/>
        </w:rPr>
        <w:t xml:space="preserve">董事責任聲明</w:t>
      </w:r>
    </w:p>
    <w:p>
      <w:pPr>
        <w:pStyle w:val="BodyText"/>
      </w:pPr>
      <w:r>
        <w:rPr>
          <w:rFonts w:hint="eastAsia"/>
        </w:rPr>
        <w:t xml:space="preserve">（統稱「友邦保險」或「本集團」）是最大</w:t>
      </w:r>
    </w:p>
    <w:p>
      <w:pPr>
        <w:pStyle w:val="BodyText"/>
      </w:pPr>
      <w:r>
        <w:rPr>
          <w:rFonts w:hint="eastAsia"/>
        </w:rPr>
        <w:t xml:space="preserve">涵蓋壽險、意外及醫療保險和儲蓄計劃，</w:t>
      </w:r>
    </w:p>
    <w:p>
      <w:pPr>
        <w:pStyle w:val="BodyText"/>
      </w:pPr>
      <w:r>
        <w:t xml:space="preserve">070 </w:t>
      </w:r>
      <w:r>
        <w:rPr>
          <w:rFonts w:hint="eastAsia"/>
        </w:rPr>
        <w:t xml:space="preserve">董事會</w:t>
      </w:r>
    </w:p>
    <w:p>
      <w:pPr>
        <w:pStyle w:val="BodyText"/>
      </w:pPr>
      <w:r>
        <w:rPr>
          <w:rFonts w:hint="eastAsia"/>
        </w:rPr>
        <w:t xml:space="preserve">的</w:t>
      </w:r>
      <w:r>
        <w:t xml:space="preserve"> </w:t>
      </w:r>
      <w:r>
        <w:rPr>
          <w:rFonts w:hint="eastAsia"/>
        </w:rPr>
        <w:t xml:space="preserve">泛</w:t>
      </w:r>
      <w:r>
        <w:t xml:space="preserve"> </w:t>
      </w:r>
      <w:r>
        <w:rPr>
          <w:rFonts w:hint="eastAsia"/>
        </w:rPr>
        <w:t xml:space="preserve">亞</w:t>
      </w:r>
      <w:r>
        <w:t xml:space="preserve"> </w:t>
      </w:r>
      <w:r>
        <w:rPr>
          <w:rFonts w:hint="eastAsia"/>
        </w:rPr>
        <w:t xml:space="preserve">地</w:t>
      </w:r>
      <w:r>
        <w:t xml:space="preserve"> </w:t>
      </w:r>
      <w:r>
        <w:rPr>
          <w:rFonts w:hint="eastAsia"/>
        </w:rPr>
        <w:t xml:space="preserve">區</w:t>
      </w:r>
      <w:r>
        <w:t xml:space="preserve"> </w:t>
      </w:r>
      <w:r>
        <w:rPr>
          <w:rFonts w:hint="eastAsia"/>
        </w:rPr>
        <w:t xml:space="preserve">獨</w:t>
      </w:r>
      <w:r>
        <w:t xml:space="preserve"> </w:t>
      </w:r>
      <w:r>
        <w:rPr>
          <w:rFonts w:hint="eastAsia"/>
        </w:rPr>
        <w:t xml:space="preserve">立</w:t>
      </w:r>
      <w:r>
        <w:t xml:space="preserve"> </w:t>
      </w:r>
      <w:r>
        <w:rPr>
          <w:rFonts w:hint="eastAsia"/>
        </w:rPr>
        <w:t xml:space="preserve">上</w:t>
      </w:r>
      <w:r>
        <w:t xml:space="preserve"> </w:t>
      </w:r>
      <w:r>
        <w:rPr>
          <w:rFonts w:hint="eastAsia"/>
        </w:rPr>
        <w:t xml:space="preserve">市</w:t>
      </w:r>
      <w:r>
        <w:t xml:space="preserve"> </w:t>
      </w:r>
      <w:r>
        <w:rPr>
          <w:rFonts w:hint="eastAsia"/>
        </w:rPr>
        <w:t xml:space="preserve">人</w:t>
      </w:r>
      <w:r>
        <w:t xml:space="preserve"> </w:t>
      </w:r>
      <w:r>
        <w:rPr>
          <w:rFonts w:hint="eastAsia"/>
        </w:rPr>
        <w:t xml:space="preserve">壽</w:t>
      </w:r>
      <w:r>
        <w:t xml:space="preserve"> </w:t>
      </w:r>
      <w:r>
        <w:rPr>
          <w:rFonts w:hint="eastAsia"/>
        </w:rPr>
        <w:t xml:space="preserve">保</w:t>
      </w:r>
      <w:r>
        <w:t xml:space="preserve"> </w:t>
      </w:r>
      <w:r>
        <w:rPr>
          <w:rFonts w:hint="eastAsia"/>
        </w:rPr>
        <w:t xml:space="preserve">險</w:t>
      </w:r>
      <w:r>
        <w:t xml:space="preserve"> </w:t>
      </w:r>
      <w:r>
        <w:rPr>
          <w:rFonts w:hint="eastAsia"/>
        </w:rPr>
        <w:t xml:space="preserve">集</w:t>
      </w:r>
      <w:r>
        <w:t xml:space="preserve"> </w:t>
      </w:r>
      <w:r>
        <w:rPr>
          <w:rFonts w:hint="eastAsia"/>
        </w:rPr>
        <w:t xml:space="preserve">團，</w:t>
      </w:r>
    </w:p>
    <w:p>
      <w:pPr>
        <w:pStyle w:val="BodyText"/>
      </w:pPr>
      <w:r>
        <w:rPr>
          <w:rFonts w:hint="eastAsia"/>
        </w:rPr>
        <w:t xml:space="preserve">以滿足個人客戶在長期儲蓄及保障方面</w:t>
      </w:r>
    </w:p>
    <w:p>
      <w:pPr>
        <w:pStyle w:val="BodyText"/>
      </w:pPr>
      <w:r>
        <w:rPr>
          <w:rFonts w:hint="eastAsia"/>
        </w:rPr>
        <w:t xml:space="preserve">覆蓋18個市場，包括在中國內地、香港</w:t>
      </w:r>
    </w:p>
    <w:p>
      <w:pPr>
        <w:pStyle w:val="BodyText"/>
      </w:pPr>
      <w:r>
        <w:rPr>
          <w:rFonts w:hint="eastAsia"/>
        </w:rPr>
        <w:t xml:space="preserve">的</w:t>
      </w:r>
      <w:r>
        <w:t xml:space="preserve"> </w:t>
      </w:r>
      <w:r>
        <w:rPr>
          <w:rFonts w:hint="eastAsia"/>
        </w:rPr>
        <w:t xml:space="preserve">需</w:t>
      </w:r>
      <w:r>
        <w:t xml:space="preserve"> </w:t>
      </w:r>
      <w:r>
        <w:rPr>
          <w:rFonts w:hint="eastAsia"/>
        </w:rPr>
        <w:t xml:space="preserve">要。</w:t>
      </w:r>
      <w:r>
        <w:t xml:space="preserve"> </w:t>
      </w:r>
      <w:r>
        <w:rPr>
          <w:rFonts w:hint="eastAsia"/>
        </w:rPr>
        <w:t xml:space="preserve">此</w:t>
      </w:r>
      <w:r>
        <w:t xml:space="preserve"> </w:t>
      </w:r>
      <w:r>
        <w:rPr>
          <w:rFonts w:hint="eastAsia"/>
        </w:rPr>
        <w:t xml:space="preserve">外，</w:t>
      </w:r>
      <w:r>
        <w:t xml:space="preserve"> </w:t>
      </w:r>
      <w:r>
        <w:rPr>
          <w:rFonts w:hint="eastAsia"/>
        </w:rPr>
        <w:t xml:space="preserve">本</w:t>
      </w:r>
      <w:r>
        <w:t xml:space="preserve"> </w:t>
      </w:r>
      <w:r>
        <w:rPr>
          <w:rFonts w:hint="eastAsia"/>
        </w:rPr>
        <w:t xml:space="preserve">集</w:t>
      </w:r>
      <w:r>
        <w:t xml:space="preserve"> </w:t>
      </w:r>
      <w:r>
        <w:rPr>
          <w:rFonts w:hint="eastAsia"/>
        </w:rPr>
        <w:t xml:space="preserve">團</w:t>
      </w:r>
      <w:r>
        <w:t xml:space="preserve"> </w:t>
      </w:r>
      <w:r>
        <w:rPr>
          <w:rFonts w:hint="eastAsia"/>
        </w:rPr>
        <w:t xml:space="preserve">亦</w:t>
      </w:r>
      <w:r>
        <w:t xml:space="preserve"> </w:t>
      </w:r>
      <w:r>
        <w:rPr>
          <w:rFonts w:hint="eastAsia"/>
        </w:rPr>
        <w:t xml:space="preserve">為</w:t>
      </w:r>
      <w:r>
        <w:t xml:space="preserve"> </w:t>
      </w:r>
      <w:r>
        <w:rPr>
          <w:rFonts w:hint="eastAsia"/>
        </w:rPr>
        <w:t xml:space="preserve">企</w:t>
      </w:r>
      <w:r>
        <w:t xml:space="preserve"> </w:t>
      </w:r>
      <w:r>
        <w:rPr>
          <w:rFonts w:hint="eastAsia"/>
        </w:rPr>
        <w:t xml:space="preserve">業</w:t>
      </w:r>
      <w:r>
        <w:t xml:space="preserve"> </w:t>
      </w:r>
      <w:r>
        <w:rPr>
          <w:rFonts w:hint="eastAsia"/>
        </w:rPr>
        <w:t xml:space="preserve">客</w:t>
      </w:r>
      <w:r>
        <w:t xml:space="preserve"> </w:t>
      </w:r>
      <w:r>
        <w:rPr>
          <w:rFonts w:hint="eastAsia"/>
        </w:rPr>
        <w:t xml:space="preserve">戶</w:t>
      </w:r>
    </w:p>
    <w:p>
      <w:pPr>
        <w:pStyle w:val="BodyText"/>
      </w:pPr>
      <w:r>
        <w:rPr>
          <w:rFonts w:hint="eastAsia"/>
        </w:rPr>
        <w:t xml:space="preserve">特別行政區、泰國、新加坡、馬來西亞、</w:t>
      </w:r>
    </w:p>
    <w:p>
      <w:pPr>
        <w:pStyle w:val="BodyText"/>
      </w:pPr>
      <w:r>
        <w:rPr>
          <w:rFonts w:hint="eastAsia"/>
        </w:rPr>
        <w:t xml:space="preserve">提</w:t>
      </w:r>
      <w:r>
        <w:t xml:space="preserve"> </w:t>
      </w:r>
      <w:r>
        <w:rPr>
          <w:rFonts w:hint="eastAsia"/>
        </w:rPr>
        <w:t xml:space="preserve">供</w:t>
      </w:r>
      <w:r>
        <w:t xml:space="preserve"> </w:t>
      </w:r>
      <w:r>
        <w:rPr>
          <w:rFonts w:hint="eastAsia"/>
        </w:rPr>
        <w:t xml:space="preserve">僱</w:t>
      </w:r>
      <w:r>
        <w:t xml:space="preserve"> </w:t>
      </w:r>
      <w:r>
        <w:rPr>
          <w:rFonts w:hint="eastAsia"/>
        </w:rPr>
        <w:t xml:space="preserve">員</w:t>
      </w:r>
      <w:r>
        <w:t xml:space="preserve"> </w:t>
      </w:r>
      <w:r>
        <w:rPr>
          <w:rFonts w:hint="eastAsia"/>
        </w:rPr>
        <w:t xml:space="preserve">福</w:t>
      </w:r>
      <w:r>
        <w:t xml:space="preserve"> </w:t>
      </w:r>
      <w:r>
        <w:rPr>
          <w:rFonts w:hint="eastAsia"/>
        </w:rPr>
        <w:t xml:space="preserve">利、</w:t>
      </w:r>
      <w:r>
        <w:t xml:space="preserve"> </w:t>
      </w:r>
      <w:r>
        <w:rPr>
          <w:rFonts w:hint="eastAsia"/>
        </w:rPr>
        <w:t xml:space="preserve">信</w:t>
      </w:r>
      <w:r>
        <w:t xml:space="preserve"> </w:t>
      </w:r>
      <w:r>
        <w:rPr>
          <w:rFonts w:hint="eastAsia"/>
        </w:rPr>
        <w:t xml:space="preserve">貸</w:t>
      </w:r>
      <w:r>
        <w:t xml:space="preserve"> </w:t>
      </w:r>
      <w:r>
        <w:rPr>
          <w:rFonts w:hint="eastAsia"/>
        </w:rPr>
        <w:t xml:space="preserve">保</w:t>
      </w:r>
      <w:r>
        <w:t xml:space="preserve"> </w:t>
      </w:r>
      <w:r>
        <w:rPr>
          <w:rFonts w:hint="eastAsia"/>
        </w:rPr>
        <w:t xml:space="preserve">險</w:t>
      </w:r>
      <w:r>
        <w:t xml:space="preserve"> </w:t>
      </w:r>
      <w:r>
        <w:rPr>
          <w:rFonts w:hint="eastAsia"/>
        </w:rPr>
        <w:t xml:space="preserve">和</w:t>
      </w:r>
      <w:r>
        <w:t xml:space="preserve"> </w:t>
      </w:r>
      <w:r>
        <w:rPr>
          <w:rFonts w:hint="eastAsia"/>
        </w:rPr>
        <w:t xml:space="preserve">退</w:t>
      </w:r>
      <w:r>
        <w:t xml:space="preserve"> </w:t>
      </w:r>
      <w:r>
        <w:rPr>
          <w:rFonts w:hint="eastAsia"/>
        </w:rPr>
        <w:t xml:space="preserve">休</w:t>
      </w:r>
      <w:r>
        <w:t xml:space="preserve"> </w:t>
      </w:r>
      <w:r>
        <w:rPr>
          <w:rFonts w:hint="eastAsia"/>
        </w:rPr>
        <w:t xml:space="preserve">保</w:t>
      </w:r>
      <w:r>
        <w:t xml:space="preserve"> </w:t>
      </w:r>
      <w:r>
        <w:rPr>
          <w:rFonts w:hint="eastAsia"/>
        </w:rPr>
        <w:t xml:space="preserve">障</w:t>
      </w:r>
    </w:p>
    <w:p>
      <w:pPr>
        <w:pStyle w:val="BodyText"/>
      </w:pPr>
      <w:r>
        <w:rPr>
          <w:rFonts w:hint="eastAsia"/>
        </w:rPr>
        <w:t xml:space="preserve">澳洲、柬埔寨、印尼、緬甸、菲律賓、</w:t>
      </w:r>
    </w:p>
    <w:p>
      <w:pPr>
        <w:pStyle w:val="BodyText"/>
      </w:pPr>
      <w:r>
        <w:rPr>
          <w:rFonts w:hint="eastAsia"/>
        </w:rPr>
        <w:t xml:space="preserve">服</w:t>
      </w:r>
      <w:r>
        <w:t xml:space="preserve"> </w:t>
      </w:r>
      <w:r>
        <w:rPr>
          <w:rFonts w:hint="eastAsia"/>
        </w:rPr>
        <w:t xml:space="preserve">務。</w:t>
      </w:r>
      <w:r>
        <w:t xml:space="preserve"> </w:t>
      </w:r>
      <w:r>
        <w:rPr>
          <w:rFonts w:hint="eastAsia"/>
        </w:rPr>
        <w:t xml:space="preserve">集</w:t>
      </w:r>
      <w:r>
        <w:t xml:space="preserve"> </w:t>
      </w:r>
      <w:r>
        <w:rPr>
          <w:rFonts w:hint="eastAsia"/>
        </w:rPr>
        <w:t xml:space="preserve">團</w:t>
      </w:r>
      <w:r>
        <w:t xml:space="preserve"> </w:t>
      </w:r>
      <w:r>
        <w:rPr>
          <w:rFonts w:hint="eastAsia"/>
        </w:rPr>
        <w:t xml:space="preserve">透</w:t>
      </w:r>
      <w:r>
        <w:t xml:space="preserve"> </w:t>
      </w:r>
      <w:r>
        <w:rPr>
          <w:rFonts w:hint="eastAsia"/>
        </w:rPr>
        <w:t xml:space="preserve">過</w:t>
      </w:r>
      <w:r>
        <w:t xml:space="preserve"> </w:t>
      </w:r>
      <w:r>
        <w:rPr>
          <w:rFonts w:hint="eastAsia"/>
        </w:rPr>
        <w:t xml:space="preserve">遍</w:t>
      </w:r>
      <w:r>
        <w:t xml:space="preserve"> </w:t>
      </w:r>
      <w:r>
        <w:rPr>
          <w:rFonts w:hint="eastAsia"/>
        </w:rPr>
        <w:t xml:space="preserve">佈</w:t>
      </w:r>
      <w:r>
        <w:t xml:space="preserve"> </w:t>
      </w:r>
      <w:r>
        <w:rPr>
          <w:rFonts w:hint="eastAsia"/>
        </w:rPr>
        <w:t xml:space="preserve">亞</w:t>
      </w:r>
      <w:r>
        <w:t xml:space="preserve"> </w:t>
      </w:r>
      <w:r>
        <w:rPr>
          <w:rFonts w:hint="eastAsia"/>
        </w:rPr>
        <w:t xml:space="preserve">洲</w:t>
      </w:r>
      <w:r>
        <w:t xml:space="preserve"> </w:t>
      </w:r>
      <w:r>
        <w:rPr>
          <w:rFonts w:hint="eastAsia"/>
        </w:rPr>
        <w:t xml:space="preserve">的</w:t>
      </w:r>
      <w:r>
        <w:t xml:space="preserve"> </w:t>
      </w:r>
      <w:r>
        <w:rPr>
          <w:rFonts w:hint="eastAsia"/>
        </w:rPr>
        <w:t xml:space="preserve">龐</w:t>
      </w:r>
      <w:r>
        <w:t xml:space="preserve"> </w:t>
      </w:r>
      <w:r>
        <w:rPr>
          <w:rFonts w:hint="eastAsia"/>
        </w:rPr>
        <w:t xml:space="preserve">大</w:t>
      </w:r>
      <w:r>
        <w:t xml:space="preserve"> </w:t>
      </w:r>
      <w:r>
        <w:rPr>
          <w:rFonts w:hint="eastAsia"/>
        </w:rPr>
        <w:t xml:space="preserve">專</w:t>
      </w:r>
      <w:r>
        <w:t xml:space="preserve"> </w:t>
      </w:r>
      <w:r>
        <w:rPr>
          <w:rFonts w:hint="eastAsia"/>
        </w:rPr>
        <w:t xml:space="preserve">屬</w:t>
      </w:r>
    </w:p>
    <w:p>
      <w:pPr>
        <w:pStyle w:val="BodyText"/>
      </w:pPr>
      <w:r>
        <w:rPr>
          <w:rFonts w:hint="eastAsia"/>
        </w:rPr>
        <w:t xml:space="preserve">南</w:t>
      </w:r>
      <w:r>
        <w:t xml:space="preserve"> </w:t>
      </w:r>
      <w:r>
        <w:rPr>
          <w:rFonts w:hint="eastAsia"/>
        </w:rPr>
        <w:t xml:space="preserve">韓、</w:t>
      </w:r>
      <w:r>
        <w:t xml:space="preserve"> </w:t>
      </w:r>
      <w:r>
        <w:rPr>
          <w:rFonts w:hint="eastAsia"/>
        </w:rPr>
        <w:t xml:space="preserve">斯</w:t>
      </w:r>
      <w:r>
        <w:t xml:space="preserve"> </w:t>
      </w:r>
      <w:r>
        <w:rPr>
          <w:rFonts w:hint="eastAsia"/>
        </w:rPr>
        <w:t xml:space="preserve">里</w:t>
      </w:r>
      <w:r>
        <w:t xml:space="preserve"> </w:t>
      </w:r>
      <w:r>
        <w:rPr>
          <w:rFonts w:hint="eastAsia"/>
        </w:rPr>
        <w:t xml:space="preserve">蘭</w:t>
      </w:r>
      <w:r>
        <w:t xml:space="preserve"> </w:t>
      </w:r>
      <w:r>
        <w:rPr>
          <w:rFonts w:hint="eastAsia"/>
        </w:rPr>
        <w:t xml:space="preserve">卡、</w:t>
      </w:r>
      <w:r>
        <w:t xml:space="preserve"> </w:t>
      </w:r>
      <w:r>
        <w:rPr>
          <w:rFonts w:hint="eastAsia"/>
        </w:rPr>
        <w:t xml:space="preserve">中</w:t>
      </w:r>
      <w:r>
        <w:t xml:space="preserve"> </w:t>
      </w:r>
      <w:r>
        <w:rPr>
          <w:rFonts w:hint="eastAsia"/>
        </w:rPr>
        <w:t xml:space="preserve">國</w:t>
      </w:r>
      <w:r>
        <w:t xml:space="preserve"> </w:t>
      </w:r>
      <w:r>
        <w:rPr>
          <w:rFonts w:hint="eastAsia"/>
        </w:rPr>
        <w:t xml:space="preserve">台</w:t>
      </w:r>
      <w:r>
        <w:t xml:space="preserve"> </w:t>
      </w:r>
      <w:r>
        <w:rPr>
          <w:rFonts w:hint="eastAsia"/>
        </w:rPr>
        <w:t xml:space="preserve">灣、</w:t>
      </w:r>
      <w:r>
        <w:t xml:space="preserve"> </w:t>
      </w:r>
      <w:r>
        <w:rPr>
          <w:rFonts w:hint="eastAsia"/>
        </w:rPr>
        <w:t xml:space="preserve">越</w:t>
      </w:r>
      <w:r>
        <w:t xml:space="preserve"> </w:t>
      </w:r>
      <w:r>
        <w:rPr>
          <w:rFonts w:hint="eastAsia"/>
        </w:rPr>
        <w:t xml:space="preserve">南、</w:t>
      </w:r>
    </w:p>
    <w:p>
      <w:pPr>
        <w:pStyle w:val="BodyText"/>
      </w:pPr>
      <w:r>
        <w:rPr>
          <w:rFonts w:hint="eastAsia"/>
        </w:rPr>
        <w:t xml:space="preserve">代理、夥伴及員工網絡，為超過3,800萬</w:t>
      </w:r>
    </w:p>
    <w:p>
      <w:pPr>
        <w:pStyle w:val="BodyText"/>
      </w:pPr>
      <w:r>
        <w:rPr>
          <w:rFonts w:hint="eastAsia"/>
        </w:rPr>
        <w:t xml:space="preserve">汶</w:t>
      </w:r>
      <w:r>
        <w:t xml:space="preserve"> </w:t>
      </w:r>
      <w:r>
        <w:rPr>
          <w:rFonts w:hint="eastAsia"/>
        </w:rPr>
        <w:t xml:space="preserve">萊、</w:t>
      </w:r>
      <w:r>
        <w:t xml:space="preserve"> </w:t>
      </w:r>
      <w:r>
        <w:rPr>
          <w:rFonts w:hint="eastAsia"/>
        </w:rPr>
        <w:t xml:space="preserve">澳</w:t>
      </w:r>
      <w:r>
        <w:t xml:space="preserve"> </w:t>
      </w:r>
      <w:r>
        <w:rPr>
          <w:rFonts w:hint="eastAsia"/>
        </w:rPr>
        <w:t xml:space="preserve">門</w:t>
      </w:r>
      <w:r>
        <w:t xml:space="preserve"> </w:t>
      </w:r>
      <w:r>
        <w:rPr>
          <w:rFonts w:hint="eastAsia"/>
        </w:rPr>
        <w:t xml:space="preserve">特</w:t>
      </w:r>
      <w:r>
        <w:t xml:space="preserve"> </w:t>
      </w:r>
      <w:r>
        <w:rPr>
          <w:rFonts w:hint="eastAsia"/>
        </w:rPr>
        <w:t xml:space="preserve">別</w:t>
      </w:r>
      <w:r>
        <w:t xml:space="preserve"> </w:t>
      </w:r>
      <w:r>
        <w:rPr>
          <w:rFonts w:hint="eastAsia"/>
        </w:rPr>
        <w:t xml:space="preserve">行</w:t>
      </w:r>
      <w:r>
        <w:t xml:space="preserve"> </w:t>
      </w:r>
      <w:r>
        <w:rPr>
          <w:rFonts w:hint="eastAsia"/>
        </w:rPr>
        <w:t xml:space="preserve">政</w:t>
      </w:r>
      <w:r>
        <w:t xml:space="preserve"> </w:t>
      </w:r>
      <w:r>
        <w:rPr>
          <w:rFonts w:hint="eastAsia"/>
        </w:rPr>
        <w:t xml:space="preserve">區</w:t>
      </w:r>
      <w:r>
        <w:t xml:space="preserve"> </w:t>
      </w:r>
      <w:r>
        <w:rPr>
          <w:rFonts w:hint="eastAsia"/>
        </w:rPr>
        <w:t xml:space="preserve">和</w:t>
      </w:r>
      <w:r>
        <w:t xml:space="preserve"> </w:t>
      </w:r>
      <w:r>
        <w:rPr>
          <w:rFonts w:hint="eastAsia"/>
        </w:rPr>
        <w:t xml:space="preserve">新</w:t>
      </w:r>
      <w:r>
        <w:t xml:space="preserve"> </w:t>
      </w:r>
      <w:r>
        <w:rPr>
          <w:rFonts w:hint="eastAsia"/>
        </w:rPr>
        <w:t xml:space="preserve">西</w:t>
      </w:r>
      <w:r>
        <w:t xml:space="preserve"> </w:t>
      </w:r>
      <w:r>
        <w:rPr>
          <w:rFonts w:hint="eastAsia"/>
        </w:rPr>
        <w:t xml:space="preserve">蘭</w:t>
      </w:r>
      <w:r>
        <w:t xml:space="preserve"> </w:t>
      </w:r>
      <w:r>
        <w:rPr>
          <w:rFonts w:hint="eastAsia"/>
        </w:rPr>
        <w:t xml:space="preserve">擁</w:t>
      </w:r>
      <w:r>
        <w:t xml:space="preserve"> </w:t>
      </w:r>
      <w:r>
        <w:rPr>
          <w:rFonts w:hint="eastAsia"/>
        </w:rPr>
        <w:t xml:space="preserve">有</w:t>
      </w:r>
    </w:p>
    <w:p>
      <w:pPr>
        <w:pStyle w:val="BodyText"/>
      </w:pPr>
      <w:r>
        <w:rPr>
          <w:rFonts w:hint="eastAsia"/>
        </w:rPr>
        <w:t xml:space="preserve">份個人保單的持有人及逾1,600萬名團體</w:t>
      </w:r>
    </w:p>
    <w:p>
      <w:pPr>
        <w:pStyle w:val="BodyText"/>
      </w:pPr>
      <w:r>
        <w:rPr>
          <w:rFonts w:hint="eastAsia"/>
        </w:rPr>
        <w:t xml:space="preserve">全</w:t>
      </w:r>
      <w:r>
        <w:t xml:space="preserve"> </w:t>
      </w:r>
      <w:r>
        <w:rPr>
          <w:rFonts w:hint="eastAsia"/>
        </w:rPr>
        <w:t xml:space="preserve">資</w:t>
      </w:r>
      <w:r>
        <w:t xml:space="preserve"> </w:t>
      </w:r>
      <w:r>
        <w:rPr>
          <w:rFonts w:hint="eastAsia"/>
        </w:rPr>
        <w:t xml:space="preserve">的</w:t>
      </w:r>
      <w:r>
        <w:t xml:space="preserve"> </w:t>
      </w:r>
      <w:r>
        <w:rPr>
          <w:rFonts w:hint="eastAsia"/>
        </w:rPr>
        <w:t xml:space="preserve">分</w:t>
      </w:r>
      <w:r>
        <w:t xml:space="preserve"> </w:t>
      </w:r>
      <w:r>
        <w:rPr>
          <w:rFonts w:hint="eastAsia"/>
        </w:rPr>
        <w:t xml:space="preserve">公</w:t>
      </w:r>
      <w:r>
        <w:t xml:space="preserve"> </w:t>
      </w:r>
      <w:r>
        <w:rPr>
          <w:rFonts w:hint="eastAsia"/>
        </w:rPr>
        <w:t xml:space="preserve">司</w:t>
      </w:r>
      <w:r>
        <w:t xml:space="preserve"> </w:t>
      </w:r>
      <w:r>
        <w:rPr>
          <w:rFonts w:hint="eastAsia"/>
        </w:rPr>
        <w:t xml:space="preserve">及</w:t>
      </w:r>
      <w:r>
        <w:t xml:space="preserve"> </w:t>
      </w:r>
      <w:r>
        <w:rPr>
          <w:rFonts w:hint="eastAsia"/>
        </w:rPr>
        <w:t xml:space="preserve">附</w:t>
      </w:r>
      <w:r>
        <w:t xml:space="preserve"> </w:t>
      </w:r>
      <w:r>
        <w:rPr>
          <w:rFonts w:hint="eastAsia"/>
        </w:rPr>
        <w:t xml:space="preserve">屬</w:t>
      </w:r>
      <w:r>
        <w:t xml:space="preserve"> </w:t>
      </w:r>
      <w:r>
        <w:rPr>
          <w:rFonts w:hint="eastAsia"/>
        </w:rPr>
        <w:t xml:space="preserve">公</w:t>
      </w:r>
      <w:r>
        <w:t xml:space="preserve"> </w:t>
      </w:r>
      <w:r>
        <w:rPr>
          <w:rFonts w:hint="eastAsia"/>
        </w:rPr>
        <w:t xml:space="preserve">司，</w:t>
      </w:r>
      <w:r>
        <w:t xml:space="preserve"> </w:t>
      </w:r>
      <w:r>
        <w:rPr>
          <w:rFonts w:hint="eastAsia"/>
        </w:rPr>
        <w:t xml:space="preserve">以</w:t>
      </w:r>
      <w:r>
        <w:t xml:space="preserve"> </w:t>
      </w:r>
      <w:r>
        <w:rPr>
          <w:rFonts w:hint="eastAsia"/>
        </w:rPr>
        <w:t xml:space="preserve">及</w:t>
      </w:r>
      <w:r>
        <w:t xml:space="preserve"> </w:t>
      </w:r>
      <w:r>
        <w:rPr>
          <w:rFonts w:hint="eastAsia"/>
        </w:rPr>
        <w:t xml:space="preserve">印</w:t>
      </w:r>
      <w:r>
        <w:t xml:space="preserve"> </w:t>
      </w:r>
      <w:r>
        <w:rPr>
          <w:rFonts w:hint="eastAsia"/>
        </w:rPr>
        <w:t xml:space="preserve">度</w:t>
      </w:r>
    </w:p>
    <w:p>
      <w:pPr>
        <w:pStyle w:val="BodyText"/>
      </w:pPr>
      <w:r>
        <w:rPr>
          <w:rFonts w:hint="eastAsia"/>
        </w:rPr>
        <w:t xml:space="preserve">保險計劃的參與成員提供服務。</w:t>
      </w:r>
    </w:p>
    <w:p>
      <w:pPr>
        <w:pStyle w:val="BodyText"/>
      </w:pPr>
      <w:r>
        <w:rPr>
          <w:rFonts w:hint="eastAsia"/>
        </w:rPr>
        <w:t xml:space="preserve">合資公司的49%權益。</w:t>
      </w:r>
    </w:p>
    <w:p>
      <w:pPr>
        <w:pStyle w:val="BodyText"/>
      </w:pPr>
      <w:r>
        <w:rPr>
          <w:rFonts w:hint="eastAsia"/>
        </w:rPr>
        <w:t xml:space="preserve">友</w:t>
      </w:r>
      <w:r>
        <w:t xml:space="preserve"> </w:t>
      </w:r>
      <w:r>
        <w:rPr>
          <w:rFonts w:hint="eastAsia"/>
        </w:rPr>
        <w:t xml:space="preserve">邦</w:t>
      </w:r>
      <w:r>
        <w:t xml:space="preserve"> </w:t>
      </w:r>
      <w:r>
        <w:rPr>
          <w:rFonts w:hint="eastAsia"/>
        </w:rPr>
        <w:t xml:space="preserve">保</w:t>
      </w:r>
      <w:r>
        <w:t xml:space="preserve"> </w:t>
      </w:r>
      <w:r>
        <w:rPr>
          <w:rFonts w:hint="eastAsia"/>
        </w:rPr>
        <w:t xml:space="preserve">險</w:t>
      </w:r>
      <w:r>
        <w:t xml:space="preserve"> </w:t>
      </w:r>
      <w:r>
        <w:rPr>
          <w:rFonts w:hint="eastAsia"/>
        </w:rPr>
        <w:t xml:space="preserve">控</w:t>
      </w:r>
      <w:r>
        <w:t xml:space="preserve"> </w:t>
      </w:r>
      <w:r>
        <w:rPr>
          <w:rFonts w:hint="eastAsia"/>
        </w:rPr>
        <w:t xml:space="preserve">股</w:t>
      </w:r>
      <w:r>
        <w:t xml:space="preserve"> </w:t>
      </w:r>
      <w:r>
        <w:rPr>
          <w:rFonts w:hint="eastAsia"/>
        </w:rPr>
        <w:t xml:space="preserve">有</w:t>
      </w:r>
      <w:r>
        <w:t xml:space="preserve"> </w:t>
      </w:r>
      <w:r>
        <w:rPr>
          <w:rFonts w:hint="eastAsia"/>
        </w:rPr>
        <w:t xml:space="preserve">限</w:t>
      </w:r>
      <w:r>
        <w:t xml:space="preserve"> </w:t>
      </w:r>
      <w:r>
        <w:rPr>
          <w:rFonts w:hint="eastAsia"/>
        </w:rPr>
        <w:t xml:space="preserve">公</w:t>
      </w:r>
      <w:r>
        <w:t xml:space="preserve"> </w:t>
      </w:r>
      <w:r>
        <w:rPr>
          <w:rFonts w:hint="eastAsia"/>
        </w:rPr>
        <w:t xml:space="preserve">司</w:t>
      </w:r>
      <w:r>
        <w:t xml:space="preserve"> </w:t>
      </w:r>
      <w:r>
        <w:rPr>
          <w:rFonts w:hint="eastAsia"/>
        </w:rPr>
        <w:t xml:space="preserve">於</w:t>
      </w:r>
      <w:r>
        <w:t xml:space="preserve"> </w:t>
      </w:r>
      <w:r>
        <w:rPr>
          <w:rFonts w:hint="eastAsia"/>
        </w:rPr>
        <w:t xml:space="preserve">香</w:t>
      </w:r>
      <w:r>
        <w:t xml:space="preserve"> </w:t>
      </w:r>
      <w:r>
        <w:rPr>
          <w:rFonts w:hint="eastAsia"/>
        </w:rPr>
        <w:t xml:space="preserve">港</w:t>
      </w:r>
      <w:r>
        <w:t xml:space="preserve"> </w:t>
      </w:r>
      <w:r>
        <w:rPr>
          <w:rFonts w:hint="eastAsia"/>
        </w:rPr>
        <w:t xml:space="preserve">聯</w:t>
      </w:r>
      <w:r>
        <w:t xml:space="preserve"> </w:t>
      </w:r>
      <w:r>
        <w:rPr>
          <w:rFonts w:hint="eastAsia"/>
        </w:rPr>
        <w:t xml:space="preserve">合</w:t>
      </w:r>
    </w:p>
    <w:p>
      <w:pPr>
        <w:pStyle w:val="BodyText"/>
      </w:pPr>
      <w:r>
        <w:rPr>
          <w:rFonts w:hint="eastAsia"/>
        </w:rPr>
        <w:t xml:space="preserve">友</w:t>
      </w:r>
      <w:r>
        <w:t xml:space="preserve"> </w:t>
      </w:r>
      <w:r>
        <w:rPr>
          <w:rFonts w:hint="eastAsia"/>
        </w:rPr>
        <w:t xml:space="preserve">邦</w:t>
      </w:r>
      <w:r>
        <w:t xml:space="preserve"> </w:t>
      </w:r>
      <w:r>
        <w:rPr>
          <w:rFonts w:hint="eastAsia"/>
        </w:rPr>
        <w:t xml:space="preserve">保</w:t>
      </w:r>
      <w:r>
        <w:t xml:space="preserve"> </w:t>
      </w:r>
      <w:r>
        <w:rPr>
          <w:rFonts w:hint="eastAsia"/>
        </w:rPr>
        <w:t xml:space="preserve">險</w:t>
      </w:r>
      <w:r>
        <w:t xml:space="preserve"> </w:t>
      </w:r>
      <w:r>
        <w:rPr>
          <w:rFonts w:hint="eastAsia"/>
        </w:rPr>
        <w:t xml:space="preserve">今</w:t>
      </w:r>
      <w:r>
        <w:t xml:space="preserve"> </w:t>
      </w:r>
      <w:r>
        <w:rPr>
          <w:rFonts w:hint="eastAsia"/>
        </w:rPr>
        <w:t xml:space="preserve">日</w:t>
      </w:r>
      <w:r>
        <w:t xml:space="preserve"> </w:t>
      </w:r>
      <w:r>
        <w:rPr>
          <w:rFonts w:hint="eastAsia"/>
        </w:rPr>
        <w:t xml:space="preserve">的</w:t>
      </w:r>
      <w:r>
        <w:t xml:space="preserve"> </w:t>
      </w:r>
      <w:r>
        <w:rPr>
          <w:rFonts w:hint="eastAsia"/>
        </w:rPr>
        <w:t xml:space="preserve">業</w:t>
      </w:r>
      <w:r>
        <w:t xml:space="preserve"> </w:t>
      </w:r>
      <w:r>
        <w:rPr>
          <w:rFonts w:hint="eastAsia"/>
        </w:rPr>
        <w:t xml:space="preserve">務</w:t>
      </w:r>
      <w:r>
        <w:t xml:space="preserve"> </w:t>
      </w:r>
      <w:r>
        <w:rPr>
          <w:rFonts w:hint="eastAsia"/>
        </w:rPr>
        <w:t xml:space="preserve">成</w:t>
      </w:r>
      <w:r>
        <w:t xml:space="preserve"> </w:t>
      </w:r>
      <w:r>
        <w:rPr>
          <w:rFonts w:hint="eastAsia"/>
        </w:rPr>
        <w:t xml:space="preserve">就</w:t>
      </w:r>
      <w:r>
        <w:t xml:space="preserve"> </w:t>
      </w:r>
      <w:r>
        <w:rPr>
          <w:rFonts w:hint="eastAsia"/>
        </w:rPr>
        <w:t xml:space="preserve">可</w:t>
      </w:r>
      <w:r>
        <w:t xml:space="preserve"> </w:t>
      </w:r>
      <w:r>
        <w:rPr>
          <w:rFonts w:hint="eastAsia"/>
        </w:rPr>
        <w:t xml:space="preserve">追</w:t>
      </w:r>
      <w:r>
        <w:t xml:space="preserve"> </w:t>
      </w:r>
      <w:r>
        <w:rPr>
          <w:rFonts w:hint="eastAsia"/>
        </w:rPr>
        <w:t xml:space="preserve">溯</w:t>
      </w:r>
      <w:r>
        <w:t xml:space="preserve"> </w:t>
      </w:r>
      <w:r>
        <w:rPr>
          <w:rFonts w:hint="eastAsia"/>
        </w:rPr>
        <w:t xml:space="preserve">至</w:t>
      </w:r>
    </w:p>
    <w:p>
      <w:pPr>
        <w:pStyle w:val="BodyText"/>
      </w:pPr>
      <w:r>
        <w:rPr>
          <w:rFonts w:hint="eastAsia"/>
        </w:rPr>
        <w:t xml:space="preserve">交易所有限公司主板上市（股份代號為</w:t>
      </w:r>
    </w:p>
    <w:p>
      <w:pPr>
        <w:pStyle w:val="BodyText"/>
      </w:pPr>
      <w:r>
        <w:rPr>
          <w:rFonts w:hint="eastAsia"/>
        </w:rPr>
        <w:t xml:space="preserve">1919年逾一個世紀前於上海的發源地。</w:t>
      </w:r>
    </w:p>
    <w:p>
      <w:pPr>
        <w:pStyle w:val="BodyText"/>
      </w:pPr>
      <w:r>
        <w:rPr>
          <w:rFonts w:hint="eastAsia"/>
        </w:rPr>
        <w:t xml:space="preserve">「1299」）；</w:t>
      </w:r>
      <w:r>
        <w:t xml:space="preserve"> </w:t>
      </w:r>
      <w:r>
        <w:rPr>
          <w:rFonts w:hint="eastAsia"/>
        </w:rPr>
        <w:t xml:space="preserve">其</w:t>
      </w:r>
      <w:r>
        <w:t xml:space="preserve"> </w:t>
      </w:r>
      <w:r>
        <w:rPr>
          <w:rFonts w:hint="eastAsia"/>
        </w:rPr>
        <w:t xml:space="preserve">美</w:t>
      </w:r>
      <w:r>
        <w:t xml:space="preserve"> </w:t>
      </w:r>
      <w:r>
        <w:rPr>
          <w:rFonts w:hint="eastAsia"/>
        </w:rPr>
        <w:t xml:space="preserve">國</w:t>
      </w:r>
      <w:r>
        <w:t xml:space="preserve"> </w:t>
      </w:r>
      <w:r>
        <w:rPr>
          <w:rFonts w:hint="eastAsia"/>
        </w:rPr>
        <w:t xml:space="preserve">預</w:t>
      </w:r>
      <w:r>
        <w:t xml:space="preserve"> </w:t>
      </w:r>
      <w:r>
        <w:rPr>
          <w:rFonts w:hint="eastAsia"/>
        </w:rPr>
        <w:t xml:space="preserve">託</w:t>
      </w:r>
      <w:r>
        <w:t xml:space="preserve"> </w:t>
      </w:r>
      <w:r>
        <w:rPr>
          <w:rFonts w:hint="eastAsia"/>
        </w:rPr>
        <w:t xml:space="preserve">證</w:t>
      </w:r>
      <w:r>
        <w:t xml:space="preserve"> </w:t>
      </w:r>
      <w:r>
        <w:rPr>
          <w:rFonts w:hint="eastAsia"/>
        </w:rPr>
        <w:t xml:space="preserve">券（一</w:t>
      </w:r>
      <w:r>
        <w:t xml:space="preserve"> </w:t>
      </w:r>
      <w:r>
        <w:rPr>
          <w:rFonts w:hint="eastAsia"/>
        </w:rPr>
        <w:t xml:space="preserve">級）於</w:t>
      </w:r>
    </w:p>
    <w:p>
      <w:pPr>
        <w:pStyle w:val="BodyText"/>
      </w:pPr>
      <w:r>
        <w:rPr>
          <w:rFonts w:hint="eastAsia"/>
        </w:rPr>
        <w:t xml:space="preserve">按</w:t>
      </w:r>
      <w:r>
        <w:t xml:space="preserve"> </w:t>
      </w:r>
      <w:r>
        <w:rPr>
          <w:rFonts w:hint="eastAsia"/>
        </w:rPr>
        <w:t xml:space="preserve">壽</w:t>
      </w:r>
      <w:r>
        <w:t xml:space="preserve"> </w:t>
      </w:r>
      <w:r>
        <w:rPr>
          <w:rFonts w:hint="eastAsia"/>
        </w:rPr>
        <w:t xml:space="preserve">險</w:t>
      </w:r>
      <w:r>
        <w:t xml:space="preserve"> </w:t>
      </w:r>
      <w:r>
        <w:rPr>
          <w:rFonts w:hint="eastAsia"/>
        </w:rPr>
        <w:t xml:space="preserve">保</w:t>
      </w:r>
      <w:r>
        <w:t xml:space="preserve"> </w:t>
      </w:r>
      <w:r>
        <w:rPr>
          <w:rFonts w:hint="eastAsia"/>
        </w:rPr>
        <w:t xml:space="preserve">費</w:t>
      </w:r>
      <w:r>
        <w:t xml:space="preserve"> </w:t>
      </w:r>
      <w:r>
        <w:rPr>
          <w:rFonts w:hint="eastAsia"/>
        </w:rPr>
        <w:t xml:space="preserve">計</w:t>
      </w:r>
      <w:r>
        <w:t xml:space="preserve"> </w:t>
      </w:r>
      <w:r>
        <w:rPr>
          <w:rFonts w:hint="eastAsia"/>
        </w:rPr>
        <w:t xml:space="preserve">算，</w:t>
      </w:r>
      <w:r>
        <w:t xml:space="preserve"> </w:t>
      </w:r>
      <w:r>
        <w:rPr>
          <w:rFonts w:hint="eastAsia"/>
        </w:rPr>
        <w:t xml:space="preserve">集</w:t>
      </w:r>
      <w:r>
        <w:t xml:space="preserve"> </w:t>
      </w:r>
      <w:r>
        <w:rPr>
          <w:rFonts w:hint="eastAsia"/>
        </w:rPr>
        <w:t xml:space="preserve">團</w:t>
      </w:r>
      <w:r>
        <w:t xml:space="preserve"> </w:t>
      </w:r>
      <w:r>
        <w:rPr>
          <w:rFonts w:hint="eastAsia"/>
        </w:rPr>
        <w:t xml:space="preserve">在</w:t>
      </w:r>
      <w:r>
        <w:t xml:space="preserve"> </w:t>
      </w:r>
      <w:r>
        <w:rPr>
          <w:rFonts w:hint="eastAsia"/>
        </w:rPr>
        <w:t xml:space="preserve">亞</w:t>
      </w:r>
      <w:r>
        <w:t xml:space="preserve"> </w:t>
      </w:r>
      <w:r>
        <w:rPr>
          <w:rFonts w:hint="eastAsia"/>
        </w:rPr>
        <w:t xml:space="preserve">洲（日</w:t>
      </w:r>
      <w:r>
        <w:t xml:space="preserve"> </w:t>
      </w:r>
      <w:r>
        <w:rPr>
          <w:rFonts w:hint="eastAsia"/>
        </w:rPr>
        <w:t xml:space="preserve">本</w:t>
      </w:r>
    </w:p>
    <w:p>
      <w:pPr>
        <w:pStyle w:val="BodyText"/>
      </w:pPr>
      <w:r>
        <w:rPr>
          <w:rFonts w:hint="eastAsia"/>
        </w:rPr>
        <w:t xml:space="preserve">場</w:t>
      </w:r>
      <w:r>
        <w:t xml:space="preserve"> </w:t>
      </w:r>
      <w:r>
        <w:rPr>
          <w:rFonts w:hint="eastAsia"/>
        </w:rPr>
        <w:t xml:space="preserve">外</w:t>
      </w:r>
      <w:r>
        <w:t xml:space="preserve"> </w:t>
      </w:r>
      <w:r>
        <w:rPr>
          <w:rFonts w:hint="eastAsia"/>
        </w:rPr>
        <w:t xml:space="preserve">交</w:t>
      </w:r>
      <w:r>
        <w:t xml:space="preserve"> </w:t>
      </w:r>
      <w:r>
        <w:rPr>
          <w:rFonts w:hint="eastAsia"/>
        </w:rPr>
        <w:t xml:space="preserve">易</w:t>
      </w:r>
      <w:r>
        <w:t xml:space="preserve"> </w:t>
      </w:r>
      <w:r>
        <w:rPr>
          <w:rFonts w:hint="eastAsia"/>
        </w:rPr>
        <w:t xml:space="preserve">市</w:t>
      </w:r>
      <w:r>
        <w:t xml:space="preserve"> </w:t>
      </w:r>
      <w:r>
        <w:rPr>
          <w:rFonts w:hint="eastAsia"/>
        </w:rPr>
        <w:t xml:space="preserve">場</w:t>
      </w:r>
      <w:r>
        <w:t xml:space="preserve"> </w:t>
      </w:r>
      <w:r>
        <w:rPr>
          <w:rFonts w:hint="eastAsia"/>
        </w:rPr>
        <w:t xml:space="preserve">進</w:t>
      </w:r>
      <w:r>
        <w:t xml:space="preserve"> </w:t>
      </w:r>
      <w:r>
        <w:rPr>
          <w:rFonts w:hint="eastAsia"/>
        </w:rPr>
        <w:t xml:space="preserve">行</w:t>
      </w:r>
      <w:r>
        <w:t xml:space="preserve"> </w:t>
      </w:r>
      <w:r>
        <w:rPr>
          <w:rFonts w:hint="eastAsia"/>
        </w:rPr>
        <w:t xml:space="preserve">買</w:t>
      </w:r>
      <w:r>
        <w:t xml:space="preserve"> </w:t>
      </w:r>
      <w:r>
        <w:rPr>
          <w:rFonts w:hint="eastAsia"/>
        </w:rPr>
        <w:t xml:space="preserve">賣（交</w:t>
      </w:r>
      <w:r>
        <w:t xml:space="preserve"> </w:t>
      </w:r>
      <w:r>
        <w:rPr>
          <w:rFonts w:hint="eastAsia"/>
        </w:rPr>
        <w:t xml:space="preserve">易</w:t>
      </w:r>
      <w:r>
        <w:t xml:space="preserve"> </w:t>
      </w:r>
      <w:r>
        <w:rPr>
          <w:rFonts w:hint="eastAsia"/>
        </w:rPr>
        <w:t xml:space="preserve">編</w:t>
      </w:r>
      <w:r>
        <w:t xml:space="preserve"> </w:t>
      </w:r>
      <w:r>
        <w:rPr>
          <w:rFonts w:hint="eastAsia"/>
        </w:rPr>
        <w:t xml:space="preserve">號</w:t>
      </w:r>
      <w:r>
        <w:t xml:space="preserve"> </w:t>
      </w:r>
      <w:r>
        <w:rPr>
          <w:rFonts w:hint="eastAsia"/>
        </w:rPr>
        <w:t xml:space="preserve">為</w:t>
      </w:r>
    </w:p>
    <w:p>
      <w:pPr>
        <w:pStyle w:val="BodyText"/>
      </w:pPr>
      <w:r>
        <w:rPr>
          <w:rFonts w:hint="eastAsia"/>
        </w:rPr>
        <w:t xml:space="preserve">除外）領先同業，並於大部分市場穩佔</w:t>
      </w:r>
    </w:p>
    <w:p>
      <w:pPr>
        <w:pStyle w:val="BodyText"/>
      </w:pPr>
      <w:r>
        <w:rPr>
          <w:rFonts w:hint="eastAsia"/>
        </w:rPr>
        <w:t xml:space="preserve">「AAGIY」）。</w:t>
      </w:r>
    </w:p>
    <w:p>
      <w:pPr>
        <w:pStyle w:val="BodyText"/>
      </w:pPr>
      <w:r>
        <w:rPr>
          <w:rFonts w:hint="eastAsia"/>
        </w:rPr>
        <w:t xml:space="preserve">領</w:t>
      </w:r>
      <w:r>
        <w:t xml:space="preserve"> </w:t>
      </w:r>
      <w:r>
        <w:rPr>
          <w:rFonts w:hint="eastAsia"/>
        </w:rPr>
        <w:t xml:space="preserve">導</w:t>
      </w:r>
      <w:r>
        <w:t xml:space="preserve"> </w:t>
      </w:r>
      <w:r>
        <w:rPr>
          <w:rFonts w:hint="eastAsia"/>
        </w:rPr>
        <w:t xml:space="preserve">地</w:t>
      </w:r>
      <w:r>
        <w:t xml:space="preserve"> </w:t>
      </w:r>
      <w:r>
        <w:rPr>
          <w:rFonts w:hint="eastAsia"/>
        </w:rPr>
        <w:t xml:space="preserve">位。</w:t>
      </w:r>
      <w:r>
        <w:t xml:space="preserve"> </w:t>
      </w:r>
      <w:r>
        <w:rPr>
          <w:rFonts w:hint="eastAsia"/>
        </w:rPr>
        <w:t xml:space="preserve">截</w:t>
      </w:r>
      <w:r>
        <w:t xml:space="preserve"> </w:t>
      </w:r>
      <w:r>
        <w:rPr>
          <w:rFonts w:hint="eastAsia"/>
        </w:rPr>
        <w:t xml:space="preserve">至2020年12月31日，</w:t>
      </w:r>
      <w:r>
        <w:t xml:space="preserve"> </w:t>
      </w:r>
      <w:r>
        <w:rPr>
          <w:rFonts w:hint="eastAsia"/>
        </w:rPr>
        <w:t xml:space="preserve">集</w:t>
      </w:r>
      <w:r>
        <w:t xml:space="preserve"> </w:t>
      </w:r>
      <w:r>
        <w:rPr>
          <w:rFonts w:hint="eastAsia"/>
        </w:rPr>
        <w:t xml:space="preserve">團</w:t>
      </w:r>
    </w:p>
    <w:p>
      <w:pPr>
        <w:pStyle w:val="BodyText"/>
      </w:pPr>
      <w:r>
        <w:rPr>
          <w:rFonts w:hint="eastAsia"/>
        </w:rPr>
        <w:t xml:space="preserve">總資產值為3,260億美元。</w:t>
      </w:r>
    </w:p>
    <w:p>
      <w:pPr>
        <w:pStyle w:val="BodyText"/>
      </w:pPr>
      <w:r>
        <w:t xml:space="preserve">078 </w:t>
      </w:r>
      <w:r>
        <w:rPr>
          <w:rFonts w:hint="eastAsia"/>
        </w:rPr>
        <w:t xml:space="preserve">執行委員會</w:t>
      </w:r>
    </w:p>
    <w:p>
      <w:pPr>
        <w:pStyle w:val="BodyText"/>
      </w:pPr>
      <w:r>
        <w:t xml:space="preserve">083 </w:t>
      </w:r>
      <w:r>
        <w:rPr>
          <w:rFonts w:hint="eastAsia"/>
        </w:rPr>
        <w:t xml:space="preserve">董事會報告</w:t>
      </w:r>
    </w:p>
    <w:p>
      <w:pPr>
        <w:pStyle w:val="BodyText"/>
      </w:pPr>
      <w:r>
        <w:t xml:space="preserve">096 </w:t>
      </w:r>
      <w:r>
        <w:rPr>
          <w:rFonts w:hint="eastAsia"/>
        </w:rPr>
        <w:t xml:space="preserve">企業管治報告</w:t>
      </w:r>
    </w:p>
    <w:p>
      <w:pPr>
        <w:pStyle w:val="BodyText"/>
      </w:pPr>
      <w:r>
        <w:t xml:space="preserve">110 </w:t>
      </w:r>
      <w:r>
        <w:rPr>
          <w:rFonts w:hint="eastAsia"/>
        </w:rPr>
        <w:t xml:space="preserve">薪酬報告</w:t>
      </w:r>
    </w:p>
    <w:p>
      <w:pPr>
        <w:pStyle w:val="BodyText"/>
      </w:pPr>
      <w:r>
        <w:rPr>
          <w:rFonts w:hint="eastAsia"/>
        </w:rPr>
        <w:t xml:space="preserve">財務報表</w:t>
      </w:r>
      <w:r>
        <w:br/>
      </w:r>
      <w:r>
        <w:t xml:space="preserve">125 </w:t>
      </w:r>
      <w:r>
        <w:rPr>
          <w:rFonts w:hint="eastAsia"/>
        </w:rPr>
        <w:t xml:space="preserve">獨立核數師報告</w:t>
      </w:r>
    </w:p>
    <w:p>
      <w:pPr>
        <w:pStyle w:val="BodyText"/>
      </w:pPr>
      <w:r>
        <w:t xml:space="preserve">132 </w:t>
      </w:r>
      <w:r>
        <w:rPr>
          <w:rFonts w:hint="eastAsia"/>
        </w:rPr>
        <w:t xml:space="preserve">合併收入表</w:t>
      </w:r>
    </w:p>
    <w:p>
      <w:pPr>
        <w:pStyle w:val="BodyText"/>
      </w:pPr>
      <w:r>
        <w:t xml:space="preserve">133 </w:t>
      </w:r>
      <w:r>
        <w:rPr>
          <w:rFonts w:hint="eastAsia"/>
        </w:rPr>
        <w:t xml:space="preserve">合併全面收入表</w:t>
      </w:r>
    </w:p>
    <w:p>
      <w:pPr>
        <w:pStyle w:val="BodyText"/>
      </w:pPr>
      <w:r>
        <w:t xml:space="preserve">134 </w:t>
      </w:r>
      <w:r>
        <w:rPr>
          <w:rFonts w:hint="eastAsia"/>
        </w:rPr>
        <w:t xml:space="preserve">合併財務狀況表</w:t>
      </w:r>
    </w:p>
    <w:p>
      <w:pPr>
        <w:pStyle w:val="BodyText"/>
      </w:pPr>
      <w:r>
        <w:t xml:space="preserve">136 </w:t>
      </w:r>
      <w:r>
        <w:rPr>
          <w:rFonts w:hint="eastAsia"/>
        </w:rPr>
        <w:t xml:space="preserve">合併權益變動表</w:t>
      </w:r>
    </w:p>
    <w:p>
      <w:pPr>
        <w:pStyle w:val="BodyText"/>
      </w:pPr>
      <w:r>
        <w:t xml:space="preserve">138 </w:t>
      </w:r>
      <w:r>
        <w:rPr>
          <w:rFonts w:hint="eastAsia"/>
        </w:rPr>
        <w:t xml:space="preserve">合併現金流量表</w:t>
      </w:r>
    </w:p>
    <w:p>
      <w:pPr>
        <w:pStyle w:val="BodyText"/>
      </w:pPr>
      <w:r>
        <w:t xml:space="preserve">140 </w:t>
      </w:r>
      <w:r>
        <w:rPr>
          <w:rFonts w:hint="eastAsia"/>
        </w:rPr>
        <w:t xml:space="preserve">合併財務報表附註</w:t>
      </w:r>
      <w:r>
        <w:br/>
      </w:r>
      <w:r>
        <w:rPr>
          <w:rFonts w:hint="eastAsia"/>
        </w:rPr>
        <w:t xml:space="preserve">及主要會計政策</w:t>
      </w:r>
    </w:p>
    <w:p>
      <w:pPr>
        <w:pStyle w:val="BodyText"/>
      </w:pPr>
      <w:r>
        <w:t xml:space="preserve">265 </w:t>
      </w:r>
      <w:r>
        <w:rPr>
          <w:rFonts w:hint="eastAsia"/>
        </w:rPr>
        <w:t xml:space="preserve">內涵價值補充資料的</w:t>
      </w:r>
      <w:r>
        <w:br/>
      </w:r>
      <w:r>
        <w:rPr>
          <w:rFonts w:hint="eastAsia"/>
        </w:rPr>
        <w:t xml:space="preserve">獨立核數師報告</w:t>
      </w:r>
    </w:p>
    <w:p>
      <w:pPr>
        <w:pStyle w:val="BodyText"/>
      </w:pPr>
      <w:r>
        <w:t xml:space="preserve">269 </w:t>
      </w:r>
      <w:r>
        <w:rPr>
          <w:rFonts w:hint="eastAsia"/>
        </w:rPr>
        <w:t xml:space="preserve">內涵價值補充資料</w:t>
      </w:r>
    </w:p>
    <w:p>
      <w:pPr>
        <w:pStyle w:val="BodyText"/>
      </w:pPr>
      <w:r>
        <w:rPr>
          <w:rFonts w:hint="eastAsia"/>
        </w:rPr>
        <w:t xml:space="preserve">其他資料</w:t>
      </w:r>
      <w:r>
        <w:br/>
      </w:r>
      <w:r>
        <w:t xml:space="preserve">295 </w:t>
      </w:r>
      <w:r>
        <w:rPr>
          <w:rFonts w:hint="eastAsia"/>
        </w:rPr>
        <w:t xml:space="preserve">股東參考資料</w:t>
      </w:r>
    </w:p>
    <w:p>
      <w:pPr>
        <w:pStyle w:val="BodyText"/>
      </w:pPr>
      <w:r>
        <w:t xml:space="preserve">298 </w:t>
      </w:r>
      <w:r>
        <w:rPr>
          <w:rFonts w:hint="eastAsia"/>
        </w:rPr>
        <w:t xml:space="preserve">公司資料</w:t>
      </w:r>
    </w:p>
    <w:p>
      <w:pPr>
        <w:pStyle w:val="BodyText"/>
      </w:pPr>
      <w:r>
        <w:t xml:space="preserve">299 </w:t>
      </w:r>
      <w:r>
        <w:rPr>
          <w:rFonts w:hint="eastAsia"/>
        </w:rPr>
        <w:t xml:space="preserve">詞彙</w:t>
      </w:r>
    </w:p>
    <w:p>
      <w:pPr>
        <w:pStyle w:val="BodyText"/>
      </w:pPr>
      <w:r>
        <w:rPr>
          <w:rFonts w:hint="eastAsia"/>
        </w:rPr>
        <w:t xml:space="preserve">附註：</w:t>
      </w:r>
    </w:p>
    <w:p>
      <w:pPr>
        <w:pStyle w:val="Compact"/>
        <w:numPr>
          <w:ilvl w:val="0"/>
          <w:numId w:val="1001"/>
        </w:numPr>
      </w:pPr>
      <w:r>
        <w:rPr>
          <w:rFonts w:hint="eastAsia"/>
        </w:rPr>
        <w:t xml:space="preserve">本報告所使用的若干詞彙的解釋和縮寫已列明於詞彙章節。</w:t>
      </w:r>
    </w:p>
    <w:p>
      <w:pPr>
        <w:pStyle w:val="FirstParagraph"/>
      </w:pPr>
      <w:r>
        <w:rPr>
          <w:rFonts w:hint="eastAsia"/>
        </w:rPr>
        <w:t xml:space="preserve">友邦保險一覽</w:t>
      </w:r>
    </w:p>
    <w:p>
      <w:pPr>
        <w:pStyle w:val="BodyText"/>
      </w:pPr>
      <w:r>
        <w:rPr>
          <w:rFonts w:hint="eastAsia"/>
        </w:rPr>
        <w:t xml:space="preserve">全球唯一一家總部</w:t>
      </w:r>
      <w:r>
        <w:br/>
      </w:r>
      <w:r>
        <w:rPr>
          <w:rFonts w:hint="eastAsia"/>
        </w:rPr>
        <w:t xml:space="preserve">設於香港、於香港上市</w:t>
      </w:r>
    </w:p>
    <w:p>
      <w:pPr>
        <w:pStyle w:val="BodyText"/>
      </w:pPr>
      <w:r>
        <w:rPr>
          <w:rFonts w:hint="eastAsia"/>
        </w:rPr>
        <w:t xml:space="preserve">並100%</w:t>
      </w:r>
      <w:r>
        <w:br/>
      </w:r>
      <w:r>
        <w:rPr>
          <w:rFonts w:hint="eastAsia"/>
        </w:rPr>
        <w:t xml:space="preserve">專注於亞洲</w:t>
      </w:r>
      <w:r>
        <w:br/>
      </w:r>
      <w:r>
        <w:rPr>
          <w:rFonts w:hint="eastAsia"/>
        </w:rPr>
        <w:t xml:space="preserve">的國際人壽</w:t>
      </w:r>
      <w:r>
        <w:br/>
      </w:r>
      <w:r>
        <w:rPr>
          <w:rFonts w:hint="eastAsia"/>
        </w:rPr>
        <w:t xml:space="preserve">保險公司</w:t>
      </w:r>
    </w:p>
    <w:p>
      <w:pPr>
        <w:pStyle w:val="BodyText"/>
      </w:pPr>
      <w:r>
        <w:rPr>
          <w:rFonts w:hint="eastAsia"/>
        </w:rPr>
        <w:t xml:space="preserve">為超過</w:t>
      </w:r>
    </w:p>
    <w:p>
      <w:pPr>
        <w:pStyle w:val="BodyText"/>
      </w:pPr>
      <w:r>
        <w:rPr>
          <w:rFonts w:hint="eastAsia"/>
        </w:rPr>
        <w:t xml:space="preserve">3,800萬份</w:t>
      </w:r>
    </w:p>
    <w:p>
      <w:pPr>
        <w:pStyle w:val="BodyText"/>
      </w:pPr>
      <w:r>
        <w:rPr>
          <w:rFonts w:hint="eastAsia"/>
        </w:rPr>
        <w:t xml:space="preserve">個人保單的持有人及逾</w:t>
      </w:r>
    </w:p>
    <w:p>
      <w:pPr>
        <w:pStyle w:val="BodyText"/>
      </w:pPr>
      <w:r>
        <w:rPr>
          <w:rFonts w:hint="eastAsia"/>
        </w:rPr>
        <w:t xml:space="preserve">1,600萬名</w:t>
      </w:r>
    </w:p>
    <w:p>
      <w:pPr>
        <w:pStyle w:val="BodyText"/>
      </w:pPr>
      <w:r>
        <w:rPr>
          <w:rFonts w:hint="eastAsia"/>
        </w:rPr>
        <w:t xml:space="preserve">團體保險計劃的參與</w:t>
      </w:r>
      <w:r>
        <w:br/>
      </w:r>
      <w:r>
        <w:rPr>
          <w:rFonts w:hint="eastAsia"/>
        </w:rPr>
        <w:t xml:space="preserve">成員提供服務</w:t>
      </w:r>
    </w:p>
    <w:p>
      <w:pPr>
        <w:pStyle w:val="BodyText"/>
      </w:pPr>
      <w:r>
        <w:rPr>
          <w:rFonts w:hint="eastAsia"/>
        </w:rPr>
        <w:t xml:space="preserve">在香港聯交所上市、</w:t>
      </w:r>
      <w:r>
        <w:br/>
      </w:r>
      <w:r>
        <w:rPr>
          <w:rFonts w:hint="eastAsia"/>
        </w:rPr>
        <w:t xml:space="preserve">香港註冊並將</w:t>
      </w:r>
      <w:r>
        <w:br/>
      </w:r>
      <w:r>
        <w:rPr>
          <w:rFonts w:hint="eastAsia"/>
        </w:rPr>
        <w:t xml:space="preserve">總部設於香港</w:t>
      </w:r>
      <w:r>
        <w:br/>
      </w:r>
      <w:r>
        <w:rPr>
          <w:rFonts w:hint="eastAsia"/>
        </w:rPr>
        <w:t xml:space="preserve">最大的公司</w:t>
      </w:r>
    </w:p>
    <w:p>
      <w:pPr>
        <w:pStyle w:val="BodyText"/>
      </w:pPr>
      <w:r>
        <w:rPr>
          <w:rFonts w:hint="eastAsia"/>
        </w:rPr>
        <w:t xml:space="preserve">業務覆蓋</w:t>
      </w:r>
    </w:p>
    <w:p>
      <w:pPr>
        <w:pStyle w:val="BodyText"/>
      </w:pPr>
      <w:r>
        <w:rPr>
          <w:rFonts w:hint="eastAsia"/>
        </w:rPr>
        <w:t xml:space="preserve">18個市場</w:t>
      </w:r>
    </w:p>
    <w:p>
      <w:pPr>
        <w:pStyle w:val="BodyText"/>
      </w:pPr>
      <w:r>
        <w:rPr>
          <w:rFonts w:hint="eastAsia"/>
        </w:rPr>
        <w:t xml:space="preserve">百萬圓桌會</w:t>
      </w:r>
      <w:r>
        <w:br/>
      </w:r>
      <w:r>
        <w:rPr>
          <w:rFonts w:hint="eastAsia"/>
        </w:rPr>
        <w:t xml:space="preserve">註冊會員人數</w:t>
      </w:r>
      <w:r>
        <w:br/>
      </w:r>
      <w:r>
        <w:rPr>
          <w:rFonts w:hint="eastAsia"/>
        </w:rPr>
        <w:t xml:space="preserve">全球之冠</w:t>
      </w:r>
      <w:r>
        <w:br/>
      </w:r>
      <w:r>
        <w:rPr>
          <w:rFonts w:hint="eastAsia"/>
        </w:rPr>
        <w:t xml:space="preserve">唯一連續六年</w:t>
      </w:r>
      <w:r>
        <w:br/>
      </w:r>
      <w:r>
        <w:rPr>
          <w:rFonts w:hint="eastAsia"/>
        </w:rPr>
        <w:t xml:space="preserve">問鼎百萬圓桌會會員</w:t>
      </w:r>
      <w:r>
        <w:br/>
      </w:r>
      <w:r>
        <w:rPr>
          <w:rFonts w:hint="eastAsia"/>
        </w:rPr>
        <w:t xml:space="preserve">人數之冠的跨國公司</w:t>
      </w:r>
    </w:p>
    <w:p>
      <w:pPr>
        <w:pStyle w:val="BodyText"/>
      </w:pPr>
      <w:r>
        <w:rPr>
          <w:rFonts w:hint="eastAsia"/>
        </w:rPr>
        <w:t xml:space="preserve">於2020年內，我們已支付</w:t>
      </w:r>
      <w:r>
        <w:br/>
      </w:r>
      <w:r>
        <w:rPr>
          <w:rFonts w:hint="eastAsia"/>
        </w:rPr>
        <w:t xml:space="preserve">逾160億美元</w:t>
      </w:r>
    </w:p>
    <w:p>
      <w:pPr>
        <w:pStyle w:val="BodyText"/>
      </w:pPr>
      <w:r>
        <w:rPr>
          <w:rFonts w:hint="eastAsia"/>
        </w:rPr>
        <w:t xml:space="preserve">的保險給付和理賠，</w:t>
      </w:r>
      <w:r>
        <w:br/>
      </w:r>
      <w:r>
        <w:rPr>
          <w:rFonts w:hint="eastAsia"/>
        </w:rPr>
        <w:t xml:space="preserve">為客戶提供必不可少的</w:t>
      </w:r>
      <w:r>
        <w:br/>
      </w:r>
      <w:r>
        <w:rPr>
          <w:rFonts w:hint="eastAsia"/>
        </w:rPr>
        <w:t xml:space="preserve">財務支援</w:t>
      </w:r>
    </w:p>
    <w:p>
      <w:pPr>
        <w:pStyle w:val="BodyText"/>
      </w:pPr>
      <w:r>
        <w:rPr>
          <w:rFonts w:hint="eastAsia"/>
        </w:rPr>
        <w:t xml:space="preserve">為亞洲大眾提供保障，</w:t>
      </w:r>
      <w:r>
        <w:br/>
      </w:r>
      <w:r>
        <w:rPr>
          <w:rFonts w:hint="eastAsia"/>
        </w:rPr>
        <w:t xml:space="preserve">總保額接近</w:t>
      </w:r>
    </w:p>
    <w:p>
      <w:pPr>
        <w:pStyle w:val="BodyText"/>
      </w:pPr>
      <w:r>
        <w:rPr>
          <w:rFonts w:hint="eastAsia"/>
        </w:rPr>
        <w:t xml:space="preserve">2萬億美元</w:t>
      </w:r>
    </w:p>
    <w:p>
      <w:pPr>
        <w:pStyle w:val="BodyText"/>
      </w:pPr>
      <w:r>
        <w:t xml:space="preserve">001</w:t>
      </w:r>
    </w:p>
    <w:p>
      <w:pPr>
        <w:pStyle w:val="BodyText"/>
      </w:pPr>
      <w:r>
        <w:rPr>
          <w:rFonts w:hint="eastAsia"/>
        </w:rPr>
        <w:t xml:space="preserve">2020年報</w:t>
      </w:r>
    </w:p>
    <w:p>
      <w:pPr>
        <w:pStyle w:val="BodyText"/>
      </w:pPr>
      <w:r>
        <w:rPr>
          <w:rFonts w:hint="eastAsia"/>
        </w:rPr>
        <w:t xml:space="preserve">友邦保險的目標是協助大眾實現健康、長久、好生活。</w:t>
      </w:r>
    </w:p>
    <w:p>
      <w:pPr>
        <w:pStyle w:val="BodyText"/>
      </w:pPr>
      <w:r>
        <w:rPr>
          <w:rFonts w:hint="eastAsia"/>
        </w:rPr>
        <w:t xml:space="preserve">於2020年，2019冠狀病毒病為我們的社區帶來前所未見的</w:t>
      </w:r>
    </w:p>
    <w:p>
      <w:pPr>
        <w:pStyle w:val="BodyText"/>
      </w:pPr>
      <w:r>
        <w:rPr>
          <w:rFonts w:hint="eastAsia"/>
        </w:rPr>
        <w:t xml:space="preserve">風險。我們作出迅速和全面的應對，包括為我們的社區</w:t>
      </w:r>
    </w:p>
    <w:p>
      <w:pPr>
        <w:pStyle w:val="BodyText"/>
      </w:pPr>
      <w:r>
        <w:rPr>
          <w:rFonts w:hint="eastAsia"/>
        </w:rPr>
        <w:t xml:space="preserve">提供醫療物資，並為前線醫護和清潔人員提供免費保險</w:t>
      </w:r>
    </w:p>
    <w:p>
      <w:pPr>
        <w:pStyle w:val="BodyText"/>
      </w:pPr>
      <w:r>
        <w:rPr>
          <w:rFonts w:hint="eastAsia"/>
        </w:rPr>
        <w:t xml:space="preserve">保障，讓他們冒著生命危險執行抗疫工作時能減輕一份</w:t>
      </w:r>
    </w:p>
    <w:p>
      <w:pPr>
        <w:pStyle w:val="BodyText"/>
      </w:pPr>
      <w:r>
        <w:rPr>
          <w:rFonts w:hint="eastAsia"/>
        </w:rPr>
        <w:t xml:space="preserve">憂慮。我們為超過2,500萬份保單提供免費的2019冠狀病毒</w:t>
      </w:r>
    </w:p>
    <w:p>
      <w:pPr>
        <w:pStyle w:val="BodyText"/>
      </w:pPr>
      <w:r>
        <w:rPr>
          <w:rFonts w:hint="eastAsia"/>
        </w:rPr>
        <w:t xml:space="preserve">病相關保障覆蓋，並於12個市場提供10億美元的保費支</w:t>
      </w:r>
    </w:p>
    <w:p>
      <w:pPr>
        <w:pStyle w:val="BodyText"/>
      </w:pPr>
      <w:r>
        <w:rPr>
          <w:rFonts w:hint="eastAsia"/>
        </w:rPr>
        <w:t xml:space="preserve">援。年內，我們已支付逾160億美元的保險給付和理賠，</w:t>
      </w:r>
    </w:p>
    <w:p>
      <w:pPr>
        <w:pStyle w:val="BodyText"/>
      </w:pPr>
      <w:r>
        <w:rPr>
          <w:rFonts w:hint="eastAsia"/>
        </w:rPr>
        <w:t xml:space="preserve">提供必不可少的的財務支援。儘管疫情大流行的影響依</w:t>
      </w:r>
    </w:p>
    <w:p>
      <w:pPr>
        <w:pStyle w:val="BodyText"/>
      </w:pPr>
      <w:r>
        <w:rPr>
          <w:rFonts w:hint="eastAsia"/>
        </w:rPr>
        <w:t xml:space="preserve">然沒有結束，我們將繼續擔當支援的角色使我們的社區</w:t>
      </w:r>
    </w:p>
    <w:p>
      <w:pPr>
        <w:pStyle w:val="BodyText"/>
      </w:pPr>
      <w:r>
        <w:rPr>
          <w:rFonts w:hint="eastAsia"/>
        </w:rPr>
        <w:t xml:space="preserve">重拾活力。</w:t>
      </w:r>
    </w:p>
    <w:p>
      <w:pPr>
        <w:pStyle w:val="BodyText"/>
      </w:pPr>
      <w:r>
        <w:rPr>
          <w:rFonts w:hint="eastAsia"/>
        </w:rPr>
        <w:t xml:space="preserve">友</w:t>
      </w:r>
      <w:r>
        <w:t xml:space="preserve"> </w:t>
      </w:r>
      <w:r>
        <w:rPr>
          <w:rFonts w:hint="eastAsia"/>
        </w:rPr>
        <w:t xml:space="preserve">邦</w:t>
      </w:r>
      <w:r>
        <w:t xml:space="preserve"> </w:t>
      </w:r>
      <w:r>
        <w:rPr>
          <w:rFonts w:hint="eastAsia"/>
        </w:rPr>
        <w:t xml:space="preserve">保</w:t>
      </w:r>
      <w:r>
        <w:t xml:space="preserve"> </w:t>
      </w:r>
      <w:r>
        <w:rPr>
          <w:rFonts w:hint="eastAsia"/>
        </w:rPr>
        <w:t xml:space="preserve">險</w:t>
      </w:r>
      <w:r>
        <w:t xml:space="preserve"> </w:t>
      </w:r>
      <w:r>
        <w:rPr>
          <w:rFonts w:hint="eastAsia"/>
        </w:rPr>
        <w:t xml:space="preserve">今</w:t>
      </w:r>
      <w:r>
        <w:t xml:space="preserve"> </w:t>
      </w:r>
      <w:r>
        <w:rPr>
          <w:rFonts w:hint="eastAsia"/>
        </w:rPr>
        <w:t xml:space="preserve">天</w:t>
      </w:r>
      <w:r>
        <w:t xml:space="preserve"> </w:t>
      </w:r>
      <w:r>
        <w:rPr>
          <w:rFonts w:hint="eastAsia"/>
        </w:rPr>
        <w:t xml:space="preserve">的</w:t>
      </w:r>
      <w:r>
        <w:t xml:space="preserve"> </w:t>
      </w:r>
      <w:r>
        <w:rPr>
          <w:rFonts w:hint="eastAsia"/>
        </w:rPr>
        <w:t xml:space="preserve">業</w:t>
      </w:r>
      <w:r>
        <w:t xml:space="preserve"> </w:t>
      </w:r>
      <w:r>
        <w:rPr>
          <w:rFonts w:hint="eastAsia"/>
        </w:rPr>
        <w:t xml:space="preserve">務</w:t>
      </w:r>
      <w:r>
        <w:t xml:space="preserve"> </w:t>
      </w:r>
      <w:r>
        <w:rPr>
          <w:rFonts w:hint="eastAsia"/>
        </w:rPr>
        <w:t xml:space="preserve">由</w:t>
      </w:r>
      <w:r>
        <w:t xml:space="preserve"> </w:t>
      </w:r>
      <w:r>
        <w:rPr>
          <w:rFonts w:hint="eastAsia"/>
        </w:rPr>
        <w:t xml:space="preserve">史</w:t>
      </w:r>
      <w:r>
        <w:t xml:space="preserve"> </w:t>
      </w:r>
      <w:r>
        <w:rPr>
          <w:rFonts w:hint="eastAsia"/>
        </w:rPr>
        <w:t xml:space="preserve">戴</w:t>
      </w:r>
    </w:p>
    <w:p>
      <w:pPr>
        <w:pStyle w:val="BodyText"/>
      </w:pPr>
      <w:r>
        <w:rPr>
          <w:rFonts w:hint="eastAsia"/>
        </w:rPr>
        <w:t xml:space="preserve">長遠的關係，這種關係很多時更能跨越</w:t>
      </w:r>
    </w:p>
    <w:p>
      <w:pPr>
        <w:pStyle w:val="BodyText"/>
      </w:pPr>
      <w:r>
        <w:rPr>
          <w:rFonts w:hint="eastAsia"/>
        </w:rPr>
        <w:t xml:space="preserve">先生</w:t>
      </w:r>
      <w:r>
        <w:t xml:space="preserve"> (Cornelius Vander Starr)</w:t>
      </w:r>
    </w:p>
    <w:p>
      <w:pPr>
        <w:pStyle w:val="BodyText"/>
      </w:pPr>
      <w:r>
        <w:rPr>
          <w:rFonts w:hint="eastAsia"/>
        </w:rPr>
        <w:t xml:space="preserve">世代。</w:t>
      </w:r>
    </w:p>
    <w:p>
      <w:pPr>
        <w:pStyle w:val="BodyText"/>
      </w:pPr>
      <w:r>
        <w:rPr>
          <w:rFonts w:hint="eastAsia"/>
        </w:rPr>
        <w:t xml:space="preserve">始創於1919年的上海。</w:t>
      </w:r>
    </w:p>
    <w:p>
      <w:pPr>
        <w:pStyle w:val="BodyText"/>
      </w:pPr>
      <w:r>
        <w:rPr>
          <w:rFonts w:hint="eastAsia"/>
        </w:rPr>
        <w:t xml:space="preserve">秉承我們為客戶和社區帶來顯著和正面</w:t>
      </w:r>
    </w:p>
    <w:p>
      <w:pPr>
        <w:pStyle w:val="BodyText"/>
      </w:pPr>
      <w:r>
        <w:rPr>
          <w:rFonts w:hint="eastAsia"/>
        </w:rPr>
        <w:t xml:space="preserve">自</w:t>
      </w:r>
      <w:r>
        <w:t xml:space="preserve"> </w:t>
      </w:r>
      <w:r>
        <w:rPr>
          <w:rFonts w:hint="eastAsia"/>
        </w:rPr>
        <w:t xml:space="preserve">此</w:t>
      </w:r>
      <w:r>
        <w:t xml:space="preserve"> </w:t>
      </w:r>
      <w:r>
        <w:rPr>
          <w:rFonts w:hint="eastAsia"/>
        </w:rPr>
        <w:t xml:space="preserve">，</w:t>
      </w:r>
      <w:r>
        <w:t xml:space="preserve"> </w:t>
      </w:r>
      <w:r>
        <w:rPr>
          <w:rFonts w:hint="eastAsia"/>
        </w:rPr>
        <w:t xml:space="preserve">友</w:t>
      </w:r>
      <w:r>
        <w:t xml:space="preserve"> </w:t>
      </w:r>
      <w:r>
        <w:rPr>
          <w:rFonts w:hint="eastAsia"/>
        </w:rPr>
        <w:t xml:space="preserve">邦</w:t>
      </w:r>
      <w:r>
        <w:t xml:space="preserve"> </w:t>
      </w:r>
      <w:r>
        <w:rPr>
          <w:rFonts w:hint="eastAsia"/>
        </w:rPr>
        <w:t xml:space="preserve">保</w:t>
      </w:r>
      <w:r>
        <w:t xml:space="preserve"> </w:t>
      </w:r>
      <w:r>
        <w:rPr>
          <w:rFonts w:hint="eastAsia"/>
        </w:rPr>
        <w:t xml:space="preserve">險</w:t>
      </w:r>
      <w:r>
        <w:t xml:space="preserve"> </w:t>
      </w:r>
      <w:r>
        <w:rPr>
          <w:rFonts w:hint="eastAsia"/>
        </w:rPr>
        <w:t xml:space="preserve">發</w:t>
      </w:r>
      <w:r>
        <w:t xml:space="preserve"> </w:t>
      </w:r>
      <w:r>
        <w:rPr>
          <w:rFonts w:hint="eastAsia"/>
        </w:rPr>
        <w:t xml:space="preserve">展</w:t>
      </w:r>
      <w:r>
        <w:t xml:space="preserve"> </w:t>
      </w:r>
      <w:r>
        <w:rPr>
          <w:rFonts w:hint="eastAsia"/>
        </w:rPr>
        <w:t xml:space="preserve">成</w:t>
      </w:r>
      <w:r>
        <w:t xml:space="preserve"> </w:t>
      </w:r>
      <w:r>
        <w:rPr>
          <w:rFonts w:hint="eastAsia"/>
        </w:rPr>
        <w:t xml:space="preserve">為</w:t>
      </w:r>
      <w:r>
        <w:t xml:space="preserve"> </w:t>
      </w:r>
      <w:r>
        <w:rPr>
          <w:rFonts w:hint="eastAsia"/>
        </w:rPr>
        <w:t xml:space="preserve">全</w:t>
      </w:r>
      <w:r>
        <w:t xml:space="preserve"> </w:t>
      </w:r>
      <w:r>
        <w:rPr>
          <w:rFonts w:hint="eastAsia"/>
        </w:rPr>
        <w:t xml:space="preserve">球</w:t>
      </w:r>
      <w:r>
        <w:t xml:space="preserve"> </w:t>
      </w:r>
      <w:r>
        <w:rPr>
          <w:rFonts w:hint="eastAsia"/>
        </w:rPr>
        <w:t xml:space="preserve">最</w:t>
      </w:r>
      <w:r>
        <w:t xml:space="preserve"> </w:t>
      </w:r>
      <w:r>
        <w:rPr>
          <w:rFonts w:hint="eastAsia"/>
        </w:rPr>
        <w:t xml:space="preserve">大</w:t>
      </w:r>
      <w:r>
        <w:t xml:space="preserve"> </w:t>
      </w:r>
      <w:r>
        <w:rPr>
          <w:rFonts w:hint="eastAsia"/>
        </w:rPr>
        <w:t xml:space="preserve">的</w:t>
      </w:r>
    </w:p>
    <w:p>
      <w:pPr>
        <w:pStyle w:val="BodyText"/>
      </w:pPr>
      <w:r>
        <w:rPr>
          <w:rFonts w:hint="eastAsia"/>
        </w:rPr>
        <w:t xml:space="preserve">影響的承諾，友邦保險的目標是協助大</w:t>
      </w:r>
    </w:p>
    <w:p>
      <w:pPr>
        <w:pStyle w:val="BodyText"/>
      </w:pPr>
      <w:r>
        <w:rPr>
          <w:rFonts w:hint="eastAsia"/>
        </w:rPr>
        <w:t xml:space="preserve">泛亞地區獨立上市人壽保險集團，業務</w:t>
      </w:r>
    </w:p>
    <w:p>
      <w:pPr>
        <w:pStyle w:val="BodyText"/>
      </w:pPr>
      <w:r>
        <w:rPr>
          <w:rFonts w:hint="eastAsia"/>
        </w:rPr>
        <w:t xml:space="preserve">眾實現健康、長久、好生活。我們的目標</w:t>
      </w:r>
    </w:p>
    <w:p>
      <w:pPr>
        <w:pStyle w:val="BodyText"/>
      </w:pPr>
      <w:r>
        <w:rPr>
          <w:rFonts w:hint="eastAsia"/>
        </w:rPr>
        <w:t xml:space="preserve">覆</w:t>
      </w:r>
      <w:r>
        <w:t xml:space="preserve"> </w:t>
      </w:r>
      <w:r>
        <w:rPr>
          <w:rFonts w:hint="eastAsia"/>
        </w:rPr>
        <w:t xml:space="preserve">蓋</w:t>
      </w:r>
      <w:r>
        <w:t xml:space="preserve"> 1 8 </w:t>
      </w:r>
      <w:r>
        <w:rPr>
          <w:rFonts w:hint="eastAsia"/>
        </w:rPr>
        <w:t xml:space="preserve">個</w:t>
      </w:r>
      <w:r>
        <w:t xml:space="preserve"> </w:t>
      </w:r>
      <w:r>
        <w:rPr>
          <w:rFonts w:hint="eastAsia"/>
        </w:rPr>
        <w:t xml:space="preserve">市</w:t>
      </w:r>
      <w:r>
        <w:t xml:space="preserve"> </w:t>
      </w:r>
      <w:r>
        <w:rPr>
          <w:rFonts w:hint="eastAsia"/>
        </w:rPr>
        <w:t xml:space="preserve">場</w:t>
      </w:r>
      <w:r>
        <w:t xml:space="preserve"> </w:t>
      </w:r>
      <w:r>
        <w:rPr>
          <w:rFonts w:hint="eastAsia"/>
        </w:rPr>
        <w:t xml:space="preserve">，</w:t>
      </w:r>
      <w:r>
        <w:t xml:space="preserve"> </w:t>
      </w:r>
      <w:r>
        <w:rPr>
          <w:rFonts w:hint="eastAsia"/>
        </w:rPr>
        <w:t xml:space="preserve">為</w:t>
      </w:r>
      <w:r>
        <w:t xml:space="preserve"> </w:t>
      </w:r>
      <w:r>
        <w:rPr>
          <w:rFonts w:hint="eastAsia"/>
        </w:rPr>
        <w:t xml:space="preserve">超</w:t>
      </w:r>
      <w:r>
        <w:t xml:space="preserve"> </w:t>
      </w:r>
      <w:r>
        <w:rPr>
          <w:rFonts w:hint="eastAsia"/>
        </w:rPr>
        <w:t xml:space="preserve">過</w:t>
      </w:r>
      <w:r>
        <w:t xml:space="preserve"> 3 , 8 0 0 </w:t>
      </w:r>
      <w:r>
        <w:rPr>
          <w:rFonts w:hint="eastAsia"/>
        </w:rPr>
        <w:t xml:space="preserve">萬</w:t>
      </w:r>
      <w:r>
        <w:t xml:space="preserve"> </w:t>
      </w:r>
      <w:r>
        <w:rPr>
          <w:rFonts w:hint="eastAsia"/>
        </w:rPr>
        <w:t xml:space="preserve">份</w:t>
      </w:r>
      <w:r>
        <w:t xml:space="preserve"> </w:t>
      </w:r>
      <w:r>
        <w:rPr>
          <w:rFonts w:hint="eastAsia"/>
        </w:rPr>
        <w:t xml:space="preserve">個</w:t>
      </w:r>
      <w:r>
        <w:t xml:space="preserve"> </w:t>
      </w:r>
      <w:r>
        <w:rPr>
          <w:rFonts w:hint="eastAsia"/>
        </w:rPr>
        <w:t xml:space="preserve">人</w:t>
      </w:r>
    </w:p>
    <w:p>
      <w:pPr>
        <w:pStyle w:val="BodyText"/>
      </w:pPr>
      <w:r>
        <w:rPr>
          <w:rFonts w:hint="eastAsia"/>
        </w:rPr>
        <w:t xml:space="preserve">引</w:t>
      </w:r>
      <w:r>
        <w:t xml:space="preserve"> </w:t>
      </w:r>
      <w:r>
        <w:rPr>
          <w:rFonts w:hint="eastAsia"/>
        </w:rPr>
        <w:t xml:space="preserve">領</w:t>
      </w:r>
      <w:r>
        <w:t xml:space="preserve"> </w:t>
      </w:r>
      <w:r>
        <w:rPr>
          <w:rFonts w:hint="eastAsia"/>
        </w:rPr>
        <w:t xml:space="preserve">我</w:t>
      </w:r>
      <w:r>
        <w:t xml:space="preserve"> </w:t>
      </w:r>
      <w:r>
        <w:rPr>
          <w:rFonts w:hint="eastAsia"/>
        </w:rPr>
        <w:t xml:space="preserve">們</w:t>
      </w:r>
      <w:r>
        <w:t xml:space="preserve"> </w:t>
      </w:r>
      <w:r>
        <w:rPr>
          <w:rFonts w:hint="eastAsia"/>
        </w:rPr>
        <w:t xml:space="preserve">作</w:t>
      </w:r>
      <w:r>
        <w:t xml:space="preserve"> </w:t>
      </w:r>
      <w:r>
        <w:rPr>
          <w:rFonts w:hint="eastAsia"/>
        </w:rPr>
        <w:t xml:space="preserve">為</w:t>
      </w:r>
      <w:r>
        <w:t xml:space="preserve"> </w:t>
      </w:r>
      <w:r>
        <w:rPr>
          <w:rFonts w:hint="eastAsia"/>
        </w:rPr>
        <w:t xml:space="preserve">一</w:t>
      </w:r>
      <w:r>
        <w:t xml:space="preserve"> </w:t>
      </w:r>
      <w:r>
        <w:rPr>
          <w:rFonts w:hint="eastAsia"/>
        </w:rPr>
        <w:t xml:space="preserve">家</w:t>
      </w:r>
      <w:r>
        <w:t xml:space="preserve"> </w:t>
      </w:r>
      <w:r>
        <w:rPr>
          <w:rFonts w:hint="eastAsia"/>
        </w:rPr>
        <w:t xml:space="preserve">機</w:t>
      </w:r>
      <w:r>
        <w:t xml:space="preserve"> </w:t>
      </w:r>
      <w:r>
        <w:rPr>
          <w:rFonts w:hint="eastAsia"/>
        </w:rPr>
        <w:t xml:space="preserve">構</w:t>
      </w:r>
      <w:r>
        <w:t xml:space="preserve"> </w:t>
      </w:r>
      <w:r>
        <w:rPr>
          <w:rFonts w:hint="eastAsia"/>
        </w:rPr>
        <w:t xml:space="preserve">的</w:t>
      </w:r>
      <w:r>
        <w:t xml:space="preserve"> </w:t>
      </w:r>
      <w:r>
        <w:rPr>
          <w:rFonts w:hint="eastAsia"/>
        </w:rPr>
        <w:t xml:space="preserve">決</w:t>
      </w:r>
      <w:r>
        <w:t xml:space="preserve"> </w:t>
      </w:r>
      <w:r>
        <w:rPr>
          <w:rFonts w:hint="eastAsia"/>
        </w:rPr>
        <w:t xml:space="preserve">策</w:t>
      </w:r>
      <w:r>
        <w:t xml:space="preserve"> </w:t>
      </w:r>
      <w:r>
        <w:rPr>
          <w:rFonts w:hint="eastAsia"/>
        </w:rPr>
        <w:t xml:space="preserve">及</w:t>
      </w:r>
      <w:r>
        <w:t xml:space="preserve"> </w:t>
      </w:r>
      <w:r>
        <w:rPr>
          <w:rFonts w:hint="eastAsia"/>
        </w:rPr>
        <w:t xml:space="preserve">工</w:t>
      </w:r>
      <w:r>
        <w:t xml:space="preserve"> </w:t>
      </w:r>
      <w:r>
        <w:rPr>
          <w:rFonts w:hint="eastAsia"/>
        </w:rPr>
        <w:t xml:space="preserve">作</w:t>
      </w:r>
    </w:p>
    <w:p>
      <w:pPr>
        <w:pStyle w:val="BodyText"/>
      </w:pPr>
      <w:r>
        <w:rPr>
          <w:rFonts w:hint="eastAsia"/>
        </w:rPr>
        <w:t xml:space="preserve">保</w:t>
      </w:r>
      <w:r>
        <w:t xml:space="preserve"> </w:t>
      </w:r>
      <w:r>
        <w:rPr>
          <w:rFonts w:hint="eastAsia"/>
        </w:rPr>
        <w:t xml:space="preserve">單</w:t>
      </w:r>
      <w:r>
        <w:t xml:space="preserve"> </w:t>
      </w:r>
      <w:r>
        <w:rPr>
          <w:rFonts w:hint="eastAsia"/>
        </w:rPr>
        <w:t xml:space="preserve">的</w:t>
      </w:r>
      <w:r>
        <w:t xml:space="preserve"> </w:t>
      </w:r>
      <w:r>
        <w:rPr>
          <w:rFonts w:hint="eastAsia"/>
        </w:rPr>
        <w:t xml:space="preserve">持</w:t>
      </w:r>
      <w:r>
        <w:t xml:space="preserve"> </w:t>
      </w:r>
      <w:r>
        <w:rPr>
          <w:rFonts w:hint="eastAsia"/>
        </w:rPr>
        <w:t xml:space="preserve">有</w:t>
      </w:r>
      <w:r>
        <w:t xml:space="preserve"> </w:t>
      </w:r>
      <w:r>
        <w:rPr>
          <w:rFonts w:hint="eastAsia"/>
        </w:rPr>
        <w:t xml:space="preserve">人</w:t>
      </w:r>
      <w:r>
        <w:t xml:space="preserve"> </w:t>
      </w:r>
      <w:r>
        <w:rPr>
          <w:rFonts w:hint="eastAsia"/>
        </w:rPr>
        <w:t xml:space="preserve">及</w:t>
      </w:r>
      <w:r>
        <w:t xml:space="preserve"> </w:t>
      </w:r>
      <w:r>
        <w:rPr>
          <w:rFonts w:hint="eastAsia"/>
        </w:rPr>
        <w:t xml:space="preserve">逾</w:t>
      </w:r>
      <w:r>
        <w:t xml:space="preserve"> 1 , 6 0 0 </w:t>
      </w:r>
      <w:r>
        <w:rPr>
          <w:rFonts w:hint="eastAsia"/>
        </w:rPr>
        <w:t xml:space="preserve">萬</w:t>
      </w:r>
      <w:r>
        <w:t xml:space="preserve"> </w:t>
      </w:r>
      <w:r>
        <w:rPr>
          <w:rFonts w:hint="eastAsia"/>
        </w:rPr>
        <w:t xml:space="preserve">名</w:t>
      </w:r>
      <w:r>
        <w:t xml:space="preserve"> </w:t>
      </w:r>
      <w:r>
        <w:rPr>
          <w:rFonts w:hint="eastAsia"/>
        </w:rPr>
        <w:t xml:space="preserve">團</w:t>
      </w:r>
      <w:r>
        <w:t xml:space="preserve"> </w:t>
      </w:r>
      <w:r>
        <w:rPr>
          <w:rFonts w:hint="eastAsia"/>
        </w:rPr>
        <w:t xml:space="preserve">體</w:t>
      </w:r>
      <w:r>
        <w:t xml:space="preserve"> </w:t>
      </w:r>
      <w:r>
        <w:rPr>
          <w:rFonts w:hint="eastAsia"/>
        </w:rPr>
        <w:t xml:space="preserve">保</w:t>
      </w:r>
      <w:r>
        <w:t xml:space="preserve"> </w:t>
      </w:r>
      <w:r>
        <w:rPr>
          <w:rFonts w:hint="eastAsia"/>
        </w:rPr>
        <w:t xml:space="preserve">險</w:t>
      </w:r>
    </w:p>
    <w:p>
      <w:pPr>
        <w:pStyle w:val="BodyText"/>
      </w:pPr>
      <w:r>
        <w:rPr>
          <w:rFonts w:hint="eastAsia"/>
        </w:rPr>
        <w:t xml:space="preserve">宗旨，即讓大眾明白和管理其健康、並</w:t>
      </w:r>
    </w:p>
    <w:p>
      <w:pPr>
        <w:pStyle w:val="BodyText"/>
      </w:pPr>
      <w:r>
        <w:rPr>
          <w:rFonts w:hint="eastAsia"/>
        </w:rPr>
        <w:t xml:space="preserve">計劃的參與成員提供服務。</w:t>
      </w:r>
    </w:p>
    <w:p>
      <w:pPr>
        <w:pStyle w:val="BodyText"/>
      </w:pPr>
      <w:r>
        <w:rPr>
          <w:rFonts w:hint="eastAsia"/>
        </w:rPr>
        <w:t xml:space="preserve">滿足他們的長期儲蓄和保障需要。我們</w:t>
      </w:r>
    </w:p>
    <w:p>
      <w:pPr>
        <w:pStyle w:val="BodyText"/>
      </w:pPr>
      <w:r>
        <w:rPr>
          <w:rFonts w:hint="eastAsia"/>
        </w:rPr>
        <w:t xml:space="preserve">我</w:t>
      </w:r>
      <w:r>
        <w:t xml:space="preserve"> </w:t>
      </w:r>
      <w:r>
        <w:rPr>
          <w:rFonts w:hint="eastAsia"/>
        </w:rPr>
        <w:t xml:space="preserve">們</w:t>
      </w:r>
      <w:r>
        <w:t xml:space="preserve"> </w:t>
      </w:r>
      <w:r>
        <w:rPr>
          <w:rFonts w:hint="eastAsia"/>
        </w:rPr>
        <w:t xml:space="preserve">的</w:t>
      </w:r>
      <w:r>
        <w:t xml:space="preserve"> </w:t>
      </w:r>
      <w:r>
        <w:rPr>
          <w:rFonts w:hint="eastAsia"/>
        </w:rPr>
        <w:t xml:space="preserve">貢</w:t>
      </w:r>
      <w:r>
        <w:t xml:space="preserve"> </w:t>
      </w:r>
      <w:r>
        <w:rPr>
          <w:rFonts w:hint="eastAsia"/>
        </w:rPr>
        <w:t xml:space="preserve">獻</w:t>
      </w:r>
      <w:r>
        <w:t xml:space="preserve"> </w:t>
      </w:r>
      <w:r>
        <w:rPr>
          <w:rFonts w:hint="eastAsia"/>
        </w:rPr>
        <w:t xml:space="preserve">為</w:t>
      </w:r>
      <w:r>
        <w:t xml:space="preserve"> </w:t>
      </w:r>
      <w:r>
        <w:rPr>
          <w:rFonts w:hint="eastAsia"/>
        </w:rPr>
        <w:t xml:space="preserve">我</w:t>
      </w:r>
      <w:r>
        <w:t xml:space="preserve"> </w:t>
      </w:r>
      <w:r>
        <w:rPr>
          <w:rFonts w:hint="eastAsia"/>
        </w:rPr>
        <w:t xml:space="preserve">們</w:t>
      </w:r>
      <w:r>
        <w:t xml:space="preserve"> </w:t>
      </w:r>
      <w:r>
        <w:rPr>
          <w:rFonts w:hint="eastAsia"/>
        </w:rPr>
        <w:t xml:space="preserve">所</w:t>
      </w:r>
      <w:r>
        <w:t xml:space="preserve"> </w:t>
      </w:r>
      <w:r>
        <w:rPr>
          <w:rFonts w:hint="eastAsia"/>
        </w:rPr>
        <w:t xml:space="preserve">在</w:t>
      </w:r>
      <w:r>
        <w:t xml:space="preserve"> </w:t>
      </w:r>
      <w:r>
        <w:rPr>
          <w:rFonts w:hint="eastAsia"/>
        </w:rPr>
        <w:t xml:space="preserve">市</w:t>
      </w:r>
      <w:r>
        <w:t xml:space="preserve"> </w:t>
      </w:r>
      <w:r>
        <w:rPr>
          <w:rFonts w:hint="eastAsia"/>
        </w:rPr>
        <w:t xml:space="preserve">場</w:t>
      </w:r>
      <w:r>
        <w:t xml:space="preserve"> </w:t>
      </w:r>
      <w:r>
        <w:rPr>
          <w:rFonts w:hint="eastAsia"/>
        </w:rPr>
        <w:t xml:space="preserve">的</w:t>
      </w:r>
      <w:r>
        <w:t xml:space="preserve"> </w:t>
      </w:r>
      <w:r>
        <w:rPr>
          <w:rFonts w:hint="eastAsia"/>
        </w:rPr>
        <w:t xml:space="preserve">社</w:t>
      </w:r>
      <w:r>
        <w:t xml:space="preserve"> </w:t>
      </w:r>
      <w:r>
        <w:rPr>
          <w:rFonts w:hint="eastAsia"/>
        </w:rPr>
        <w:t xml:space="preserve">會</w:t>
      </w:r>
      <w:r>
        <w:t xml:space="preserve"> </w:t>
      </w:r>
      <w:r>
        <w:rPr>
          <w:rFonts w:hint="eastAsia"/>
        </w:rPr>
        <w:t xml:space="preserve">和</w:t>
      </w:r>
    </w:p>
    <w:p>
      <w:pPr>
        <w:pStyle w:val="BodyText"/>
      </w:pPr>
      <w:r>
        <w:rPr>
          <w:rFonts w:hint="eastAsia"/>
        </w:rPr>
        <w:t xml:space="preserve">經濟發展帶來支持，並同時在亞洲區內</w:t>
      </w:r>
    </w:p>
    <w:p>
      <w:pPr>
        <w:pStyle w:val="BodyText"/>
      </w:pPr>
      <w:r>
        <w:rPr>
          <w:rFonts w:hint="eastAsia"/>
        </w:rPr>
        <w:t xml:space="preserve">提升人壽保險的覆蓋和影響。我們亦很</w:t>
      </w:r>
    </w:p>
    <w:p>
      <w:pPr>
        <w:pStyle w:val="BodyText"/>
      </w:pPr>
      <w:r>
        <w:rPr>
          <w:rFonts w:hint="eastAsia"/>
        </w:rPr>
        <w:t xml:space="preserve">自</w:t>
      </w:r>
      <w:r>
        <w:t xml:space="preserve"> </w:t>
      </w:r>
      <w:r>
        <w:rPr>
          <w:rFonts w:hint="eastAsia"/>
        </w:rPr>
        <w:t xml:space="preserve">豪</w:t>
      </w:r>
      <w:r>
        <w:t xml:space="preserve"> </w:t>
      </w:r>
      <w:r>
        <w:rPr>
          <w:rFonts w:hint="eastAsia"/>
        </w:rPr>
        <w:t xml:space="preserve">，</w:t>
      </w:r>
      <w:r>
        <w:t xml:space="preserve"> </w:t>
      </w:r>
      <w:r>
        <w:rPr>
          <w:rFonts w:hint="eastAsia"/>
        </w:rPr>
        <w:t xml:space="preserve">能</w:t>
      </w:r>
      <w:r>
        <w:t xml:space="preserve"> </w:t>
      </w:r>
      <w:r>
        <w:rPr>
          <w:rFonts w:hint="eastAsia"/>
        </w:rPr>
        <w:t xml:space="preserve">夠</w:t>
      </w:r>
      <w:r>
        <w:t xml:space="preserve"> </w:t>
      </w:r>
      <w:r>
        <w:rPr>
          <w:rFonts w:hint="eastAsia"/>
        </w:rPr>
        <w:t xml:space="preserve">與</w:t>
      </w:r>
      <w:r>
        <w:t xml:space="preserve"> </w:t>
      </w:r>
      <w:r>
        <w:rPr>
          <w:rFonts w:hint="eastAsia"/>
        </w:rPr>
        <w:t xml:space="preserve">我</w:t>
      </w:r>
      <w:r>
        <w:t xml:space="preserve"> </w:t>
      </w:r>
      <w:r>
        <w:rPr>
          <w:rFonts w:hint="eastAsia"/>
        </w:rPr>
        <w:t xml:space="preserve">們</w:t>
      </w:r>
      <w:r>
        <w:t xml:space="preserve"> </w:t>
      </w:r>
      <w:r>
        <w:rPr>
          <w:rFonts w:hint="eastAsia"/>
        </w:rPr>
        <w:t xml:space="preserve">的</w:t>
      </w:r>
      <w:r>
        <w:t xml:space="preserve"> </w:t>
      </w:r>
      <w:r>
        <w:rPr>
          <w:rFonts w:hint="eastAsia"/>
        </w:rPr>
        <w:t xml:space="preserve">客</w:t>
      </w:r>
      <w:r>
        <w:t xml:space="preserve"> </w:t>
      </w:r>
      <w:r>
        <w:rPr>
          <w:rFonts w:hint="eastAsia"/>
        </w:rPr>
        <w:t xml:space="preserve">戶</w:t>
      </w:r>
      <w:r>
        <w:t xml:space="preserve"> </w:t>
      </w:r>
      <w:r>
        <w:rPr>
          <w:rFonts w:hint="eastAsia"/>
        </w:rPr>
        <w:t xml:space="preserve">和</w:t>
      </w:r>
      <w:r>
        <w:t xml:space="preserve"> </w:t>
      </w:r>
      <w:r>
        <w:rPr>
          <w:rFonts w:hint="eastAsia"/>
        </w:rPr>
        <w:t xml:space="preserve">代</w:t>
      </w:r>
      <w:r>
        <w:t xml:space="preserve"> </w:t>
      </w:r>
      <w:r>
        <w:rPr>
          <w:rFonts w:hint="eastAsia"/>
        </w:rPr>
        <w:t xml:space="preserve">理</w:t>
      </w:r>
      <w:r>
        <w:t xml:space="preserve"> </w:t>
      </w:r>
      <w:r>
        <w:rPr>
          <w:rFonts w:hint="eastAsia"/>
        </w:rPr>
        <w:t xml:space="preserve">維</w:t>
      </w:r>
      <w:r>
        <w:t xml:space="preserve"> </w:t>
      </w:r>
      <w:r>
        <w:rPr>
          <w:rFonts w:hint="eastAsia"/>
        </w:rPr>
        <w:t xml:space="preserve">持</w:t>
      </w:r>
    </w:p>
    <w:p>
      <w:pPr>
        <w:pStyle w:val="BodyText"/>
      </w:pPr>
      <w:r>
        <w:rPr>
          <w:rFonts w:hint="eastAsia"/>
        </w:rPr>
        <w:t xml:space="preserve">相</w:t>
      </w:r>
      <w:r>
        <w:t xml:space="preserve"> </w:t>
      </w:r>
      <w:r>
        <w:rPr>
          <w:rFonts w:hint="eastAsia"/>
        </w:rPr>
        <w:t xml:space="preserve">信</w:t>
      </w:r>
      <w:r>
        <w:t xml:space="preserve"> </w:t>
      </w:r>
      <w:r>
        <w:rPr>
          <w:rFonts w:hint="eastAsia"/>
        </w:rPr>
        <w:t xml:space="preserve">無</w:t>
      </w:r>
      <w:r>
        <w:t xml:space="preserve"> </w:t>
      </w:r>
      <w:r>
        <w:rPr>
          <w:rFonts w:hint="eastAsia"/>
        </w:rPr>
        <w:t xml:space="preserve">論</w:t>
      </w:r>
      <w:r>
        <w:t xml:space="preserve"> </w:t>
      </w:r>
      <w:r>
        <w:rPr>
          <w:rFonts w:hint="eastAsia"/>
        </w:rPr>
        <w:t xml:space="preserve">是</w:t>
      </w:r>
      <w:r>
        <w:t xml:space="preserve"> </w:t>
      </w:r>
      <w:r>
        <w:rPr>
          <w:rFonts w:hint="eastAsia"/>
        </w:rPr>
        <w:t xml:space="preserve">現</w:t>
      </w:r>
      <w:r>
        <w:t xml:space="preserve"> </w:t>
      </w:r>
      <w:r>
        <w:rPr>
          <w:rFonts w:hint="eastAsia"/>
        </w:rPr>
        <w:t xml:space="preserve">在</w:t>
      </w:r>
      <w:r>
        <w:t xml:space="preserve"> </w:t>
      </w:r>
      <w:r>
        <w:rPr>
          <w:rFonts w:hint="eastAsia"/>
        </w:rPr>
        <w:t xml:space="preserve">或</w:t>
      </w:r>
      <w:r>
        <w:t xml:space="preserve"> </w:t>
      </w:r>
      <w:r>
        <w:rPr>
          <w:rFonts w:hint="eastAsia"/>
        </w:rPr>
        <w:t xml:space="preserve">未</w:t>
      </w:r>
      <w:r>
        <w:t xml:space="preserve"> </w:t>
      </w:r>
      <w:r>
        <w:rPr>
          <w:rFonts w:hint="eastAsia"/>
        </w:rPr>
        <w:t xml:space="preserve">來</w:t>
      </w:r>
      <w:r>
        <w:t xml:space="preserve"> </w:t>
      </w:r>
      <w:r>
        <w:rPr>
          <w:rFonts w:hint="eastAsia"/>
        </w:rPr>
        <w:t xml:space="preserve">，</w:t>
      </w:r>
      <w:r>
        <w:t xml:space="preserve"> </w:t>
      </w:r>
      <w:r>
        <w:rPr>
          <w:rFonts w:hint="eastAsia"/>
        </w:rPr>
        <w:t xml:space="preserve">最</w:t>
      </w:r>
      <w:r>
        <w:t xml:space="preserve"> </w:t>
      </w:r>
      <w:r>
        <w:rPr>
          <w:rFonts w:hint="eastAsia"/>
        </w:rPr>
        <w:t xml:space="preserve">重</w:t>
      </w:r>
      <w:r>
        <w:t xml:space="preserve"> </w:t>
      </w:r>
      <w:r>
        <w:rPr>
          <w:rFonts w:hint="eastAsia"/>
        </w:rPr>
        <w:t xml:space="preserve">要</w:t>
      </w:r>
      <w:r>
        <w:t xml:space="preserve"> </w:t>
      </w:r>
      <w:r>
        <w:rPr>
          <w:rFonts w:hint="eastAsia"/>
        </w:rPr>
        <w:t xml:space="preserve">和</w:t>
      </w:r>
      <w:r>
        <w:t xml:space="preserve"> </w:t>
      </w:r>
      <w:r>
        <w:rPr>
          <w:rFonts w:hint="eastAsia"/>
        </w:rPr>
        <w:t xml:space="preserve">最</w:t>
      </w:r>
    </w:p>
    <w:p>
      <w:pPr>
        <w:pStyle w:val="BodyText"/>
      </w:pPr>
      <w:r>
        <w:rPr>
          <w:rFonts w:hint="eastAsia"/>
        </w:rPr>
        <w:t xml:space="preserve">值得我們為社區付出的工作之一，就是</w:t>
      </w:r>
    </w:p>
    <w:p>
      <w:pPr>
        <w:pStyle w:val="BodyText"/>
      </w:pPr>
      <w:r>
        <w:rPr>
          <w:rFonts w:hint="eastAsia"/>
        </w:rPr>
        <w:t xml:space="preserve">協助創造一個更健康的亞洲。</w:t>
      </w:r>
    </w:p>
    <w:p>
      <w:pPr>
        <w:pStyle w:val="BodyText"/>
      </w:pPr>
      <w:r>
        <w:t xml:space="preserve">004</w:t>
      </w:r>
    </w:p>
    <w:p>
      <w:pPr>
        <w:pStyle w:val="BodyText"/>
      </w:pPr>
      <w:r>
        <w:t xml:space="preserve">2020 </w:t>
      </w:r>
      <w:r>
        <w:rPr>
          <w:rFonts w:hint="eastAsia"/>
        </w:rPr>
        <w:t xml:space="preserve">年里程碑</w:t>
      </w:r>
    </w:p>
    <w:p>
      <w:pPr>
        <w:pStyle w:val="BodyText"/>
      </w:pPr>
      <w:r>
        <w:rPr>
          <w:rFonts w:hint="eastAsia"/>
        </w:rPr>
        <w:t xml:space="preserve">友邦保險承諾投放一億美元設立「友邦獎學金」</w:t>
      </w:r>
    </w:p>
    <w:p>
      <w:pPr>
        <w:pStyle w:val="BodyText"/>
      </w:pPr>
      <w:r>
        <w:rPr>
          <w:rFonts w:hint="eastAsia"/>
        </w:rPr>
        <w:t xml:space="preserve">友邦保險宣佈設立「友邦獎學金」，並承諾</w:t>
      </w:r>
    </w:p>
    <w:p>
      <w:pPr>
        <w:pStyle w:val="BodyText"/>
      </w:pPr>
      <w:r>
        <w:rPr>
          <w:rFonts w:hint="eastAsia"/>
        </w:rPr>
        <w:t xml:space="preserve">友邦獎學金旨在資助學業成績傑出並服務</w:t>
      </w:r>
    </w:p>
    <w:p>
      <w:pPr>
        <w:pStyle w:val="BodyText"/>
      </w:pPr>
      <w:r>
        <w:rPr>
          <w:rFonts w:hint="eastAsia"/>
        </w:rPr>
        <w:t xml:space="preserve">投放一億美元，在未來數十年每年資助</w:t>
      </w:r>
    </w:p>
    <w:p>
      <w:pPr>
        <w:pStyle w:val="BodyText"/>
      </w:pPr>
      <w:r>
        <w:rPr>
          <w:rFonts w:hint="eastAsia"/>
        </w:rPr>
        <w:t xml:space="preserve">社會的學生、以及那些需要經濟資助以</w:t>
      </w:r>
    </w:p>
    <w:p>
      <w:pPr>
        <w:pStyle w:val="BodyText"/>
      </w:pPr>
      <w:r>
        <w:rPr>
          <w:rFonts w:hint="eastAsia"/>
        </w:rPr>
        <w:t xml:space="preserve">100名</w:t>
      </w:r>
      <w:r>
        <w:t xml:space="preserve"> </w:t>
      </w:r>
      <w:r>
        <w:rPr>
          <w:rFonts w:hint="eastAsia"/>
        </w:rPr>
        <w:t xml:space="preserve">就</w:t>
      </w:r>
      <w:r>
        <w:t xml:space="preserve"> </w:t>
      </w:r>
      <w:r>
        <w:rPr>
          <w:rFonts w:hint="eastAsia"/>
        </w:rPr>
        <w:t xml:space="preserve">讀</w:t>
      </w:r>
      <w:r>
        <w:t xml:space="preserve"> </w:t>
      </w:r>
      <w:r>
        <w:rPr>
          <w:rFonts w:hint="eastAsia"/>
        </w:rPr>
        <w:t xml:space="preserve">於</w:t>
      </w:r>
      <w:r>
        <w:t xml:space="preserve"> </w:t>
      </w:r>
      <w:r>
        <w:rPr>
          <w:rFonts w:hint="eastAsia"/>
        </w:rPr>
        <w:t xml:space="preserve">香</w:t>
      </w:r>
      <w:r>
        <w:t xml:space="preserve"> </w:t>
      </w:r>
      <w:r>
        <w:rPr>
          <w:rFonts w:hint="eastAsia"/>
        </w:rPr>
        <w:t xml:space="preserve">港</w:t>
      </w:r>
      <w:r>
        <w:t xml:space="preserve"> </w:t>
      </w:r>
      <w:r>
        <w:rPr>
          <w:rFonts w:hint="eastAsia"/>
        </w:rPr>
        <w:t xml:space="preserve">多</w:t>
      </w:r>
      <w:r>
        <w:t xml:space="preserve"> </w:t>
      </w:r>
      <w:r>
        <w:rPr>
          <w:rFonts w:hint="eastAsia"/>
        </w:rPr>
        <w:t xml:space="preserve">間</w:t>
      </w:r>
      <w:r>
        <w:t xml:space="preserve"> </w:t>
      </w:r>
      <w:r>
        <w:rPr>
          <w:rFonts w:hint="eastAsia"/>
        </w:rPr>
        <w:t xml:space="preserve">大</w:t>
      </w:r>
      <w:r>
        <w:t xml:space="preserve"> </w:t>
      </w:r>
      <w:r>
        <w:rPr>
          <w:rFonts w:hint="eastAsia"/>
        </w:rPr>
        <w:t xml:space="preserve">學</w:t>
      </w:r>
      <w:r>
        <w:t xml:space="preserve"> </w:t>
      </w:r>
      <w:r>
        <w:rPr>
          <w:rFonts w:hint="eastAsia"/>
        </w:rPr>
        <w:t xml:space="preserve">的</w:t>
      </w:r>
      <w:r>
        <w:t xml:space="preserve"> </w:t>
      </w:r>
      <w:r>
        <w:rPr>
          <w:rFonts w:hint="eastAsia"/>
        </w:rPr>
        <w:t xml:space="preserve">本</w:t>
      </w:r>
      <w:r>
        <w:t xml:space="preserve"> </w:t>
      </w:r>
      <w:r>
        <w:rPr>
          <w:rFonts w:hint="eastAsia"/>
        </w:rPr>
        <w:t xml:space="preserve">科</w:t>
      </w:r>
      <w:r>
        <w:t xml:space="preserve"> </w:t>
      </w:r>
      <w:r>
        <w:rPr>
          <w:rFonts w:hint="eastAsia"/>
        </w:rPr>
        <w:t xml:space="preserve">生</w:t>
      </w:r>
      <w:r>
        <w:t xml:space="preserve"> 。</w:t>
      </w:r>
    </w:p>
    <w:p>
      <w:pPr>
        <w:pStyle w:val="BodyText"/>
      </w:pPr>
      <w:r>
        <w:rPr>
          <w:rFonts w:hint="eastAsia"/>
        </w:rPr>
        <w:t xml:space="preserve">繼續其學業的學生。</w:t>
      </w:r>
    </w:p>
    <w:p>
      <w:pPr>
        <w:pStyle w:val="BodyText"/>
      </w:pPr>
      <w:r>
        <w:rPr>
          <w:rFonts w:hint="eastAsia"/>
        </w:rPr>
        <w:t xml:space="preserve">友邦保險在中國內地成立</w:t>
      </w:r>
      <w:r>
        <w:br/>
      </w:r>
      <w:r>
        <w:rPr>
          <w:rFonts w:hint="eastAsia"/>
        </w:rPr>
        <w:t xml:space="preserve">獨資人身保險子公司</w:t>
      </w:r>
    </w:p>
    <w:p>
      <w:pPr>
        <w:pStyle w:val="BodyText"/>
      </w:pPr>
      <w:r>
        <w:rPr>
          <w:rFonts w:hint="eastAsia"/>
        </w:rPr>
        <w:t xml:space="preserve">友邦保險成功於2020年10月將其中國內地</w:t>
      </w:r>
    </w:p>
    <w:p>
      <w:pPr>
        <w:pStyle w:val="BodyText"/>
      </w:pPr>
      <w:r>
        <w:rPr>
          <w:rFonts w:hint="eastAsia"/>
        </w:rPr>
        <w:t xml:space="preserve">業務改建為首家人身保險子公司，而有關</w:t>
      </w:r>
    </w:p>
    <w:p>
      <w:pPr>
        <w:pStyle w:val="BodyText"/>
      </w:pPr>
      <w:r>
        <w:rPr>
          <w:rFonts w:hint="eastAsia"/>
        </w:rPr>
        <w:t xml:space="preserve">批復已於2020年6月取得。於2021年3月，</w:t>
      </w:r>
    </w:p>
    <w:p>
      <w:pPr>
        <w:pStyle w:val="BodyText"/>
      </w:pPr>
      <w:r>
        <w:rPr>
          <w:rFonts w:hint="eastAsia"/>
        </w:rPr>
        <w:t xml:space="preserve">我</w:t>
      </w:r>
      <w:r>
        <w:t xml:space="preserve"> </w:t>
      </w:r>
      <w:r>
        <w:rPr>
          <w:rFonts w:hint="eastAsia"/>
        </w:rPr>
        <w:t xml:space="preserve">們</w:t>
      </w:r>
      <w:r>
        <w:t xml:space="preserve"> </w:t>
      </w:r>
      <w:r>
        <w:rPr>
          <w:rFonts w:hint="eastAsia"/>
        </w:rPr>
        <w:t xml:space="preserve">已</w:t>
      </w:r>
      <w:r>
        <w:t xml:space="preserve"> </w:t>
      </w:r>
      <w:r>
        <w:rPr>
          <w:rFonts w:hint="eastAsia"/>
        </w:rPr>
        <w:t xml:space="preserve">獲</w:t>
      </w:r>
      <w:r>
        <w:t xml:space="preserve"> </w:t>
      </w:r>
      <w:r>
        <w:rPr>
          <w:rFonts w:hint="eastAsia"/>
        </w:rPr>
        <w:t xml:space="preserve">得</w:t>
      </w:r>
      <w:r>
        <w:t xml:space="preserve"> </w:t>
      </w:r>
      <w:r>
        <w:rPr>
          <w:rFonts w:hint="eastAsia"/>
        </w:rPr>
        <w:t xml:space="preserve">中</w:t>
      </w:r>
      <w:r>
        <w:t xml:space="preserve"> </w:t>
      </w:r>
      <w:r>
        <w:rPr>
          <w:rFonts w:hint="eastAsia"/>
        </w:rPr>
        <w:t xml:space="preserve">國</w:t>
      </w:r>
      <w:r>
        <w:t xml:space="preserve"> </w:t>
      </w:r>
      <w:r>
        <w:rPr>
          <w:rFonts w:hint="eastAsia"/>
        </w:rPr>
        <w:t xml:space="preserve">銀</w:t>
      </w:r>
      <w:r>
        <w:t xml:space="preserve"> </w:t>
      </w:r>
      <w:r>
        <w:rPr>
          <w:rFonts w:hint="eastAsia"/>
        </w:rPr>
        <w:t xml:space="preserve">行</w:t>
      </w:r>
      <w:r>
        <w:t xml:space="preserve"> </w:t>
      </w:r>
      <w:r>
        <w:rPr>
          <w:rFonts w:hint="eastAsia"/>
        </w:rPr>
        <w:t xml:space="preserve">保</w:t>
      </w:r>
      <w:r>
        <w:t xml:space="preserve"> </w:t>
      </w:r>
      <w:r>
        <w:rPr>
          <w:rFonts w:hint="eastAsia"/>
        </w:rPr>
        <w:t xml:space="preserve">險</w:t>
      </w:r>
      <w:r>
        <w:t xml:space="preserve"> </w:t>
      </w:r>
      <w:r>
        <w:rPr>
          <w:rFonts w:hint="eastAsia"/>
        </w:rPr>
        <w:t xml:space="preserve">監</w:t>
      </w:r>
      <w:r>
        <w:t xml:space="preserve"> </w:t>
      </w:r>
      <w:r>
        <w:rPr>
          <w:rFonts w:hint="eastAsia"/>
        </w:rPr>
        <w:t xml:space="preserve">督</w:t>
      </w:r>
      <w:r>
        <w:t xml:space="preserve"> </w:t>
      </w:r>
      <w:r>
        <w:rPr>
          <w:rFonts w:hint="eastAsia"/>
        </w:rPr>
        <w:t xml:space="preserve">委</w:t>
      </w:r>
      <w:r>
        <w:t xml:space="preserve"> </w:t>
      </w:r>
      <w:r>
        <w:rPr>
          <w:rFonts w:hint="eastAsia"/>
        </w:rPr>
        <w:t xml:space="preserve">員</w:t>
      </w:r>
      <w:r>
        <w:t xml:space="preserve"> </w:t>
      </w:r>
      <w:r>
        <w:rPr>
          <w:rFonts w:hint="eastAsia"/>
        </w:rPr>
        <w:t xml:space="preserve">會</w:t>
      </w:r>
    </w:p>
    <w:p>
      <w:pPr>
        <w:pStyle w:val="BodyText"/>
      </w:pPr>
      <w:r>
        <w:rPr>
          <w:rFonts w:hint="eastAsia"/>
        </w:rPr>
        <w:t xml:space="preserve">批復，准予在四川省開業。</w:t>
      </w:r>
    </w:p>
    <w:p>
      <w:pPr>
        <w:pStyle w:val="BodyText"/>
      </w:pPr>
      <w:r>
        <w:rPr>
          <w:rFonts w:hint="eastAsia"/>
        </w:rPr>
        <w:t xml:space="preserve">友邦保險連續第六年榮登</w:t>
      </w:r>
      <w:r>
        <w:br/>
      </w:r>
      <w:r>
        <w:rPr>
          <w:rFonts w:hint="eastAsia"/>
        </w:rPr>
        <w:t xml:space="preserve">百萬圓桌會排名榜首</w:t>
      </w:r>
    </w:p>
    <w:p>
      <w:pPr>
        <w:pStyle w:val="BodyText"/>
      </w:pPr>
      <w:r>
        <w:rPr>
          <w:rFonts w:hint="eastAsia"/>
        </w:rPr>
        <w:t xml:space="preserve">友邦保險成為全球唯一一家跨國公司連續</w:t>
      </w:r>
    </w:p>
    <w:p>
      <w:pPr>
        <w:pStyle w:val="BodyText"/>
      </w:pPr>
      <w:r>
        <w:rPr>
          <w:rFonts w:hint="eastAsia"/>
        </w:rPr>
        <w:t xml:space="preserve">六年擁有最多百萬圓桌會註冊會員。</w:t>
      </w:r>
    </w:p>
    <w:p>
      <w:pPr>
        <w:pStyle w:val="BodyText"/>
      </w:pPr>
      <w:r>
        <w:t xml:space="preserve">2020 </w:t>
      </w:r>
      <w:r>
        <w:rPr>
          <w:rFonts w:hint="eastAsia"/>
        </w:rPr>
        <w:t xml:space="preserve">年報</w:t>
      </w:r>
    </w:p>
    <w:p>
      <w:pPr>
        <w:pStyle w:val="BodyText"/>
      </w:pPr>
      <w:r>
        <w:t xml:space="preserve">005</w:t>
      </w:r>
    </w:p>
    <w:p>
      <w:pPr>
        <w:pStyle w:val="BodyText"/>
      </w:pPr>
      <w:r>
        <w:rPr>
          <w:rFonts w:hint="eastAsia"/>
        </w:rPr>
        <w:t xml:space="preserve">2020年業績一覽(1)</w:t>
      </w:r>
    </w:p>
    <w:p>
      <w:pPr>
        <w:pStyle w:val="BodyText"/>
      </w:pPr>
      <w:r>
        <w:rPr>
          <w:rFonts w:hint="eastAsia"/>
        </w:rPr>
        <w:t xml:space="preserve">新業務價值(2)(8)</w:t>
      </w:r>
    </w:p>
    <w:p>
      <w:pPr>
        <w:pStyle w:val="BodyText"/>
      </w:pPr>
      <w:r>
        <w:t xml:space="preserve">US$ MILLIONS</w:t>
      </w:r>
      <w:r>
        <w:br/>
      </w:r>
      <w:r>
        <w:rPr>
          <w:rFonts w:hint="eastAsia"/>
        </w:rPr>
        <w:t xml:space="preserve">百萬美元</w:t>
      </w:r>
    </w:p>
    <w:p>
      <w:pPr>
        <w:pStyle w:val="BodyText"/>
      </w:pPr>
      <w:r>
        <w:rPr>
          <w:rFonts w:hint="eastAsia"/>
        </w:rPr>
        <w:t xml:space="preserve">年化新保費(3)(8)</w:t>
      </w:r>
    </w:p>
    <w:p>
      <w:pPr>
        <w:pStyle w:val="BodyText"/>
      </w:pPr>
      <w:r>
        <w:t xml:space="preserve">US$ MILLIONS</w:t>
      </w:r>
      <w:r>
        <w:br/>
      </w:r>
      <w:r>
        <w:rPr>
          <w:rFonts w:hint="eastAsia"/>
        </w:rPr>
        <w:t xml:space="preserve">百萬美元</w:t>
      </w:r>
    </w:p>
    <w:p>
      <w:pPr>
        <w:pStyle w:val="BodyText"/>
      </w:pPr>
      <w:r>
        <w:t xml:space="preserve">6,510</w:t>
      </w:r>
    </w:p>
    <w:p>
      <w:pPr>
        <w:pStyle w:val="BodyText"/>
      </w:pPr>
      <w:r>
        <w:t xml:space="preserve">6,585</w:t>
      </w:r>
    </w:p>
    <w:p>
      <w:pPr>
        <w:pStyle w:val="BodyText"/>
      </w:pPr>
      <w:r>
        <w:t xml:space="preserve">5,624</w:t>
      </w:r>
    </w:p>
    <w:p>
      <w:pPr>
        <w:pStyle w:val="BodyText"/>
      </w:pPr>
      <w:r>
        <w:t xml:space="preserve">5,123</w:t>
      </w:r>
    </w:p>
    <w:p>
      <w:pPr>
        <w:pStyle w:val="BodyText"/>
      </w:pPr>
      <w:r>
        <w:t xml:space="preserve">5,219</w:t>
      </w:r>
    </w:p>
    <w:p>
      <w:pPr>
        <w:pStyle w:val="BodyText"/>
      </w:pPr>
      <w:r>
        <w:t xml:space="preserve">4,154</w:t>
      </w:r>
    </w:p>
    <w:p>
      <w:pPr>
        <w:pStyle w:val="BodyText"/>
      </w:pPr>
      <w:r>
        <w:t xml:space="preserve">3,955</w:t>
      </w:r>
    </w:p>
    <w:p>
      <w:pPr>
        <w:pStyle w:val="BodyText"/>
      </w:pPr>
      <w:r>
        <w:t xml:space="preserve">3,206</w:t>
      </w:r>
    </w:p>
    <w:p>
      <w:pPr>
        <w:pStyle w:val="BodyText"/>
      </w:pPr>
      <w:r>
        <w:t xml:space="preserve">2,750</w:t>
      </w:r>
    </w:p>
    <w:p>
      <w:pPr>
        <w:pStyle w:val="BodyText"/>
      </w:pPr>
      <w:r>
        <w:t xml:space="preserve">2,765</w:t>
      </w:r>
    </w:p>
    <w:p>
      <w:pPr>
        <w:pStyle w:val="BodyText"/>
      </w:pPr>
      <w:r>
        <w:t xml:space="preserve">4,500</w:t>
      </w:r>
    </w:p>
    <w:p>
      <w:pPr>
        <w:pStyle w:val="BodyText"/>
      </w:pPr>
      <w:r>
        <w:t xml:space="preserve">4,000</w:t>
      </w:r>
    </w:p>
    <w:p>
      <w:pPr>
        <w:pStyle w:val="BodyText"/>
      </w:pPr>
      <w:r>
        <w:t xml:space="preserve">3,500</w:t>
      </w:r>
    </w:p>
    <w:p>
      <w:pPr>
        <w:pStyle w:val="BodyText"/>
      </w:pPr>
      <w:r>
        <w:t xml:space="preserve">3,000</w:t>
      </w:r>
    </w:p>
    <w:p>
      <w:pPr>
        <w:pStyle w:val="BodyText"/>
      </w:pPr>
      <w:r>
        <w:t xml:space="preserve">2,500</w:t>
      </w:r>
    </w:p>
    <w:p>
      <w:pPr>
        <w:pStyle w:val="BodyText"/>
      </w:pPr>
      <w:r>
        <w:t xml:space="preserve">2,000</w:t>
      </w:r>
    </w:p>
    <w:p>
      <w:pPr>
        <w:pStyle w:val="BodyText"/>
      </w:pPr>
      <w:r>
        <w:t xml:space="preserve">1,500</w:t>
      </w:r>
    </w:p>
    <w:p>
      <w:pPr>
        <w:pStyle w:val="BodyText"/>
      </w:pPr>
      <w:r>
        <w:t xml:space="preserve">1,000</w:t>
      </w:r>
    </w:p>
    <w:p>
      <w:pPr>
        <w:pStyle w:val="BodyText"/>
      </w:pPr>
      <w:r>
        <w:t xml:space="preserve">500</w:t>
      </w:r>
    </w:p>
    <w:p>
      <w:pPr>
        <w:pStyle w:val="BodyText"/>
      </w:pPr>
      <w:r>
        <w:t xml:space="preserve">0</w:t>
      </w:r>
    </w:p>
    <w:p>
      <w:pPr>
        <w:pStyle w:val="BodyText"/>
      </w:pPr>
      <w:r>
        <w:t xml:space="preserve">7,000</w:t>
      </w:r>
    </w:p>
    <w:p>
      <w:pPr>
        <w:pStyle w:val="BodyText"/>
      </w:pPr>
      <w:r>
        <w:t xml:space="preserve">6,000</w:t>
      </w:r>
    </w:p>
    <w:p>
      <w:pPr>
        <w:pStyle w:val="BodyText"/>
      </w:pPr>
      <w:r>
        <w:t xml:space="preserve">5,000</w:t>
      </w:r>
    </w:p>
    <w:p>
      <w:pPr>
        <w:pStyle w:val="BodyText"/>
      </w:pPr>
      <w:r>
        <w:t xml:space="preserve">4,000</w:t>
      </w:r>
    </w:p>
    <w:p>
      <w:pPr>
        <w:pStyle w:val="BodyText"/>
      </w:pPr>
      <w:r>
        <w:t xml:space="preserve">3,000</w:t>
      </w:r>
    </w:p>
    <w:p>
      <w:pPr>
        <w:pStyle w:val="BodyText"/>
      </w:pPr>
      <w:r>
        <w:t xml:space="preserve">2,000</w:t>
      </w:r>
    </w:p>
    <w:p>
      <w:pPr>
        <w:pStyle w:val="BodyText"/>
      </w:pPr>
      <w:r>
        <w:t xml:space="preserve">1,000</w:t>
      </w:r>
    </w:p>
    <w:p>
      <w:pPr>
        <w:pStyle w:val="BodyText"/>
      </w:pPr>
      <w:r>
        <w:t xml:space="preserve">0</w:t>
      </w:r>
    </w:p>
    <w:p>
      <w:pPr>
        <w:pStyle w:val="BodyText"/>
      </w:pPr>
      <w:r>
        <w:t xml:space="preserve">2016</w:t>
      </w:r>
    </w:p>
    <w:p>
      <w:pPr>
        <w:pStyle w:val="BodyText"/>
      </w:pPr>
      <w:r>
        <w:t xml:space="preserve">2017</w:t>
      </w:r>
    </w:p>
    <w:p>
      <w:pPr>
        <w:pStyle w:val="BodyText"/>
      </w:pPr>
      <w:r>
        <w:t xml:space="preserve">2018</w:t>
      </w:r>
    </w:p>
    <w:p>
      <w:pPr>
        <w:pStyle w:val="BodyText"/>
      </w:pPr>
      <w:r>
        <w:t xml:space="preserve">2019</w:t>
      </w:r>
    </w:p>
    <w:p>
      <w:pPr>
        <w:pStyle w:val="BodyText"/>
      </w:pPr>
      <w:r>
        <w:t xml:space="preserve">2020</w:t>
      </w:r>
    </w:p>
    <w:p>
      <w:pPr>
        <w:pStyle w:val="BodyText"/>
      </w:pPr>
      <w:r>
        <w:t xml:space="preserve">2016</w:t>
      </w:r>
    </w:p>
    <w:p>
      <w:pPr>
        <w:pStyle w:val="BodyText"/>
      </w:pPr>
      <w:r>
        <w:t xml:space="preserve">2017</w:t>
      </w:r>
    </w:p>
    <w:p>
      <w:pPr>
        <w:pStyle w:val="BodyText"/>
      </w:pPr>
      <w:r>
        <w:t xml:space="preserve">2018</w:t>
      </w:r>
    </w:p>
    <w:p>
      <w:pPr>
        <w:pStyle w:val="BodyText"/>
      </w:pPr>
      <w:r>
        <w:t xml:space="preserve">2019</w:t>
      </w:r>
    </w:p>
    <w:p>
      <w:pPr>
        <w:pStyle w:val="BodyText"/>
      </w:pPr>
      <w:r>
        <w:t xml:space="preserve">2020</w:t>
      </w:r>
    </w:p>
    <w:p>
      <w:pPr>
        <w:pStyle w:val="BodyText"/>
      </w:pPr>
      <w:r>
        <w:t xml:space="preserve">5,942</w:t>
      </w:r>
    </w:p>
    <w:p>
      <w:pPr>
        <w:pStyle w:val="BodyText"/>
      </w:pPr>
      <w:r>
        <w:t xml:space="preserve">5,689</w:t>
      </w:r>
    </w:p>
    <w:p>
      <w:pPr>
        <w:pStyle w:val="BodyText"/>
      </w:pPr>
      <w:r>
        <w:t xml:space="preserve">5,298</w:t>
      </w:r>
    </w:p>
    <w:p>
      <w:pPr>
        <w:pStyle w:val="BodyText"/>
      </w:pPr>
      <w:r>
        <w:rPr>
          <w:rFonts w:hint="eastAsia"/>
        </w:rPr>
        <w:t xml:space="preserve">稅後營運溢利(4)(9)</w:t>
      </w:r>
    </w:p>
    <w:p>
      <w:pPr>
        <w:pStyle w:val="BodyText"/>
      </w:pPr>
      <w:r>
        <w:t xml:space="preserve">US$ MILLIONS</w:t>
      </w:r>
      <w:r>
        <w:br/>
      </w:r>
      <w:r>
        <w:rPr>
          <w:rFonts w:hint="eastAsia"/>
        </w:rPr>
        <w:t xml:space="preserve">百萬美元</w:t>
      </w:r>
    </w:p>
    <w:p>
      <w:pPr>
        <w:pStyle w:val="BodyText"/>
      </w:pPr>
      <w:r>
        <w:t xml:space="preserve">4,635</w:t>
      </w:r>
    </w:p>
    <w:p>
      <w:pPr>
        <w:pStyle w:val="BodyText"/>
      </w:pPr>
      <w:r>
        <w:t xml:space="preserve">3,981</w:t>
      </w:r>
    </w:p>
    <w:p>
      <w:pPr>
        <w:pStyle w:val="BodyText"/>
      </w:pPr>
      <w:r>
        <w:t xml:space="preserve">6,000</w:t>
      </w:r>
    </w:p>
    <w:p>
      <w:pPr>
        <w:pStyle w:val="BodyText"/>
      </w:pPr>
      <w:r>
        <w:t xml:space="preserve">5,000</w:t>
      </w:r>
    </w:p>
    <w:p>
      <w:pPr>
        <w:pStyle w:val="BodyText"/>
      </w:pPr>
      <w:r>
        <w:t xml:space="preserve">4,000</w:t>
      </w:r>
    </w:p>
    <w:p>
      <w:pPr>
        <w:pStyle w:val="BodyText"/>
      </w:pPr>
      <w:r>
        <w:t xml:space="preserve">3,000</w:t>
      </w:r>
    </w:p>
    <w:p>
      <w:pPr>
        <w:pStyle w:val="BodyText"/>
      </w:pPr>
      <w:r>
        <w:t xml:space="preserve">2,000</w:t>
      </w:r>
    </w:p>
    <w:p>
      <w:pPr>
        <w:pStyle w:val="BodyText"/>
      </w:pPr>
      <w:r>
        <w:t xml:space="preserve">1,000</w:t>
      </w:r>
    </w:p>
    <w:p>
      <w:pPr>
        <w:pStyle w:val="BodyText"/>
      </w:pPr>
      <w:r>
        <w:t xml:space="preserve">0</w:t>
      </w:r>
    </w:p>
    <w:p>
      <w:pPr>
        <w:pStyle w:val="BodyText"/>
      </w:pPr>
      <w:r>
        <w:rPr>
          <w:rFonts w:hint="eastAsia"/>
        </w:rPr>
        <w:t xml:space="preserve">總加權保費收入(5)</w:t>
      </w:r>
    </w:p>
    <w:p>
      <w:pPr>
        <w:pStyle w:val="BodyText"/>
      </w:pPr>
      <w:r>
        <w:t xml:space="preserve">US$ MILLIONS</w:t>
      </w:r>
      <w:r>
        <w:br/>
      </w:r>
      <w:r>
        <w:rPr>
          <w:rFonts w:hint="eastAsia"/>
        </w:rPr>
        <w:t xml:space="preserve">百萬美元</w:t>
      </w:r>
    </w:p>
    <w:p>
      <w:pPr>
        <w:pStyle w:val="BodyText"/>
      </w:pPr>
      <w:r>
        <w:t xml:space="preserve">34,002</w:t>
      </w:r>
    </w:p>
    <w:p>
      <w:pPr>
        <w:pStyle w:val="BodyText"/>
      </w:pPr>
      <w:r>
        <w:t xml:space="preserve">35,408</w:t>
      </w:r>
    </w:p>
    <w:p>
      <w:pPr>
        <w:pStyle w:val="BodyText"/>
      </w:pPr>
      <w:r>
        <w:t xml:space="preserve">30,543</w:t>
      </w:r>
    </w:p>
    <w:p>
      <w:pPr>
        <w:pStyle w:val="BodyText"/>
      </w:pPr>
      <w:r>
        <w:t xml:space="preserve">26,393</w:t>
      </w:r>
    </w:p>
    <w:p>
      <w:pPr>
        <w:pStyle w:val="BodyText"/>
      </w:pPr>
      <w:r>
        <w:t xml:space="preserve">22,133</w:t>
      </w:r>
    </w:p>
    <w:p>
      <w:pPr>
        <w:pStyle w:val="BodyText"/>
      </w:pPr>
      <w:r>
        <w:t xml:space="preserve">40,000</w:t>
      </w:r>
    </w:p>
    <w:p>
      <w:pPr>
        <w:pStyle w:val="BodyText"/>
      </w:pPr>
      <w:r>
        <w:t xml:space="preserve">35,000</w:t>
      </w:r>
    </w:p>
    <w:p>
      <w:pPr>
        <w:pStyle w:val="BodyText"/>
      </w:pPr>
      <w:r>
        <w:t xml:space="preserve">30,000</w:t>
      </w:r>
    </w:p>
    <w:p>
      <w:pPr>
        <w:pStyle w:val="BodyText"/>
      </w:pPr>
      <w:r>
        <w:t xml:space="preserve">25,000</w:t>
      </w:r>
    </w:p>
    <w:p>
      <w:pPr>
        <w:pStyle w:val="BodyText"/>
      </w:pPr>
      <w:r>
        <w:t xml:space="preserve">20,000</w:t>
      </w:r>
    </w:p>
    <w:p>
      <w:pPr>
        <w:pStyle w:val="BodyText"/>
      </w:pPr>
      <w:r>
        <w:t xml:space="preserve">15,000</w:t>
      </w:r>
    </w:p>
    <w:p>
      <w:pPr>
        <w:pStyle w:val="BodyText"/>
      </w:pPr>
      <w:r>
        <w:t xml:space="preserve">10,000</w:t>
      </w:r>
    </w:p>
    <w:p>
      <w:pPr>
        <w:pStyle w:val="BodyText"/>
      </w:pPr>
      <w:r>
        <w:t xml:space="preserve">5,000</w:t>
      </w:r>
    </w:p>
    <w:p>
      <w:pPr>
        <w:pStyle w:val="BodyText"/>
      </w:pPr>
      <w:r>
        <w:t xml:space="preserve">0</w:t>
      </w:r>
    </w:p>
    <w:p>
      <w:pPr>
        <w:pStyle w:val="BodyText"/>
      </w:pPr>
      <w:r>
        <w:t xml:space="preserve">2016</w:t>
      </w:r>
    </w:p>
    <w:p>
      <w:pPr>
        <w:pStyle w:val="BodyText"/>
      </w:pPr>
      <w:r>
        <w:t xml:space="preserve">2017</w:t>
      </w:r>
    </w:p>
    <w:p>
      <w:pPr>
        <w:pStyle w:val="BodyText"/>
      </w:pPr>
      <w:r>
        <w:t xml:space="preserve">2018</w:t>
      </w:r>
    </w:p>
    <w:p>
      <w:pPr>
        <w:pStyle w:val="BodyText"/>
      </w:pPr>
      <w:r>
        <w:t xml:space="preserve">2019</w:t>
      </w:r>
    </w:p>
    <w:p>
      <w:pPr>
        <w:pStyle w:val="BodyText"/>
      </w:pPr>
      <w:r>
        <w:t xml:space="preserve">2020</w:t>
      </w:r>
    </w:p>
    <w:p>
      <w:pPr>
        <w:pStyle w:val="BodyText"/>
      </w:pPr>
      <w:r>
        <w:t xml:space="preserve">2016</w:t>
      </w:r>
    </w:p>
    <w:p>
      <w:pPr>
        <w:pStyle w:val="BodyText"/>
      </w:pPr>
      <w:r>
        <w:t xml:space="preserve">2017</w:t>
      </w:r>
    </w:p>
    <w:p>
      <w:pPr>
        <w:pStyle w:val="BodyText"/>
      </w:pPr>
      <w:r>
        <w:t xml:space="preserve">2018</w:t>
      </w:r>
    </w:p>
    <w:p>
      <w:pPr>
        <w:pStyle w:val="BodyText"/>
      </w:pPr>
      <w:r>
        <w:t xml:space="preserve">2019</w:t>
      </w:r>
    </w:p>
    <w:p>
      <w:pPr>
        <w:pStyle w:val="BodyText"/>
      </w:pPr>
      <w:r>
        <w:t xml:space="preserve">2020</w:t>
      </w:r>
    </w:p>
    <w:p>
      <w:pPr>
        <w:pStyle w:val="BodyText"/>
      </w:pPr>
      <w:r>
        <w:rPr>
          <w:rFonts w:hint="eastAsia"/>
        </w:rPr>
        <w:t xml:space="preserve">內涵價值權益(6)</w:t>
      </w:r>
    </w:p>
    <w:p>
      <w:pPr>
        <w:pStyle w:val="BodyText"/>
      </w:pPr>
      <w:r>
        <w:t xml:space="preserve">US$ MILLIONS</w:t>
      </w:r>
      <w:r>
        <w:br/>
      </w:r>
      <w:r>
        <w:rPr>
          <w:rFonts w:hint="eastAsia"/>
        </w:rPr>
        <w:t xml:space="preserve">百萬美元</w:t>
      </w:r>
    </w:p>
    <w:p>
      <w:pPr>
        <w:pStyle w:val="BodyText"/>
      </w:pPr>
      <w:r>
        <w:rPr>
          <w:rFonts w:hint="eastAsia"/>
        </w:rPr>
        <w:t xml:space="preserve">總資產及總負債(9)</w:t>
      </w:r>
    </w:p>
    <w:p>
      <w:pPr>
        <w:pStyle w:val="BodyText"/>
      </w:pPr>
      <w:r>
        <w:t xml:space="preserve">US$ BILLIONS</w:t>
      </w:r>
      <w:r>
        <w:br/>
      </w:r>
      <w:r>
        <w:rPr>
          <w:rFonts w:hint="eastAsia"/>
        </w:rPr>
        <w:t xml:space="preserve">十億美元</w:t>
      </w:r>
    </w:p>
    <w:p>
      <w:pPr>
        <w:pStyle w:val="BodyText"/>
      </w:pPr>
      <w:r>
        <w:t xml:space="preserve">67,185</w:t>
      </w:r>
    </w:p>
    <w:p>
      <w:pPr>
        <w:pStyle w:val="BodyText"/>
      </w:pPr>
      <w:r>
        <w:t xml:space="preserve">63,905</w:t>
      </w:r>
    </w:p>
    <w:p>
      <w:pPr>
        <w:pStyle w:val="BodyText"/>
      </w:pPr>
      <w:r>
        <w:t xml:space="preserve">56,203</w:t>
      </w:r>
    </w:p>
    <w:p>
      <w:pPr>
        <w:pStyle w:val="BodyText"/>
      </w:pPr>
      <w:r>
        <w:t xml:space="preserve">52,429</w:t>
      </w:r>
    </w:p>
    <w:p>
      <w:pPr>
        <w:pStyle w:val="BodyText"/>
      </w:pPr>
      <w:r>
        <w:t xml:space="preserve">43,650</w:t>
      </w:r>
    </w:p>
    <w:p>
      <w:pPr>
        <w:pStyle w:val="BodyText"/>
      </w:pPr>
      <w:r>
        <w:t xml:space="preserve">326</w:t>
      </w:r>
    </w:p>
    <w:p>
      <w:pPr>
        <w:pStyle w:val="BodyText"/>
      </w:pPr>
      <w:r>
        <w:t xml:space="preserve">262</w:t>
      </w:r>
    </w:p>
    <w:p>
      <w:pPr>
        <w:pStyle w:val="BodyText"/>
      </w:pPr>
      <w:r>
        <w:t xml:space="preserve">284</w:t>
      </w:r>
    </w:p>
    <w:p>
      <w:pPr>
        <w:pStyle w:val="BodyText"/>
      </w:pPr>
      <w:r>
        <w:t xml:space="preserve">229</w:t>
      </w:r>
    </w:p>
    <w:p>
      <w:pPr>
        <w:pStyle w:val="BodyText"/>
      </w:pPr>
      <w:r>
        <w:t xml:space="preserve">219</w:t>
      </w:r>
    </w:p>
    <w:p>
      <w:pPr>
        <w:pStyle w:val="BodyText"/>
      </w:pPr>
      <w:r>
        <w:t xml:space="preserve">175</w:t>
      </w:r>
    </w:p>
    <w:p>
      <w:pPr>
        <w:pStyle w:val="BodyText"/>
      </w:pPr>
      <w:r>
        <w:t xml:space="preserve">230</w:t>
      </w:r>
    </w:p>
    <w:p>
      <w:pPr>
        <w:pStyle w:val="BodyText"/>
      </w:pPr>
      <w:r>
        <w:t xml:space="preserve">190</w:t>
      </w:r>
    </w:p>
    <w:p>
      <w:pPr>
        <w:pStyle w:val="BodyText"/>
      </w:pPr>
      <w:r>
        <w:t xml:space="preserve">185</w:t>
      </w:r>
    </w:p>
    <w:p>
      <w:pPr>
        <w:pStyle w:val="BodyText"/>
      </w:pPr>
      <w:r>
        <w:t xml:space="preserve">150</w:t>
      </w:r>
    </w:p>
    <w:p>
      <w:pPr>
        <w:pStyle w:val="BodyText"/>
      </w:pPr>
      <w:r>
        <w:t xml:space="preserve">350</w:t>
      </w:r>
    </w:p>
    <w:p>
      <w:pPr>
        <w:pStyle w:val="BodyText"/>
      </w:pPr>
      <w:r>
        <w:t xml:space="preserve">300</w:t>
      </w:r>
    </w:p>
    <w:p>
      <w:pPr>
        <w:pStyle w:val="BodyText"/>
      </w:pPr>
      <w:r>
        <w:t xml:space="preserve">250</w:t>
      </w:r>
    </w:p>
    <w:p>
      <w:pPr>
        <w:pStyle w:val="BodyText"/>
      </w:pPr>
      <w:r>
        <w:t xml:space="preserve">200</w:t>
      </w:r>
    </w:p>
    <w:p>
      <w:pPr>
        <w:pStyle w:val="BodyText"/>
      </w:pPr>
      <w:r>
        <w:t xml:space="preserve">150</w:t>
      </w:r>
    </w:p>
    <w:p>
      <w:pPr>
        <w:pStyle w:val="BodyText"/>
      </w:pPr>
      <w:r>
        <w:t xml:space="preserve">100</w:t>
      </w:r>
    </w:p>
    <w:p>
      <w:pPr>
        <w:pStyle w:val="BodyText"/>
      </w:pPr>
      <w:r>
        <w:t xml:space="preserve">50</w:t>
      </w:r>
    </w:p>
    <w:p>
      <w:pPr>
        <w:pStyle w:val="BodyText"/>
      </w:pPr>
      <w:r>
        <w:t xml:space="preserve">0</w:t>
      </w:r>
    </w:p>
    <w:p>
      <w:pPr>
        <w:pStyle w:val="BodyText"/>
      </w:pPr>
      <w:r>
        <w:t xml:space="preserve">2016</w:t>
      </w:r>
    </w:p>
    <w:p>
      <w:pPr>
        <w:pStyle w:val="BodyText"/>
      </w:pPr>
      <w:r>
        <w:t xml:space="preserve">2017</w:t>
      </w:r>
    </w:p>
    <w:p>
      <w:pPr>
        <w:pStyle w:val="BodyText"/>
      </w:pPr>
      <w:r>
        <w:t xml:space="preserve">2018</w:t>
      </w:r>
    </w:p>
    <w:p>
      <w:pPr>
        <w:pStyle w:val="BodyText"/>
      </w:pPr>
      <w:r>
        <w:t xml:space="preserve">2019</w:t>
      </w:r>
    </w:p>
    <w:p>
      <w:pPr>
        <w:pStyle w:val="BodyText"/>
      </w:pPr>
      <w:r>
        <w:t xml:space="preserve">2020</w:t>
      </w:r>
    </w:p>
    <w:p>
      <w:pPr>
        <w:pStyle w:val="BodyText"/>
      </w:pPr>
      <w:r>
        <w:t xml:space="preserve">2016</w:t>
      </w:r>
    </w:p>
    <w:p>
      <w:pPr>
        <w:pStyle w:val="BodyText"/>
      </w:pPr>
      <w:r>
        <w:t xml:space="preserve">2017</w:t>
      </w:r>
    </w:p>
    <w:p>
      <w:pPr>
        <w:pStyle w:val="BodyText"/>
      </w:pPr>
      <w:r>
        <w:t xml:space="preserve">2018</w:t>
      </w:r>
    </w:p>
    <w:p>
      <w:pPr>
        <w:pStyle w:val="BodyText"/>
      </w:pPr>
      <w:r>
        <w:t xml:space="preserve">2019</w:t>
      </w:r>
    </w:p>
    <w:p>
      <w:pPr>
        <w:pStyle w:val="BodyText"/>
      </w:pPr>
      <w:r>
        <w:t xml:space="preserve">2020</w:t>
      </w:r>
    </w:p>
    <w:p>
      <w:pPr>
        <w:pStyle w:val="BodyText"/>
      </w:pPr>
      <w:r>
        <w:rPr>
          <w:rFonts w:hint="eastAsia"/>
        </w:rPr>
        <w:t xml:space="preserve">總資產</w:t>
      </w:r>
    </w:p>
    <w:p>
      <w:pPr>
        <w:pStyle w:val="BodyText"/>
      </w:pPr>
      <w:r>
        <w:rPr>
          <w:rFonts w:hint="eastAsia"/>
        </w:rPr>
        <w:t xml:space="preserve">總負債</w:t>
      </w:r>
    </w:p>
    <w:p>
      <w:pPr>
        <w:pStyle w:val="BodyText"/>
      </w:pPr>
      <w:r>
        <w:t xml:space="preserve">70,000</w:t>
      </w:r>
    </w:p>
    <w:p>
      <w:pPr>
        <w:pStyle w:val="BodyText"/>
      </w:pPr>
      <w:r>
        <w:t xml:space="preserve">60,000</w:t>
      </w:r>
    </w:p>
    <w:p>
      <w:pPr>
        <w:pStyle w:val="BodyText"/>
      </w:pPr>
      <w:r>
        <w:t xml:space="preserve">50,000</w:t>
      </w:r>
    </w:p>
    <w:p>
      <w:pPr>
        <w:pStyle w:val="BodyText"/>
      </w:pPr>
      <w:r>
        <w:t xml:space="preserve">40,000</w:t>
      </w:r>
    </w:p>
    <w:p>
      <w:pPr>
        <w:pStyle w:val="BodyText"/>
      </w:pPr>
      <w:r>
        <w:t xml:space="preserve">30,000</w:t>
      </w:r>
    </w:p>
    <w:p>
      <w:pPr>
        <w:pStyle w:val="BodyText"/>
      </w:pPr>
      <w:r>
        <w:t xml:space="preserve">20,000</w:t>
      </w:r>
    </w:p>
    <w:p>
      <w:pPr>
        <w:pStyle w:val="BodyText"/>
      </w:pPr>
      <w:r>
        <w:t xml:space="preserve">10,000</w:t>
      </w:r>
    </w:p>
    <w:p>
      <w:pPr>
        <w:pStyle w:val="BodyText"/>
      </w:pPr>
      <w:r>
        <w:t xml:space="preserve">0</w:t>
      </w:r>
    </w:p>
    <w:p>
      <w:pPr>
        <w:pStyle w:val="BodyText"/>
      </w:pPr>
      <w:r>
        <w:t xml:space="preserve">006</w:t>
      </w:r>
    </w:p>
    <w:p>
      <w:pPr>
        <w:pStyle w:val="BodyText"/>
      </w:pPr>
      <w:r>
        <w:rPr>
          <w:rFonts w:hint="eastAsia"/>
        </w:rPr>
        <w:t xml:space="preserve">概覽友邦保險控股有限公司</w:t>
      </w:r>
    </w:p>
    <w:p>
      <w:pPr>
        <w:pStyle w:val="BodyText"/>
      </w:pPr>
      <w:r>
        <w:rPr>
          <w:rFonts w:hint="eastAsia"/>
        </w:rPr>
        <w:t xml:space="preserve">2020年按市場分部劃分</w:t>
      </w:r>
    </w:p>
    <w:p>
      <w:pPr>
        <w:pStyle w:val="BodyText"/>
      </w:pPr>
      <w:r>
        <w:rPr>
          <w:rFonts w:hint="eastAsia"/>
        </w:rPr>
        <w:t xml:space="preserve">新業務價值(2)(7)</w:t>
      </w:r>
    </w:p>
    <w:p>
      <w:pPr>
        <w:pStyle w:val="BodyText"/>
      </w:pPr>
      <w:r>
        <w:rPr>
          <w:rFonts w:hint="eastAsia"/>
        </w:rPr>
        <w:t xml:space="preserve">年化新保費(3)</w:t>
      </w:r>
    </w:p>
    <w:p>
      <w:pPr>
        <w:pStyle w:val="BodyText"/>
      </w:pPr>
      <w:r>
        <w:t xml:space="preserve">17%</w:t>
      </w:r>
    </w:p>
    <w:p>
      <w:pPr>
        <w:pStyle w:val="BodyText"/>
      </w:pPr>
      <w:r>
        <w:t xml:space="preserve">7%</w:t>
      </w:r>
    </w:p>
    <w:p>
      <w:pPr>
        <w:pStyle w:val="BodyText"/>
      </w:pPr>
      <w:r>
        <w:t xml:space="preserve">11%</w:t>
      </w:r>
    </w:p>
    <w:p>
      <w:pPr>
        <w:pStyle w:val="BodyText"/>
      </w:pPr>
      <w:r>
        <w:t xml:space="preserve">32%</w:t>
      </w:r>
    </w:p>
    <w:p>
      <w:pPr>
        <w:pStyle w:val="BodyText"/>
      </w:pPr>
      <w:r>
        <w:t xml:space="preserve">15%</w:t>
      </w:r>
    </w:p>
    <w:p>
      <w:pPr>
        <w:pStyle w:val="BodyText"/>
      </w:pPr>
      <w:r>
        <w:t xml:space="preserve">18%</w:t>
      </w:r>
    </w:p>
    <w:p>
      <w:pPr>
        <w:pStyle w:val="BodyText"/>
      </w:pPr>
      <w:r>
        <w:t xml:space="preserve">25%</w:t>
      </w:r>
    </w:p>
    <w:p>
      <w:pPr>
        <w:pStyle w:val="BodyText"/>
      </w:pPr>
      <w:r>
        <w:t xml:space="preserve">23%</w:t>
      </w:r>
    </w:p>
    <w:p>
      <w:pPr>
        <w:pStyle w:val="BodyText"/>
      </w:pPr>
      <w:r>
        <w:t xml:space="preserve">7%</w:t>
      </w:r>
    </w:p>
    <w:p>
      <w:pPr>
        <w:pStyle w:val="BodyText"/>
      </w:pPr>
      <w:r>
        <w:t xml:space="preserve">10%</w:t>
      </w:r>
    </w:p>
    <w:p>
      <w:pPr>
        <w:pStyle w:val="BodyText"/>
      </w:pPr>
      <w:r>
        <w:t xml:space="preserve">13%</w:t>
      </w:r>
    </w:p>
    <w:p>
      <w:pPr>
        <w:pStyle w:val="BodyText"/>
      </w:pPr>
      <w:r>
        <w:t xml:space="preserve">22%</w:t>
      </w:r>
    </w:p>
    <w:p>
      <w:pPr>
        <w:pStyle w:val="BodyText"/>
      </w:pPr>
      <w:r>
        <w:rPr>
          <w:rFonts w:hint="eastAsia"/>
        </w:rPr>
        <w:t xml:space="preserve">稅後營運溢利(4)</w:t>
      </w:r>
    </w:p>
    <w:p>
      <w:pPr>
        <w:pStyle w:val="BodyText"/>
      </w:pPr>
      <w:r>
        <w:rPr>
          <w:rFonts w:hint="eastAsia"/>
        </w:rPr>
        <w:t xml:space="preserve">總加權保費收入(5)</w:t>
      </w:r>
    </w:p>
    <w:p>
      <w:pPr>
        <w:pStyle w:val="BodyText"/>
      </w:pPr>
      <w:r>
        <w:t xml:space="preserve">12%</w:t>
      </w:r>
    </w:p>
    <w:p>
      <w:pPr>
        <w:pStyle w:val="BodyText"/>
      </w:pPr>
      <w:r>
        <w:t xml:space="preserve">21%</w:t>
      </w:r>
    </w:p>
    <w:p>
      <w:pPr>
        <w:pStyle w:val="BodyText"/>
      </w:pPr>
      <w:r>
        <w:t xml:space="preserve">5%</w:t>
      </w:r>
    </w:p>
    <w:p>
      <w:pPr>
        <w:pStyle w:val="BodyText"/>
      </w:pPr>
      <w:r>
        <w:t xml:space="preserve">10%</w:t>
      </w:r>
    </w:p>
    <w:p>
      <w:pPr>
        <w:pStyle w:val="BodyText"/>
      </w:pPr>
      <w:r>
        <w:t xml:space="preserve">17%</w:t>
      </w:r>
    </w:p>
    <w:p>
      <w:pPr>
        <w:pStyle w:val="BodyText"/>
      </w:pPr>
      <w:r>
        <w:t xml:space="preserve">35%</w:t>
      </w:r>
    </w:p>
    <w:p>
      <w:pPr>
        <w:pStyle w:val="BodyText"/>
      </w:pPr>
      <w:r>
        <w:t xml:space="preserve">20%</w:t>
      </w:r>
    </w:p>
    <w:p>
      <w:pPr>
        <w:pStyle w:val="BodyText"/>
      </w:pPr>
      <w:r>
        <w:t xml:space="preserve">16%</w:t>
      </w:r>
    </w:p>
    <w:p>
      <w:pPr>
        <w:pStyle w:val="BodyText"/>
      </w:pPr>
      <w:r>
        <w:t xml:space="preserve">6%</w:t>
      </w:r>
    </w:p>
    <w:p>
      <w:pPr>
        <w:pStyle w:val="BodyText"/>
      </w:pPr>
      <w:r>
        <w:t xml:space="preserve">9%</w:t>
      </w:r>
    </w:p>
    <w:p>
      <w:pPr>
        <w:pStyle w:val="BodyText"/>
      </w:pPr>
      <w:r>
        <w:t xml:space="preserve">12%</w:t>
      </w:r>
    </w:p>
    <w:p>
      <w:pPr>
        <w:pStyle w:val="BodyText"/>
      </w:pPr>
      <w:r>
        <w:t xml:space="preserve">37%</w:t>
      </w:r>
    </w:p>
    <w:p>
      <w:pPr>
        <w:pStyle w:val="BodyText"/>
      </w:pPr>
      <w:r>
        <w:rPr>
          <w:rFonts w:hint="eastAsia"/>
        </w:rPr>
        <w:t xml:space="preserve">中國內地</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其他市場</w:t>
      </w:r>
    </w:p>
    <w:p>
      <w:pPr>
        <w:pStyle w:val="BodyText"/>
      </w:pPr>
      <w:r>
        <w:rPr>
          <w:rFonts w:hint="eastAsia"/>
        </w:rPr>
        <w:t xml:space="preserve">附註：</w:t>
      </w:r>
    </w:p>
    <w:p>
      <w:pPr>
        <w:numPr>
          <w:ilvl w:val="0"/>
          <w:numId w:val="1002"/>
        </w:numPr>
      </w:pPr>
      <w:r>
        <w:rPr>
          <w:rFonts w:hint="eastAsia"/>
        </w:rPr>
        <w:t xml:space="preserve">自2017年起，財務資料按12月31日的財政年度結算基準</w:t>
      </w:r>
      <w:r>
        <w:br/>
      </w:r>
      <w:r>
        <w:rPr>
          <w:rFonts w:hint="eastAsia"/>
        </w:rPr>
        <w:t xml:space="preserve">列報。於2016年的財務資料按11月</w:t>
      </w:r>
      <w:r>
        <w:t xml:space="preserve"> </w:t>
      </w:r>
      <w:r>
        <w:rPr>
          <w:rFonts w:hint="eastAsia"/>
        </w:rPr>
        <w:t xml:space="preserve">30日的財政年度結算</w:t>
      </w:r>
      <w:r>
        <w:br/>
      </w:r>
      <w:r>
        <w:rPr>
          <w:rFonts w:hint="eastAsia"/>
        </w:rPr>
        <w:t xml:space="preserve">基準列報。</w:t>
      </w:r>
    </w:p>
    <w:p>
      <w:pPr>
        <w:numPr>
          <w:ilvl w:val="0"/>
          <w:numId w:val="1002"/>
        </w:numPr>
      </w:pPr>
      <w:r>
        <w:rPr>
          <w:rFonts w:hint="eastAsia"/>
        </w:rPr>
        <w:t xml:space="preserve">新業務價值是期間內所售新業務在未來產生的預計稅後法定溢利</w:t>
      </w:r>
      <w:r>
        <w:br/>
      </w:r>
      <w:r>
        <w:rPr>
          <w:rFonts w:hint="eastAsia"/>
        </w:rPr>
        <w:t xml:space="preserve">按銷售當時計算的現值扣除用作支持新業務而持有超過法定準備</w:t>
      </w:r>
      <w:r>
        <w:br/>
      </w:r>
      <w:r>
        <w:rPr>
          <w:rFonts w:hint="eastAsia"/>
        </w:rPr>
        <w:t xml:space="preserve">金所需資金的成本。</w:t>
      </w:r>
    </w:p>
    <w:p>
      <w:pPr>
        <w:numPr>
          <w:ilvl w:val="0"/>
          <w:numId w:val="1002"/>
        </w:numPr>
      </w:pPr>
      <w:r>
        <w:rPr>
          <w:rFonts w:hint="eastAsia"/>
        </w:rPr>
        <w:t xml:space="preserve">年化新保費是一項衡量新業務水平的指標，以再保險分出前年化</w:t>
      </w:r>
    </w:p>
    <w:p>
      <w:pPr>
        <w:pStyle w:val="FirstParagraph"/>
      </w:pPr>
      <w:r>
        <w:rPr>
          <w:rFonts w:hint="eastAsia"/>
        </w:rPr>
        <w:t xml:space="preserve">首年保費100%及整付保費10%之總和計算。</w:t>
      </w:r>
    </w:p>
    <w:p>
      <w:pPr>
        <w:numPr>
          <w:ilvl w:val="0"/>
          <w:numId w:val="1003"/>
        </w:numPr>
      </w:pPr>
      <w:r>
        <w:rPr>
          <w:rFonts w:hint="eastAsia"/>
        </w:rPr>
        <w:t xml:space="preserve">所列示的稅後營運溢利已扣除非控股權益。</w:t>
      </w:r>
    </w:p>
    <w:p>
      <w:pPr>
        <w:numPr>
          <w:ilvl w:val="0"/>
          <w:numId w:val="1003"/>
        </w:numPr>
      </w:pPr>
      <w:r>
        <w:rPr>
          <w:rFonts w:hint="eastAsia"/>
        </w:rPr>
        <w:t xml:space="preserve">總加權保費收入包括再保險分出前的續保保費100%，首年保費</w:t>
      </w:r>
    </w:p>
    <w:p>
      <w:pPr>
        <w:pStyle w:val="FirstParagraph"/>
      </w:pPr>
      <w:r>
        <w:rPr>
          <w:rFonts w:hint="eastAsia"/>
        </w:rPr>
        <w:t xml:space="preserve">100%，以及整付保費10%。</w:t>
      </w:r>
    </w:p>
    <w:p>
      <w:pPr>
        <w:numPr>
          <w:ilvl w:val="0"/>
          <w:numId w:val="1004"/>
        </w:numPr>
      </w:pPr>
      <w:r>
        <w:rPr>
          <w:rFonts w:hint="eastAsia"/>
        </w:rPr>
        <w:t xml:space="preserve">內涵價值是根據對未來經驗的一系列特定假設，以精算方法釐定</w:t>
      </w:r>
      <w:r>
        <w:br/>
      </w:r>
      <w:r>
        <w:rPr>
          <w:rFonts w:hint="eastAsia"/>
        </w:rPr>
        <w:t xml:space="preserve">壽險業務的估計經濟價值，但不包括任何未來新業務的經濟價</w:t>
      </w:r>
      <w:r>
        <w:br/>
      </w:r>
      <w:r>
        <w:rPr>
          <w:rFonts w:hint="eastAsia"/>
        </w:rPr>
        <w:t xml:space="preserve">值。內涵價值權益為內涵價值、商譽及其他無形資產的總和。</w:t>
      </w:r>
    </w:p>
    <w:p>
      <w:pPr>
        <w:numPr>
          <w:ilvl w:val="0"/>
          <w:numId w:val="1004"/>
        </w:numPr>
      </w:pPr>
      <w:r>
        <w:rPr>
          <w:rFonts w:hint="eastAsia"/>
        </w:rPr>
        <w:t xml:space="preserve">各分部新業務價值包括退休金業務，按當地法定基準列示、未計</w:t>
      </w:r>
    </w:p>
    <w:p>
      <w:pPr>
        <w:pStyle w:val="FirstParagraph"/>
      </w:pPr>
      <w:r>
        <w:rPr>
          <w:rFonts w:hint="eastAsia"/>
        </w:rPr>
        <w:t xml:space="preserve">入未分配集團總部開支、並且未扣除非控股權益。</w:t>
      </w:r>
    </w:p>
    <w:p>
      <w:pPr>
        <w:numPr>
          <w:ilvl w:val="0"/>
          <w:numId w:val="1005"/>
        </w:numPr>
      </w:pPr>
      <w:r>
        <w:rPr>
          <w:rFonts w:hint="eastAsia"/>
        </w:rPr>
        <w:t xml:space="preserve">自2019年起，其他市場的年化新保費及新業務價值包括我們於</w:t>
      </w:r>
      <w:r>
        <w:br/>
      </w:r>
      <w:r>
        <w:t xml:space="preserve">Tata AIA Life Insurance Company Limited (Tata AIA </w:t>
      </w:r>
      <w:r>
        <w:rPr>
          <w:rFonts w:hint="eastAsia"/>
        </w:rPr>
        <w:t xml:space="preserve">Life)所持</w:t>
      </w:r>
      <w:r>
        <w:br/>
      </w:r>
      <w:r>
        <w:rPr>
          <w:rFonts w:hint="eastAsia"/>
        </w:rPr>
        <w:t xml:space="preserve">49%股權的應佔業績。2018年或以前所呈報的年化新保費及新業</w:t>
      </w:r>
      <w:r>
        <w:br/>
      </w:r>
      <w:r>
        <w:rPr>
          <w:rFonts w:hint="eastAsia"/>
        </w:rPr>
        <w:t xml:space="preserve">務價值並無重列，並且不包括來自Tata</w:t>
      </w:r>
      <w:r>
        <w:t xml:space="preserve"> AIA </w:t>
      </w:r>
      <w:r>
        <w:rPr>
          <w:rFonts w:hint="eastAsia"/>
        </w:rPr>
        <w:t xml:space="preserve">Life的任何貢獻。</w:t>
      </w:r>
      <w:r>
        <w:br/>
      </w:r>
      <w:r>
        <w:rPr>
          <w:rFonts w:hint="eastAsia"/>
        </w:rPr>
        <w:t xml:space="preserve">自2019年起，本集團新業務價值不包括非控股權益應佔的新業務</w:t>
      </w:r>
      <w:r>
        <w:br/>
      </w:r>
      <w:r>
        <w:rPr>
          <w:rFonts w:hint="eastAsia"/>
        </w:rPr>
        <w:t xml:space="preserve">價值。2018年或以前的新業務價值並無重列</w:t>
      </w:r>
      <w:r>
        <w:t xml:space="preserve"> </w:t>
      </w:r>
      <w:r>
        <w:rPr>
          <w:rFonts w:hint="eastAsia"/>
        </w:rPr>
        <w:t xml:space="preserve">，如早前所披露，</w:t>
      </w:r>
      <w:r>
        <w:br/>
      </w:r>
      <w:r>
        <w:rPr>
          <w:rFonts w:hint="eastAsia"/>
        </w:rPr>
        <w:t xml:space="preserve">並未扣除非控股權益。Tata</w:t>
      </w:r>
      <w:r>
        <w:t xml:space="preserve"> AIA </w:t>
      </w:r>
      <w:r>
        <w:rPr>
          <w:rFonts w:hint="eastAsia"/>
        </w:rPr>
        <w:t xml:space="preserve">Life的國際財務報告準則業績乃</w:t>
      </w:r>
      <w:r>
        <w:br/>
      </w:r>
      <w:r>
        <w:rPr>
          <w:rFonts w:hint="eastAsia"/>
        </w:rPr>
        <w:t xml:space="preserve">採用權益會計法計算。本集團的合併財務報表使用按滯後一個</w:t>
      </w:r>
      <w:r>
        <w:br/>
      </w:r>
      <w:r>
        <w:rPr>
          <w:rFonts w:hint="eastAsia"/>
        </w:rPr>
        <w:t xml:space="preserve">季度基準的Tata</w:t>
      </w:r>
      <w:r>
        <w:t xml:space="preserve"> AIA </w:t>
      </w:r>
      <w:r>
        <w:rPr>
          <w:rFonts w:hint="eastAsia"/>
        </w:rPr>
        <w:t xml:space="preserve">Life財務資料。為明確起見，總加權保費</w:t>
      </w:r>
      <w:r>
        <w:br/>
      </w:r>
      <w:r>
        <w:rPr>
          <w:rFonts w:hint="eastAsia"/>
        </w:rPr>
        <w:t xml:space="preserve">收入不包括來自Tata</w:t>
      </w:r>
      <w:r>
        <w:t xml:space="preserve"> AIA </w:t>
      </w:r>
      <w:r>
        <w:rPr>
          <w:rFonts w:hint="eastAsia"/>
        </w:rPr>
        <w:t xml:space="preserve">Life的任何貢獻。</w:t>
      </w:r>
    </w:p>
    <w:p>
      <w:pPr>
        <w:numPr>
          <w:ilvl w:val="0"/>
          <w:numId w:val="1005"/>
        </w:numPr>
      </w:pPr>
      <w:r>
        <w:rPr>
          <w:rFonts w:hint="eastAsia"/>
        </w:rPr>
        <w:t xml:space="preserve">友邦保險就確認及計量香港分紅業務的保險合約負債的國際財務</w:t>
      </w:r>
    </w:p>
    <w:p>
      <w:pPr>
        <w:pStyle w:val="FirstParagraph"/>
      </w:pPr>
      <w:r>
        <w:rPr>
          <w:rFonts w:hint="eastAsia"/>
        </w:rPr>
        <w:t xml:space="preserve">報告準則之會計處理有所變更，以反映保單持有人花紅的預期</w:t>
      </w:r>
      <w:r>
        <w:br/>
      </w:r>
      <w:r>
        <w:rPr>
          <w:rFonts w:hint="eastAsia"/>
        </w:rPr>
        <w:t xml:space="preserve">變動。2019年之比較資料已作出調整。2018年或以前之比較資料</w:t>
      </w:r>
      <w:r>
        <w:br/>
      </w:r>
      <w:r>
        <w:rPr>
          <w:rFonts w:hint="eastAsia"/>
        </w:rPr>
        <w:t xml:space="preserve">並無重列。</w:t>
      </w:r>
    </w:p>
    <w:p>
      <w:pPr>
        <w:pStyle w:val="BodyText"/>
      </w:pPr>
      <w:r>
        <w:t xml:space="preserve">007</w:t>
      </w:r>
    </w:p>
    <w:p>
      <w:pPr>
        <w:pStyle w:val="BodyText"/>
      </w:pPr>
      <w:r>
        <w:rPr>
          <w:rFonts w:hint="eastAsia"/>
        </w:rPr>
        <w:t xml:space="preserve">概覽財務及營運回顧企業管治其他資料財務報表2020年報</w:t>
      </w:r>
    </w:p>
    <w:p>
      <w:pPr>
        <w:pStyle w:val="BodyText"/>
      </w:pPr>
      <w:r>
        <w:rPr>
          <w:rFonts w:hint="eastAsia"/>
        </w:rPr>
        <w:t xml:space="preserve">概覽</w:t>
      </w:r>
    </w:p>
    <w:p>
      <w:pPr>
        <w:pStyle w:val="BodyText"/>
      </w:pPr>
      <w:r>
        <w:rPr>
          <w:rFonts w:hint="eastAsia"/>
        </w:rPr>
        <w:t xml:space="preserve">主席報告</w:t>
      </w:r>
    </w:p>
    <w:p>
      <w:pPr>
        <w:pStyle w:val="BodyText"/>
      </w:pPr>
      <w:r>
        <w:rPr>
          <w:rFonts w:hint="eastAsia"/>
        </w:rPr>
        <w:t xml:space="preserve">在過去一個世紀，友邦保險</w:t>
      </w:r>
    </w:p>
    <w:p>
      <w:pPr>
        <w:pStyle w:val="BodyText"/>
      </w:pPr>
      <w:r>
        <w:rPr>
          <w:rFonts w:hint="eastAsia"/>
        </w:rPr>
        <w:t xml:space="preserve">於亞洲區內，為極需我們服務的</w:t>
      </w:r>
    </w:p>
    <w:p>
      <w:pPr>
        <w:pStyle w:val="BodyText"/>
      </w:pPr>
      <w:r>
        <w:rPr>
          <w:rFonts w:hint="eastAsia"/>
        </w:rPr>
        <w:t xml:space="preserve">社區大眾提供保障而備受稱譽，</w:t>
      </w:r>
    </w:p>
    <w:p>
      <w:pPr>
        <w:pStyle w:val="BodyText"/>
      </w:pPr>
      <w:r>
        <w:rPr>
          <w:rFonts w:hint="eastAsia"/>
        </w:rPr>
        <w:t xml:space="preserve">這令我們引以為榮。</w:t>
      </w:r>
    </w:p>
    <w:p>
      <w:pPr>
        <w:pStyle w:val="BodyText"/>
      </w:pPr>
      <w:r>
        <w:rPr>
          <w:rFonts w:hint="eastAsia"/>
        </w:rPr>
        <w:t xml:space="preserve">在2019冠狀病毒病大流行期間，</w:t>
      </w:r>
    </w:p>
    <w:p>
      <w:pPr>
        <w:pStyle w:val="BodyText"/>
      </w:pPr>
      <w:r>
        <w:rPr>
          <w:rFonts w:hint="eastAsia"/>
        </w:rPr>
        <w:t xml:space="preserve">我們的同事關懷社群，克盡己職，</w:t>
      </w:r>
    </w:p>
    <w:p>
      <w:pPr>
        <w:pStyle w:val="BodyText"/>
      </w:pPr>
      <w:r>
        <w:rPr>
          <w:rFonts w:hint="eastAsia"/>
        </w:rPr>
        <w:t xml:space="preserve">持續為數以百萬計的客戶</w:t>
      </w:r>
    </w:p>
    <w:p>
      <w:pPr>
        <w:pStyle w:val="BodyText"/>
      </w:pPr>
      <w:r>
        <w:rPr>
          <w:rFonts w:hint="eastAsia"/>
        </w:rPr>
        <w:t xml:space="preserve">提供無間斷的支援。</w:t>
      </w:r>
    </w:p>
    <w:p>
      <w:pPr>
        <w:pStyle w:val="BodyText"/>
      </w:pPr>
      <w:r>
        <w:rPr>
          <w:rFonts w:hint="eastAsia"/>
        </w:rPr>
        <w:t xml:space="preserve">謝仕榮先生</w:t>
      </w:r>
      <w:r>
        <w:br/>
      </w:r>
      <w:r>
        <w:rPr>
          <w:rFonts w:hint="eastAsia"/>
        </w:rPr>
        <w:t xml:space="preserve">獨立非執行主席</w:t>
      </w:r>
    </w:p>
    <w:p>
      <w:pPr>
        <w:pStyle w:val="BodyText"/>
      </w:pPr>
      <w:r>
        <w:rPr>
          <w:rFonts w:hint="eastAsia"/>
        </w:rPr>
        <w:t xml:space="preserve">友邦保險在亞洲歷史悠久，源遠流長，經歷各種社會動盪和不明朗時期仍能妥善管理業務，因而贏得卓著的</w:t>
      </w:r>
    </w:p>
    <w:p>
      <w:pPr>
        <w:pStyle w:val="BodyText"/>
      </w:pPr>
      <w:r>
        <w:rPr>
          <w:rFonts w:hint="eastAsia"/>
        </w:rPr>
        <w:t xml:space="preserve">聲譽，體現友邦保險誠可信賴、強韌穩健，並堅持為持分者做對的事。自2020年初以來，2019冠狀病毒病大流</w:t>
      </w:r>
    </w:p>
    <w:p>
      <w:pPr>
        <w:pStyle w:val="BodyText"/>
      </w:pPr>
      <w:r>
        <w:rPr>
          <w:rFonts w:hint="eastAsia"/>
        </w:rPr>
        <w:t xml:space="preserve">行導致營商環境不斷變化及日趨複雜，而政治、宏觀經濟及資本市場亦出現前所未見的轉移。在這樣的環境下，</w:t>
      </w:r>
    </w:p>
    <w:p>
      <w:pPr>
        <w:pStyle w:val="BodyText"/>
      </w:pPr>
      <w:r>
        <w:rPr>
          <w:rFonts w:hint="eastAsia"/>
        </w:rPr>
        <w:t xml:space="preserve">友邦保險的財務實力，以及「幫助大眾活出健康、長久、好生活」的目標，更具重大意義。本人衷心感謝友邦</w:t>
      </w:r>
    </w:p>
    <w:p>
      <w:pPr>
        <w:pStyle w:val="BodyText"/>
      </w:pPr>
      <w:r>
        <w:rPr>
          <w:rFonts w:hint="eastAsia"/>
        </w:rPr>
        <w:t xml:space="preserve">保險所有員工、代理和合作夥伴，即使面對最嚴峻的挑戰，他們仍關懷社區，克盡己職，專心致志地為客戶、</w:t>
      </w:r>
    </w:p>
    <w:p>
      <w:pPr>
        <w:pStyle w:val="BodyText"/>
      </w:pPr>
      <w:r>
        <w:rPr>
          <w:rFonts w:hint="eastAsia"/>
        </w:rPr>
        <w:t xml:space="preserve">其家庭以及我們的社區提供支援。</w:t>
      </w:r>
    </w:p>
    <w:p>
      <w:pPr>
        <w:pStyle w:val="BodyText"/>
      </w:pPr>
      <w:r>
        <w:rPr>
          <w:rFonts w:hint="eastAsia"/>
        </w:rPr>
        <w:t xml:space="preserve">由於2019冠狀病毒病相關的控制措施對新業務銷售造成影響，新業務價值下降至27.65億美元。我們迅速採用</w:t>
      </w:r>
    </w:p>
    <w:p>
      <w:pPr>
        <w:pStyle w:val="BodyText"/>
      </w:pPr>
      <w:r>
        <w:rPr>
          <w:rFonts w:hint="eastAsia"/>
        </w:rPr>
        <w:t xml:space="preserve">嶄新的數碼工具，提升業務運作效率，加上近期放寬外出限制，帶動銷售動力強勁復蘇，並延續至2021年初。</w:t>
      </w:r>
    </w:p>
    <w:p>
      <w:pPr>
        <w:pStyle w:val="BodyText"/>
      </w:pPr>
      <w:r>
        <w:rPr>
          <w:rFonts w:hint="eastAsia"/>
        </w:rPr>
        <w:t xml:space="preserve">與去年同期比較，2021年首兩個月的新業務價值增長15%。</w:t>
      </w:r>
    </w:p>
    <w:p>
      <w:pPr>
        <w:pStyle w:val="BodyText"/>
      </w:pPr>
      <w:r>
        <w:rPr>
          <w:rFonts w:hint="eastAsia"/>
        </w:rPr>
        <w:t xml:space="preserve">稅後營運溢利增長5%至59.42億美元，產生的基本自由盈餘則上升7%至58.43億美元，反映我們擁有高質素的</w:t>
      </w:r>
    </w:p>
    <w:p>
      <w:pPr>
        <w:pStyle w:val="BodyText"/>
      </w:pPr>
      <w:r>
        <w:rPr>
          <w:rFonts w:hint="eastAsia"/>
        </w:rPr>
        <w:t xml:space="preserve">經常性盈利來源。內涵價值權益創新高，達672億美元。截至2020年12月31日，集團當地資本總和法覆蓋率為</w:t>
      </w:r>
    </w:p>
    <w:p>
      <w:pPr>
        <w:pStyle w:val="BodyText"/>
      </w:pPr>
      <w:r>
        <w:rPr>
          <w:rFonts w:hint="eastAsia"/>
        </w:rPr>
        <w:t xml:space="preserve">374%，足證我們雄厚的資本實力和嚴謹的財務管理。</w:t>
      </w:r>
    </w:p>
    <w:p>
      <w:pPr>
        <w:pStyle w:val="BodyText"/>
      </w:pPr>
      <w:r>
        <w:rPr>
          <w:rFonts w:hint="eastAsia"/>
        </w:rPr>
        <w:t xml:space="preserve">董事會建議派發末期股息每股100.30港仙，增加7.5%，反映我們的財務業績穩健強韌，同時董事會持續對本集團</w:t>
      </w:r>
    </w:p>
    <w:p>
      <w:pPr>
        <w:pStyle w:val="BodyText"/>
      </w:pPr>
      <w:r>
        <w:rPr>
          <w:rFonts w:hint="eastAsia"/>
        </w:rPr>
        <w:t xml:space="preserve">未來前景充滿信心。這使2020年的全年股息達到每股135.30港仙。董事會秉承友邦保險行之已久的審慎、可持續</w:t>
      </w:r>
    </w:p>
    <w:p>
      <w:pPr>
        <w:pStyle w:val="BodyText"/>
      </w:pPr>
      <w:r>
        <w:rPr>
          <w:rFonts w:hint="eastAsia"/>
        </w:rPr>
        <w:t xml:space="preserve">及漸進的派息政策，讓本集團可把握未來的增長機遇，並保持財務靈活性。</w:t>
      </w:r>
    </w:p>
    <w:p>
      <w:pPr>
        <w:pStyle w:val="BodyText"/>
      </w:pPr>
      <w:r>
        <w:t xml:space="preserve">008</w:t>
      </w:r>
    </w:p>
    <w:p>
      <w:pPr>
        <w:pStyle w:val="BodyText"/>
      </w:pPr>
      <w:r>
        <w:rPr>
          <w:rFonts w:hint="eastAsia"/>
        </w:rPr>
        <w:t xml:space="preserve">概覽友邦保險控股有限公司</w:t>
      </w:r>
    </w:p>
    <w:p>
      <w:pPr>
        <w:pStyle w:val="BodyText"/>
      </w:pPr>
      <w:r>
        <w:rPr>
          <w:rFonts w:hint="eastAsia"/>
        </w:rPr>
        <w:t xml:space="preserve">在2020年第四季，我們慶祝友邦保險在香港聯交所上市10週年。回顧當年友邦保險的上市刷新多項紀錄，至今</w:t>
      </w:r>
    </w:p>
    <w:p>
      <w:pPr>
        <w:pStyle w:val="BodyText"/>
      </w:pPr>
      <w:r>
        <w:rPr>
          <w:rFonts w:hint="eastAsia"/>
        </w:rPr>
        <w:t xml:space="preserve">仍是全球保險業界規模最大的首次公開招股。能夠與董事會成員並肩合作，本人深感榮幸和欣慰。友邦保險的</w:t>
      </w:r>
    </w:p>
    <w:p>
      <w:pPr>
        <w:pStyle w:val="BodyText"/>
      </w:pPr>
      <w:r>
        <w:rPr>
          <w:rFonts w:hint="eastAsia"/>
        </w:rPr>
        <w:t xml:space="preserve">業務在此期間繼往開來，不斷擴展，成為以市值計全球最大的人壽保險公司。</w:t>
      </w:r>
    </w:p>
    <w:p>
      <w:pPr>
        <w:pStyle w:val="BodyText"/>
      </w:pPr>
      <w:r>
        <w:rPr>
          <w:rFonts w:hint="eastAsia"/>
        </w:rPr>
        <w:t xml:space="preserve">董事會的所有非執行董事均由獨立人士出任，他們在公營和私營產業擁有廣泛的管治和領導經驗。我們同心</w:t>
      </w:r>
    </w:p>
    <w:p>
      <w:pPr>
        <w:pStyle w:val="BodyText"/>
      </w:pPr>
      <w:r>
        <w:rPr>
          <w:rFonts w:hint="eastAsia"/>
        </w:rPr>
        <w:t xml:space="preserve">協力，銳意維持奉行最高國際企業管治標準的公司文化。我們深信根深蒂固的企業管治文化，加上穩健的風險</w:t>
      </w:r>
    </w:p>
    <w:p>
      <w:pPr>
        <w:pStyle w:val="BodyText"/>
      </w:pPr>
      <w:r>
        <w:rPr>
          <w:rFonts w:hint="eastAsia"/>
        </w:rPr>
        <w:t xml:space="preserve">管理架構，是每家機構可持續發展的基礎。</w:t>
      </w:r>
    </w:p>
    <w:p>
      <w:pPr>
        <w:pStyle w:val="BodyText"/>
      </w:pPr>
      <w:r>
        <w:rPr>
          <w:rFonts w:hint="eastAsia"/>
        </w:rPr>
        <w:t xml:space="preserve">董事會的重要責任之一是確保領導層人才輩出，並執行有效的繼任安排。我們歡迎李源祥先生於2020年6月1日</w:t>
      </w:r>
    </w:p>
    <w:p>
      <w:pPr>
        <w:pStyle w:val="BodyText"/>
      </w:pPr>
      <w:r>
        <w:rPr>
          <w:rFonts w:hint="eastAsia"/>
        </w:rPr>
        <w:t xml:space="preserve">接替榮休的黃經輝先生，擔任集團首席執行官兼總裁。本人謹代表董事會向李源祥先生及其管理層團隊深表</w:t>
      </w:r>
    </w:p>
    <w:p>
      <w:pPr>
        <w:pStyle w:val="BodyText"/>
      </w:pPr>
      <w:r>
        <w:rPr>
          <w:rFonts w:hint="eastAsia"/>
        </w:rPr>
        <w:t xml:space="preserve">謝意，他們在這段前所未見的環境發揮優秀的管理才能，帶領我們的業務向前邁進。我們也衷心感謝黃經輝先生</w:t>
      </w:r>
    </w:p>
    <w:p>
      <w:pPr>
        <w:pStyle w:val="BodyText"/>
      </w:pPr>
      <w:r>
        <w:rPr>
          <w:rFonts w:hint="eastAsia"/>
        </w:rPr>
        <w:t xml:space="preserve">多年來的卓越領導及對友邦保險所作出的重大貢獻。</w:t>
      </w:r>
    </w:p>
    <w:p>
      <w:pPr>
        <w:pStyle w:val="BodyText"/>
      </w:pPr>
      <w:r>
        <w:rPr>
          <w:rFonts w:hint="eastAsia"/>
        </w:rPr>
        <w:t xml:space="preserve">環境、社會及管治議題對全球的影響日形重要。我們當竭盡所能，協助推動社會邁向更美好的未來，而我們的環</w:t>
      </w:r>
    </w:p>
    <w:p>
      <w:pPr>
        <w:pStyle w:val="BodyText"/>
      </w:pPr>
      <w:r>
        <w:rPr>
          <w:rFonts w:hint="eastAsia"/>
        </w:rPr>
        <w:t xml:space="preserve">境、社會及管治措施在2020年再度備受肯定。根據評級機構Sustainalytics的評選，友邦保險在超過270家保險公</w:t>
      </w:r>
    </w:p>
    <w:p>
      <w:pPr>
        <w:pStyle w:val="BodyText"/>
      </w:pPr>
      <w:r>
        <w:rPr>
          <w:rFonts w:hint="eastAsia"/>
        </w:rPr>
        <w:t xml:space="preserve">司中排名第二，足證我們卓越的企業管治實力和質素。此外，我們繼續榮獲Institutional</w:t>
      </w:r>
      <w:r>
        <w:t xml:space="preserve"> Shareholder Services</w:t>
      </w:r>
    </w:p>
    <w:p>
      <w:pPr>
        <w:pStyle w:val="BodyText"/>
      </w:pPr>
      <w:r>
        <w:rPr>
          <w:rFonts w:hint="eastAsia"/>
        </w:rPr>
        <w:t xml:space="preserve">Inc.(ISS)頒發「Prime」環境、社會及管治企業評級(ESG</w:t>
      </w:r>
      <w:r>
        <w:t xml:space="preserve"> Corporate </w:t>
      </w:r>
      <w:r>
        <w:rPr>
          <w:rFonts w:hint="eastAsia"/>
        </w:rPr>
        <w:t xml:space="preserve">Rating)，認同我們為業界可持續發展表現</w:t>
      </w:r>
    </w:p>
    <w:p>
      <w:pPr>
        <w:pStyle w:val="BodyText"/>
      </w:pPr>
      <w:r>
        <w:rPr>
          <w:rFonts w:hint="eastAsia"/>
        </w:rPr>
        <w:t xml:space="preserve">最佳的公司之一。我們相信我們在這方面仍需採取更多措施，為社區實現更美好的成果。這仍是我個人與董事會</w:t>
      </w:r>
    </w:p>
    <w:p>
      <w:pPr>
        <w:pStyle w:val="BodyText"/>
      </w:pPr>
      <w:r>
        <w:rPr>
          <w:rFonts w:hint="eastAsia"/>
        </w:rPr>
        <w:t xml:space="preserve">成員、高級管理層團隊以及全體員工共同秉持的優先指標。</w:t>
      </w:r>
    </w:p>
    <w:p>
      <w:pPr>
        <w:pStyle w:val="BodyText"/>
      </w:pPr>
      <w:r>
        <w:rPr>
          <w:rFonts w:hint="eastAsia"/>
        </w:rPr>
        <w:t xml:space="preserve">今天，客戶對友邦保險產品、服務及高質素建議日益增長的需求從未如此殷切。我們的策略建基於亞洲強勁的</w:t>
      </w:r>
    </w:p>
    <w:p>
      <w:pPr>
        <w:pStyle w:val="BodyText"/>
      </w:pPr>
      <w:r>
        <w:rPr>
          <w:rFonts w:hint="eastAsia"/>
        </w:rPr>
        <w:t xml:space="preserve">結構性增長動力，並獲多項因素支持，包括前所未見的財富創造、保障缺口迅速擴大、消費者取向持續轉變、</w:t>
      </w:r>
    </w:p>
    <w:p>
      <w:pPr>
        <w:pStyle w:val="BodyText"/>
      </w:pPr>
      <w:r>
        <w:rPr>
          <w:rFonts w:hint="eastAsia"/>
        </w:rPr>
        <w:t xml:space="preserve">數碼技術普及，以及市場聚焦於長遠的可持續發展。董事會充滿信心，友邦保險具備優越條件，把握區內展現的</w:t>
      </w:r>
    </w:p>
    <w:p>
      <w:pPr>
        <w:pStyle w:val="BodyText"/>
      </w:pPr>
      <w:r>
        <w:rPr>
          <w:rFonts w:hint="eastAsia"/>
        </w:rPr>
        <w:t xml:space="preserve">龐大機遇，在客戶及其家庭最需要的時刻提供財務保障，使其安心無憂，並同時為所有持分者創造共享價值。</w:t>
      </w:r>
    </w:p>
    <w:p>
      <w:pPr>
        <w:pStyle w:val="BodyText"/>
      </w:pPr>
      <w:r>
        <w:rPr>
          <w:rFonts w:hint="eastAsia"/>
        </w:rPr>
        <w:t xml:space="preserve">最後，全賴客戶及股東的信任，友邦保險才能自上市以來表現強勁和持續增長。本人謹代表董事會全體成員，</w:t>
      </w:r>
    </w:p>
    <w:p>
      <w:pPr>
        <w:pStyle w:val="BodyText"/>
      </w:pPr>
      <w:r>
        <w:rPr>
          <w:rFonts w:hint="eastAsia"/>
        </w:rPr>
        <w:t xml:space="preserve">衷心感謝您們一直以來的支持。</w:t>
      </w:r>
    </w:p>
    <w:p>
      <w:pPr>
        <w:pStyle w:val="BodyText"/>
      </w:pPr>
      <w:r>
        <w:rPr>
          <w:rFonts w:hint="eastAsia"/>
        </w:rPr>
        <w:t xml:space="preserve">謝仕榮</w:t>
      </w:r>
    </w:p>
    <w:p>
      <w:pPr>
        <w:pStyle w:val="BodyText"/>
      </w:pPr>
      <w:r>
        <w:rPr>
          <w:rFonts w:hint="eastAsia"/>
        </w:rPr>
        <w:t xml:space="preserve">獨立非執行主席</w:t>
      </w:r>
    </w:p>
    <w:p>
      <w:pPr>
        <w:pStyle w:val="BodyText"/>
      </w:pPr>
      <w:r>
        <w:rPr>
          <w:rFonts w:hint="eastAsia"/>
        </w:rPr>
        <w:t xml:space="preserve">2021年3月12日</w:t>
      </w:r>
    </w:p>
    <w:p>
      <w:pPr>
        <w:pStyle w:val="BodyText"/>
      </w:pPr>
      <w:r>
        <w:rPr>
          <w:rFonts w:hint="eastAsia"/>
        </w:rPr>
        <w:t xml:space="preserve">增長率乃按固定匯率列示，管理層相信這可更清晰地說明相關業務的按年表現。</w:t>
      </w:r>
    </w:p>
    <w:p>
      <w:pPr>
        <w:pStyle w:val="BodyText"/>
      </w:pPr>
      <w:r>
        <w:t xml:space="preserve">009</w:t>
      </w:r>
    </w:p>
    <w:p>
      <w:pPr>
        <w:pStyle w:val="BodyText"/>
      </w:pPr>
      <w:r>
        <w:rPr>
          <w:rFonts w:hint="eastAsia"/>
        </w:rPr>
        <w:t xml:space="preserve">概覽財務及營運回顧企業管治其他資料財務報表2020年報</w:t>
      </w:r>
    </w:p>
    <w:p>
      <w:pPr>
        <w:pStyle w:val="BodyText"/>
      </w:pPr>
      <w:r>
        <w:rPr>
          <w:rFonts w:hint="eastAsia"/>
        </w:rPr>
        <w:t xml:space="preserve">集團首席執行官兼總裁報告</w:t>
      </w:r>
    </w:p>
    <w:p>
      <w:pPr>
        <w:pStyle w:val="BodyText"/>
      </w:pPr>
      <w:r>
        <w:rPr>
          <w:rFonts w:hint="eastAsia"/>
        </w:rPr>
        <w:t xml:space="preserve">友邦保險再度錄得非常強勁的業績，反映我們表現</w:t>
      </w:r>
    </w:p>
    <w:p>
      <w:pPr>
        <w:pStyle w:val="BodyText"/>
      </w:pPr>
      <w:r>
        <w:rPr>
          <w:rFonts w:hint="eastAsia"/>
        </w:rPr>
        <w:t xml:space="preserve">卓越的團隊努力不懈的成果。我們的員工能迅速</w:t>
      </w:r>
    </w:p>
    <w:p>
      <w:pPr>
        <w:pStyle w:val="BodyText"/>
      </w:pPr>
      <w:r>
        <w:rPr>
          <w:rFonts w:hint="eastAsia"/>
        </w:rPr>
        <w:t xml:space="preserve">和靈活應對瞬息萬變的經營環境，令我深感自豪。</w:t>
      </w:r>
    </w:p>
    <w:p>
      <w:pPr>
        <w:pStyle w:val="BodyText"/>
      </w:pPr>
      <w:r>
        <w:rPr>
          <w:rFonts w:hint="eastAsia"/>
        </w:rPr>
        <w:t xml:space="preserve">憑藉矢志不渝的承諾，我們協助客戶駕馭不明朗的</w:t>
      </w:r>
    </w:p>
    <w:p>
      <w:pPr>
        <w:pStyle w:val="BodyText"/>
      </w:pPr>
      <w:r>
        <w:rPr>
          <w:rFonts w:hint="eastAsia"/>
        </w:rPr>
        <w:t xml:space="preserve">環境，同時加快落實我們的策略計劃。</w:t>
      </w:r>
    </w:p>
    <w:p>
      <w:pPr>
        <w:pStyle w:val="BodyText"/>
      </w:pPr>
      <w:r>
        <w:rPr>
          <w:rFonts w:hint="eastAsia"/>
        </w:rPr>
        <w:t xml:space="preserve">李源祥先生</w:t>
      </w:r>
      <w:r>
        <w:br/>
      </w:r>
      <w:r>
        <w:rPr>
          <w:rFonts w:hint="eastAsia"/>
        </w:rPr>
        <w:t xml:space="preserve">集團首席執行官</w:t>
      </w:r>
      <w:r>
        <w:br/>
      </w:r>
      <w:r>
        <w:rPr>
          <w:rFonts w:hint="eastAsia"/>
        </w:rPr>
        <w:t xml:space="preserve">兼總裁</w:t>
      </w:r>
    </w:p>
    <w:p>
      <w:pPr>
        <w:pStyle w:val="BodyText"/>
      </w:pPr>
      <w:r>
        <w:t xml:space="preserve">010</w:t>
      </w:r>
    </w:p>
    <w:p>
      <w:pPr>
        <w:pStyle w:val="BodyText"/>
      </w:pPr>
      <w:r>
        <w:rPr>
          <w:rFonts w:hint="eastAsia"/>
        </w:rPr>
        <w:t xml:space="preserve">概覽友邦保險控股有限公司</w:t>
      </w:r>
    </w:p>
    <w:p>
      <w:pPr>
        <w:pStyle w:val="BodyText"/>
      </w:pPr>
      <w:r>
        <w:rPr>
          <w:rFonts w:hint="eastAsia"/>
        </w:rPr>
        <w:t xml:space="preserve">友邦保險是客戶誠可信賴的夥伴，讓客戶在關注財務安全和家庭保障時仍可安心無憂。儘管2019冠狀病毒病大</w:t>
      </w:r>
    </w:p>
    <w:p>
      <w:pPr>
        <w:pStyle w:val="BodyText"/>
      </w:pPr>
      <w:r>
        <w:rPr>
          <w:rFonts w:hint="eastAsia"/>
        </w:rPr>
        <w:t xml:space="preserve">流行的影響深遠，但我衷心感謝我們的員工、代理和合作夥伴在適應新工作方式並確保為客戶提供無間斷的支援</w:t>
      </w:r>
    </w:p>
    <w:p>
      <w:pPr>
        <w:pStyle w:val="BodyText"/>
      </w:pPr>
      <w:r>
        <w:rPr>
          <w:rFonts w:hint="eastAsia"/>
        </w:rPr>
        <w:t xml:space="preserve">時，展現靈活應變的能力和克盡己職的精神。</w:t>
      </w:r>
    </w:p>
    <w:p>
      <w:pPr>
        <w:pStyle w:val="BodyText"/>
      </w:pPr>
      <w:r>
        <w:rPr>
          <w:rFonts w:hint="eastAsia"/>
        </w:rPr>
        <w:t xml:space="preserve">自疫情大流行開始以來，本集團的各業務團隊反應迅速，積極協助紓緩對社區的影響，同時確保員工安全。本集</w:t>
      </w:r>
    </w:p>
    <w:p>
      <w:pPr>
        <w:pStyle w:val="BodyText"/>
      </w:pPr>
      <w:r>
        <w:rPr>
          <w:rFonts w:hint="eastAsia"/>
        </w:rPr>
        <w:t xml:space="preserve">團為此廣泛採取多項措拖，包括財政支持、提供醫療物資、免費保障覆蓋、獲取醫療保健資源、精簡服務流程和</w:t>
      </w:r>
    </w:p>
    <w:p>
      <w:pPr>
        <w:pStyle w:val="BodyText"/>
      </w:pPr>
      <w:r>
        <w:rPr>
          <w:rFonts w:hint="eastAsia"/>
        </w:rPr>
        <w:t xml:space="preserve">加快理賠支付，令我引以為榮。我們一如既往找出每一個可以作出理賠的理由，年內已支付逾160億美元的保險</w:t>
      </w:r>
    </w:p>
    <w:p>
      <w:pPr>
        <w:pStyle w:val="BodyText"/>
      </w:pPr>
      <w:r>
        <w:rPr>
          <w:rFonts w:hint="eastAsia"/>
        </w:rPr>
        <w:t xml:space="preserve">給付及理賠，為客戶提供極其重要的財務保障。</w:t>
      </w:r>
    </w:p>
    <w:p>
      <w:pPr>
        <w:pStyle w:val="BodyText"/>
      </w:pPr>
      <w:r>
        <w:rPr>
          <w:rFonts w:hint="eastAsia"/>
        </w:rPr>
        <w:t xml:space="preserve">儘管為遏制2019冠狀病毒病傳播的措施導致新業務價值減少至27.65億美元，但隨著外出限制放寬，銷售動力轉</w:t>
      </w:r>
    </w:p>
    <w:p>
      <w:pPr>
        <w:pStyle w:val="BodyText"/>
      </w:pPr>
      <w:r>
        <w:rPr>
          <w:rFonts w:hint="eastAsia"/>
        </w:rPr>
        <w:t xml:space="preserve">趨正面，並在2021年展開非常強勁的勢頭，首兩個月的新業務價值按年增長15%。我們規模龐大和持續增長的有</w:t>
      </w:r>
    </w:p>
    <w:p>
      <w:pPr>
        <w:pStyle w:val="BodyText"/>
      </w:pPr>
      <w:r>
        <w:rPr>
          <w:rFonts w:hint="eastAsia"/>
        </w:rPr>
        <w:t xml:space="preserve">效保單組合所帶來的高質素和經常性收入來源，帶動2020年稅後營運溢利增加5%，期內產生的基本自由盈餘則</w:t>
      </w:r>
    </w:p>
    <w:p>
      <w:pPr>
        <w:pStyle w:val="BodyText"/>
      </w:pPr>
      <w:r>
        <w:rPr>
          <w:rFonts w:hint="eastAsia"/>
        </w:rPr>
        <w:t xml:space="preserve">增長7%。截至2020年12月31日，內涵價值權益創新高，達672億美元，集團當地資本總和法覆蓋率為374%，足</w:t>
      </w:r>
    </w:p>
    <w:p>
      <w:pPr>
        <w:pStyle w:val="BodyText"/>
      </w:pPr>
      <w:r>
        <w:rPr>
          <w:rFonts w:hint="eastAsia"/>
        </w:rPr>
        <w:t xml:space="preserve">證我們雄厚的資本實力和嚴謹的財務管理。</w:t>
      </w:r>
    </w:p>
    <w:p>
      <w:pPr>
        <w:pStyle w:val="BodyText"/>
      </w:pPr>
      <w:r>
        <w:rPr>
          <w:rFonts w:hint="eastAsia"/>
        </w:rPr>
        <w:t xml:space="preserve">董事會建議2020年末期股息增加7.5%至每股100.30港仙。這秉承友邦保險行之已久的審慎、可持續及漸進的派息</w:t>
      </w:r>
    </w:p>
    <w:p>
      <w:pPr>
        <w:pStyle w:val="BodyText"/>
      </w:pPr>
      <w:r>
        <w:rPr>
          <w:rFonts w:hint="eastAsia"/>
        </w:rPr>
        <w:t xml:space="preserve">政策，讓本集團可把握未來的增長機遇，並且保持財務靈活性。</w:t>
      </w:r>
    </w:p>
    <w:p>
      <w:pPr>
        <w:pStyle w:val="BodyText"/>
      </w:pPr>
      <w:r>
        <w:rPr>
          <w:rFonts w:hint="eastAsia"/>
        </w:rPr>
        <w:t xml:space="preserve">友邦保險具有多項顯著優勢，讓我們在競爭激烈的市場別樹一幟。我們在亞洲經營數十載，擁有區內無可比擬的</w:t>
      </w:r>
    </w:p>
    <w:p>
      <w:pPr>
        <w:pStyle w:val="BodyText"/>
      </w:pPr>
      <w:r>
        <w:rPr>
          <w:rFonts w:hint="eastAsia"/>
        </w:rPr>
        <w:t xml:space="preserve">平台，並於我們業務所在的大部分市場雄踞領導地位。我們始終如一地百分百專注於亞洲市場，有助我們在全球</w:t>
      </w:r>
    </w:p>
    <w:p>
      <w:pPr>
        <w:pStyle w:val="BodyText"/>
      </w:pPr>
      <w:r>
        <w:rPr>
          <w:rFonts w:hint="eastAsia"/>
        </w:rPr>
        <w:t xml:space="preserve">最具吸引力的壽險業地區全面把握增長機遇。這份專注結合我們領導團隊在亞洲的豐富經驗及員工的優秀質素，</w:t>
      </w:r>
    </w:p>
    <w:p>
      <w:pPr>
        <w:pStyle w:val="BodyText"/>
      </w:pPr>
      <w:r>
        <w:rPr>
          <w:rFonts w:hint="eastAsia"/>
        </w:rPr>
        <w:t xml:space="preserve">一直是我們表現卓越的重要動力。</w:t>
      </w:r>
    </w:p>
    <w:p>
      <w:pPr>
        <w:pStyle w:val="BodyText"/>
      </w:pPr>
      <w:r>
        <w:rPr>
          <w:rFonts w:hint="eastAsia"/>
        </w:rPr>
        <w:t xml:space="preserve">我們無可比擬的分銷實力能直接接觸客戶，並提供高質素的專業建議，協助滿足亞洲消費者龐大且日益增長的長</w:t>
      </w:r>
    </w:p>
    <w:p>
      <w:pPr>
        <w:pStyle w:val="BodyText"/>
      </w:pPr>
      <w:r>
        <w:rPr>
          <w:rFonts w:hint="eastAsia"/>
        </w:rPr>
        <w:t xml:space="preserve">期保障和儲蓄需求。如今大眾比以往更期望企業能以符合長遠可持續發展的方式應對他們的需要。友邦保險擁有</w:t>
      </w:r>
    </w:p>
    <w:p>
      <w:pPr>
        <w:pStyle w:val="BodyText"/>
      </w:pPr>
      <w:r>
        <w:rPr>
          <w:rFonts w:hint="eastAsia"/>
        </w:rPr>
        <w:t xml:space="preserve">市場領先的品牌，以幫助大眾實踐健康、長久、好生活的目標為基礎。</w:t>
      </w:r>
    </w:p>
    <w:p>
      <w:pPr>
        <w:pStyle w:val="BodyText"/>
      </w:pPr>
      <w:r>
        <w:rPr>
          <w:rFonts w:hint="eastAsia"/>
        </w:rPr>
        <w:t xml:space="preserve">我們旨在使友邦保險在科技應用方面領先全球，加強互聯互通，擴大規模和提升效率。更深入瞭解數據分析有助</w:t>
      </w:r>
    </w:p>
    <w:p>
      <w:pPr>
        <w:pStyle w:val="BodyText"/>
      </w:pPr>
      <w:r>
        <w:rPr>
          <w:rFonts w:hint="eastAsia"/>
        </w:rPr>
        <w:t xml:space="preserve">我們締造獨特和個人化的客戶體驗。切合和反映個人需求和生活方式的產品及服務，改變了大眾對人壽保險的看</w:t>
      </w:r>
    </w:p>
    <w:p>
      <w:pPr>
        <w:pStyle w:val="BodyText"/>
      </w:pPr>
      <w:r>
        <w:rPr>
          <w:rFonts w:hint="eastAsia"/>
        </w:rPr>
        <w:t xml:space="preserve">法，為我們與客戶建立長遠關係奠定堅實的基礎。</w:t>
      </w:r>
    </w:p>
    <w:p>
      <w:pPr>
        <w:pStyle w:val="BodyText"/>
      </w:pPr>
      <w:r>
        <w:rPr>
          <w:rFonts w:hint="eastAsia"/>
        </w:rPr>
        <w:t xml:space="preserve">儘管2020年是前所未見的一年，但我對亞洲壽險行業的前景和友邦保險的未來比以往更為樂觀。我們繼續挑戰自</w:t>
      </w:r>
    </w:p>
    <w:p>
      <w:pPr>
        <w:pStyle w:val="BodyText"/>
      </w:pPr>
      <w:r>
        <w:rPr>
          <w:rFonts w:hint="eastAsia"/>
        </w:rPr>
        <w:t xml:space="preserve">己，發展我們的優先任務，以確保我們能繼續適切地迎合客戶期望和財務需求的轉變。我們的全新企業策略建基</w:t>
      </w:r>
    </w:p>
    <w:p>
      <w:pPr>
        <w:pStyle w:val="BodyText"/>
      </w:pPr>
      <w:r>
        <w:rPr>
          <w:rFonts w:hint="eastAsia"/>
        </w:rPr>
        <w:t xml:space="preserve">於友邦保險的現有實力，推進轉型過程，以在未來為客戶提供最佳的服務。</w:t>
      </w:r>
    </w:p>
    <w:p>
      <w:pPr>
        <w:pStyle w:val="BodyText"/>
      </w:pPr>
      <w:r>
        <w:t xml:space="preserve">011</w:t>
      </w:r>
    </w:p>
    <w:p>
      <w:pPr>
        <w:pStyle w:val="BodyText"/>
      </w:pPr>
      <w:r>
        <w:rPr>
          <w:rFonts w:hint="eastAsia"/>
        </w:rPr>
        <w:t xml:space="preserve">概覽財務及營運回顧企業管治其他資料財務報表2020年報</w:t>
      </w:r>
    </w:p>
    <w:p>
      <w:pPr>
        <w:pStyle w:val="BodyText"/>
      </w:pPr>
      <w:r>
        <w:rPr>
          <w:rFonts w:hint="eastAsia"/>
        </w:rPr>
        <w:t xml:space="preserve">集團首席執行官兼總裁報告</w:t>
      </w:r>
    </w:p>
    <w:p>
      <w:pPr>
        <w:pStyle w:val="BodyText"/>
      </w:pPr>
      <w:r>
        <w:rPr>
          <w:rFonts w:hint="eastAsia"/>
        </w:rPr>
        <w:t xml:space="preserve">2020年業績摘要</w:t>
      </w:r>
    </w:p>
    <w:p>
      <w:pPr>
        <w:pStyle w:val="BodyText"/>
      </w:pPr>
      <w:r>
        <w:rPr>
          <w:rFonts w:hint="eastAsia"/>
        </w:rPr>
        <w:t xml:space="preserve">友邦保險中國業務在2020年為本集團新業務價值帶來最大貢獻，並在2021年初表現卓越，與2020年同期比較，</w:t>
      </w:r>
    </w:p>
    <w:p>
      <w:pPr>
        <w:pStyle w:val="BodyText"/>
      </w:pPr>
      <w:r>
        <w:rPr>
          <w:rFonts w:hint="eastAsia"/>
        </w:rPr>
        <w:t xml:space="preserve">今年首兩個月錄得非常強勁的新業務價值增長。儘管2020年的9.68億美元新業務價值較2019年下降17%，但這主</w:t>
      </w:r>
    </w:p>
    <w:p>
      <w:pPr>
        <w:pStyle w:val="BodyText"/>
      </w:pPr>
      <w:r>
        <w:rPr>
          <w:rFonts w:hint="eastAsia"/>
        </w:rPr>
        <w:t xml:space="preserve">要由於2019冠狀病毒病在首季爆發初期新銷售有限所致。年內稅後營運溢利增長14%，主要是由於我們日益增長</w:t>
      </w:r>
    </w:p>
    <w:p>
      <w:pPr>
        <w:pStyle w:val="BodyText"/>
      </w:pPr>
      <w:r>
        <w:rPr>
          <w:rFonts w:hint="eastAsia"/>
        </w:rPr>
        <w:t xml:space="preserve">的有效保單組合及有利的理賠經驗。</w:t>
      </w:r>
    </w:p>
    <w:p>
      <w:pPr>
        <w:pStyle w:val="BodyText"/>
      </w:pPr>
      <w:r>
        <w:rPr>
          <w:rFonts w:hint="eastAsia"/>
        </w:rPr>
        <w:t xml:space="preserve">在2020年，我們成功獲得監管機搆批復，將上海分公司改建為中國內地首家外資獨資人身保險子公司。於2021年</w:t>
      </w:r>
    </w:p>
    <w:p>
      <w:pPr>
        <w:pStyle w:val="BodyText"/>
      </w:pPr>
      <w:r>
        <w:rPr>
          <w:rFonts w:hint="eastAsia"/>
        </w:rPr>
        <w:t xml:space="preserve">3月，我們已獲得中國銀行保險監督委員會批復，准予在四川省開業。四川省是中國內地以國內生產總值計的</w:t>
      </w:r>
    </w:p>
    <w:p>
      <w:pPr>
        <w:pStyle w:val="BodyText"/>
      </w:pPr>
      <w:r>
        <w:rPr>
          <w:rFonts w:hint="eastAsia"/>
        </w:rPr>
        <w:t xml:space="preserve">第六大省份，以人口計為第四大省，為友邦保險帶來重大的長期增長機遇。</w:t>
      </w:r>
    </w:p>
    <w:p>
      <w:pPr>
        <w:pStyle w:val="BodyText"/>
      </w:pPr>
      <w:r>
        <w:rPr>
          <w:rFonts w:hint="eastAsia"/>
        </w:rPr>
        <w:t xml:space="preserve">香港在2020年2月初實施旅遊限制，來自中國內地訪港旅客的新業務銷售實際上已經停頓，導致新業務價值大幅</w:t>
      </w:r>
    </w:p>
    <w:p>
      <w:pPr>
        <w:pStyle w:val="BodyText"/>
      </w:pPr>
      <w:r>
        <w:rPr>
          <w:rFonts w:hint="eastAsia"/>
        </w:rPr>
        <w:t xml:space="preserve">下降。與上半年比較，我們的代理分銷來自本地客戶的業務於下半年錄得雙位數字的銷售增長，維持顯著的市場</w:t>
      </w:r>
    </w:p>
    <w:p>
      <w:pPr>
        <w:pStyle w:val="BodyText"/>
      </w:pPr>
      <w:r>
        <w:rPr>
          <w:rFonts w:hint="eastAsia"/>
        </w:rPr>
        <w:t xml:space="preserve">領導地位。夥伴分銷渠道的新業務價值顯著低於2019年，乃由於透過零售獨立財務顧問渠道的中國內地訪港旅客</w:t>
      </w:r>
    </w:p>
    <w:p>
      <w:pPr>
        <w:pStyle w:val="BodyText"/>
      </w:pPr>
      <w:r>
        <w:rPr>
          <w:rFonts w:hint="eastAsia"/>
        </w:rPr>
        <w:t xml:space="preserve">過往銷售比重較高。稅後營運溢利增長10%，受惠於續保保費強勁的增長及有利的理賠經驗。</w:t>
      </w:r>
    </w:p>
    <w:p>
      <w:pPr>
        <w:pStyle w:val="BodyText"/>
      </w:pPr>
      <w:r>
        <w:rPr>
          <w:rFonts w:hint="eastAsia"/>
        </w:rPr>
        <w:t xml:space="preserve">友邦保險泰國業務在下半年錄得非常強勁的表現。儘管新業務價值全年下降4%，但隨著外出限制放寬，按月表</w:t>
      </w:r>
    </w:p>
    <w:p>
      <w:pPr>
        <w:pStyle w:val="BodyText"/>
      </w:pPr>
      <w:r>
        <w:rPr>
          <w:rFonts w:hint="eastAsia"/>
        </w:rPr>
        <w:t xml:space="preserve">現已展現正面動力，而下半年新業務價值較上半年錄得33%的增長。</w:t>
      </w:r>
    </w:p>
    <w:p>
      <w:pPr>
        <w:pStyle w:val="BodyText"/>
      </w:pPr>
      <w:r>
        <w:rPr>
          <w:rFonts w:hint="eastAsia"/>
        </w:rPr>
        <w:t xml:space="preserve">新加坡業務下半年亦有卓越的好轉，與上半年比較，新業務價值上升56%，按年則上升12%。新業務價值全年</w:t>
      </w:r>
    </w:p>
    <w:p>
      <w:pPr>
        <w:pStyle w:val="BodyText"/>
      </w:pPr>
      <w:r>
        <w:rPr>
          <w:rFonts w:hint="eastAsia"/>
        </w:rPr>
        <w:t xml:space="preserve">下降5%，由於我們的境外夥伴業務受到嚴格的邊境管制措施所影響，抵銷代理渠道的增長。稅後營運溢利上升</w:t>
      </w:r>
    </w:p>
    <w:p>
      <w:pPr>
        <w:pStyle w:val="BodyText"/>
      </w:pPr>
      <w:r>
        <w:t xml:space="preserve">8%。</w:t>
      </w:r>
    </w:p>
    <w:p>
      <w:pPr>
        <w:pStyle w:val="BodyText"/>
      </w:pPr>
      <w:r>
        <w:rPr>
          <w:rFonts w:hint="eastAsia"/>
        </w:rPr>
        <w:t xml:space="preserve">馬來西亞方面，新業務價值全年下降13%，特別反映在上半年嚴格執行的外出限制。下半年新業務價值回升，較</w:t>
      </w:r>
    </w:p>
    <w:p>
      <w:pPr>
        <w:pStyle w:val="BodyText"/>
      </w:pPr>
      <w:r>
        <w:rPr>
          <w:rFonts w:hint="eastAsia"/>
        </w:rPr>
        <w:t xml:space="preserve">上半年增長72%。</w:t>
      </w:r>
    </w:p>
    <w:p>
      <w:pPr>
        <w:pStyle w:val="BodyText"/>
      </w:pPr>
      <w:r>
        <w:rPr>
          <w:rFonts w:hint="eastAsia"/>
        </w:rPr>
        <w:t xml:space="preserve">其他市場方面，下半年的新業務價值較上半年上升10%，其中南韓和印尼的回升幅度正面。整體來說，新業務價</w:t>
      </w:r>
    </w:p>
    <w:p>
      <w:pPr>
        <w:pStyle w:val="BodyText"/>
      </w:pPr>
      <w:r>
        <w:rPr>
          <w:rFonts w:hint="eastAsia"/>
        </w:rPr>
        <w:t xml:space="preserve">值全年下降4%，主要由於新西蘭、菲律賓及印尼錄得跌幅。其餘的市場均錄得新業務價值正增長，其中越南、</w:t>
      </w:r>
    </w:p>
    <w:p>
      <w:pPr>
        <w:pStyle w:val="BodyText"/>
      </w:pPr>
      <w:r>
        <w:rPr>
          <w:rFonts w:hint="eastAsia"/>
        </w:rPr>
        <w:t xml:space="preserve">中國台灣及印度在2020年較2019年錄得雙位數字增長。</w:t>
      </w:r>
    </w:p>
    <w:p>
      <w:pPr>
        <w:pStyle w:val="BodyText"/>
      </w:pPr>
      <w:r>
        <w:rPr>
          <w:rFonts w:hint="eastAsia"/>
        </w:rPr>
        <w:t xml:space="preserve">代理渠道方面，我們轉移使用線上招聘和入職培訓的趨勢，支持新入職代理及代理主管人數錄得雙位數字增長。</w:t>
      </w:r>
    </w:p>
    <w:p>
      <w:pPr>
        <w:pStyle w:val="BodyText"/>
      </w:pPr>
      <w:r>
        <w:rPr>
          <w:rFonts w:hint="eastAsia"/>
        </w:rPr>
        <w:t xml:space="preserve">雖然疫情大流行期間面對面會議受到限制，導致新業務價值下降28%，但隨著限制放寬，加上各業務採用新的數</w:t>
      </w:r>
    </w:p>
    <w:p>
      <w:pPr>
        <w:pStyle w:val="BodyText"/>
      </w:pPr>
      <w:r>
        <w:rPr>
          <w:rFonts w:hint="eastAsia"/>
        </w:rPr>
        <w:t xml:space="preserve">碼工具，新業務價值在下半年已強勁回升。正面銷售動力延續至2021年，與2020年同期比較，代理業務在首兩</w:t>
      </w:r>
    </w:p>
    <w:p>
      <w:pPr>
        <w:pStyle w:val="BodyText"/>
      </w:pPr>
      <w:r>
        <w:rPr>
          <w:rFonts w:hint="eastAsia"/>
        </w:rPr>
        <w:t xml:space="preserve">個月錄得非常強勁的新業務價值增長。</w:t>
      </w:r>
    </w:p>
    <w:p>
      <w:pPr>
        <w:pStyle w:val="BodyText"/>
      </w:pPr>
      <w:r>
        <w:rPr>
          <w:rFonts w:hint="eastAsia"/>
        </w:rPr>
        <w:t xml:space="preserve">中國內地訪港旅客的旅遊限制影響我們的零售獨立財務顧問業務，導致夥伴業務於</w:t>
      </w:r>
      <w:r>
        <w:t xml:space="preserve"> </w:t>
      </w:r>
      <w:r>
        <w:rPr>
          <w:rFonts w:hint="eastAsia"/>
        </w:rPr>
        <w:t xml:space="preserve">2020年的新業務價值下降</w:t>
      </w:r>
    </w:p>
    <w:p>
      <w:pPr>
        <w:pStyle w:val="BodyText"/>
      </w:pPr>
      <w:r>
        <w:rPr>
          <w:rFonts w:hint="eastAsia"/>
        </w:rPr>
        <w:t xml:space="preserve">41%。我們從銀行保險帶來較為堅韌的業績，並為此渠道的新業務價值帶來大部分的貢獻。我們與印尼的Bank</w:t>
      </w:r>
    </w:p>
    <w:p>
      <w:pPr>
        <w:pStyle w:val="BodyText"/>
      </w:pPr>
      <w:r>
        <w:t xml:space="preserve">Central Asia (BCA)、 </w:t>
      </w:r>
      <w:r>
        <w:rPr>
          <w:rFonts w:hint="eastAsia"/>
        </w:rPr>
        <w:t xml:space="preserve">泰</w:t>
      </w:r>
      <w:r>
        <w:t xml:space="preserve"> </w:t>
      </w:r>
      <w:r>
        <w:rPr>
          <w:rFonts w:hint="eastAsia"/>
        </w:rPr>
        <w:t xml:space="preserve">國</w:t>
      </w:r>
      <w:r>
        <w:t xml:space="preserve"> </w:t>
      </w:r>
      <w:r>
        <w:rPr>
          <w:rFonts w:hint="eastAsia"/>
        </w:rPr>
        <w:t xml:space="preserve">的Bangkok</w:t>
      </w:r>
      <w:r>
        <w:t xml:space="preserve"> Bank Public Company </w:t>
      </w:r>
      <w:r>
        <w:rPr>
          <w:rFonts w:hint="eastAsia"/>
        </w:rPr>
        <w:t xml:space="preserve">Limited（盤</w:t>
      </w:r>
      <w:r>
        <w:t xml:space="preserve"> </w:t>
      </w:r>
      <w:r>
        <w:rPr>
          <w:rFonts w:hint="eastAsia"/>
        </w:rPr>
        <w:t xml:space="preserve">谷</w:t>
      </w:r>
      <w:r>
        <w:t xml:space="preserve"> </w:t>
      </w:r>
      <w:r>
        <w:rPr>
          <w:rFonts w:hint="eastAsia"/>
        </w:rPr>
        <w:t xml:space="preserve">銀</w:t>
      </w:r>
      <w:r>
        <w:t xml:space="preserve"> </w:t>
      </w:r>
      <w:r>
        <w:rPr>
          <w:rFonts w:hint="eastAsia"/>
        </w:rPr>
        <w:t xml:space="preserve">行）及</w:t>
      </w:r>
      <w:r>
        <w:t xml:space="preserve"> </w:t>
      </w:r>
      <w:r>
        <w:rPr>
          <w:rFonts w:hint="eastAsia"/>
        </w:rPr>
        <w:t xml:space="preserve">馬</w:t>
      </w:r>
      <w:r>
        <w:t xml:space="preserve"> </w:t>
      </w:r>
      <w:r>
        <w:rPr>
          <w:rFonts w:hint="eastAsia"/>
        </w:rPr>
        <w:t xml:space="preserve">來</w:t>
      </w:r>
      <w:r>
        <w:t xml:space="preserve"> </w:t>
      </w:r>
      <w:r>
        <w:rPr>
          <w:rFonts w:hint="eastAsia"/>
        </w:rPr>
        <w:t xml:space="preserve">西</w:t>
      </w:r>
      <w:r>
        <w:t xml:space="preserve"> </w:t>
      </w:r>
      <w:r>
        <w:rPr>
          <w:rFonts w:hint="eastAsia"/>
        </w:rPr>
        <w:t xml:space="preserve">亞</w:t>
      </w:r>
      <w:r>
        <w:t xml:space="preserve"> </w:t>
      </w:r>
      <w:r>
        <w:rPr>
          <w:rFonts w:hint="eastAsia"/>
        </w:rPr>
        <w:t xml:space="preserve">的Public</w:t>
      </w:r>
      <w:r>
        <w:t xml:space="preserve"> Bank</w:t>
      </w:r>
    </w:p>
    <w:p>
      <w:pPr>
        <w:pStyle w:val="BodyText"/>
      </w:pPr>
      <w:r>
        <w:rPr>
          <w:rFonts w:hint="eastAsia"/>
        </w:rPr>
        <w:t xml:space="preserve">Berhad（大眾銀行）的銀行保險夥伴合作，在2020年均錄得新業務價值正增長。</w:t>
      </w:r>
    </w:p>
    <w:p>
      <w:pPr>
        <w:pStyle w:val="BodyText"/>
      </w:pPr>
      <w:r>
        <w:t xml:space="preserve">012</w:t>
      </w:r>
    </w:p>
    <w:p>
      <w:pPr>
        <w:pStyle w:val="BodyText"/>
      </w:pPr>
      <w:r>
        <w:rPr>
          <w:rFonts w:hint="eastAsia"/>
        </w:rPr>
        <w:t xml:space="preserve">概覽友邦保險控股有限公司</w:t>
      </w:r>
    </w:p>
    <w:p>
      <w:pPr>
        <w:pStyle w:val="BodyText"/>
      </w:pPr>
      <w:r>
        <w:rPr>
          <w:rFonts w:hint="eastAsia"/>
        </w:rPr>
        <w:t xml:space="preserve">以人為本</w:t>
      </w:r>
    </w:p>
    <w:p>
      <w:pPr>
        <w:pStyle w:val="BodyText"/>
      </w:pPr>
      <w:r>
        <w:rPr>
          <w:rFonts w:hint="eastAsia"/>
        </w:rPr>
        <w:t xml:space="preserve">友邦保險擁有23,000名員工，是本集團的重要競爭優勢，亦是我們持續獲取佳績的關鍵。我們推廣共融和協作的</w:t>
      </w:r>
    </w:p>
    <w:p>
      <w:pPr>
        <w:pStyle w:val="BodyText"/>
      </w:pPr>
      <w:r>
        <w:rPr>
          <w:rFonts w:hint="eastAsia"/>
        </w:rPr>
        <w:t xml:space="preserve">學習文化，為員工提供平台，在友邦保險發展具意義和有價值的事業。因應社交距離措施和外遊限制，我們將學</w:t>
      </w:r>
    </w:p>
    <w:p>
      <w:pPr>
        <w:pStyle w:val="BodyText"/>
      </w:pPr>
      <w:r>
        <w:rPr>
          <w:rFonts w:hint="eastAsia"/>
        </w:rPr>
        <w:t xml:space="preserve">習內容轉至網上的「AIA</w:t>
      </w:r>
      <w:r>
        <w:t xml:space="preserve"> Learning </w:t>
      </w:r>
      <w:r>
        <w:rPr>
          <w:rFonts w:hint="eastAsia"/>
        </w:rPr>
        <w:t xml:space="preserve">Hub」。位於曼谷的世界級設施AIA</w:t>
      </w:r>
      <w:r>
        <w:t xml:space="preserve"> Leadership Centre ( </w:t>
      </w:r>
      <w:r>
        <w:rPr>
          <w:rFonts w:hint="eastAsia"/>
        </w:rPr>
        <w:t xml:space="preserve">ALC)重新設計及推行本</w:t>
      </w:r>
    </w:p>
    <w:p>
      <w:pPr>
        <w:pStyle w:val="BodyText"/>
      </w:pPr>
      <w:r>
        <w:rPr>
          <w:rFonts w:hint="eastAsia"/>
        </w:rPr>
        <w:t xml:space="preserve">集團的旗艦領袖發展計劃，擁有逾100個完全虛擬化的學習模組。參與者對這些虛擬學習課程作出非常正面的反</w:t>
      </w:r>
    </w:p>
    <w:p>
      <w:pPr>
        <w:pStyle w:val="BodyText"/>
      </w:pPr>
      <w:r>
        <w:rPr>
          <w:rFonts w:hint="eastAsia"/>
        </w:rPr>
        <w:t xml:space="preserve">饋，與過往參與面對面學習的意見相若。</w:t>
      </w:r>
    </w:p>
    <w:p>
      <w:pPr>
        <w:pStyle w:val="BodyText"/>
      </w:pPr>
      <w:r>
        <w:rPr>
          <w:rFonts w:hint="eastAsia"/>
        </w:rPr>
        <w:t xml:space="preserve">年度員工敬業度指標調查是我們在各市場共同努力所得成果的重要指標，藉此更瞭解和支援員工。在2020年，</w:t>
      </w:r>
    </w:p>
    <w:p>
      <w:pPr>
        <w:pStyle w:val="BodyText"/>
      </w:pPr>
      <w:r>
        <w:rPr>
          <w:rFonts w:hint="eastAsia"/>
        </w:rPr>
        <w:t xml:space="preserve">97%的員工參與調查，本集團所得的員工敬業度評分升至歷來新高，在蓋洛普環球金融服務及保險業基準中排名</w:t>
      </w:r>
    </w:p>
    <w:p>
      <w:pPr>
        <w:pStyle w:val="BodyText"/>
      </w:pPr>
      <w:r>
        <w:rPr>
          <w:rFonts w:hint="eastAsia"/>
        </w:rPr>
        <w:t xml:space="preserve">88分位。此外，友邦保險獲列入《福布斯》「2020年世界最佳僱主榜單」(‘World’s</w:t>
      </w:r>
      <w:r>
        <w:t xml:space="preserve"> Best Employers 2020’ list)。</w:t>
      </w:r>
    </w:p>
    <w:p>
      <w:pPr>
        <w:pStyle w:val="BodyText"/>
      </w:pPr>
      <w:r>
        <w:rPr>
          <w:rFonts w:hint="eastAsia"/>
        </w:rPr>
        <w:t xml:space="preserve">在2020年10月，友邦保險慶祝於香港聯交所上市10週年誌慶，特別設立「友邦獎學金」，承諾投放1億美元，在未</w:t>
      </w:r>
    </w:p>
    <w:p>
      <w:pPr>
        <w:pStyle w:val="BodyText"/>
      </w:pPr>
      <w:r>
        <w:rPr>
          <w:rFonts w:hint="eastAsia"/>
        </w:rPr>
        <w:t xml:space="preserve">來數十年每年資助100名就讀於香港多間大學的本科生，培養新世代企業領袖。</w:t>
      </w:r>
    </w:p>
    <w:p>
      <w:pPr>
        <w:pStyle w:val="BodyText"/>
      </w:pPr>
      <w:r>
        <w:rPr>
          <w:rFonts w:hint="eastAsia"/>
        </w:rPr>
        <w:t xml:space="preserve">「未來的組織」(Organisation</w:t>
      </w:r>
      <w:r>
        <w:t xml:space="preserve"> of the </w:t>
      </w:r>
      <w:r>
        <w:rPr>
          <w:rFonts w:hint="eastAsia"/>
        </w:rPr>
        <w:t xml:space="preserve">Future)策略的核心組成部分，包括強化和簡化組織結構、引進靈活的工作方</w:t>
      </w:r>
    </w:p>
    <w:p>
      <w:pPr>
        <w:pStyle w:val="BodyText"/>
      </w:pPr>
      <w:r>
        <w:rPr>
          <w:rFonts w:hint="eastAsia"/>
        </w:rPr>
        <w:t xml:space="preserve">式，以及提升能力框架。這些策略性優先任務將支持員工發展事業，進一步提升友邦保險作為首選僱主的地位。</w:t>
      </w:r>
    </w:p>
    <w:p>
      <w:pPr>
        <w:pStyle w:val="BodyText"/>
      </w:pPr>
      <w:r>
        <w:rPr>
          <w:rFonts w:hint="eastAsia"/>
        </w:rPr>
        <w:t xml:space="preserve">我們從2020年下半年起，透過友邦保險在新加坡和越南的業務作為兩個試點業務單位，展開塑造一個轉型機構的</w:t>
      </w:r>
    </w:p>
    <w:p>
      <w:pPr>
        <w:pStyle w:val="BodyText"/>
      </w:pPr>
      <w:r>
        <w:rPr>
          <w:rFonts w:hint="eastAsia"/>
        </w:rPr>
        <w:t xml:space="preserve">旅程。初步成果已實現更簡化、更以客為本的營運模式，我們亦推行靈活的工作方式，設立多個跨職能的專家團</w:t>
      </w:r>
    </w:p>
    <w:p>
      <w:pPr>
        <w:pStyle w:val="BodyText"/>
      </w:pPr>
      <w:r>
        <w:rPr>
          <w:rFonts w:hint="eastAsia"/>
        </w:rPr>
        <w:t xml:space="preserve">隊。我們計劃在這些試點業務內進行試驗和學習，然後將「未來的組織」項目擴展至其他業務。</w:t>
      </w:r>
    </w:p>
    <w:p>
      <w:pPr>
        <w:pStyle w:val="BodyText"/>
      </w:pPr>
      <w:r>
        <w:rPr>
          <w:rFonts w:hint="eastAsia"/>
        </w:rPr>
        <w:t xml:space="preserve">環境、社會及管治</w:t>
      </w:r>
    </w:p>
    <w:p>
      <w:pPr>
        <w:pStyle w:val="BodyText"/>
      </w:pPr>
      <w:r>
        <w:rPr>
          <w:rFonts w:hint="eastAsia"/>
        </w:rPr>
        <w:t xml:space="preserve">過去一個多世紀以來，友邦保險為亞洲客戶的生活帶來正面和持久的影響。我們的社區存在不少環境、社會及管</w:t>
      </w:r>
    </w:p>
    <w:p>
      <w:pPr>
        <w:pStyle w:val="BodyText"/>
      </w:pPr>
      <w:r>
        <w:rPr>
          <w:rFonts w:hint="eastAsia"/>
        </w:rPr>
        <w:t xml:space="preserve">治議題，包括氣候變化、環境污染及生活模式相關疾病。隨著疫情大流行持續，突顯了這些問題的複雜性。作為</w:t>
      </w:r>
    </w:p>
    <w:p>
      <w:pPr>
        <w:pStyle w:val="BodyText"/>
      </w:pPr>
      <w:r>
        <w:rPr>
          <w:rFonts w:hint="eastAsia"/>
        </w:rPr>
        <w:t xml:space="preserve">客戶和社區的終身夥伴，我們竭盡所能，推動社會邁向更美好、更可持續的未來。</w:t>
      </w:r>
    </w:p>
    <w:p>
      <w:pPr>
        <w:pStyle w:val="BodyText"/>
      </w:pPr>
      <w:r>
        <w:rPr>
          <w:rFonts w:hint="eastAsia"/>
        </w:rPr>
        <w:t xml:space="preserve">友邦保險參與氣候相關財務披露工作小組(Task</w:t>
      </w:r>
      <w:r>
        <w:t xml:space="preserve"> Force on Climate-related Financial </w:t>
      </w:r>
      <w:r>
        <w:rPr>
          <w:rFonts w:hint="eastAsia"/>
        </w:rPr>
        <w:t xml:space="preserve">Disclosures)，這個全球組</w:t>
      </w:r>
    </w:p>
    <w:p>
      <w:pPr>
        <w:pStyle w:val="BodyText"/>
      </w:pPr>
      <w:r>
        <w:rPr>
          <w:rFonts w:hint="eastAsia"/>
        </w:rPr>
        <w:t xml:space="preserve">織致力就氣候變化影響建立一個自願和一致的披露框架。我們繼續重申對有關建議的承諾，在2020年與我們投資</w:t>
      </w:r>
    </w:p>
    <w:p>
      <w:pPr>
        <w:pStyle w:val="BodyText"/>
      </w:pPr>
      <w:r>
        <w:rPr>
          <w:rFonts w:hint="eastAsia"/>
        </w:rPr>
        <w:t xml:space="preserve">組合內逾1,400家公司，以及超過30名外部投資經理聯繫，致力影響其如何管理氣候變化風險及應對氣候問題。</w:t>
      </w:r>
    </w:p>
    <w:p>
      <w:pPr>
        <w:pStyle w:val="BodyText"/>
      </w:pPr>
      <w:r>
        <w:rPr>
          <w:rFonts w:hint="eastAsia"/>
        </w:rPr>
        <w:t xml:space="preserve">根據評級機構Sustainalytics的評選，友邦保險連續第二年在保險業環境、社會及管治風險管理方面排名第二，</w:t>
      </w:r>
    </w:p>
    <w:p>
      <w:pPr>
        <w:pStyle w:val="BodyText"/>
      </w:pPr>
      <w:r>
        <w:rPr>
          <w:rFonts w:hint="eastAsia"/>
        </w:rPr>
        <w:t xml:space="preserve">而在2020年，MSCI上調友邦保險的環境、社會及管治評級至</w:t>
      </w:r>
      <w:r>
        <w:t xml:space="preserve"> </w:t>
      </w:r>
      <w:r>
        <w:rPr>
          <w:rFonts w:hint="eastAsia"/>
        </w:rPr>
        <w:t xml:space="preserve">A級，主要由於我們把環境、社會及管治因素融入投</w:t>
      </w:r>
    </w:p>
    <w:p>
      <w:pPr>
        <w:pStyle w:val="BodyText"/>
      </w:pPr>
      <w:r>
        <w:rPr>
          <w:rFonts w:hint="eastAsia"/>
        </w:rPr>
        <w:t xml:space="preserve">資職能。</w:t>
      </w:r>
    </w:p>
    <w:p>
      <w:pPr>
        <w:pStyle w:val="BodyText"/>
      </w:pPr>
      <w:r>
        <w:t xml:space="preserve">013</w:t>
      </w:r>
    </w:p>
    <w:p>
      <w:pPr>
        <w:pStyle w:val="BodyText"/>
      </w:pPr>
      <w:r>
        <w:rPr>
          <w:rFonts w:hint="eastAsia"/>
        </w:rPr>
        <w:t xml:space="preserve">概覽財務及營運回顧企業管治其他資料財務報表2020年報</w:t>
      </w:r>
    </w:p>
    <w:p>
      <w:pPr>
        <w:pStyle w:val="BodyText"/>
      </w:pPr>
      <w:r>
        <w:rPr>
          <w:rFonts w:hint="eastAsia"/>
        </w:rPr>
        <w:t xml:space="preserve">集團首席執行官兼總裁報告</w:t>
      </w:r>
    </w:p>
    <w:p>
      <w:pPr>
        <w:pStyle w:val="BodyText"/>
      </w:pPr>
      <w:r>
        <w:rPr>
          <w:rFonts w:hint="eastAsia"/>
        </w:rPr>
        <w:t xml:space="preserve">我們瞭解我們在這重要領域仍然任重道遠。我們最近亦完成環境、社會及管治策略的檢討。本人充滿信心，我們</w:t>
      </w:r>
    </w:p>
    <w:p>
      <w:pPr>
        <w:pStyle w:val="BodyText"/>
      </w:pPr>
      <w:r>
        <w:rPr>
          <w:rFonts w:hint="eastAsia"/>
        </w:rPr>
        <w:t xml:space="preserve">的五大策略焦點領域：提升身心健康、綠色營運、可持續投資、人才與文化和有效的管治，將有助我們實現在環</w:t>
      </w:r>
    </w:p>
    <w:p>
      <w:pPr>
        <w:pStyle w:val="BodyText"/>
      </w:pPr>
      <w:r>
        <w:rPr>
          <w:rFonts w:hint="eastAsia"/>
        </w:rPr>
        <w:t xml:space="preserve">境、社會及管治方面領先全球業界的志向。</w:t>
      </w:r>
    </w:p>
    <w:p>
      <w:pPr>
        <w:pStyle w:val="BodyText"/>
      </w:pPr>
      <w:r>
        <w:rPr>
          <w:rFonts w:hint="eastAsia"/>
        </w:rPr>
        <w:t xml:space="preserve">前景</w:t>
      </w:r>
    </w:p>
    <w:p>
      <w:pPr>
        <w:pStyle w:val="BodyText"/>
      </w:pPr>
      <w:r>
        <w:rPr>
          <w:rFonts w:hint="eastAsia"/>
        </w:rPr>
        <w:t xml:space="preserve">在2020年，2019冠狀病毒病大流行無疑是我們生活記憶中最大規模的公共衞生緊急狀態。受影響的企業和家庭</w:t>
      </w:r>
    </w:p>
    <w:p>
      <w:pPr>
        <w:pStyle w:val="BodyText"/>
      </w:pPr>
      <w:r>
        <w:rPr>
          <w:rFonts w:hint="eastAsia"/>
        </w:rPr>
        <w:t xml:space="preserve">獲得前所未見的公共財政和金融支援，有助緩解由疫情大流行造成的部分極端金融衝擊，並加快復甦步伐，這在</w:t>
      </w:r>
    </w:p>
    <w:p>
      <w:pPr>
        <w:pStyle w:val="BodyText"/>
      </w:pPr>
      <w:r>
        <w:rPr>
          <w:rFonts w:hint="eastAsia"/>
        </w:rPr>
        <w:t xml:space="preserve">具備完善衞生政策及基建的國家尤其可見。然而，各國之間存在顯著差異，在這困境下，亞洲（日本除外）地區</w:t>
      </w:r>
    </w:p>
    <w:p>
      <w:pPr>
        <w:pStyle w:val="BodyText"/>
      </w:pPr>
      <w:r>
        <w:rPr>
          <w:rFonts w:hint="eastAsia"/>
        </w:rPr>
        <w:t xml:space="preserve">錄得全球相對最強勁的國內生產總值表現。現時，環球經濟正剛剛開始擺脫一場深度衰退，並步入好轉的初步階</w:t>
      </w:r>
    </w:p>
    <w:p>
      <w:pPr>
        <w:pStyle w:val="BodyText"/>
      </w:pPr>
      <w:r>
        <w:rPr>
          <w:rFonts w:hint="eastAsia"/>
        </w:rPr>
        <w:t xml:space="preserve">段。</w:t>
      </w:r>
    </w:p>
    <w:p>
      <w:pPr>
        <w:pStyle w:val="BodyText"/>
      </w:pPr>
      <w:r>
        <w:rPr>
          <w:rFonts w:hint="eastAsia"/>
        </w:rPr>
        <w:t xml:space="preserve">儘管疫情大流行的影響依然沒有結束，但相信2021年將是過渡性的一年，我們對此保持審慎樂觀。市場憧憬推出</w:t>
      </w:r>
    </w:p>
    <w:p>
      <w:pPr>
        <w:pStyle w:val="BodyText"/>
      </w:pPr>
      <w:r>
        <w:rPr>
          <w:rFonts w:hint="eastAsia"/>
        </w:rPr>
        <w:t xml:space="preserve">疫苗接種計劃和新療法有助降低疫症的感染率和嚴重性，使醫療系統能更有效應對疫情，並降低死亡率。儘管我</w:t>
      </w:r>
    </w:p>
    <w:p>
      <w:pPr>
        <w:pStyle w:val="BodyText"/>
      </w:pPr>
      <w:r>
        <w:rPr>
          <w:rFonts w:hint="eastAsia"/>
        </w:rPr>
        <w:t xml:space="preserve">們並不預計外出或消費行為於短期內能回復疫情大流行前的水平，但隨著消費者信心恢復，預期復甦範疇將逐步</w:t>
      </w:r>
    </w:p>
    <w:p>
      <w:pPr>
        <w:pStyle w:val="BodyText"/>
      </w:pPr>
      <w:r>
        <w:rPr>
          <w:rFonts w:hint="eastAsia"/>
        </w:rPr>
        <w:t xml:space="preserve">由製造主導的產業擴展到消費和服務業。這在人口較年輕的國家將尤其可見。</w:t>
      </w:r>
    </w:p>
    <w:p>
      <w:pPr>
        <w:pStyle w:val="BodyText"/>
      </w:pPr>
      <w:r>
        <w:rPr>
          <w:rFonts w:hint="eastAsia"/>
        </w:rPr>
        <w:t xml:space="preserve">我對友邦保險的長遠未來前景充滿信心。儘管面對短期不明朗因素，但帶動需求的本土因素強勁，加上亞洲的主</w:t>
      </w:r>
    </w:p>
    <w:p>
      <w:pPr>
        <w:pStyle w:val="BodyText"/>
      </w:pPr>
      <w:r>
        <w:rPr>
          <w:rFonts w:hint="eastAsia"/>
        </w:rPr>
        <w:t xml:space="preserve">要人口結構趨勢，仍為友邦保險業務的長遠前景提供正面的結構性支持。在大眾收入增加、私人保險滲透率偏</w:t>
      </w:r>
    </w:p>
    <w:p>
      <w:pPr>
        <w:pStyle w:val="BodyText"/>
      </w:pPr>
      <w:r>
        <w:rPr>
          <w:rFonts w:hint="eastAsia"/>
        </w:rPr>
        <w:t xml:space="preserve">低，以及社會福利覆蓋有限的情況下，市場對友邦保險產品的需求將繼續增長。我們將憑藉龐大的競爭優勢和強</w:t>
      </w:r>
    </w:p>
    <w:p>
      <w:pPr>
        <w:pStyle w:val="BodyText"/>
      </w:pPr>
      <w:r>
        <w:rPr>
          <w:rFonts w:hint="eastAsia"/>
        </w:rPr>
        <w:t xml:space="preserve">勁的增長往績，為社區創建更可持續的未來，並為所有持分者創造共享價值。</w:t>
      </w:r>
    </w:p>
    <w:p>
      <w:pPr>
        <w:pStyle w:val="BodyText"/>
      </w:pPr>
      <w:r>
        <w:rPr>
          <w:rFonts w:hint="eastAsia"/>
        </w:rPr>
        <w:t xml:space="preserve">李源祥</w:t>
      </w:r>
    </w:p>
    <w:p>
      <w:pPr>
        <w:pStyle w:val="BodyText"/>
      </w:pPr>
      <w:r>
        <w:rPr>
          <w:rFonts w:hint="eastAsia"/>
        </w:rPr>
        <w:t xml:space="preserve">集團首席執行官兼總裁</w:t>
      </w:r>
    </w:p>
    <w:p>
      <w:pPr>
        <w:pStyle w:val="BodyText"/>
      </w:pPr>
      <w:r>
        <w:rPr>
          <w:rFonts w:hint="eastAsia"/>
        </w:rPr>
        <w:t xml:space="preserve">2021年3月12日</w:t>
      </w:r>
    </w:p>
    <w:p>
      <w:pPr>
        <w:pStyle w:val="BodyText"/>
      </w:pPr>
      <w:r>
        <w:rPr>
          <w:rFonts w:hint="eastAsia"/>
        </w:rPr>
        <w:t xml:space="preserve">增長率乃按固定匯率列示，管理層相信這可更清晰地說明相關業務按年的表現。</w:t>
      </w:r>
    </w:p>
    <w:p>
      <w:pPr>
        <w:pStyle w:val="BodyText"/>
      </w:pPr>
      <w:r>
        <w:t xml:space="preserve">014</w:t>
      </w:r>
    </w:p>
    <w:p>
      <w:pPr>
        <w:pStyle w:val="BodyText"/>
      </w:pPr>
      <w:r>
        <w:rPr>
          <w:rFonts w:hint="eastAsia"/>
        </w:rPr>
        <w:t xml:space="preserve">概覽友邦保險控股有限公司</w:t>
      </w:r>
    </w:p>
    <w:p>
      <w:pPr>
        <w:pStyle w:val="BodyText"/>
      </w:pPr>
      <w:r>
        <w:rPr>
          <w:rFonts w:hint="eastAsia"/>
        </w:rPr>
        <w:t xml:space="preserve">財務及營運回顧</w:t>
      </w:r>
    </w:p>
    <w:p>
      <w:pPr>
        <w:pStyle w:val="BodyText"/>
      </w:pPr>
      <w:r>
        <w:t xml:space="preserve">016 </w:t>
      </w:r>
      <w:r>
        <w:rPr>
          <w:rFonts w:hint="eastAsia"/>
        </w:rPr>
        <w:t xml:space="preserve">集團首席財務總監回顧</w:t>
      </w:r>
    </w:p>
    <w:p>
      <w:pPr>
        <w:pStyle w:val="BodyText"/>
      </w:pPr>
      <w:r>
        <w:t xml:space="preserve">040 </w:t>
      </w:r>
      <w:r>
        <w:rPr>
          <w:rFonts w:hint="eastAsia"/>
        </w:rPr>
        <w:t xml:space="preserve">業務回顧</w:t>
      </w:r>
    </w:p>
    <w:p>
      <w:pPr>
        <w:pStyle w:val="BodyText"/>
      </w:pPr>
      <w:r>
        <w:t xml:space="preserve">056 </w:t>
      </w:r>
      <w:r>
        <w:rPr>
          <w:rFonts w:hint="eastAsia"/>
        </w:rPr>
        <w:t xml:space="preserve">風險管理</w:t>
      </w:r>
    </w:p>
    <w:p>
      <w:pPr>
        <w:pStyle w:val="BodyText"/>
      </w:pPr>
      <w:r>
        <w:t xml:space="preserve">062 </w:t>
      </w:r>
      <w:r>
        <w:rPr>
          <w:rFonts w:hint="eastAsia"/>
        </w:rPr>
        <w:t xml:space="preserve">監管及國際發展</w:t>
      </w:r>
    </w:p>
    <w:p>
      <w:pPr>
        <w:pStyle w:val="BodyText"/>
      </w:pPr>
      <w:r>
        <w:t xml:space="preserve">064 </w:t>
      </w:r>
      <w:r>
        <w:rPr>
          <w:rFonts w:hint="eastAsia"/>
        </w:rPr>
        <w:t xml:space="preserve">我們的團隊</w:t>
      </w:r>
    </w:p>
    <w:p>
      <w:pPr>
        <w:pStyle w:val="BodyText"/>
      </w:pPr>
      <w:r>
        <w:t xml:space="preserve">015</w:t>
      </w:r>
    </w:p>
    <w:p>
      <w:pPr>
        <w:pStyle w:val="BodyText"/>
      </w:pPr>
      <w:r>
        <w:rPr>
          <w:rFonts w:hint="eastAsia"/>
        </w:rPr>
        <w:t xml:space="preserve">2020年報</w:t>
      </w:r>
    </w:p>
    <w:p>
      <w:pPr>
        <w:pStyle w:val="BodyText"/>
      </w:pPr>
      <w:r>
        <w:rPr>
          <w:rFonts w:hint="eastAsia"/>
        </w:rPr>
        <w:t xml:space="preserve">財務及營運回顧</w:t>
      </w:r>
    </w:p>
    <w:p>
      <w:pPr>
        <w:pStyle w:val="BodyText"/>
      </w:pPr>
      <w:r>
        <w:rPr>
          <w:rFonts w:hint="eastAsia"/>
        </w:rPr>
        <w:t xml:space="preserve">集團首席財務總監回顧</w:t>
      </w:r>
    </w:p>
    <w:p>
      <w:pPr>
        <w:pStyle w:val="BodyText"/>
      </w:pPr>
      <w:r>
        <w:rPr>
          <w:rFonts w:hint="eastAsia"/>
        </w:rPr>
        <w:t xml:space="preserve">儘管2020年的營商及宏觀經濟環境前所未見，友邦保險仍實現</w:t>
      </w:r>
    </w:p>
    <w:p>
      <w:pPr>
        <w:pStyle w:val="BodyText"/>
      </w:pPr>
      <w:r>
        <w:rPr>
          <w:rFonts w:hint="eastAsia"/>
        </w:rPr>
        <w:t xml:space="preserve">強勁的財務業績。在新業務價值受到全球疫情導致的外出限制</w:t>
      </w:r>
    </w:p>
    <w:p>
      <w:pPr>
        <w:pStyle w:val="BodyText"/>
      </w:pPr>
      <w:r>
        <w:rPr>
          <w:rFonts w:hint="eastAsia"/>
        </w:rPr>
        <w:t xml:space="preserve">影響的情況下，我們錄得了稅後營運溢利、產生的基本自由盈餘</w:t>
      </w:r>
    </w:p>
    <w:p>
      <w:pPr>
        <w:pStyle w:val="BodyText"/>
      </w:pPr>
      <w:r>
        <w:rPr>
          <w:rFonts w:hint="eastAsia"/>
        </w:rPr>
        <w:t xml:space="preserve">及內涵價值權益的穩健增長。我們的財務狀況仍然非常穩健，</w:t>
      </w:r>
    </w:p>
    <w:p>
      <w:pPr>
        <w:pStyle w:val="BodyText"/>
      </w:pPr>
      <w:r>
        <w:rPr>
          <w:rFonts w:hint="eastAsia"/>
        </w:rPr>
        <w:t xml:space="preserve">讓我們在眾多增長機遇下得以繼續投資。</w:t>
      </w:r>
    </w:p>
    <w:p>
      <w:pPr>
        <w:pStyle w:val="BodyText"/>
      </w:pPr>
      <w:r>
        <w:rPr>
          <w:rFonts w:hint="eastAsia"/>
        </w:rPr>
        <w:t xml:space="preserve">按固定匯率基準提供增長率及作出評述。</w:t>
      </w:r>
    </w:p>
    <w:p>
      <w:pPr>
        <w:pStyle w:val="BodyText"/>
      </w:pPr>
      <w:r>
        <w:rPr>
          <w:rFonts w:hint="eastAsia"/>
        </w:rPr>
        <w:t xml:space="preserve">概要及主要財務摘要</w:t>
      </w:r>
    </w:p>
    <w:p>
      <w:pPr>
        <w:pStyle w:val="BodyText"/>
      </w:pPr>
      <w:r>
        <w:rPr>
          <w:rFonts w:hint="eastAsia"/>
        </w:rPr>
        <w:t xml:space="preserve">在2020年，友邦保險在全球大流行病帶來的空前商業和宏觀經濟狀況下錄得強勁的財務表現。儘管外出限制導致</w:t>
      </w:r>
    </w:p>
    <w:p>
      <w:pPr>
        <w:pStyle w:val="BodyText"/>
      </w:pPr>
      <w:r>
        <w:rPr>
          <w:rFonts w:hint="eastAsia"/>
        </w:rPr>
        <w:t xml:space="preserve">2020年新業務價值下降，但隨著業務的調整和限制的有所放寬，我們看到了銷售勢頭的恢復。這種勢頭一直持續</w:t>
      </w:r>
    </w:p>
    <w:p>
      <w:pPr>
        <w:pStyle w:val="BodyText"/>
      </w:pPr>
      <w:r>
        <w:rPr>
          <w:rFonts w:hint="eastAsia"/>
        </w:rPr>
        <w:t xml:space="preserve">到2021年，首兩個月新業務價值與2020年同期相比增長15%。多年來，我們審慎的財務管理和貫徹對高質素業務</w:t>
      </w:r>
    </w:p>
    <w:p>
      <w:pPr>
        <w:pStyle w:val="BodyText"/>
      </w:pPr>
      <w:r>
        <w:rPr>
          <w:rFonts w:hint="eastAsia"/>
        </w:rPr>
        <w:t xml:space="preserve">的策略性重點，體現了稅後營運溢利和產生的基本自由盈餘的持續增長、穩健而強韌的資本狀況以及每股股息的</w:t>
      </w:r>
    </w:p>
    <w:p>
      <w:pPr>
        <w:pStyle w:val="BodyText"/>
      </w:pPr>
      <w:r>
        <w:rPr>
          <w:rFonts w:hint="eastAsia"/>
        </w:rPr>
        <w:t xml:space="preserve">進一步增長。</w:t>
      </w:r>
    </w:p>
    <w:p>
      <w:pPr>
        <w:pStyle w:val="BodyText"/>
      </w:pPr>
      <w:r>
        <w:t xml:space="preserve">Garth Jones </w:t>
      </w:r>
      <w:r>
        <w:rPr>
          <w:rFonts w:hint="eastAsia"/>
        </w:rPr>
        <w:t xml:space="preserve">先生</w:t>
      </w:r>
      <w:r>
        <w:br/>
      </w:r>
      <w:r>
        <w:rPr>
          <w:rFonts w:hint="eastAsia"/>
        </w:rPr>
        <w:t xml:space="preserve">集團首席財務總監</w:t>
      </w:r>
    </w:p>
    <w:p>
      <w:pPr>
        <w:pStyle w:val="BodyText"/>
      </w:pPr>
      <w:r>
        <w:t xml:space="preserve">016</w:t>
      </w:r>
    </w:p>
    <w:p>
      <w:pPr>
        <w:pStyle w:val="BodyText"/>
      </w:pPr>
      <w:r>
        <w:rPr>
          <w:rFonts w:hint="eastAsia"/>
        </w:rPr>
        <w:t xml:space="preserve">友邦保險控股有限公司</w:t>
      </w:r>
    </w:p>
    <w:p>
      <w:pPr>
        <w:pStyle w:val="BodyText"/>
      </w:pPr>
      <w:r>
        <w:rPr>
          <w:rFonts w:hint="eastAsia"/>
        </w:rPr>
        <w:t xml:space="preserve">大流行病對我們2020年財務表現的主要影響是對新業務銷售的影響，原因在於我們眾多市場的遏制傳播措施限制</w:t>
      </w:r>
    </w:p>
    <w:p>
      <w:pPr>
        <w:pStyle w:val="BodyText"/>
      </w:pPr>
      <w:r>
        <w:rPr>
          <w:rFonts w:hint="eastAsia"/>
        </w:rPr>
        <w:t xml:space="preserve">了面對面的銷售活動，尤其是在2020年上半年。儘管2020年的新業務價值27.65億美元較2019年減少了33%，我</w:t>
      </w:r>
    </w:p>
    <w:p>
      <w:pPr>
        <w:pStyle w:val="BodyText"/>
      </w:pPr>
      <w:r>
        <w:rPr>
          <w:rFonts w:hint="eastAsia"/>
        </w:rPr>
        <w:t xml:space="preserve">們迅速採用了新的數碼工具，並且外出限制的普遍放寬支持了銷售勢頭的恢復。友邦保險中國業務為2020年本集</w:t>
      </w:r>
    </w:p>
    <w:p>
      <w:pPr>
        <w:pStyle w:val="BodyText"/>
      </w:pPr>
      <w:r>
        <w:rPr>
          <w:rFonts w:hint="eastAsia"/>
        </w:rPr>
        <w:t xml:space="preserve">團的新業務價值帶來最大貢獻，也是我們第一個顯示銷售勢頭有所恢復的報告分部，原因在於該地區自2020年3</w:t>
      </w:r>
    </w:p>
    <w:p>
      <w:pPr>
        <w:pStyle w:val="BodyText"/>
      </w:pPr>
      <w:r>
        <w:rPr>
          <w:rFonts w:hint="eastAsia"/>
        </w:rPr>
        <w:t xml:space="preserve">月逐步放寬嚴格的封鎖。撇除維持低位的中國內地訪港旅客銷售額，本集團其他分部的新業務價值在下半年強勁</w:t>
      </w:r>
    </w:p>
    <w:p>
      <w:pPr>
        <w:pStyle w:val="BodyText"/>
      </w:pPr>
      <w:r>
        <w:rPr>
          <w:rFonts w:hint="eastAsia"/>
        </w:rPr>
        <w:t xml:space="preserve">復甦，與上半年相比增長了23%。本集團的新業務發展勢頭在2021年持續強勁，首兩個月新業務價值較2020年同</w:t>
      </w:r>
    </w:p>
    <w:p>
      <w:pPr>
        <w:pStyle w:val="BodyText"/>
      </w:pPr>
      <w:r>
        <w:rPr>
          <w:rFonts w:hint="eastAsia"/>
        </w:rPr>
        <w:t xml:space="preserve">期高出15%。</w:t>
      </w:r>
    </w:p>
    <w:p>
      <w:pPr>
        <w:pStyle w:val="BodyText"/>
      </w:pPr>
      <w:r>
        <w:rPr>
          <w:rFonts w:hint="eastAsia"/>
        </w:rPr>
        <w:t xml:space="preserve">截至2020年12月31日的內涵價值權益創下新高為671.85億美元，於派付股息19.97億美元之前增加52.77億美元，</w:t>
      </w:r>
    </w:p>
    <w:p>
      <w:pPr>
        <w:pStyle w:val="BodyText"/>
      </w:pPr>
      <w:r>
        <w:rPr>
          <w:rFonts w:hint="eastAsia"/>
        </w:rPr>
        <w:t xml:space="preserve">原因在於內涵價值營運溢利72.43億美元抵銷了政府債券收益率下降的影響。內涵價值營運溢利包括來自正面營</w:t>
      </w:r>
    </w:p>
    <w:p>
      <w:pPr>
        <w:pStyle w:val="BodyText"/>
      </w:pPr>
      <w:r>
        <w:rPr>
          <w:rFonts w:hint="eastAsia"/>
        </w:rPr>
        <w:t xml:space="preserve">運差異5.49億美元，原因在於與我們的內涵價值假設相比，我們的整體經驗持續維持正面。</w:t>
      </w:r>
    </w:p>
    <w:p>
      <w:pPr>
        <w:pStyle w:val="BodyText"/>
      </w:pPr>
      <w:r>
        <w:rPr>
          <w:rFonts w:hint="eastAsia"/>
        </w:rPr>
        <w:t xml:space="preserve">我們的高質素、經常性盈利來源以及對有效保單組合的積極管理，帶動稅後營運溢利增長了5%至59.42億美元，</w:t>
      </w:r>
    </w:p>
    <w:p>
      <w:pPr>
        <w:pStyle w:val="BodyText"/>
      </w:pPr>
      <w:r>
        <w:rPr>
          <w:rFonts w:hint="eastAsia"/>
        </w:rPr>
        <w:t xml:space="preserve">並使營運溢利率穩定在16.9%。所收取的續保保費增加了10%，經常性保費總額佔2020年所收取保費的90%以</w:t>
      </w:r>
    </w:p>
    <w:p>
      <w:pPr>
        <w:pStyle w:val="BodyText"/>
      </w:pPr>
      <w:r>
        <w:rPr>
          <w:rFonts w:hint="eastAsia"/>
        </w:rPr>
        <w:t xml:space="preserve">上。稅後營運溢利增長受益於全年顯著正面理賠經驗，其抵銷了新固定收入投資的收益率下跌及假設長期股權投</w:t>
      </w:r>
    </w:p>
    <w:p>
      <w:pPr>
        <w:pStyle w:val="BodyText"/>
      </w:pPr>
      <w:r>
        <w:rPr>
          <w:rFonts w:hint="eastAsia"/>
        </w:rPr>
        <w:t xml:space="preserve">資回報減少的影響。一如預期，上半年所述的異常正面醫療理賠經驗並未在下半年再次發生，但我們繼續看到此</w:t>
      </w:r>
    </w:p>
    <w:p>
      <w:pPr>
        <w:pStyle w:val="BodyText"/>
      </w:pPr>
      <w:r>
        <w:rPr>
          <w:rFonts w:hint="eastAsia"/>
        </w:rPr>
        <w:t xml:space="preserve">來源對稅後營運溢利增長的正面貢獻。在友邦保險泰國業務的失效經驗恢復正常的情況下，下半年的續保率有所</w:t>
      </w:r>
    </w:p>
    <w:p>
      <w:pPr>
        <w:pStyle w:val="BodyText"/>
      </w:pPr>
      <w:r>
        <w:rPr>
          <w:rFonts w:hint="eastAsia"/>
        </w:rPr>
        <w:t xml:space="preserve">改善，而本集團的續保率為95%。</w:t>
      </w:r>
    </w:p>
    <w:p>
      <w:pPr>
        <w:pStyle w:val="BodyText"/>
      </w:pPr>
      <w:r>
        <w:rPr>
          <w:rFonts w:hint="eastAsia"/>
        </w:rPr>
        <w:t xml:space="preserve">產生的基本自由盈餘為58.43億美元，增長了7%，是由我們有效保單組合的持續增長和我們對此積極管理所帶</w:t>
      </w:r>
    </w:p>
    <w:p>
      <w:pPr>
        <w:pStyle w:val="BodyText"/>
      </w:pPr>
      <w:r>
        <w:rPr>
          <w:rFonts w:hint="eastAsia"/>
        </w:rPr>
        <w:t xml:space="preserve">動，這足以抵銷預期投資回報降低的影響。於2020年12月31日，本集團的財務狀況仍然十分強勁，於派付股息</w:t>
      </w:r>
    </w:p>
    <w:p>
      <w:pPr>
        <w:pStyle w:val="BodyText"/>
      </w:pPr>
      <w:r>
        <w:rPr>
          <w:rFonts w:hint="eastAsia"/>
        </w:rPr>
        <w:t xml:space="preserve">19.97億美元後，自由盈餘為134.73億美元。</w:t>
      </w:r>
    </w:p>
    <w:p>
      <w:pPr>
        <w:pStyle w:val="BodyText"/>
      </w:pPr>
      <w:r>
        <w:rPr>
          <w:rFonts w:hint="eastAsia"/>
        </w:rPr>
        <w:t xml:space="preserve">於2020年12月31日，我們的主要營運公司友邦保險有限公司（AIA</w:t>
      </w:r>
      <w:r>
        <w:t xml:space="preserve"> </w:t>
      </w:r>
      <w:r>
        <w:rPr>
          <w:rFonts w:hint="eastAsia"/>
        </w:rPr>
        <w:t xml:space="preserve">Co.）的償付能力充足率仍然非常強勁，為</w:t>
      </w:r>
    </w:p>
    <w:p>
      <w:pPr>
        <w:pStyle w:val="BodyText"/>
      </w:pPr>
      <w:r>
        <w:rPr>
          <w:rFonts w:hint="eastAsia"/>
        </w:rPr>
        <w:t xml:space="preserve">489%。於2020年12月31日，在新的集團監管框架下，集團當地資本總和法覆蓋率為374%。日後，我們將披露集</w:t>
      </w:r>
    </w:p>
    <w:p>
      <w:pPr>
        <w:pStyle w:val="BodyText"/>
      </w:pPr>
      <w:r>
        <w:rPr>
          <w:rFonts w:hint="eastAsia"/>
        </w:rPr>
        <w:t xml:space="preserve">團當地資本總和法覆蓋率，作為衡量本集團監管償付能力的主要指標。</w:t>
      </w:r>
    </w:p>
    <w:p>
      <w:pPr>
        <w:pStyle w:val="BodyText"/>
      </w:pPr>
      <w:r>
        <w:rPr>
          <w:rFonts w:hint="eastAsia"/>
        </w:rPr>
        <w:t xml:space="preserve">董事會建議末期股息增加7.5%至每股100.30港仙，並須於本公司應屆股東週年大會上獲股東批准。這使2020年的</w:t>
      </w:r>
    </w:p>
    <w:p>
      <w:pPr>
        <w:pStyle w:val="BodyText"/>
      </w:pPr>
      <w:r>
        <w:rPr>
          <w:rFonts w:hint="eastAsia"/>
        </w:rPr>
        <w:t xml:space="preserve">全年股息總額為每股135.30港仙，較2019年的全年股息總額上升6.9%。這是秉承友邦保險行之已久的審慎、可持</w:t>
      </w:r>
    </w:p>
    <w:p>
      <w:pPr>
        <w:pStyle w:val="BodyText"/>
      </w:pPr>
      <w:r>
        <w:rPr>
          <w:rFonts w:hint="eastAsia"/>
        </w:rPr>
        <w:t xml:space="preserve">續及漸進的派息政策，讓集團可把握未來的增長機遇，並且保持財務靈活性。</w:t>
      </w:r>
    </w:p>
    <w:p>
      <w:pPr>
        <w:pStyle w:val="BodyText"/>
      </w:pPr>
      <w:r>
        <w:rPr>
          <w:rFonts w:hint="eastAsia"/>
        </w:rPr>
        <w:t xml:space="preserve">我們仍然對友邦保險在整個亞洲地區的業務機會充滿信心。我們將繼續專注於投資資本，以實現具盈利的新業務</w:t>
      </w:r>
    </w:p>
    <w:p>
      <w:pPr>
        <w:pStyle w:val="BodyText"/>
      </w:pPr>
      <w:r>
        <w:rPr>
          <w:rFonts w:hint="eastAsia"/>
        </w:rPr>
        <w:t xml:space="preserve">增長，並運用我們的競爭優勢，同時維持審慎的財務管理和實現長期股東價值。</w:t>
      </w:r>
    </w:p>
    <w:p>
      <w:pPr>
        <w:pStyle w:val="BodyText"/>
      </w:pPr>
      <w:r>
        <w:t xml:space="preserve">017</w:t>
      </w:r>
    </w:p>
    <w:p>
      <w:pPr>
        <w:pStyle w:val="BodyText"/>
      </w:pPr>
      <w:r>
        <w:rPr>
          <w:rFonts w:hint="eastAsia"/>
        </w:rPr>
        <w:t xml:space="preserve">概覽財務及營運回顧企業管治其他資料財務報表2020年報</w:t>
      </w:r>
    </w:p>
    <w:p>
      <w:pPr>
        <w:pStyle w:val="BodyText"/>
      </w:pPr>
      <w:r>
        <w:rPr>
          <w:rFonts w:hint="eastAsia"/>
        </w:rPr>
        <w:t xml:space="preserve">新業務表現</w:t>
      </w:r>
    </w:p>
    <w:p>
      <w:pPr>
        <w:pStyle w:val="BodyText"/>
      </w:pPr>
      <w:r>
        <w:rPr>
          <w:rFonts w:hint="eastAsia"/>
        </w:rPr>
        <w:t xml:space="preserve">按分部劃分的新業務價值、年化新保費及利潤率</w:t>
      </w:r>
    </w:p>
    <w:p>
      <w:pPr>
        <w:pStyle w:val="BodyText"/>
      </w:pPr>
      <w:r>
        <w:rPr>
          <w:rFonts w:hint="eastAsia"/>
        </w:rPr>
        <w:t xml:space="preserve">2020年</w:t>
      </w:r>
    </w:p>
    <w:p>
      <w:pPr>
        <w:pStyle w:val="BodyText"/>
      </w:pPr>
      <w:r>
        <w:rPr>
          <w:rFonts w:hint="eastAsia"/>
        </w:rPr>
        <w:t xml:space="preserve">新業務</w:t>
      </w:r>
      <w:r>
        <w:br/>
      </w:r>
      <w:r>
        <w:rPr>
          <w:rFonts w:hint="eastAsia"/>
        </w:rPr>
        <w:t xml:space="preserve">價值</w:t>
      </w:r>
      <w:r>
        <w:br/>
      </w:r>
      <w:r>
        <w:rPr>
          <w:rFonts w:hint="eastAsia"/>
        </w:rPr>
        <w:t xml:space="preserve">利潤率</w:t>
      </w:r>
    </w:p>
    <w:p>
      <w:pPr>
        <w:pStyle w:val="BodyText"/>
      </w:pPr>
      <w:r>
        <w:rPr>
          <w:rFonts w:hint="eastAsia"/>
        </w:rPr>
        <w:t xml:space="preserve">新業務</w:t>
      </w:r>
      <w:r>
        <w:br/>
      </w:r>
      <w:r>
        <w:rPr>
          <w:rFonts w:hint="eastAsia"/>
        </w:rPr>
        <w:t xml:space="preserve">價值</w:t>
      </w:r>
    </w:p>
    <w:p>
      <w:pPr>
        <w:pStyle w:val="BodyText"/>
      </w:pPr>
      <w:r>
        <w:rPr>
          <w:rFonts w:hint="eastAsia"/>
        </w:rPr>
        <w:t xml:space="preserve">年化</w:t>
      </w:r>
      <w:r>
        <w:br/>
      </w:r>
      <w:r>
        <w:rPr>
          <w:rFonts w:hint="eastAsia"/>
        </w:rPr>
        <w:t xml:space="preserve">新保費</w:t>
      </w:r>
    </w:p>
    <w:p>
      <w:pPr>
        <w:pStyle w:val="BodyText"/>
      </w:pPr>
      <w:r>
        <w:rPr>
          <w:rFonts w:hint="eastAsia"/>
        </w:rPr>
        <w:t xml:space="preserve">新業務</w:t>
      </w:r>
      <w:r>
        <w:br/>
      </w:r>
      <w:r>
        <w:rPr>
          <w:rFonts w:hint="eastAsia"/>
        </w:rPr>
        <w:t xml:space="preserve">價值</w:t>
      </w:r>
    </w:p>
    <w:p>
      <w:pPr>
        <w:pStyle w:val="BodyText"/>
      </w:pPr>
      <w:r>
        <w:rPr>
          <w:rFonts w:hint="eastAsia"/>
        </w:rPr>
        <w:t xml:space="preserve">2019年</w:t>
      </w:r>
    </w:p>
    <w:p>
      <w:pPr>
        <w:pStyle w:val="BodyText"/>
      </w:pPr>
      <w:r>
        <w:rPr>
          <w:rFonts w:hint="eastAsia"/>
        </w:rPr>
        <w:t xml:space="preserve">新業務</w:t>
      </w:r>
      <w:r>
        <w:br/>
      </w:r>
      <w:r>
        <w:rPr>
          <w:rFonts w:hint="eastAsia"/>
        </w:rPr>
        <w:t xml:space="preserve">價值</w:t>
      </w:r>
      <w:r>
        <w:br/>
      </w:r>
      <w:r>
        <w:rPr>
          <w:rFonts w:hint="eastAsia"/>
        </w:rPr>
        <w:t xml:space="preserve">利潤率</w:t>
      </w:r>
    </w:p>
    <w:p>
      <w:pPr>
        <w:pStyle w:val="BodyText"/>
      </w:pPr>
      <w:r>
        <w:rPr>
          <w:rFonts w:hint="eastAsia"/>
        </w:rPr>
        <w:t xml:space="preserve">新業務價值變動</w:t>
      </w:r>
    </w:p>
    <w:p>
      <w:pPr>
        <w:pStyle w:val="BodyText"/>
      </w:pPr>
      <w:r>
        <w:rPr>
          <w:rFonts w:hint="eastAsia"/>
        </w:rPr>
        <w:t xml:space="preserve">年化</w:t>
      </w:r>
      <w:r>
        <w:br/>
      </w:r>
      <w:r>
        <w:rPr>
          <w:rFonts w:hint="eastAsia"/>
        </w:rPr>
        <w:t xml:space="preserve">新保費</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44.7%</w:t>
      </w:r>
    </w:p>
    <w:p>
      <w:pPr>
        <w:pStyle w:val="BodyText"/>
      </w:pPr>
      <w:r>
        <w:t xml:space="preserve">1,138</w:t>
      </w:r>
    </w:p>
    <w:p>
      <w:pPr>
        <w:pStyle w:val="BodyText"/>
      </w:pPr>
      <w:r>
        <w:t xml:space="preserve">1,621</w:t>
      </w:r>
    </w:p>
    <w:p>
      <w:pPr>
        <w:pStyle w:val="BodyText"/>
      </w:pPr>
      <w:r>
        <w:t xml:space="preserve">66.1%</w:t>
      </w:r>
    </w:p>
    <w:p>
      <w:pPr>
        <w:pStyle w:val="BodyText"/>
      </w:pPr>
      <w:r>
        <w:t xml:space="preserve">2,393</w:t>
      </w:r>
    </w:p>
    <w:p>
      <w:pPr>
        <w:pStyle w:val="BodyText"/>
      </w:pPr>
      <w:r>
        <w:t xml:space="preserve">550</w:t>
      </w:r>
    </w:p>
    <w:p>
      <w:pPr>
        <w:pStyle w:val="BodyText"/>
      </w:pPr>
      <w:r>
        <w:t xml:space="preserve">469</w:t>
      </w:r>
    </w:p>
    <w:p>
      <w:pPr>
        <w:pStyle w:val="BodyText"/>
      </w:pPr>
      <w:r>
        <w:t xml:space="preserve">330</w:t>
      </w:r>
    </w:p>
    <w:p>
      <w:pPr>
        <w:pStyle w:val="BodyText"/>
      </w:pPr>
      <w:r>
        <w:t xml:space="preserve">222</w:t>
      </w:r>
    </w:p>
    <w:p>
      <w:pPr>
        <w:pStyle w:val="BodyText"/>
      </w:pPr>
      <w:r>
        <w:t xml:space="preserve">968</w:t>
      </w:r>
    </w:p>
    <w:p>
      <w:pPr>
        <w:pStyle w:val="BodyText"/>
      </w:pPr>
      <w:r>
        <w:t xml:space="preserve">514</w:t>
      </w:r>
    </w:p>
    <w:p>
      <w:pPr>
        <w:pStyle w:val="BodyText"/>
      </w:pPr>
      <w:r>
        <w:t xml:space="preserve">71.0%</w:t>
      </w:r>
    </w:p>
    <w:p>
      <w:pPr>
        <w:pStyle w:val="BodyText"/>
      </w:pPr>
      <w:r>
        <w:t xml:space="preserve">63.4%</w:t>
      </w:r>
    </w:p>
    <w:p>
      <w:pPr>
        <w:pStyle w:val="BodyText"/>
      </w:pPr>
      <w:r>
        <w:t xml:space="preserve">59.9%</w:t>
      </w:r>
    </w:p>
    <w:p>
      <w:pPr>
        <w:pStyle w:val="BodyText"/>
      </w:pPr>
      <w:r>
        <w:t xml:space="preserve">80.9%</w:t>
      </w:r>
    </w:p>
    <w:p>
      <w:pPr>
        <w:pStyle w:val="BodyText"/>
      </w:pPr>
      <w:r>
        <w:t xml:space="preserve">38.4%</w:t>
      </w:r>
    </w:p>
    <w:p>
      <w:pPr>
        <w:pStyle w:val="BodyText"/>
      </w:pPr>
      <w:r>
        <w:t xml:space="preserve">3,053</w:t>
      </w:r>
    </w:p>
    <w:p>
      <w:pPr>
        <w:pStyle w:val="BodyText"/>
      </w:pPr>
      <w:r>
        <w:t xml:space="preserve">57.7%</w:t>
      </w:r>
    </w:p>
    <w:p>
      <w:pPr>
        <w:pStyle w:val="BodyText"/>
      </w:pPr>
      <w:r>
        <w:t xml:space="preserve">661</w:t>
      </w:r>
    </w:p>
    <w:p>
      <w:pPr>
        <w:pStyle w:val="BodyText"/>
      </w:pPr>
      <w:r>
        <w:t xml:space="preserve">520</w:t>
      </w:r>
    </w:p>
    <w:p>
      <w:pPr>
        <w:pStyle w:val="BodyText"/>
      </w:pPr>
      <w:r>
        <w:t xml:space="preserve">369</w:t>
      </w:r>
    </w:p>
    <w:p>
      <w:pPr>
        <w:pStyle w:val="BodyText"/>
      </w:pPr>
      <w:r>
        <w:t xml:space="preserve">1,197</w:t>
      </w:r>
    </w:p>
    <w:p>
      <w:pPr>
        <w:pStyle w:val="BodyText"/>
      </w:pPr>
      <w:r>
        <w:t xml:space="preserve">1,334</w:t>
      </w:r>
    </w:p>
    <w:p>
      <w:pPr>
        <w:pStyle w:val="BodyText"/>
      </w:pPr>
      <w:r>
        <w:t xml:space="preserve">5,219</w:t>
      </w:r>
    </w:p>
    <w:p>
      <w:pPr>
        <w:pStyle w:val="BodyText"/>
      </w:pPr>
      <w:r>
        <w:t xml:space="preserve">494</w:t>
      </w:r>
    </w:p>
    <w:p>
      <w:pPr>
        <w:pStyle w:val="BodyText"/>
      </w:pPr>
      <w:r>
        <w:t xml:space="preserve">352</w:t>
      </w:r>
    </w:p>
    <w:p>
      <w:pPr>
        <w:pStyle w:val="BodyText"/>
      </w:pPr>
      <w:r>
        <w:t xml:space="preserve">258</w:t>
      </w:r>
    </w:p>
    <w:p>
      <w:pPr>
        <w:pStyle w:val="BodyText"/>
      </w:pPr>
      <w:r>
        <w:t xml:space="preserve">67.7%</w:t>
      </w:r>
    </w:p>
    <w:p>
      <w:pPr>
        <w:pStyle w:val="BodyText"/>
      </w:pPr>
      <w:r>
        <w:t xml:space="preserve">65.5%</w:t>
      </w:r>
    </w:p>
    <w:p>
      <w:pPr>
        <w:pStyle w:val="BodyText"/>
      </w:pPr>
      <w:r>
        <w:t xml:space="preserve">63.1%</w:t>
      </w:r>
    </w:p>
    <w:p>
      <w:pPr>
        <w:pStyle w:val="BodyText"/>
      </w:pPr>
      <w:r>
        <w:t xml:space="preserve">1,167</w:t>
      </w:r>
    </w:p>
    <w:p>
      <w:pPr>
        <w:pStyle w:val="BodyText"/>
      </w:pPr>
      <w:r>
        <w:t xml:space="preserve">93.5%</w:t>
      </w:r>
    </w:p>
    <w:p>
      <w:pPr>
        <w:pStyle w:val="BodyText"/>
      </w:pPr>
      <w:r>
        <w:t xml:space="preserve">535</w:t>
      </w:r>
    </w:p>
    <w:p>
      <w:pPr>
        <w:pStyle w:val="BodyText"/>
      </w:pPr>
      <w:r>
        <w:t xml:space="preserve">41.9%</w:t>
      </w:r>
    </w:p>
    <w:p>
      <w:pPr>
        <w:pStyle w:val="BodyText"/>
      </w:pPr>
      <w:r>
        <w:t xml:space="preserve">4,427</w:t>
      </w:r>
    </w:p>
    <w:p>
      <w:pPr>
        <w:pStyle w:val="BodyText"/>
      </w:pPr>
      <w:r>
        <w:t xml:space="preserve">66.6%</w:t>
      </w:r>
    </w:p>
    <w:p>
      <w:pPr>
        <w:pStyle w:val="BodyText"/>
      </w:pPr>
      <w:r>
        <w:t xml:space="preserve">729</w:t>
      </w:r>
    </w:p>
    <w:p>
      <w:pPr>
        <w:pStyle w:val="BodyText"/>
      </w:pPr>
      <w:r>
        <w:t xml:space="preserve">538</w:t>
      </w:r>
    </w:p>
    <w:p>
      <w:pPr>
        <w:pStyle w:val="BodyText"/>
      </w:pPr>
      <w:r>
        <w:t xml:space="preserve">406</w:t>
      </w:r>
    </w:p>
    <w:p>
      <w:pPr>
        <w:pStyle w:val="BodyText"/>
      </w:pPr>
      <w:r>
        <w:t xml:space="preserve">1,248</w:t>
      </w:r>
    </w:p>
    <w:p>
      <w:pPr>
        <w:pStyle w:val="BodyText"/>
      </w:pPr>
      <w:r>
        <w:t xml:space="preserve">1,271</w:t>
      </w:r>
    </w:p>
    <w:p>
      <w:pPr>
        <w:pStyle w:val="BodyText"/>
      </w:pPr>
      <w:r>
        <w:t xml:space="preserve">6,585</w:t>
      </w:r>
    </w:p>
    <w:p>
      <w:pPr>
        <w:pStyle w:val="BodyText"/>
      </w:pPr>
      <w:r>
        <w:t xml:space="preserve">(66)%</w:t>
      </w:r>
    </w:p>
    <w:p>
      <w:pPr>
        <w:pStyle w:val="BodyText"/>
      </w:pPr>
      <w:r>
        <w:t xml:space="preserve">(4)%</w:t>
      </w:r>
    </w:p>
    <w:p>
      <w:pPr>
        <w:pStyle w:val="BodyText"/>
      </w:pPr>
      <w:r>
        <w:t xml:space="preserve">(5)%</w:t>
      </w:r>
    </w:p>
    <w:p>
      <w:pPr>
        <w:pStyle w:val="BodyText"/>
      </w:pPr>
      <w:r>
        <w:t xml:space="preserve">(13)%</w:t>
      </w:r>
    </w:p>
    <w:p>
      <w:pPr>
        <w:pStyle w:val="BodyText"/>
      </w:pPr>
      <w:r>
        <w:t xml:space="preserve">(17)%</w:t>
      </w:r>
    </w:p>
    <w:p>
      <w:pPr>
        <w:pStyle w:val="BodyText"/>
      </w:pPr>
      <w:r>
        <w:t xml:space="preserve">(4)%</w:t>
      </w:r>
    </w:p>
    <w:p>
      <w:pPr>
        <w:pStyle w:val="BodyText"/>
      </w:pPr>
      <w:r>
        <w:t xml:space="preserve">(31)%</w:t>
      </w:r>
    </w:p>
    <w:p>
      <w:pPr>
        <w:pStyle w:val="BodyText"/>
      </w:pPr>
      <w:r>
        <w:t xml:space="preserve">(66)%</w:t>
      </w:r>
    </w:p>
    <w:p>
      <w:pPr>
        <w:pStyle w:val="BodyText"/>
      </w:pPr>
      <w:r>
        <w:t xml:space="preserve">(5)%</w:t>
      </w:r>
    </w:p>
    <w:p>
      <w:pPr>
        <w:pStyle w:val="BodyText"/>
      </w:pPr>
      <w:r>
        <w:t xml:space="preserve">(6)%</w:t>
      </w:r>
    </w:p>
    <w:p>
      <w:pPr>
        <w:pStyle w:val="BodyText"/>
      </w:pPr>
      <w:r>
        <w:t xml:space="preserve">(14)%</w:t>
      </w:r>
    </w:p>
    <w:p>
      <w:pPr>
        <w:pStyle w:val="BodyText"/>
      </w:pPr>
      <w:r>
        <w:t xml:space="preserve">(17)%</w:t>
      </w:r>
    </w:p>
    <w:p>
      <w:pPr>
        <w:pStyle w:val="BodyText"/>
      </w:pPr>
      <w:r>
        <w:t xml:space="preserve">(4)%</w:t>
      </w:r>
    </w:p>
    <w:p>
      <w:pPr>
        <w:pStyle w:val="BodyText"/>
      </w:pPr>
      <w:r>
        <w:t xml:space="preserve">(31)%</w:t>
      </w:r>
    </w:p>
    <w:p>
      <w:pPr>
        <w:numPr>
          <w:ilvl w:val="0"/>
          <w:numId w:val="1006"/>
        </w:numPr>
      </w:pPr>
      <w:r>
        <w:rPr>
          <w:rFonts w:hint="eastAsia"/>
        </w:rPr>
        <w:t xml:space="preserve">無意義</w:t>
      </w:r>
      <w:r>
        <w:t xml:space="preserve"> </w:t>
      </w:r>
      <w:r>
        <w:rPr>
          <w:rFonts w:hint="eastAsia"/>
        </w:rPr>
        <w:t xml:space="preserve">無意義</w:t>
      </w:r>
    </w:p>
    <w:p>
      <w:pPr>
        <w:numPr>
          <w:ilvl w:val="0"/>
          <w:numId w:val="1006"/>
        </w:numPr>
      </w:pPr>
      <w:r>
        <w:rPr>
          <w:rFonts w:hint="eastAsia"/>
        </w:rPr>
        <w:t xml:space="preserve">無意義</w:t>
      </w:r>
      <w:r>
        <w:t xml:space="preserve"> </w:t>
      </w:r>
      <w:r>
        <w:rPr>
          <w:rFonts w:hint="eastAsia"/>
        </w:rPr>
        <w:t xml:space="preserve">無意義</w:t>
      </w:r>
    </w:p>
    <w:p>
      <w:pPr>
        <w:pStyle w:val="FirstParagraph"/>
      </w:pPr>
      <w:r>
        <w:rPr>
          <w:rFonts w:hint="eastAsia"/>
        </w:rPr>
        <w:t xml:space="preserve">無意義</w:t>
      </w:r>
    </w:p>
    <w:p>
      <w:pPr>
        <w:pStyle w:val="BodyText"/>
      </w:pPr>
      <w:r>
        <w:rPr>
          <w:rFonts w:hint="eastAsia"/>
        </w:rPr>
        <w:t xml:space="preserve">無意義</w:t>
      </w:r>
    </w:p>
    <w:p>
      <w:pPr>
        <w:pStyle w:val="BodyText"/>
      </w:pPr>
      <w:r>
        <w:rPr>
          <w:rFonts w:hint="eastAsia"/>
        </w:rPr>
        <w:t xml:space="preserve">百萬美元，除另有說明外</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其他市場</w:t>
      </w:r>
    </w:p>
    <w:p>
      <w:pPr>
        <w:pStyle w:val="BodyText"/>
      </w:pPr>
      <w:r>
        <w:rPr>
          <w:rFonts w:hint="eastAsia"/>
        </w:rPr>
        <w:t xml:space="preserve">小計</w:t>
      </w:r>
    </w:p>
    <w:p>
      <w:pPr>
        <w:pStyle w:val="BodyText"/>
      </w:pPr>
      <w:r>
        <w:rPr>
          <w:rFonts w:hint="eastAsia"/>
        </w:rPr>
        <w:t xml:space="preserve">為符合合併準備金及</w:t>
      </w:r>
      <w:r>
        <w:br/>
      </w:r>
      <w:r>
        <w:rPr>
          <w:rFonts w:hint="eastAsia"/>
        </w:rPr>
        <w:t xml:space="preserve">資本要求所作調整</w:t>
      </w:r>
    </w:p>
    <w:p>
      <w:pPr>
        <w:pStyle w:val="BodyText"/>
      </w:pPr>
      <w:r>
        <w:rPr>
          <w:rFonts w:hint="eastAsia"/>
        </w:rPr>
        <w:t xml:space="preserve">未分配集團總部開支的</w:t>
      </w:r>
    </w:p>
    <w:p>
      <w:pPr>
        <w:pStyle w:val="BodyText"/>
      </w:pPr>
      <w:r>
        <w:rPr>
          <w:rFonts w:hint="eastAsia"/>
        </w:rPr>
        <w:t xml:space="preserve">稅後價值</w:t>
      </w:r>
    </w:p>
    <w:p>
      <w:pPr>
        <w:numPr>
          <w:ilvl w:val="0"/>
          <w:numId w:val="1007"/>
        </w:numPr>
      </w:pPr>
      <w:r>
        <w:rPr>
          <w:rFonts w:hint="eastAsia"/>
        </w:rPr>
        <w:t xml:space="preserve">無意義</w:t>
      </w:r>
      <w:r>
        <w:t xml:space="preserve"> </w:t>
      </w:r>
      <w:r>
        <w:rPr>
          <w:rFonts w:hint="eastAsia"/>
        </w:rPr>
        <w:t xml:space="preserve">無意義</w:t>
      </w:r>
    </w:p>
    <w:p>
      <w:pPr>
        <w:numPr>
          <w:ilvl w:val="0"/>
          <w:numId w:val="1007"/>
        </w:numPr>
      </w:pPr>
      <w:r>
        <w:rPr>
          <w:rFonts w:hint="eastAsia"/>
        </w:rPr>
        <w:t xml:space="preserve">無意義</w:t>
      </w:r>
      <w:r>
        <w:t xml:space="preserve"> </w:t>
      </w:r>
      <w:r>
        <w:rPr>
          <w:rFonts w:hint="eastAsia"/>
        </w:rPr>
        <w:t xml:space="preserve">無意義</w:t>
      </w:r>
    </w:p>
    <w:p>
      <w:pPr>
        <w:pStyle w:val="FirstParagraph"/>
      </w:pPr>
      <w:r>
        <w:rPr>
          <w:rFonts w:hint="eastAsia"/>
        </w:rPr>
        <w:t xml:space="preserve">扣除非控股權益前的總計</w:t>
      </w:r>
    </w:p>
    <w:p>
      <w:pPr>
        <w:pStyle w:val="BodyText"/>
      </w:pPr>
      <w:r>
        <w:t xml:space="preserve">2,789</w:t>
      </w:r>
    </w:p>
    <w:p>
      <w:pPr>
        <w:pStyle w:val="BodyText"/>
      </w:pPr>
      <w:r>
        <w:t xml:space="preserve">52.6%</w:t>
      </w:r>
    </w:p>
    <w:p>
      <w:pPr>
        <w:pStyle w:val="BodyText"/>
      </w:pPr>
      <w:r>
        <w:t xml:space="preserve">5,219</w:t>
      </w:r>
    </w:p>
    <w:p>
      <w:pPr>
        <w:pStyle w:val="BodyText"/>
      </w:pPr>
      <w:r>
        <w:t xml:space="preserve">4,186</w:t>
      </w:r>
    </w:p>
    <w:p>
      <w:pPr>
        <w:pStyle w:val="BodyText"/>
      </w:pPr>
      <w:r>
        <w:t xml:space="preserve">62.9%</w:t>
      </w:r>
    </w:p>
    <w:p>
      <w:pPr>
        <w:pStyle w:val="BodyText"/>
      </w:pPr>
      <w:r>
        <w:t xml:space="preserve">6,585</w:t>
      </w:r>
    </w:p>
    <w:p>
      <w:pPr>
        <w:pStyle w:val="BodyText"/>
      </w:pPr>
      <w:r>
        <w:rPr>
          <w:rFonts w:hint="eastAsia"/>
        </w:rPr>
        <w:t xml:space="preserve">非控股權益</w:t>
      </w:r>
    </w:p>
    <w:p>
      <w:pPr>
        <w:pStyle w:val="BodyText"/>
      </w:pPr>
      <w:r>
        <w:rPr>
          <w:rFonts w:hint="eastAsia"/>
        </w:rPr>
        <w:t xml:space="preserve">總計</w:t>
      </w:r>
    </w:p>
    <w:p>
      <w:pPr>
        <w:numPr>
          <w:ilvl w:val="0"/>
          <w:numId w:val="1008"/>
        </w:numPr>
      </w:pPr>
      <w:r>
        <w:rPr>
          <w:rFonts w:hint="eastAsia"/>
        </w:rPr>
        <w:t xml:space="preserve">無意義</w:t>
      </w:r>
      <w:r>
        <w:t xml:space="preserve"> </w:t>
      </w:r>
      <w:r>
        <w:rPr>
          <w:rFonts w:hint="eastAsia"/>
        </w:rPr>
        <w:t xml:space="preserve">無意義</w:t>
      </w:r>
    </w:p>
    <w:p>
      <w:pPr>
        <w:numPr>
          <w:ilvl w:val="0"/>
          <w:numId w:val="1008"/>
        </w:numPr>
      </w:pPr>
      <w:r>
        <w:rPr>
          <w:rFonts w:hint="eastAsia"/>
        </w:rPr>
        <w:t xml:space="preserve">無意義</w:t>
      </w:r>
      <w:r>
        <w:t xml:space="preserve"> </w:t>
      </w:r>
      <w:r>
        <w:rPr>
          <w:rFonts w:hint="eastAsia"/>
        </w:rPr>
        <w:t xml:space="preserve">無意義</w:t>
      </w:r>
    </w:p>
    <w:p>
      <w:pPr>
        <w:pStyle w:val="FirstParagraph"/>
      </w:pPr>
      <w:r>
        <w:t xml:space="preserve">2,765</w:t>
      </w:r>
    </w:p>
    <w:p>
      <w:pPr>
        <w:pStyle w:val="BodyText"/>
      </w:pPr>
      <w:r>
        <w:t xml:space="preserve">52.6%</w:t>
      </w:r>
    </w:p>
    <w:p>
      <w:pPr>
        <w:pStyle w:val="BodyText"/>
      </w:pPr>
      <w:r>
        <w:t xml:space="preserve">5,219</w:t>
      </w:r>
    </w:p>
    <w:p>
      <w:pPr>
        <w:pStyle w:val="BodyText"/>
      </w:pPr>
      <w:r>
        <w:t xml:space="preserve">4,154</w:t>
      </w:r>
    </w:p>
    <w:p>
      <w:pPr>
        <w:pStyle w:val="BodyText"/>
      </w:pPr>
      <w:r>
        <w:t xml:space="preserve">62.9%</w:t>
      </w:r>
    </w:p>
    <w:p>
      <w:pPr>
        <w:pStyle w:val="BodyText"/>
      </w:pPr>
      <w:r>
        <w:t xml:space="preserve">6,585</w:t>
      </w:r>
    </w:p>
    <w:p>
      <w:pPr>
        <w:pStyle w:val="BodyText"/>
      </w:pPr>
      <w:r>
        <w:rPr>
          <w:rFonts w:hint="eastAsia"/>
        </w:rPr>
        <w:t xml:space="preserve">無意義</w:t>
      </w:r>
    </w:p>
    <w:p>
      <w:pPr>
        <w:pStyle w:val="BodyText"/>
      </w:pPr>
      <w:r>
        <w:t xml:space="preserve">(33)%</w:t>
      </w:r>
    </w:p>
    <w:p>
      <w:pPr>
        <w:pStyle w:val="BodyText"/>
      </w:pPr>
      <w:r>
        <w:rPr>
          <w:rFonts w:hint="eastAsia"/>
        </w:rPr>
        <w:t xml:space="preserve">無意義</w:t>
      </w:r>
    </w:p>
    <w:p>
      <w:pPr>
        <w:pStyle w:val="BodyText"/>
      </w:pPr>
      <w:r>
        <w:t xml:space="preserve">(33)%</w:t>
      </w:r>
    </w:p>
    <w:p>
      <w:pPr>
        <w:pStyle w:val="BodyText"/>
      </w:pPr>
      <w:r>
        <w:rPr>
          <w:rFonts w:hint="eastAsia"/>
        </w:rPr>
        <w:t xml:space="preserve">無意義</w:t>
      </w:r>
    </w:p>
    <w:p>
      <w:pPr>
        <w:pStyle w:val="BodyText"/>
      </w:pPr>
      <w:r>
        <w:t xml:space="preserve">(33)%</w:t>
      </w:r>
    </w:p>
    <w:p>
      <w:pPr>
        <w:pStyle w:val="BodyText"/>
      </w:pPr>
      <w:r>
        <w:rPr>
          <w:rFonts w:hint="eastAsia"/>
        </w:rPr>
        <w:t xml:space="preserve">無意義</w:t>
      </w:r>
    </w:p>
    <w:p>
      <w:pPr>
        <w:pStyle w:val="BodyText"/>
      </w:pPr>
      <w:r>
        <w:t xml:space="preserve">(33)%</w:t>
      </w:r>
    </w:p>
    <w:p>
      <w:pPr>
        <w:pStyle w:val="BodyText"/>
      </w:pPr>
      <w:r>
        <w:rPr>
          <w:rFonts w:hint="eastAsia"/>
        </w:rPr>
        <w:t xml:space="preserve">儘管2020年的新業務價值27.65億美元較2019年減少了33%，我們迅速採用了新的數碼工具，並且外出限制的普</w:t>
      </w:r>
    </w:p>
    <w:p>
      <w:pPr>
        <w:pStyle w:val="BodyText"/>
      </w:pPr>
      <w:r>
        <w:rPr>
          <w:rFonts w:hint="eastAsia"/>
        </w:rPr>
        <w:t xml:space="preserve">遍放寬支持了銷售勢頭的恢復。友邦保險中國業務為2020年本集團的新業務價值帶來最大貢獻，也是我們第一個</w:t>
      </w:r>
    </w:p>
    <w:p>
      <w:pPr>
        <w:pStyle w:val="BodyText"/>
      </w:pPr>
      <w:r>
        <w:rPr>
          <w:rFonts w:hint="eastAsia"/>
        </w:rPr>
        <w:t xml:space="preserve">顯示銷售勢頭有所恢復的報告分部，原因在於該地區自2020年3月逐步放寬嚴格的封鎖。撇除維持低位的中國內</w:t>
      </w:r>
    </w:p>
    <w:p>
      <w:pPr>
        <w:pStyle w:val="BodyText"/>
      </w:pPr>
      <w:r>
        <w:rPr>
          <w:rFonts w:hint="eastAsia"/>
        </w:rPr>
        <w:t xml:space="preserve">地訪港旅客銷售額，本集團其他分部的新業務價值在下半年強勁復甦，與上半年相比增長了23%。本集團的新業</w:t>
      </w:r>
    </w:p>
    <w:p>
      <w:pPr>
        <w:pStyle w:val="BodyText"/>
      </w:pPr>
      <w:r>
        <w:rPr>
          <w:rFonts w:hint="eastAsia"/>
        </w:rPr>
        <w:t xml:space="preserve">務發展勢頭在2021年持續強勁，首兩個月新業務價值較2020年同期高出15%。</w:t>
      </w:r>
    </w:p>
    <w:p>
      <w:pPr>
        <w:pStyle w:val="BodyText"/>
      </w:pPr>
      <w:r>
        <w:rPr>
          <w:rFonts w:hint="eastAsia"/>
        </w:rPr>
        <w:t xml:space="preserve">友邦保險中國業務在2021年錄得成功的勢頭，首兩個月的新業務價值與2020年同期比較，錄得非常強勁的增</w:t>
      </w:r>
    </w:p>
    <w:p>
      <w:pPr>
        <w:pStyle w:val="BodyText"/>
      </w:pPr>
      <w:r>
        <w:rPr>
          <w:rFonts w:hint="eastAsia"/>
        </w:rPr>
        <w:t xml:space="preserve">長。2020年新業務價值9.68億美元較2019年減少17%，主要由於2019冠狀病毒病在第一季爆發初期而導致銷售額</w:t>
      </w:r>
    </w:p>
    <w:p>
      <w:pPr>
        <w:pStyle w:val="BodyText"/>
      </w:pPr>
      <w:r>
        <w:rPr>
          <w:rFonts w:hint="eastAsia"/>
        </w:rPr>
        <w:t xml:space="preserve">有限。隨著外出限制放寬，新業務動力得以迅速改善。新業務價值重拾我們慣常的季節性規律，比重更側重於上</w:t>
      </w:r>
    </w:p>
    <w:p>
      <w:pPr>
        <w:pStyle w:val="BodyText"/>
      </w:pPr>
      <w:r>
        <w:rPr>
          <w:rFonts w:hint="eastAsia"/>
        </w:rPr>
        <w:t xml:space="preserve">半年。在2020年，友邦保險中國業務為集團的新業務價值帶來最大貢獻。</w:t>
      </w:r>
    </w:p>
    <w:p>
      <w:pPr>
        <w:pStyle w:val="BodyText"/>
      </w:pPr>
      <w:r>
        <w:rPr>
          <w:rFonts w:hint="eastAsia"/>
        </w:rPr>
        <w:t xml:space="preserve">在實施旅遊限制後，友邦保險香港業務來自中國內地訪港客戶的新業務銷售自2020年2月初起實際上已暫停，導</w:t>
      </w:r>
    </w:p>
    <w:p>
      <w:pPr>
        <w:pStyle w:val="BodyText"/>
      </w:pPr>
      <w:r>
        <w:rPr>
          <w:rFonts w:hint="eastAsia"/>
        </w:rPr>
        <w:t xml:space="preserve">致其新業務價值大幅下降。新業務價值利潤率錄得跌幅，反映新業務量減少導致承保開支超支、產品組合變動及</w:t>
      </w:r>
    </w:p>
    <w:p>
      <w:pPr>
        <w:pStyle w:val="BodyText"/>
      </w:pPr>
      <w:r>
        <w:rPr>
          <w:rFonts w:hint="eastAsia"/>
        </w:rPr>
        <w:t xml:space="preserve">利率下降的影響所致。澳門在2020年9月底恢復中國內地旅客個人遊計劃。這為澳門的中國內地訪澳客戶銷售回</w:t>
      </w:r>
    </w:p>
    <w:p>
      <w:pPr>
        <w:pStyle w:val="BodyText"/>
      </w:pPr>
      <w:r>
        <w:rPr>
          <w:rFonts w:hint="eastAsia"/>
        </w:rPr>
        <w:t xml:space="preserve">升提供支持，使其在第四季佔友邦保險澳門分公司的年化新保費總額超過三分之一。</w:t>
      </w:r>
    </w:p>
    <w:p>
      <w:pPr>
        <w:pStyle w:val="BodyText"/>
      </w:pPr>
      <w:r>
        <w:t xml:space="preserve">018</w:t>
      </w:r>
    </w:p>
    <w:p>
      <w:pPr>
        <w:pStyle w:val="BodyText"/>
      </w:pPr>
      <w:r>
        <w:rPr>
          <w:rFonts w:hint="eastAsia"/>
        </w:rPr>
        <w:t xml:space="preserve">財務及營運回顧友邦保險控股有限公司集團首席財務總監回顧</w:t>
      </w:r>
    </w:p>
    <w:p>
      <w:pPr>
        <w:pStyle w:val="BodyText"/>
      </w:pPr>
      <w:r>
        <w:rPr>
          <w:rFonts w:hint="eastAsia"/>
        </w:rPr>
        <w:t xml:space="preserve">友邦保險泰國業務在下半年表現卓越，新業務價值較上半年增長33%。雖然新業務價值全年下降4%，但隨著外</w:t>
      </w:r>
    </w:p>
    <w:p>
      <w:pPr>
        <w:pStyle w:val="BodyText"/>
      </w:pPr>
      <w:r>
        <w:rPr>
          <w:rFonts w:hint="eastAsia"/>
        </w:rPr>
        <w:t xml:space="preserve">出限制在下半年放寬，新業務價值錄得正面按月增長。</w:t>
      </w:r>
    </w:p>
    <w:p>
      <w:pPr>
        <w:pStyle w:val="BodyText"/>
      </w:pPr>
      <w:r>
        <w:rPr>
          <w:rFonts w:hint="eastAsia"/>
        </w:rPr>
        <w:t xml:space="preserve">友邦保險新加坡業務在下半年實現卓越的復甦。與上半年比較，2020年下半年的新業務價值上升56%，按年則上</w:t>
      </w:r>
    </w:p>
    <w:p>
      <w:pPr>
        <w:pStyle w:val="BodyText"/>
      </w:pPr>
      <w:r>
        <w:rPr>
          <w:rFonts w:hint="eastAsia"/>
        </w:rPr>
        <w:t xml:space="preserve">升12%。新業務價值全年下降5%，原因是我們的代理渠道新業務的增長被夥伴分銷新業務的減少抵銷，其中向</w:t>
      </w:r>
    </w:p>
    <w:p>
      <w:pPr>
        <w:pStyle w:val="BodyText"/>
      </w:pPr>
      <w:r>
        <w:rPr>
          <w:rFonts w:hint="eastAsia"/>
        </w:rPr>
        <w:t xml:space="preserve">離岸客戶群的銷售尤其受到邊境管制措施影響。產品組合改善，加上新業務量增加使承保開支超支的幅度減少，</w:t>
      </w:r>
    </w:p>
    <w:p>
      <w:pPr>
        <w:pStyle w:val="BodyText"/>
      </w:pPr>
      <w:r>
        <w:rPr>
          <w:rFonts w:hint="eastAsia"/>
        </w:rPr>
        <w:t xml:space="preserve">帶動新業務價值利潤率在下半年顯著回升。</w:t>
      </w:r>
    </w:p>
    <w:p>
      <w:pPr>
        <w:pStyle w:val="BodyText"/>
      </w:pPr>
      <w:r>
        <w:rPr>
          <w:rFonts w:hint="eastAsia"/>
        </w:rPr>
        <w:t xml:space="preserve">與上半年比較，友邦保險馬來西亞業務在下半年錄得72%的新業務價值增長，而與2019年下半年比較，則錄得雙</w:t>
      </w:r>
    </w:p>
    <w:p>
      <w:pPr>
        <w:pStyle w:val="BodyText"/>
      </w:pPr>
      <w:r>
        <w:rPr>
          <w:rFonts w:hint="eastAsia"/>
        </w:rPr>
        <w:t xml:space="preserve">位數字的新業務價值增長。新業務價值全年下降13%，反映上半年與2019冠狀病毒病相關的嚴格外出限制措施</w:t>
      </w:r>
    </w:p>
    <w:p>
      <w:pPr>
        <w:pStyle w:val="BodyText"/>
      </w:pPr>
      <w:r>
        <w:rPr>
          <w:rFonts w:hint="eastAsia"/>
        </w:rPr>
        <w:t xml:space="preserve">所致的影響。產品組合的正面轉變，加上承保開支超支幅度減少，使新業務價值利潤率在下半年回升16.6個百分</w:t>
      </w:r>
    </w:p>
    <w:p>
      <w:pPr>
        <w:pStyle w:val="BodyText"/>
      </w:pPr>
      <w:r>
        <w:rPr>
          <w:rFonts w:hint="eastAsia"/>
        </w:rPr>
        <w:t xml:space="preserve">點，而2020年整體利潤率為59.9%。</w:t>
      </w:r>
    </w:p>
    <w:p>
      <w:pPr>
        <w:pStyle w:val="BodyText"/>
      </w:pPr>
      <w:r>
        <w:rPr>
          <w:rFonts w:hint="eastAsia"/>
        </w:rPr>
        <w:t xml:space="preserve">其他市場方面，2020年下半年的新業務價值較上半年上升10%，其中南韓和印尼錄得良好的復甦。整體來說，新</w:t>
      </w:r>
    </w:p>
    <w:p>
      <w:pPr>
        <w:pStyle w:val="BodyText"/>
      </w:pPr>
      <w:r>
        <w:rPr>
          <w:rFonts w:hint="eastAsia"/>
        </w:rPr>
        <w:t xml:space="preserve">西蘭、菲律賓及印尼錄得跌幅，導致整體新業務價值全年下降4%。其餘的市場均錄得正面新業務價值增長。與</w:t>
      </w:r>
    </w:p>
    <w:p>
      <w:pPr>
        <w:pStyle w:val="BodyText"/>
      </w:pPr>
      <w:r>
        <w:rPr>
          <w:rFonts w:hint="eastAsia"/>
        </w:rPr>
        <w:t xml:space="preserve">2019年比較，越南、中國台灣及印度的新業務價值在2020年錄得雙位數字的升幅。</w:t>
      </w:r>
    </w:p>
    <w:p>
      <w:pPr>
        <w:pStyle w:val="BodyText"/>
      </w:pPr>
      <w:r>
        <w:t xml:space="preserve">019</w:t>
      </w:r>
    </w:p>
    <w:p>
      <w:pPr>
        <w:pStyle w:val="BodyText"/>
      </w:pPr>
      <w:r>
        <w:rPr>
          <w:rFonts w:hint="eastAsia"/>
        </w:rPr>
        <w:t xml:space="preserve">概覽財務及營運回顧企業管治其他資料財務報表2020年報</w:t>
      </w:r>
    </w:p>
    <w:p>
      <w:pPr>
        <w:pStyle w:val="BodyText"/>
      </w:pPr>
      <w:r>
        <w:rPr>
          <w:rFonts w:hint="eastAsia"/>
        </w:rPr>
        <w:t xml:space="preserve">內涵價值權益</w:t>
      </w:r>
    </w:p>
    <w:p>
      <w:pPr>
        <w:pStyle w:val="BodyText"/>
      </w:pPr>
      <w:r>
        <w:rPr>
          <w:rFonts w:hint="eastAsia"/>
        </w:rPr>
        <w:t xml:space="preserve">內涵價值營運溢利</w:t>
      </w:r>
    </w:p>
    <w:p>
      <w:pPr>
        <w:pStyle w:val="BodyText"/>
      </w:pPr>
      <w:r>
        <w:rPr>
          <w:rFonts w:hint="eastAsia"/>
        </w:rPr>
        <w:t xml:space="preserve">於2020年，內涵價值營運溢利為72.43億美元，與2019年相比減少17%，主要由新業務價值所帶動，帶來內涵價</w:t>
      </w:r>
    </w:p>
    <w:p>
      <w:pPr>
        <w:pStyle w:val="BodyText"/>
      </w:pPr>
      <w:r>
        <w:rPr>
          <w:rFonts w:hint="eastAsia"/>
        </w:rPr>
        <w:t xml:space="preserve">值營運回報為11.7%。營運差異為5.49億美元，原因在於與我們的內涵價值假設相比，我們的整體經驗持續維持</w:t>
      </w:r>
    </w:p>
    <w:p>
      <w:pPr>
        <w:pStyle w:val="BodyText"/>
      </w:pPr>
      <w:r>
        <w:rPr>
          <w:rFonts w:hint="eastAsia"/>
        </w:rPr>
        <w:t xml:space="preserve">正面。營運差異自2010年首次公開招股以來累計已增加超過32億美元至內涵價值權益。</w:t>
      </w:r>
    </w:p>
    <w:p>
      <w:pPr>
        <w:pStyle w:val="BodyText"/>
      </w:pPr>
      <w:r>
        <w:rPr>
          <w:rFonts w:hint="eastAsia"/>
        </w:rPr>
        <w:t xml:space="preserve">每股內涵價值營運盈利</w:t>
      </w:r>
      <w:r>
        <w:t xml:space="preserve"> </w:t>
      </w:r>
      <w:r>
        <w:rPr>
          <w:rFonts w:hint="eastAsia"/>
        </w:rPr>
        <w:t xml:space="preserve">－</w:t>
      </w:r>
      <w:r>
        <w:t xml:space="preserve"> </w:t>
      </w:r>
      <w:r>
        <w:rPr>
          <w:rFonts w:hint="eastAsia"/>
        </w:rPr>
        <w:t xml:space="preserve">基本</w:t>
      </w:r>
    </w:p>
    <w:p>
      <w:pPr>
        <w:pStyle w:val="BodyText"/>
      </w:pPr>
      <w:r>
        <w:rPr>
          <w:rFonts w:hint="eastAsia"/>
        </w:rPr>
        <w:t xml:space="preserve">內涵價值營運溢利（百萬美元）</w:t>
      </w:r>
    </w:p>
    <w:p>
      <w:pPr>
        <w:pStyle w:val="BodyText"/>
      </w:pPr>
      <w:r>
        <w:rPr>
          <w:rFonts w:hint="eastAsia"/>
        </w:rPr>
        <w:t xml:space="preserve">普通股的加權平均股數（百萬）</w:t>
      </w:r>
    </w:p>
    <w:p>
      <w:pPr>
        <w:pStyle w:val="BodyText"/>
      </w:pPr>
      <w:r>
        <w:rPr>
          <w:rFonts w:hint="eastAsia"/>
        </w:rPr>
        <w:t xml:space="preserve">每股基本內涵價值營運盈利（美仙）</w:t>
      </w:r>
    </w:p>
    <w:p>
      <w:pPr>
        <w:pStyle w:val="BodyText"/>
      </w:pPr>
      <w:r>
        <w:rPr>
          <w:rFonts w:hint="eastAsia"/>
        </w:rPr>
        <w:t xml:space="preserve">每股內涵價值營運盈利</w:t>
      </w:r>
      <w:r>
        <w:t xml:space="preserve"> </w:t>
      </w:r>
      <w:r>
        <w:rPr>
          <w:rFonts w:hint="eastAsia"/>
        </w:rPr>
        <w:t xml:space="preserve">－</w:t>
      </w:r>
      <w:r>
        <w:t xml:space="preserve"> </w:t>
      </w:r>
      <w:r>
        <w:rPr>
          <w:rFonts w:hint="eastAsia"/>
        </w:rPr>
        <w:t xml:space="preserve">攤薄</w:t>
      </w:r>
    </w:p>
    <w:p>
      <w:pPr>
        <w:pStyle w:val="BodyText"/>
      </w:pPr>
      <w:r>
        <w:rPr>
          <w:rFonts w:hint="eastAsia"/>
        </w:rPr>
        <w:t xml:space="preserve">內涵價值營運溢利（百萬美元）</w:t>
      </w:r>
    </w:p>
    <w:p>
      <w:pPr>
        <w:pStyle w:val="BodyText"/>
      </w:pPr>
      <w:r>
        <w:rPr>
          <w:rFonts w:hint="eastAsia"/>
        </w:rPr>
        <w:t xml:space="preserve">普通股的加權平均股數(1)（百萬）</w:t>
      </w:r>
    </w:p>
    <w:p>
      <w:pPr>
        <w:pStyle w:val="BodyText"/>
      </w:pPr>
      <w:r>
        <w:rPr>
          <w:rFonts w:hint="eastAsia"/>
        </w:rPr>
        <w:t xml:space="preserve">每股攤薄內涵價值營運盈利(1)（美仙）</w:t>
      </w:r>
    </w:p>
    <w:p>
      <w:pPr>
        <w:pStyle w:val="BodyText"/>
      </w:pPr>
      <w:r>
        <w:rPr>
          <w:rFonts w:hint="eastAsia"/>
        </w:rPr>
        <w:t xml:space="preserve">2020年</w:t>
      </w:r>
    </w:p>
    <w:p>
      <w:pPr>
        <w:pStyle w:val="BodyText"/>
      </w:pPr>
      <w:r>
        <w:t xml:space="preserve">7,243</w:t>
      </w:r>
    </w:p>
    <w:p>
      <w:pPr>
        <w:pStyle w:val="BodyText"/>
      </w:pPr>
      <w:r>
        <w:t xml:space="preserve">12,060</w:t>
      </w:r>
    </w:p>
    <w:p>
      <w:pPr>
        <w:pStyle w:val="BodyText"/>
      </w:pPr>
      <w:r>
        <w:t xml:space="preserve">60.06</w:t>
      </w:r>
    </w:p>
    <w:p>
      <w:pPr>
        <w:pStyle w:val="BodyText"/>
      </w:pPr>
      <w:r>
        <w:rPr>
          <w:rFonts w:hint="eastAsia"/>
        </w:rPr>
        <w:t xml:space="preserve">2020年</w:t>
      </w:r>
    </w:p>
    <w:p>
      <w:pPr>
        <w:pStyle w:val="BodyText"/>
      </w:pPr>
      <w:r>
        <w:t xml:space="preserve">7,243</w:t>
      </w:r>
    </w:p>
    <w:p>
      <w:pPr>
        <w:pStyle w:val="BodyText"/>
      </w:pPr>
      <w:r>
        <w:t xml:space="preserve">12,080</w:t>
      </w:r>
    </w:p>
    <w:p>
      <w:pPr>
        <w:pStyle w:val="BodyText"/>
      </w:pPr>
      <w:r>
        <w:t xml:space="preserve">59.96</w:t>
      </w:r>
    </w:p>
    <w:p>
      <w:pPr>
        <w:pStyle w:val="BodyText"/>
      </w:pPr>
      <w:r>
        <w:rPr>
          <w:rFonts w:hint="eastAsia"/>
        </w:rPr>
        <w:t xml:space="preserve">2019年</w:t>
      </w:r>
    </w:p>
    <w:p>
      <w:pPr>
        <w:pStyle w:val="BodyText"/>
      </w:pPr>
      <w:r>
        <w:t xml:space="preserve">8,685</w:t>
      </w:r>
    </w:p>
    <w:p>
      <w:pPr>
        <w:pStyle w:val="BodyText"/>
      </w:pPr>
      <w:r>
        <w:t xml:space="preserve">12,042</w:t>
      </w:r>
    </w:p>
    <w:p>
      <w:pPr>
        <w:pStyle w:val="BodyText"/>
      </w:pPr>
      <w:r>
        <w:t xml:space="preserve">72.12</w:t>
      </w:r>
    </w:p>
    <w:p>
      <w:pPr>
        <w:pStyle w:val="BodyText"/>
      </w:pPr>
      <w:r>
        <w:rPr>
          <w:rFonts w:hint="eastAsia"/>
        </w:rPr>
        <w:t xml:space="preserve">2019年</w:t>
      </w:r>
    </w:p>
    <w:p>
      <w:pPr>
        <w:pStyle w:val="BodyText"/>
      </w:pPr>
      <w:r>
        <w:t xml:space="preserve">8,685</w:t>
      </w:r>
    </w:p>
    <w:p>
      <w:pPr>
        <w:pStyle w:val="BodyText"/>
      </w:pPr>
      <w:r>
        <w:t xml:space="preserve">12,071</w:t>
      </w:r>
    </w:p>
    <w:p>
      <w:pPr>
        <w:pStyle w:val="BodyText"/>
      </w:pPr>
      <w:r>
        <w:t xml:space="preserve">71.95</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(17)%</w:t>
      </w:r>
    </w:p>
    <w:p>
      <w:pPr>
        <w:pStyle w:val="BodyText"/>
      </w:pPr>
      <w:r>
        <w:rPr>
          <w:rFonts w:hint="eastAsia"/>
        </w:rPr>
        <w:t xml:space="preserve">不適用</w:t>
      </w:r>
    </w:p>
    <w:p>
      <w:pPr>
        <w:pStyle w:val="BodyText"/>
      </w:pPr>
      <w:r>
        <w:t xml:space="preserve">(17)%</w:t>
      </w:r>
    </w:p>
    <w:p>
      <w:pPr>
        <w:pStyle w:val="BodyText"/>
      </w:pPr>
      <w:r>
        <w:t xml:space="preserve">(17)%</w:t>
      </w:r>
    </w:p>
    <w:p>
      <w:pPr>
        <w:pStyle w:val="BodyText"/>
      </w:pPr>
      <w:r>
        <w:rPr>
          <w:rFonts w:hint="eastAsia"/>
        </w:rPr>
        <w:t xml:space="preserve">不適用</w:t>
      </w:r>
    </w:p>
    <w:p>
      <w:pPr>
        <w:pStyle w:val="BodyText"/>
      </w:pPr>
      <w:r>
        <w:t xml:space="preserve">(17)%</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(17)%</w:t>
      </w:r>
    </w:p>
    <w:p>
      <w:pPr>
        <w:pStyle w:val="BodyText"/>
      </w:pPr>
      <w:r>
        <w:rPr>
          <w:rFonts w:hint="eastAsia"/>
        </w:rPr>
        <w:t xml:space="preserve">不適用</w:t>
      </w:r>
    </w:p>
    <w:p>
      <w:pPr>
        <w:pStyle w:val="BodyText"/>
      </w:pPr>
      <w:r>
        <w:t xml:space="preserve">(17)%</w:t>
      </w:r>
    </w:p>
    <w:p>
      <w:pPr>
        <w:pStyle w:val="BodyText"/>
      </w:pPr>
      <w:r>
        <w:t xml:space="preserve">(17)%</w:t>
      </w:r>
    </w:p>
    <w:p>
      <w:pPr>
        <w:pStyle w:val="BodyText"/>
      </w:pPr>
      <w:r>
        <w:rPr>
          <w:rFonts w:hint="eastAsia"/>
        </w:rPr>
        <w:t xml:space="preserve">不適用</w:t>
      </w:r>
    </w:p>
    <w:p>
      <w:pPr>
        <w:pStyle w:val="BodyText"/>
      </w:pPr>
      <w:r>
        <w:t xml:space="preserve">(17)%</w:t>
      </w:r>
    </w:p>
    <w:p>
      <w:pPr>
        <w:pStyle w:val="BodyText"/>
      </w:pPr>
      <w:r>
        <w:rPr>
          <w:rFonts w:hint="eastAsia"/>
        </w:rPr>
        <w:t xml:space="preserve">附註：</w:t>
      </w:r>
      <w:r>
        <w:br/>
      </w:r>
      <w:r>
        <w:t xml:space="preserve">(1) </w:t>
      </w:r>
      <w:r>
        <w:rPr>
          <w:rFonts w:hint="eastAsia"/>
        </w:rPr>
        <w:t xml:space="preserve">每股攤薄內涵價值營運盈利包括根據合併財務報表附註40所述以股份為基礎的報酬計劃中授予合資格董事、主管、僱員及代理的購股權、受</w:t>
      </w:r>
    </w:p>
    <w:p>
      <w:pPr>
        <w:pStyle w:val="BodyText"/>
      </w:pPr>
      <w:r>
        <w:rPr>
          <w:rFonts w:hint="eastAsia"/>
        </w:rPr>
        <w:t xml:space="preserve">限制股份單位、受限制股份購買單位及受限制股份認購單位的攤薄影響（如有）。</w:t>
      </w:r>
    </w:p>
    <w:p>
      <w:pPr>
        <w:pStyle w:val="BodyText"/>
      </w:pPr>
      <w:r>
        <w:rPr>
          <w:rFonts w:hint="eastAsia"/>
        </w:rPr>
        <w:t xml:space="preserve">內涵價值變動</w:t>
      </w:r>
    </w:p>
    <w:p>
      <w:pPr>
        <w:pStyle w:val="BodyText"/>
      </w:pPr>
      <w:r>
        <w:rPr>
          <w:rFonts w:hint="eastAsia"/>
        </w:rPr>
        <w:t xml:space="preserve">於派付股息19.97億美元後，內涵價值增長32.62億美元至2020年12月31日的652.47億美元。內涵價值增長主要由</w:t>
      </w:r>
    </w:p>
    <w:p>
      <w:pPr>
        <w:pStyle w:val="BodyText"/>
      </w:pPr>
      <w:r>
        <w:rPr>
          <w:rFonts w:hint="eastAsia"/>
        </w:rPr>
        <w:t xml:space="preserve">內涵價值營運溢利72.43億美元及正面匯率變動11.64億美元所帶動，其足以抵銷反映了政府債券收益率的大幅下</w:t>
      </w:r>
    </w:p>
    <w:p>
      <w:pPr>
        <w:pStyle w:val="BodyText"/>
      </w:pPr>
      <w:r>
        <w:rPr>
          <w:rFonts w:hint="eastAsia"/>
        </w:rPr>
        <w:t xml:space="preserve">跌（尤其是在美國及泰國）所帶動的負面投資回報差異18.68億美元及長期經濟假設下滑的影響10.13億美元。其</w:t>
      </w:r>
    </w:p>
    <w:p>
      <w:pPr>
        <w:pStyle w:val="BodyText"/>
      </w:pPr>
      <w:r>
        <w:rPr>
          <w:rFonts w:hint="eastAsia"/>
        </w:rPr>
        <w:t xml:space="preserve">他非營運差異減少內涵價值3.30億美元，此包括由於友邦保險中國業務轉為子公司後所適用的預扣稅，及未確認</w:t>
      </w:r>
    </w:p>
    <w:p>
      <w:pPr>
        <w:pStyle w:val="BodyText"/>
      </w:pPr>
      <w:r>
        <w:rPr>
          <w:rFonts w:hint="eastAsia"/>
        </w:rPr>
        <w:t xml:space="preserve">稅務狀況撥備的負面影響，惟部分被新西蘭分公司轉為附屬公司和新加坡推行風險基礎資本2監管規則所帶來的</w:t>
      </w:r>
    </w:p>
    <w:p>
      <w:pPr>
        <w:pStyle w:val="BodyText"/>
      </w:pPr>
      <w:r>
        <w:rPr>
          <w:rFonts w:hint="eastAsia"/>
        </w:rPr>
        <w:t xml:space="preserve">正面影響，以及調整合併資本要求的影響所抵銷。</w:t>
      </w:r>
    </w:p>
    <w:p>
      <w:pPr>
        <w:pStyle w:val="BodyText"/>
      </w:pPr>
      <w:r>
        <w:t xml:space="preserve">020</w:t>
      </w:r>
    </w:p>
    <w:p>
      <w:pPr>
        <w:pStyle w:val="BodyText"/>
      </w:pPr>
      <w:r>
        <w:rPr>
          <w:rFonts w:hint="eastAsia"/>
        </w:rPr>
        <w:t xml:space="preserve">財務及營運回顧友邦保險控股有限公司集團首席財務總監回顧</w:t>
      </w:r>
    </w:p>
    <w:p>
      <w:pPr>
        <w:pStyle w:val="BodyText"/>
      </w:pPr>
      <w:r>
        <w:rPr>
          <w:rFonts w:hint="eastAsia"/>
        </w:rPr>
        <w:t xml:space="preserve">內涵價值變動分析如下：</w:t>
      </w:r>
    </w:p>
    <w:p>
      <w:pPr>
        <w:pStyle w:val="BodyText"/>
      </w:pPr>
      <w:r>
        <w:rPr>
          <w:rFonts w:hint="eastAsia"/>
        </w:rPr>
        <w:t xml:space="preserve">百萬美元，除另有說明外</w:t>
      </w:r>
    </w:p>
    <w:p>
      <w:pPr>
        <w:pStyle w:val="BodyText"/>
      </w:pPr>
      <w:r>
        <w:rPr>
          <w:rFonts w:hint="eastAsia"/>
        </w:rPr>
        <w:t xml:space="preserve">期初內涵價值</w:t>
      </w:r>
    </w:p>
    <w:p>
      <w:pPr>
        <w:pStyle w:val="BodyText"/>
      </w:pPr>
      <w:r>
        <w:rPr>
          <w:rFonts w:hint="eastAsia"/>
        </w:rPr>
        <w:t xml:space="preserve">購買價</w:t>
      </w:r>
    </w:p>
    <w:p>
      <w:pPr>
        <w:pStyle w:val="BodyText"/>
      </w:pPr>
      <w:r>
        <w:rPr>
          <w:rFonts w:hint="eastAsia"/>
        </w:rPr>
        <w:t xml:space="preserve">已收購內涵價值</w:t>
      </w:r>
    </w:p>
    <w:p>
      <w:pPr>
        <w:pStyle w:val="BodyText"/>
      </w:pPr>
      <w:r>
        <w:rPr>
          <w:rFonts w:hint="eastAsia"/>
        </w:rPr>
        <w:t xml:space="preserve">收購的影響</w:t>
      </w:r>
    </w:p>
    <w:p>
      <w:pPr>
        <w:pStyle w:val="BodyText"/>
      </w:pPr>
      <w:r>
        <w:rPr>
          <w:rFonts w:hint="eastAsia"/>
        </w:rPr>
        <w:t xml:space="preserve">新業務價值</w:t>
      </w:r>
    </w:p>
    <w:p>
      <w:pPr>
        <w:pStyle w:val="BodyText"/>
      </w:pPr>
      <w:r>
        <w:rPr>
          <w:rFonts w:hint="eastAsia"/>
        </w:rPr>
        <w:t xml:space="preserve">內涵價值的預期回報</w:t>
      </w:r>
    </w:p>
    <w:p>
      <w:pPr>
        <w:pStyle w:val="BodyText"/>
      </w:pPr>
      <w:r>
        <w:rPr>
          <w:rFonts w:hint="eastAsia"/>
        </w:rPr>
        <w:t xml:space="preserve">營運經驗差異</w:t>
      </w:r>
    </w:p>
    <w:p>
      <w:pPr>
        <w:pStyle w:val="BodyText"/>
      </w:pPr>
      <w:r>
        <w:rPr>
          <w:rFonts w:hint="eastAsia"/>
        </w:rPr>
        <w:t xml:space="preserve">營運假設變動</w:t>
      </w:r>
    </w:p>
    <w:p>
      <w:pPr>
        <w:pStyle w:val="BodyText"/>
      </w:pPr>
      <w:r>
        <w:rPr>
          <w:rFonts w:hint="eastAsia"/>
        </w:rPr>
        <w:t xml:space="preserve">財務費用</w:t>
      </w:r>
    </w:p>
    <w:p>
      <w:pPr>
        <w:pStyle w:val="BodyText"/>
      </w:pPr>
      <w:r>
        <w:rPr>
          <w:rFonts w:hint="eastAsia"/>
        </w:rPr>
        <w:t xml:space="preserve">內涵價值營運溢利</w:t>
      </w:r>
    </w:p>
    <w:p>
      <w:pPr>
        <w:pStyle w:val="BodyText"/>
      </w:pPr>
      <w:r>
        <w:rPr>
          <w:rFonts w:hint="eastAsia"/>
        </w:rPr>
        <w:t xml:space="preserve">投資回報差異</w:t>
      </w:r>
    </w:p>
    <w:p>
      <w:pPr>
        <w:pStyle w:val="BodyText"/>
      </w:pPr>
      <w:r>
        <w:rPr>
          <w:rFonts w:hint="eastAsia"/>
        </w:rPr>
        <w:t xml:space="preserve">經濟假設變動的影響</w:t>
      </w:r>
    </w:p>
    <w:p>
      <w:pPr>
        <w:pStyle w:val="BodyText"/>
      </w:pPr>
      <w:r>
        <w:rPr>
          <w:rFonts w:hint="eastAsia"/>
        </w:rPr>
        <w:t xml:space="preserve">其他非營運差異</w:t>
      </w:r>
    </w:p>
    <w:p>
      <w:pPr>
        <w:pStyle w:val="BodyText"/>
      </w:pPr>
      <w:r>
        <w:rPr>
          <w:rFonts w:hint="eastAsia"/>
        </w:rPr>
        <w:t xml:space="preserve">內涵價值溢利總額</w:t>
      </w:r>
    </w:p>
    <w:p>
      <w:pPr>
        <w:pStyle w:val="BodyText"/>
      </w:pPr>
      <w:r>
        <w:rPr>
          <w:rFonts w:hint="eastAsia"/>
        </w:rPr>
        <w:t xml:space="preserve">股息</w:t>
      </w:r>
    </w:p>
    <w:p>
      <w:pPr>
        <w:pStyle w:val="BodyText"/>
      </w:pPr>
      <w:r>
        <w:rPr>
          <w:rFonts w:hint="eastAsia"/>
        </w:rPr>
        <w:t xml:space="preserve">其他資本變動</w:t>
      </w:r>
    </w:p>
    <w:p>
      <w:pPr>
        <w:pStyle w:val="BodyText"/>
      </w:pPr>
      <w:r>
        <w:rPr>
          <w:rFonts w:hint="eastAsia"/>
        </w:rPr>
        <w:t xml:space="preserve">匯率變動的影響</w:t>
      </w:r>
    </w:p>
    <w:p>
      <w:pPr>
        <w:pStyle w:val="BodyText"/>
      </w:pPr>
      <w:r>
        <w:rPr>
          <w:rFonts w:hint="eastAsia"/>
        </w:rPr>
        <w:t xml:space="preserve">期末內涵價值</w:t>
      </w:r>
    </w:p>
    <w:p>
      <w:pPr>
        <w:pStyle w:val="BodyText"/>
      </w:pPr>
      <w:r>
        <w:rPr>
          <w:rFonts w:hint="eastAsia"/>
        </w:rPr>
        <w:t xml:space="preserve">百萬美元，除另有說明外</w:t>
      </w:r>
    </w:p>
    <w:p>
      <w:pPr>
        <w:pStyle w:val="BodyText"/>
      </w:pPr>
      <w:r>
        <w:rPr>
          <w:rFonts w:hint="eastAsia"/>
        </w:rPr>
        <w:t xml:space="preserve">期初內涵價值</w:t>
      </w:r>
    </w:p>
    <w:p>
      <w:pPr>
        <w:pStyle w:val="BodyText"/>
      </w:pPr>
      <w:r>
        <w:rPr>
          <w:rFonts w:hint="eastAsia"/>
        </w:rPr>
        <w:t xml:space="preserve">購買價</w:t>
      </w:r>
    </w:p>
    <w:p>
      <w:pPr>
        <w:pStyle w:val="BodyText"/>
      </w:pPr>
      <w:r>
        <w:rPr>
          <w:rFonts w:hint="eastAsia"/>
        </w:rPr>
        <w:t xml:space="preserve">已收購內涵價值(1)</w:t>
      </w:r>
    </w:p>
    <w:p>
      <w:pPr>
        <w:pStyle w:val="BodyText"/>
      </w:pPr>
      <w:r>
        <w:rPr>
          <w:rFonts w:hint="eastAsia"/>
        </w:rPr>
        <w:t xml:space="preserve">收購的影響</w:t>
      </w:r>
    </w:p>
    <w:p>
      <w:pPr>
        <w:pStyle w:val="BodyText"/>
      </w:pPr>
      <w:r>
        <w:rPr>
          <w:rFonts w:hint="eastAsia"/>
        </w:rPr>
        <w:t xml:space="preserve">新業務價值</w:t>
      </w:r>
    </w:p>
    <w:p>
      <w:pPr>
        <w:pStyle w:val="BodyText"/>
      </w:pPr>
      <w:r>
        <w:rPr>
          <w:rFonts w:hint="eastAsia"/>
        </w:rPr>
        <w:t xml:space="preserve">內涵價值的預期回報</w:t>
      </w:r>
    </w:p>
    <w:p>
      <w:pPr>
        <w:pStyle w:val="BodyText"/>
      </w:pPr>
      <w:r>
        <w:rPr>
          <w:rFonts w:hint="eastAsia"/>
        </w:rPr>
        <w:t xml:space="preserve">營運經驗差異</w:t>
      </w:r>
    </w:p>
    <w:p>
      <w:pPr>
        <w:pStyle w:val="BodyText"/>
      </w:pPr>
      <w:r>
        <w:rPr>
          <w:rFonts w:hint="eastAsia"/>
        </w:rPr>
        <w:t xml:space="preserve">營運假設變動</w:t>
      </w:r>
    </w:p>
    <w:p>
      <w:pPr>
        <w:pStyle w:val="BodyText"/>
      </w:pPr>
      <w:r>
        <w:rPr>
          <w:rFonts w:hint="eastAsia"/>
        </w:rPr>
        <w:t xml:space="preserve">財務費用</w:t>
      </w:r>
    </w:p>
    <w:p>
      <w:pPr>
        <w:pStyle w:val="BodyText"/>
      </w:pPr>
      <w:r>
        <w:rPr>
          <w:rFonts w:hint="eastAsia"/>
        </w:rPr>
        <w:t xml:space="preserve">內涵價值營運溢利</w:t>
      </w:r>
    </w:p>
    <w:p>
      <w:pPr>
        <w:pStyle w:val="BodyText"/>
      </w:pPr>
      <w:r>
        <w:rPr>
          <w:rFonts w:hint="eastAsia"/>
        </w:rPr>
        <w:t xml:space="preserve">投資回報差異</w:t>
      </w:r>
    </w:p>
    <w:p>
      <w:pPr>
        <w:pStyle w:val="BodyText"/>
      </w:pPr>
      <w:r>
        <w:rPr>
          <w:rFonts w:hint="eastAsia"/>
        </w:rPr>
        <w:t xml:space="preserve">經濟假設變動的影響</w:t>
      </w:r>
    </w:p>
    <w:p>
      <w:pPr>
        <w:pStyle w:val="BodyText"/>
      </w:pPr>
      <w:r>
        <w:rPr>
          <w:rFonts w:hint="eastAsia"/>
        </w:rPr>
        <w:t xml:space="preserve">其他非營運差異</w:t>
      </w:r>
    </w:p>
    <w:p>
      <w:pPr>
        <w:pStyle w:val="BodyText"/>
      </w:pPr>
      <w:r>
        <w:rPr>
          <w:rFonts w:hint="eastAsia"/>
        </w:rPr>
        <w:t xml:space="preserve">內涵價值溢利總額</w:t>
      </w:r>
    </w:p>
    <w:p>
      <w:pPr>
        <w:pStyle w:val="BodyText"/>
      </w:pPr>
      <w:r>
        <w:rPr>
          <w:rFonts w:hint="eastAsia"/>
        </w:rPr>
        <w:t xml:space="preserve">股息</w:t>
      </w:r>
    </w:p>
    <w:p>
      <w:pPr>
        <w:pStyle w:val="BodyText"/>
      </w:pPr>
      <w:r>
        <w:rPr>
          <w:rFonts w:hint="eastAsia"/>
        </w:rPr>
        <w:t xml:space="preserve">其他資本變動</w:t>
      </w:r>
    </w:p>
    <w:p>
      <w:pPr>
        <w:pStyle w:val="BodyText"/>
      </w:pPr>
      <w:r>
        <w:rPr>
          <w:rFonts w:hint="eastAsia"/>
        </w:rPr>
        <w:t xml:space="preserve">匯率變動的影響</w:t>
      </w:r>
    </w:p>
    <w:p>
      <w:pPr>
        <w:pStyle w:val="BodyText"/>
      </w:pPr>
      <w:r>
        <w:rPr>
          <w:rFonts w:hint="eastAsia"/>
        </w:rPr>
        <w:t xml:space="preserve">期末內涵價值</w:t>
      </w:r>
    </w:p>
    <w:p>
      <w:pPr>
        <w:pStyle w:val="BodyText"/>
      </w:pPr>
      <w:r>
        <w:rPr>
          <w:rFonts w:hint="eastAsia"/>
        </w:rPr>
        <w:t xml:space="preserve">經調整</w:t>
      </w:r>
      <w:r>
        <w:br/>
      </w:r>
      <w:r>
        <w:rPr>
          <w:rFonts w:hint="eastAsia"/>
        </w:rPr>
        <w:t xml:space="preserve">資產淨值</w:t>
      </w:r>
    </w:p>
    <w:p>
      <w:pPr>
        <w:pStyle w:val="BodyText"/>
      </w:pPr>
      <w:r>
        <w:t xml:space="preserve">28,241</w:t>
      </w:r>
    </w:p>
    <w:p>
      <w:pPr>
        <w:pStyle w:val="BodyText"/>
      </w:pPr>
      <w:r>
        <w:rPr>
          <w:rFonts w:hint="eastAsia"/>
        </w:rPr>
        <w:t xml:space="preserve">2020年</w:t>
      </w:r>
    </w:p>
    <w:p>
      <w:pPr>
        <w:pStyle w:val="BodyText"/>
      </w:pPr>
      <w:r>
        <w:rPr>
          <w:rFonts w:hint="eastAsia"/>
        </w:rPr>
        <w:t xml:space="preserve">有效保單</w:t>
      </w:r>
      <w:r>
        <w:br/>
      </w:r>
      <w:r>
        <w:rPr>
          <w:rFonts w:hint="eastAsia"/>
        </w:rPr>
        <w:t xml:space="preserve">業務價值</w:t>
      </w:r>
    </w:p>
    <w:p>
      <w:pPr>
        <w:pStyle w:val="BodyText"/>
      </w:pPr>
      <w:r>
        <w:t xml:space="preserve">33,744</w:t>
      </w:r>
    </w:p>
    <w:p>
      <w:pPr>
        <w:pStyle w:val="BodyText"/>
      </w:pPr>
      <w:r>
        <w:rPr>
          <w:rFonts w:hint="eastAsia"/>
        </w:rPr>
        <w:t xml:space="preserve">內涵價值</w:t>
      </w:r>
    </w:p>
    <w:p>
      <w:pPr>
        <w:pStyle w:val="BodyText"/>
      </w:pPr>
      <w:r>
        <w:t xml:space="preserve">61,985</w:t>
      </w:r>
    </w:p>
    <w:p>
      <w:pPr>
        <w:pStyle w:val="FirstParagraph"/>
      </w:pPr>
      <w:r>
        <w:t xml:space="preserve">–</w:t>
      </w:r>
    </w:p>
    <w:p>
      <w:pPr>
        <w:pStyle w:val="FirstParagraph"/>
      </w:pPr>
      <w:r>
        <w:t xml:space="preserve">5,591</w:t>
      </w:r>
    </w:p>
    <w:p>
      <w:pPr>
        <w:pStyle w:val="BodyText"/>
      </w:pPr>
      <w:r>
        <w:t xml:space="preserve">538</w:t>
      </w:r>
    </w:p>
    <w:p>
      <w:pPr>
        <w:pStyle w:val="FirstParagraph"/>
      </w:pPr>
      <w:r>
        <w:t xml:space="preserve">5,125</w:t>
      </w:r>
    </w:p>
    <w:p>
      <w:pPr>
        <w:pStyle w:val="BodyText"/>
      </w:pPr>
      <w:r>
        <w:t xml:space="preserve">(3,446)</w:t>
      </w:r>
    </w:p>
    <w:p>
      <w:pPr>
        <w:pStyle w:val="BodyText"/>
      </w:pPr>
      <w:r>
        <w:t xml:space="preserve">35</w:t>
      </w:r>
    </w:p>
    <w:p>
      <w:pPr>
        <w:pStyle w:val="BodyText"/>
      </w:pPr>
      <w:r>
        <w:t xml:space="preserve">160</w:t>
      </w:r>
    </w:p>
    <w:p>
      <w:pPr>
        <w:pStyle w:val="BodyText"/>
      </w:pPr>
      <w:r>
        <w:t xml:space="preserve">1,874</w:t>
      </w:r>
    </w:p>
    <w:p>
      <w:pPr>
        <w:pStyle w:val="BodyText"/>
      </w:pPr>
      <w:r>
        <w:t xml:space="preserve">(1,997)</w:t>
      </w:r>
    </w:p>
    <w:p>
      <w:pPr>
        <w:pStyle w:val="BodyText"/>
      </w:pPr>
      <w:r>
        <w:t xml:space="preserve">81</w:t>
      </w:r>
    </w:p>
    <w:p>
      <w:pPr>
        <w:pStyle w:val="BodyText"/>
      </w:pPr>
      <w:r>
        <w:t xml:space="preserve">322</w:t>
      </w:r>
    </w:p>
    <w:p>
      <w:pPr>
        <w:pStyle w:val="BodyText"/>
      </w:pPr>
      <w:r>
        <w:t xml:space="preserve">28,503</w:t>
      </w:r>
    </w:p>
    <w:p>
      <w:pPr>
        <w:pStyle w:val="BodyText"/>
      </w:pPr>
      <w:r>
        <w:rPr>
          <w:rFonts w:hint="eastAsia"/>
        </w:rPr>
        <w:t xml:space="preserve">經調整</w:t>
      </w:r>
      <w:r>
        <w:br/>
      </w:r>
      <w:r>
        <w:rPr>
          <w:rFonts w:hint="eastAsia"/>
        </w:rPr>
        <w:t xml:space="preserve">資產淨值</w:t>
      </w:r>
    </w:p>
    <w:p>
      <w:pPr>
        <w:pStyle w:val="BodyText"/>
      </w:pPr>
      <w:r>
        <w:t xml:space="preserve">24,637</w:t>
      </w:r>
    </w:p>
    <w:p>
      <w:pPr>
        <w:pStyle w:val="BodyText"/>
      </w:pPr>
      <w:r>
        <w:t xml:space="preserve">(1,454)</w:t>
      </w:r>
    </w:p>
    <w:p>
      <w:pPr>
        <w:pStyle w:val="BodyText"/>
      </w:pPr>
      <w:r>
        <w:t xml:space="preserve">790</w:t>
      </w:r>
    </w:p>
    <w:p>
      <w:pPr>
        <w:pStyle w:val="FirstParagraph"/>
      </w:pPr>
      <w:r>
        <w:t xml:space="preserve">5,072</w:t>
      </w:r>
    </w:p>
    <w:p>
      <w:pPr>
        <w:pStyle w:val="BodyText"/>
      </w:pPr>
      <w:r>
        <w:t xml:space="preserve">394</w:t>
      </w:r>
    </w:p>
    <w:p>
      <w:pPr>
        <w:pStyle w:val="FirstParagraph"/>
      </w:pPr>
      <w:r>
        <w:t xml:space="preserve">4,538</w:t>
      </w:r>
    </w:p>
    <w:p>
      <w:pPr>
        <w:pStyle w:val="FirstParagraph"/>
      </w:pPr>
      <w:r>
        <w:t xml:space="preserve">65</w:t>
      </w:r>
    </w:p>
    <w:p>
      <w:pPr>
        <w:pStyle w:val="BodyText"/>
      </w:pPr>
      <w:r>
        <w:t xml:space="preserve">2,491</w:t>
      </w:r>
    </w:p>
    <w:p>
      <w:pPr>
        <w:pStyle w:val="BodyText"/>
      </w:pPr>
      <w:r>
        <w:t xml:space="preserve">6,152</w:t>
      </w:r>
    </w:p>
    <w:p>
      <w:pPr>
        <w:pStyle w:val="BodyText"/>
      </w:pPr>
      <w:r>
        <w:t xml:space="preserve">(1,961)</w:t>
      </w:r>
    </w:p>
    <w:p>
      <w:pPr>
        <w:pStyle w:val="BodyText"/>
      </w:pPr>
      <w:r>
        <w:t xml:space="preserve">136</w:t>
      </w:r>
    </w:p>
    <w:p>
      <w:pPr>
        <w:pStyle w:val="FirstParagraph"/>
      </w:pPr>
      <w:r>
        <w:t xml:space="preserve">28,241</w:t>
      </w:r>
    </w:p>
    <w:p>
      <w:pPr>
        <w:pStyle w:val="BodyText"/>
      </w:pPr>
      <w:r>
        <w:t xml:space="preserve">–</w:t>
      </w:r>
    </w:p>
    <w:p>
      <w:pPr>
        <w:pStyle w:val="BodyText"/>
      </w:pPr>
      <w:r>
        <w:t xml:space="preserve">–</w:t>
      </w:r>
    </w:p>
    <w:p>
      <w:pPr>
        <w:pStyle w:val="BodyText"/>
      </w:pPr>
      <w:r>
        <w:t xml:space="preserve">–</w:t>
      </w:r>
    </w:p>
    <w:p>
      <w:pPr>
        <w:pStyle w:val="BodyText"/>
      </w:pPr>
      <w:r>
        <w:t xml:space="preserve">3,491</w:t>
      </w:r>
    </w:p>
    <w:p>
      <w:pPr>
        <w:pStyle w:val="BodyText"/>
      </w:pPr>
      <w:r>
        <w:t xml:space="preserve">(1,415)</w:t>
      </w:r>
    </w:p>
    <w:p>
      <w:pPr>
        <w:pStyle w:val="FirstParagraph"/>
      </w:pPr>
      <w:r>
        <w:t xml:space="preserve">47</w:t>
      </w:r>
    </w:p>
    <w:p>
      <w:pPr>
        <w:pStyle w:val="BodyText"/>
      </w:pPr>
      <w:r>
        <w:t xml:space="preserve">–</w:t>
      </w:r>
    </w:p>
    <w:p>
      <w:pPr>
        <w:pStyle w:val="BodyText"/>
      </w:pPr>
      <w:r>
        <w:t xml:space="preserve">2,118</w:t>
      </w:r>
    </w:p>
    <w:p>
      <w:pPr>
        <w:pStyle w:val="BodyText"/>
      </w:pPr>
      <w:r>
        <w:t xml:space="preserve">1,578</w:t>
      </w:r>
    </w:p>
    <w:p>
      <w:pPr>
        <w:pStyle w:val="BodyText"/>
      </w:pPr>
      <w:r>
        <w:t xml:space="preserve">(1,048)</w:t>
      </w:r>
    </w:p>
    <w:p>
      <w:pPr>
        <w:pStyle w:val="FirstParagraph"/>
      </w:pPr>
      <w:r>
        <w:t xml:space="preserve">2,158</w:t>
      </w:r>
    </w:p>
    <w:p>
      <w:pPr>
        <w:pStyle w:val="BodyText"/>
      </w:pPr>
      <w:r>
        <w:t xml:space="preserve">–</w:t>
      </w:r>
    </w:p>
    <w:p>
      <w:pPr>
        <w:pStyle w:val="BodyText"/>
      </w:pPr>
      <w:r>
        <w:t xml:space="preserve">–</w:t>
      </w:r>
    </w:p>
    <w:p>
      <w:pPr>
        <w:pStyle w:val="BodyText"/>
      </w:pPr>
      <w:r>
        <w:t xml:space="preserve">842</w:t>
      </w:r>
    </w:p>
    <w:p>
      <w:pPr>
        <w:pStyle w:val="BodyText"/>
      </w:pPr>
      <w:r>
        <w:t xml:space="preserve">36,744</w:t>
      </w:r>
    </w:p>
    <w:p>
      <w:pPr>
        <w:pStyle w:val="BodyText"/>
      </w:pPr>
      <w:r>
        <w:rPr>
          <w:rFonts w:hint="eastAsia"/>
        </w:rPr>
        <w:t xml:space="preserve">2019年</w:t>
      </w:r>
    </w:p>
    <w:p>
      <w:pPr>
        <w:pStyle w:val="BodyText"/>
      </w:pPr>
      <w:r>
        <w:rPr>
          <w:rFonts w:hint="eastAsia"/>
        </w:rPr>
        <w:t xml:space="preserve">有效保單</w:t>
      </w:r>
      <w:r>
        <w:br/>
      </w:r>
      <w:r>
        <w:rPr>
          <w:rFonts w:hint="eastAsia"/>
        </w:rPr>
        <w:t xml:space="preserve">業務價值</w:t>
      </w:r>
    </w:p>
    <w:p>
      <w:pPr>
        <w:pStyle w:val="BodyText"/>
      </w:pPr>
      <w:r>
        <w:t xml:space="preserve">29,880</w:t>
      </w:r>
    </w:p>
    <w:p>
      <w:pPr>
        <w:pStyle w:val="BodyText"/>
      </w:pPr>
      <w:r>
        <w:t xml:space="preserve">–</w:t>
      </w:r>
    </w:p>
    <w:p>
      <w:pPr>
        <w:pStyle w:val="BodyText"/>
      </w:pPr>
      <w:r>
        <w:t xml:space="preserve">417</w:t>
      </w:r>
    </w:p>
    <w:p>
      <w:pPr>
        <w:pStyle w:val="BodyText"/>
      </w:pPr>
      <w:r>
        <w:t xml:space="preserve">417</w:t>
      </w:r>
    </w:p>
    <w:p>
      <w:pPr>
        <w:pStyle w:val="BodyText"/>
      </w:pPr>
      <w:r>
        <w:t xml:space="preserve">4,856</w:t>
      </w:r>
    </w:p>
    <w:p>
      <w:pPr>
        <w:pStyle w:val="FirstParagraph"/>
      </w:pPr>
      <w:r>
        <w:t xml:space="preserve">206</w:t>
      </w:r>
    </w:p>
    <w:p>
      <w:pPr>
        <w:pStyle w:val="BodyText"/>
      </w:pPr>
      <w:r>
        <w:t xml:space="preserve">52</w:t>
      </w:r>
    </w:p>
    <w:p>
      <w:pPr>
        <w:pStyle w:val="BodyText"/>
      </w:pPr>
      <w:r>
        <w:t xml:space="preserve">–</w:t>
      </w:r>
    </w:p>
    <w:p>
      <w:pPr>
        <w:pStyle w:val="BodyText"/>
      </w:pPr>
      <w:r>
        <w:t xml:space="preserve">4,147</w:t>
      </w:r>
    </w:p>
    <w:p>
      <w:pPr>
        <w:pStyle w:val="BodyText"/>
      </w:pPr>
      <w:r>
        <w:t xml:space="preserve">1,459</w:t>
      </w:r>
    </w:p>
    <w:p>
      <w:pPr>
        <w:pStyle w:val="FirstParagraph"/>
      </w:pPr>
      <w:r>
        <w:t xml:space="preserve">(2,569)</w:t>
      </w:r>
    </w:p>
    <w:p>
      <w:pPr>
        <w:pStyle w:val="BodyText"/>
      </w:pPr>
      <w:r>
        <w:t xml:space="preserve">2,718</w:t>
      </w:r>
    </w:p>
    <w:p>
      <w:pPr>
        <w:pStyle w:val="BodyText"/>
      </w:pPr>
      <w:r>
        <w:t xml:space="preserve">–</w:t>
      </w:r>
    </w:p>
    <w:p>
      <w:pPr>
        <w:pStyle w:val="BodyText"/>
      </w:pPr>
      <w:r>
        <w:t xml:space="preserve">–</w:t>
      </w:r>
    </w:p>
    <w:p>
      <w:pPr>
        <w:pStyle w:val="BodyText"/>
      </w:pPr>
      <w:r>
        <w:t xml:space="preserve">729</w:t>
      </w:r>
    </w:p>
    <w:p>
      <w:pPr>
        <w:pStyle w:val="BodyText"/>
      </w:pPr>
      <w:r>
        <w:t xml:space="preserve">33,744</w:t>
      </w:r>
    </w:p>
    <w:p>
      <w:pPr>
        <w:pStyle w:val="FirstParagraph"/>
      </w:pPr>
      <w:r>
        <w:t xml:space="preserve">–</w:t>
      </w:r>
    </w:p>
    <w:p>
      <w:pPr>
        <w:pStyle w:val="FirstParagraph"/>
      </w:pPr>
      <w:r>
        <w:t xml:space="preserve">2,765</w:t>
      </w:r>
    </w:p>
    <w:p>
      <w:pPr>
        <w:pStyle w:val="BodyText"/>
      </w:pPr>
      <w:r>
        <w:t xml:space="preserve">4,176</w:t>
      </w:r>
    </w:p>
    <w:p>
      <w:pPr>
        <w:pStyle w:val="BodyText"/>
      </w:pPr>
      <w:r>
        <w:t xml:space="preserve">533</w:t>
      </w:r>
    </w:p>
    <w:p>
      <w:pPr>
        <w:pStyle w:val="BodyText"/>
      </w:pPr>
      <w:r>
        <w:t xml:space="preserve">16</w:t>
      </w:r>
    </w:p>
    <w:p>
      <w:pPr>
        <w:pStyle w:val="FirstParagraph"/>
      </w:pPr>
      <w:r>
        <w:t xml:space="preserve">7,243</w:t>
      </w:r>
    </w:p>
    <w:p>
      <w:pPr>
        <w:pStyle w:val="BodyText"/>
      </w:pPr>
      <w:r>
        <w:t xml:space="preserve">(1,868)</w:t>
      </w:r>
    </w:p>
    <w:p>
      <w:pPr>
        <w:pStyle w:val="BodyText"/>
      </w:pPr>
      <w:r>
        <w:t xml:space="preserve">(1,013)</w:t>
      </w:r>
    </w:p>
    <w:p>
      <w:pPr>
        <w:pStyle w:val="FirstParagraph"/>
      </w:pPr>
      <w:r>
        <w:t xml:space="preserve">4,032</w:t>
      </w:r>
    </w:p>
    <w:p>
      <w:pPr>
        <w:pStyle w:val="BodyText"/>
      </w:pPr>
      <w:r>
        <w:t xml:space="preserve">(1,997)</w:t>
      </w:r>
    </w:p>
    <w:p>
      <w:pPr>
        <w:pStyle w:val="BodyText"/>
      </w:pPr>
      <w:r>
        <w:t xml:space="preserve">81</w:t>
      </w:r>
    </w:p>
    <w:p>
      <w:pPr>
        <w:pStyle w:val="BodyText"/>
      </w:pPr>
      <w:r>
        <w:t xml:space="preserve">1,164</w:t>
      </w:r>
    </w:p>
    <w:p>
      <w:pPr>
        <w:pStyle w:val="BodyText"/>
      </w:pPr>
      <w:r>
        <w:t xml:space="preserve">65,247</w:t>
      </w:r>
    </w:p>
    <w:p>
      <w:pPr>
        <w:pStyle w:val="BodyText"/>
      </w:pPr>
      <w:r>
        <w:rPr>
          <w:rFonts w:hint="eastAsia"/>
        </w:rPr>
        <w:t xml:space="preserve">內涵價值</w:t>
      </w:r>
    </w:p>
    <w:p>
      <w:pPr>
        <w:pStyle w:val="BodyText"/>
      </w:pPr>
      <w:r>
        <w:t xml:space="preserve">54,517</w:t>
      </w:r>
    </w:p>
    <w:p>
      <w:pPr>
        <w:pStyle w:val="BodyText"/>
      </w:pPr>
      <w:r>
        <w:t xml:space="preserve">(1,454)</w:t>
      </w:r>
    </w:p>
    <w:p>
      <w:pPr>
        <w:pStyle w:val="BodyText"/>
      </w:pPr>
      <w:r>
        <w:t xml:space="preserve">1,207</w:t>
      </w:r>
    </w:p>
    <w:p>
      <w:pPr>
        <w:pStyle w:val="FirstParagraph"/>
      </w:pPr>
      <w:r>
        <w:t xml:space="preserve">4,154</w:t>
      </w:r>
    </w:p>
    <w:p>
      <w:pPr>
        <w:pStyle w:val="BodyText"/>
      </w:pPr>
      <w:r>
        <w:t xml:space="preserve">4,105</w:t>
      </w:r>
    </w:p>
    <w:p>
      <w:pPr>
        <w:pStyle w:val="BodyText"/>
      </w:pPr>
      <w:r>
        <w:t xml:space="preserve">600</w:t>
      </w:r>
    </w:p>
    <w:p>
      <w:pPr>
        <w:pStyle w:val="BodyText"/>
      </w:pPr>
      <w:r>
        <w:t xml:space="preserve">34</w:t>
      </w:r>
    </w:p>
    <w:p>
      <w:pPr>
        <w:pStyle w:val="FirstParagraph"/>
      </w:pPr>
      <w:r>
        <w:t xml:space="preserve">8,685</w:t>
      </w:r>
    </w:p>
    <w:p>
      <w:pPr>
        <w:pStyle w:val="BodyText"/>
      </w:pPr>
      <w:r>
        <w:t xml:space="preserve">517</w:t>
      </w:r>
    </w:p>
    <w:p>
      <w:pPr>
        <w:pStyle w:val="FirstParagraph"/>
      </w:pPr>
      <w:r>
        <w:t xml:space="preserve">8,870</w:t>
      </w:r>
    </w:p>
    <w:p>
      <w:pPr>
        <w:pStyle w:val="BodyText"/>
      </w:pPr>
      <w:r>
        <w:t xml:space="preserve">(1,961)</w:t>
      </w:r>
    </w:p>
    <w:p>
      <w:pPr>
        <w:pStyle w:val="BodyText"/>
      </w:pPr>
      <w:r>
        <w:t xml:space="preserve">136</w:t>
      </w:r>
    </w:p>
    <w:p>
      <w:pPr>
        <w:pStyle w:val="BodyText"/>
      </w:pPr>
      <w:r>
        <w:t xml:space="preserve">670</w:t>
      </w:r>
    </w:p>
    <w:p>
      <w:pPr>
        <w:pStyle w:val="BodyText"/>
      </w:pPr>
      <w:r>
        <w:t xml:space="preserve">61,985</w:t>
      </w:r>
    </w:p>
    <w:p>
      <w:pPr>
        <w:pStyle w:val="BodyText"/>
      </w:pPr>
      <w:r>
        <w:rPr>
          <w:rFonts w:hint="eastAsia"/>
        </w:rPr>
        <w:t xml:space="preserve">附註：</w:t>
      </w:r>
      <w:r>
        <w:br/>
      </w:r>
      <w:r>
        <w:t xml:space="preserve">(1) The Colonial Mutual Life Assurance Society </w:t>
      </w:r>
      <w:r>
        <w:rPr>
          <w:rFonts w:hint="eastAsia"/>
        </w:rPr>
        <w:t xml:space="preserve">Limited（CMLA）的已收購內涵價值乃按2019年11月1日的金額計算，此已扣除相關的再保險協</w:t>
      </w:r>
    </w:p>
    <w:p>
      <w:pPr>
        <w:pStyle w:val="BodyText"/>
      </w:pPr>
      <w:r>
        <w:rPr>
          <w:rFonts w:hint="eastAsia"/>
        </w:rPr>
        <w:t xml:space="preserve">議。</w:t>
      </w:r>
    </w:p>
    <w:p>
      <w:pPr>
        <w:pStyle w:val="BodyText"/>
      </w:pPr>
      <w:r>
        <w:t xml:space="preserve">021</w:t>
      </w:r>
    </w:p>
    <w:p>
      <w:pPr>
        <w:pStyle w:val="BodyText"/>
      </w:pPr>
      <w:r>
        <w:rPr>
          <w:rFonts w:hint="eastAsia"/>
        </w:rPr>
        <w:t xml:space="preserve">概覽財務及營運回顧企業管治其他資料財務報表2020年報</w:t>
      </w:r>
    </w:p>
    <w:p>
      <w:pPr>
        <w:pStyle w:val="BodyText"/>
      </w:pPr>
      <w:r>
        <w:rPr>
          <w:rFonts w:hint="eastAsia"/>
        </w:rPr>
        <w:t xml:space="preserve">內涵價值權益</w:t>
      </w:r>
    </w:p>
    <w:p>
      <w:pPr>
        <w:pStyle w:val="BodyText"/>
      </w:pPr>
      <w:r>
        <w:rPr>
          <w:rFonts w:hint="eastAsia"/>
        </w:rPr>
        <w:t xml:space="preserve">百萬美元，除另有說明外</w:t>
      </w:r>
    </w:p>
    <w:p>
      <w:pPr>
        <w:pStyle w:val="BodyText"/>
      </w:pPr>
      <w:r>
        <w:rPr>
          <w:rFonts w:hint="eastAsia"/>
        </w:rPr>
        <w:t xml:space="preserve">內涵價值</w:t>
      </w:r>
    </w:p>
    <w:p>
      <w:pPr>
        <w:pStyle w:val="BodyText"/>
      </w:pPr>
      <w:r>
        <w:rPr>
          <w:rFonts w:hint="eastAsia"/>
        </w:rPr>
        <w:t xml:space="preserve">商譽及其他無形資產(1)</w:t>
      </w:r>
    </w:p>
    <w:p>
      <w:pPr>
        <w:pStyle w:val="BodyText"/>
      </w:pPr>
      <w:r>
        <w:rPr>
          <w:rFonts w:hint="eastAsia"/>
        </w:rPr>
        <w:t xml:space="preserve">內涵價值權益</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65,247</w:t>
      </w:r>
    </w:p>
    <w:p>
      <w:pPr>
        <w:pStyle w:val="BodyText"/>
      </w:pPr>
      <w:r>
        <w:t xml:space="preserve">1,938</w:t>
      </w:r>
    </w:p>
    <w:p>
      <w:pPr>
        <w:pStyle w:val="BodyText"/>
      </w:pPr>
      <w:r>
        <w:t xml:space="preserve">67,185</w:t>
      </w:r>
    </w:p>
    <w:p>
      <w:pPr>
        <w:pStyle w:val="BodyText"/>
      </w:pPr>
      <w:r>
        <w:t xml:space="preserve">61,985</w:t>
      </w:r>
    </w:p>
    <w:p>
      <w:pPr>
        <w:pStyle w:val="BodyText"/>
      </w:pPr>
      <w:r>
        <w:t xml:space="preserve">1,920</w:t>
      </w:r>
    </w:p>
    <w:p>
      <w:pPr>
        <w:pStyle w:val="BodyText"/>
      </w:pPr>
      <w:r>
        <w:t xml:space="preserve">63,905</w:t>
      </w:r>
    </w:p>
    <w:p>
      <w:pPr>
        <w:pStyle w:val="BodyText"/>
      </w:pPr>
      <w:r>
        <w:rPr>
          <w:rFonts w:hint="eastAsia"/>
        </w:rPr>
        <w:t xml:space="preserve">附註：</w:t>
      </w:r>
      <w:r>
        <w:br/>
      </w:r>
      <w:r>
        <w:t xml:space="preserve">(1) </w:t>
      </w:r>
      <w:r>
        <w:rPr>
          <w:rFonts w:hint="eastAsia"/>
        </w:rPr>
        <w:t xml:space="preserve">根據合併財務報表呈列，已扣除稅項、分紅基金應佔金額及非控股權益。</w:t>
      </w:r>
    </w:p>
    <w:p>
      <w:pPr>
        <w:pStyle w:val="BodyText"/>
      </w:pPr>
      <w:r>
        <w:rPr>
          <w:rFonts w:hint="eastAsia"/>
        </w:rPr>
        <w:t xml:space="preserve">內涵價值及新業務價值敏感度</w:t>
      </w:r>
    </w:p>
    <w:p>
      <w:pPr>
        <w:pStyle w:val="BodyText"/>
      </w:pPr>
      <w:r>
        <w:rPr>
          <w:rFonts w:hint="eastAsia"/>
        </w:rPr>
        <w:t xml:space="preserve">內涵價值及新業務價值對中間假設變動（源於股本價格及利率變動）的敏感度（包括管理層採取的行動的影響）列</w:t>
      </w:r>
    </w:p>
    <w:p>
      <w:pPr>
        <w:pStyle w:val="BodyText"/>
      </w:pPr>
      <w:r>
        <w:rPr>
          <w:rFonts w:hint="eastAsia"/>
        </w:rPr>
        <w:t xml:space="preserve">示如下。利率敏感度採用對現時政府債券收益率、我們對投資回報的長期假設及風險貼現率變動作出50個基點調</w:t>
      </w:r>
    </w:p>
    <w:p>
      <w:pPr>
        <w:pStyle w:val="BodyText"/>
      </w:pPr>
      <w:r>
        <w:rPr>
          <w:rFonts w:hint="eastAsia"/>
        </w:rPr>
        <w:t xml:space="preserve">整。</w:t>
      </w:r>
    </w:p>
    <w:p>
      <w:pPr>
        <w:pStyle w:val="BodyText"/>
      </w:pPr>
      <w:r>
        <w:rPr>
          <w:rFonts w:hint="eastAsia"/>
        </w:rPr>
        <w:t xml:space="preserve">百萬美元，除另有說明外</w:t>
      </w:r>
    </w:p>
    <w:p>
      <w:pPr>
        <w:pStyle w:val="BodyText"/>
      </w:pPr>
      <w:r>
        <w:rPr>
          <w:rFonts w:hint="eastAsia"/>
        </w:rPr>
        <w:t xml:space="preserve">中間價值</w:t>
      </w:r>
    </w:p>
    <w:p>
      <w:pPr>
        <w:pStyle w:val="BodyText"/>
      </w:pPr>
      <w:r>
        <w:rPr>
          <w:rFonts w:hint="eastAsia"/>
        </w:rPr>
        <w:t xml:space="preserve">股本價格變動的影響</w:t>
      </w:r>
    </w:p>
    <w:p>
      <w:pPr>
        <w:pStyle w:val="BodyText"/>
      </w:pPr>
      <w:r>
        <w:rPr>
          <w:rFonts w:hint="eastAsia"/>
        </w:rPr>
        <w:t xml:space="preserve">股本價格上升10%</w:t>
      </w:r>
    </w:p>
    <w:p>
      <w:pPr>
        <w:pStyle w:val="BodyText"/>
      </w:pPr>
      <w:r>
        <w:rPr>
          <w:rFonts w:hint="eastAsia"/>
        </w:rPr>
        <w:t xml:space="preserve">股本價格下跌10%</w:t>
      </w:r>
    </w:p>
    <w:p>
      <w:pPr>
        <w:pStyle w:val="BodyText"/>
      </w:pPr>
      <w:r>
        <w:rPr>
          <w:rFonts w:hint="eastAsia"/>
        </w:rPr>
        <w:t xml:space="preserve">利率變動的影響</w:t>
      </w:r>
    </w:p>
    <w:p>
      <w:pPr>
        <w:pStyle w:val="BodyText"/>
      </w:pPr>
      <w:r>
        <w:rPr>
          <w:rFonts w:hint="eastAsia"/>
        </w:rPr>
        <w:t xml:space="preserve">利率上升50個基點</w:t>
      </w:r>
    </w:p>
    <w:p>
      <w:pPr>
        <w:pStyle w:val="BodyText"/>
      </w:pPr>
      <w:r>
        <w:rPr>
          <w:rFonts w:hint="eastAsia"/>
        </w:rPr>
        <w:t xml:space="preserve">利率下降50個基點</w:t>
      </w:r>
    </w:p>
    <w:p>
      <w:pPr>
        <w:pStyle w:val="BodyText"/>
      </w:pPr>
      <w:r>
        <w:rPr>
          <w:rFonts w:hint="eastAsia"/>
        </w:rPr>
        <w:t xml:space="preserve">詳細資料載列於內涵價值補充資料第3節。</w:t>
      </w:r>
    </w:p>
    <w:p>
      <w:pPr>
        <w:pStyle w:val="BodyText"/>
      </w:pPr>
      <w:r>
        <w:rPr>
          <w:rFonts w:hint="eastAsia"/>
        </w:rPr>
        <w:t xml:space="preserve">國際財務報告準則溢利</w:t>
      </w:r>
    </w:p>
    <w:p>
      <w:pPr>
        <w:pStyle w:val="BodyText"/>
      </w:pPr>
      <w:r>
        <w:rPr>
          <w:rFonts w:hint="eastAsia"/>
        </w:rPr>
        <w:t xml:space="preserve">按分部劃分的稅後營運溢利(1)</w:t>
      </w:r>
    </w:p>
    <w:p>
      <w:pPr>
        <w:pStyle w:val="BodyText"/>
      </w:pPr>
      <w:r>
        <w:rPr>
          <w:rFonts w:hint="eastAsia"/>
        </w:rPr>
        <w:t xml:space="preserve">百萬美元，除另有說明外</w:t>
      </w:r>
    </w:p>
    <w:p>
      <w:pPr>
        <w:pStyle w:val="BodyText"/>
      </w:pPr>
      <w:r>
        <w:rPr>
          <w:rFonts w:hint="eastAsia"/>
        </w:rPr>
        <w:t xml:space="preserve">香港(2)</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其他市場(3)</w:t>
      </w:r>
    </w:p>
    <w:p>
      <w:pPr>
        <w:pStyle w:val="BodyText"/>
      </w:pPr>
      <w:r>
        <w:rPr>
          <w:rFonts w:hint="eastAsia"/>
        </w:rPr>
        <w:t xml:space="preserve">集團企業中心(3)</w:t>
      </w:r>
    </w:p>
    <w:p>
      <w:pPr>
        <w:pStyle w:val="BodyText"/>
      </w:pPr>
      <w:r>
        <w:rPr>
          <w:rFonts w:hint="eastAsia"/>
        </w:rPr>
        <w:t xml:space="preserve">總計</w:t>
      </w:r>
    </w:p>
    <w:p>
      <w:pPr>
        <w:pStyle w:val="BodyText"/>
      </w:pPr>
      <w:r>
        <w:rPr>
          <w:rFonts w:hint="eastAsia"/>
        </w:rPr>
        <w:t xml:space="preserve">於2020年</w:t>
      </w:r>
      <w:r>
        <w:br/>
      </w:r>
      <w:r>
        <w:rPr>
          <w:rFonts w:hint="eastAsia"/>
        </w:rPr>
        <w:t xml:space="preserve">12月31日</w:t>
      </w:r>
      <w:r>
        <w:br/>
      </w:r>
      <w:r>
        <w:rPr>
          <w:rFonts w:hint="eastAsia"/>
        </w:rPr>
        <w:t xml:space="preserve">內涵價值</w:t>
      </w:r>
    </w:p>
    <w:p>
      <w:pPr>
        <w:pStyle w:val="BodyText"/>
      </w:pPr>
      <w:r>
        <w:t xml:space="preserve">65,247</w:t>
      </w:r>
    </w:p>
    <w:p>
      <w:pPr>
        <w:pStyle w:val="BodyText"/>
      </w:pPr>
      <w:r>
        <w:rPr>
          <w:rFonts w:hint="eastAsia"/>
        </w:rPr>
        <w:t xml:space="preserve">2020年</w:t>
      </w:r>
      <w:r>
        <w:br/>
      </w:r>
      <w:r>
        <w:rPr>
          <w:rFonts w:hint="eastAsia"/>
        </w:rPr>
        <w:t xml:space="preserve">新業務價值</w:t>
      </w:r>
    </w:p>
    <w:p>
      <w:pPr>
        <w:pStyle w:val="BodyText"/>
      </w:pPr>
      <w:r>
        <w:t xml:space="preserve">2,765</w:t>
      </w:r>
    </w:p>
    <w:p>
      <w:pPr>
        <w:pStyle w:val="BodyText"/>
      </w:pPr>
      <w:r>
        <w:rPr>
          <w:rFonts w:hint="eastAsia"/>
        </w:rPr>
        <w:t xml:space="preserve">於2019年</w:t>
      </w:r>
      <w:r>
        <w:br/>
      </w:r>
      <w:r>
        <w:rPr>
          <w:rFonts w:hint="eastAsia"/>
        </w:rPr>
        <w:t xml:space="preserve">12月31日</w:t>
      </w:r>
      <w:r>
        <w:br/>
      </w:r>
      <w:r>
        <w:rPr>
          <w:rFonts w:hint="eastAsia"/>
        </w:rPr>
        <w:t xml:space="preserve">內涵價值</w:t>
      </w:r>
    </w:p>
    <w:p>
      <w:pPr>
        <w:pStyle w:val="BodyText"/>
      </w:pPr>
      <w:r>
        <w:t xml:space="preserve">61,985</w:t>
      </w:r>
    </w:p>
    <w:p>
      <w:pPr>
        <w:pStyle w:val="BodyText"/>
      </w:pPr>
      <w:r>
        <w:rPr>
          <w:rFonts w:hint="eastAsia"/>
        </w:rPr>
        <w:t xml:space="preserve">2019年</w:t>
      </w:r>
      <w:r>
        <w:br/>
      </w:r>
      <w:r>
        <w:rPr>
          <w:rFonts w:hint="eastAsia"/>
        </w:rPr>
        <w:t xml:space="preserve">新業務價值</w:t>
      </w:r>
    </w:p>
    <w:p>
      <w:pPr>
        <w:pStyle w:val="BodyText"/>
      </w:pPr>
      <w:r>
        <w:t xml:space="preserve">4,154</w:t>
      </w:r>
    </w:p>
    <w:p>
      <w:pPr>
        <w:pStyle w:val="BodyText"/>
      </w:pPr>
      <w:r>
        <w:t xml:space="preserve">1,099</w:t>
      </w:r>
    </w:p>
    <w:p>
      <w:pPr>
        <w:pStyle w:val="BodyText"/>
      </w:pPr>
      <w:r>
        <w:t xml:space="preserve">(1,095)</w:t>
      </w:r>
    </w:p>
    <w:p>
      <w:pPr>
        <w:pStyle w:val="BodyText"/>
      </w:pPr>
      <w:r>
        <w:t xml:space="preserve">652</w:t>
      </w:r>
    </w:p>
    <w:p>
      <w:pPr>
        <w:pStyle w:val="BodyText"/>
      </w:pPr>
      <w:r>
        <w:t xml:space="preserve">(1,294)</w:t>
      </w:r>
    </w:p>
    <w:p>
      <w:pPr>
        <w:pStyle w:val="BodyText"/>
      </w:pPr>
      <w:r>
        <w:rPr>
          <w:rFonts w:hint="eastAsia"/>
        </w:rPr>
        <w:t xml:space="preserve">不適用</w:t>
      </w:r>
    </w:p>
    <w:p>
      <w:pPr>
        <w:pStyle w:val="BodyText"/>
      </w:pPr>
      <w:r>
        <w:rPr>
          <w:rFonts w:hint="eastAsia"/>
        </w:rPr>
        <w:t xml:space="preserve">不適用</w:t>
      </w:r>
    </w:p>
    <w:p>
      <w:pPr>
        <w:pStyle w:val="BodyText"/>
      </w:pPr>
      <w:r>
        <w:t xml:space="preserve">193</w:t>
      </w:r>
    </w:p>
    <w:p>
      <w:pPr>
        <w:pStyle w:val="FirstParagraph"/>
      </w:pPr>
      <w:r>
        <w:t xml:space="preserve">968</w:t>
      </w:r>
    </w:p>
    <w:p>
      <w:pPr>
        <w:pStyle w:val="FirstParagraph"/>
      </w:pPr>
      <w:r>
        <w:t xml:space="preserve">719</w:t>
      </w:r>
    </w:p>
    <w:p>
      <w:pPr>
        <w:pStyle w:val="FirstParagraph"/>
      </w:pPr>
      <w:r>
        <w:rPr>
          <w:rFonts w:hint="eastAsia"/>
        </w:rPr>
        <w:t xml:space="preserve">不適用</w:t>
      </w:r>
    </w:p>
    <w:p>
      <w:pPr>
        <w:pStyle w:val="BodyText"/>
      </w:pPr>
      <w:r>
        <w:rPr>
          <w:rFonts w:hint="eastAsia"/>
        </w:rPr>
        <w:t xml:space="preserve">不適用</w:t>
      </w:r>
    </w:p>
    <w:p>
      <w:pPr>
        <w:pStyle w:val="BodyText"/>
      </w:pPr>
      <w:r>
        <w:t xml:space="preserve">151</w:t>
      </w:r>
    </w:p>
    <w:p>
      <w:pPr>
        <w:pStyle w:val="FirstParagraph"/>
      </w:pPr>
      <w:r>
        <w:rPr>
          <w:rFonts w:hint="eastAsia"/>
        </w:rPr>
        <w:t xml:space="preserve">2020年</w:t>
      </w:r>
    </w:p>
    <w:p>
      <w:pPr>
        <w:pStyle w:val="BodyText"/>
      </w:pPr>
      <w:r>
        <w:t xml:space="preserve">2,059</w:t>
      </w:r>
    </w:p>
    <w:p>
      <w:pPr>
        <w:pStyle w:val="BodyText"/>
      </w:pPr>
      <w:r>
        <w:t xml:space="preserve">987</w:t>
      </w:r>
    </w:p>
    <w:p>
      <w:pPr>
        <w:pStyle w:val="BodyText"/>
      </w:pPr>
      <w:r>
        <w:t xml:space="preserve">621</w:t>
      </w:r>
    </w:p>
    <w:p>
      <w:pPr>
        <w:pStyle w:val="BodyText"/>
      </w:pPr>
      <w:r>
        <w:t xml:space="preserve">326</w:t>
      </w:r>
    </w:p>
    <w:p>
      <w:pPr>
        <w:pStyle w:val="BodyText"/>
      </w:pPr>
      <w:r>
        <w:t xml:space="preserve">1,220</w:t>
      </w:r>
    </w:p>
    <w:p>
      <w:pPr>
        <w:pStyle w:val="BodyText"/>
      </w:pPr>
      <w:r>
        <w:t xml:space="preserve">687</w:t>
      </w:r>
    </w:p>
    <w:p>
      <w:pPr>
        <w:pStyle w:val="BodyText"/>
      </w:pPr>
      <w:r>
        <w:t xml:space="preserve">42</w:t>
      </w:r>
    </w:p>
    <w:p>
      <w:pPr>
        <w:pStyle w:val="BodyText"/>
      </w:pPr>
      <w:r>
        <w:t xml:space="preserve">5,942</w:t>
      </w:r>
    </w:p>
    <w:p>
      <w:pPr>
        <w:pStyle w:val="BodyText"/>
      </w:pPr>
      <w:r>
        <w:rPr>
          <w:rFonts w:hint="eastAsia"/>
        </w:rPr>
        <w:t xml:space="preserve">2019年</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1,879</w:t>
      </w:r>
    </w:p>
    <w:p>
      <w:pPr>
        <w:pStyle w:val="BodyText"/>
      </w:pPr>
      <w:r>
        <w:t xml:space="preserve">1,064</w:t>
      </w:r>
    </w:p>
    <w:p>
      <w:pPr>
        <w:pStyle w:val="BodyText"/>
      </w:pPr>
      <w:r>
        <w:t xml:space="preserve">583</w:t>
      </w:r>
    </w:p>
    <w:p>
      <w:pPr>
        <w:pStyle w:val="BodyText"/>
      </w:pPr>
      <w:r>
        <w:t xml:space="preserve">333</w:t>
      </w:r>
    </w:p>
    <w:p>
      <w:pPr>
        <w:pStyle w:val="BodyText"/>
      </w:pPr>
      <w:r>
        <w:t xml:space="preserve">1,061</w:t>
      </w:r>
    </w:p>
    <w:p>
      <w:pPr>
        <w:pStyle w:val="BodyText"/>
      </w:pPr>
      <w:r>
        <w:t xml:space="preserve">772</w:t>
      </w:r>
    </w:p>
    <w:p>
      <w:pPr>
        <w:pStyle w:val="FirstParagraph"/>
      </w:pPr>
      <w:r>
        <w:t xml:space="preserve">5,689</w:t>
      </w:r>
    </w:p>
    <w:p>
      <w:pPr>
        <w:pStyle w:val="BodyText"/>
      </w:pPr>
      <w:r>
        <w:t xml:space="preserve">10%</w:t>
      </w:r>
    </w:p>
    <w:p>
      <w:pPr>
        <w:pStyle w:val="BodyText"/>
      </w:pPr>
      <w:r>
        <w:t xml:space="preserve">(7)%</w:t>
      </w:r>
    </w:p>
    <w:p>
      <w:pPr>
        <w:pStyle w:val="BodyText"/>
      </w:pPr>
      <w:r>
        <w:t xml:space="preserve">8%</w:t>
      </w:r>
    </w:p>
    <w:p>
      <w:pPr>
        <w:pStyle w:val="BodyText"/>
      </w:pPr>
      <w:r>
        <w:t xml:space="preserve">(2)%</w:t>
      </w:r>
    </w:p>
    <w:p>
      <w:pPr>
        <w:pStyle w:val="BodyText"/>
      </w:pPr>
      <w:r>
        <w:t xml:space="preserve">14%</w:t>
      </w:r>
    </w:p>
    <w:p>
      <w:pPr>
        <w:pStyle w:val="BodyText"/>
      </w:pPr>
      <w:r>
        <w:t xml:space="preserve">(11)%</w:t>
      </w:r>
    </w:p>
    <w:p>
      <w:pPr>
        <w:pStyle w:val="BodyText"/>
      </w:pPr>
      <w:r>
        <w:rPr>
          <w:rFonts w:hint="eastAsia"/>
        </w:rPr>
        <w:t xml:space="preserve">無意義</w:t>
      </w:r>
    </w:p>
    <w:p>
      <w:pPr>
        <w:pStyle w:val="BodyText"/>
      </w:pPr>
      <w:r>
        <w:t xml:space="preserve">5%</w:t>
      </w:r>
    </w:p>
    <w:p>
      <w:pPr>
        <w:pStyle w:val="BodyText"/>
      </w:pPr>
      <w:r>
        <w:t xml:space="preserve">10%</w:t>
      </w:r>
    </w:p>
    <w:p>
      <w:pPr>
        <w:pStyle w:val="BodyText"/>
      </w:pPr>
      <w:r>
        <w:t xml:space="preserve">(7)%</w:t>
      </w:r>
    </w:p>
    <w:p>
      <w:pPr>
        <w:pStyle w:val="BodyText"/>
      </w:pPr>
      <w:r>
        <w:t xml:space="preserve">7%</w:t>
      </w:r>
    </w:p>
    <w:p>
      <w:pPr>
        <w:pStyle w:val="BodyText"/>
      </w:pPr>
      <w:r>
        <w:t xml:space="preserve">(2)%</w:t>
      </w:r>
    </w:p>
    <w:p>
      <w:pPr>
        <w:pStyle w:val="BodyText"/>
      </w:pPr>
      <w:r>
        <w:t xml:space="preserve">15%</w:t>
      </w:r>
    </w:p>
    <w:p>
      <w:pPr>
        <w:pStyle w:val="BodyText"/>
      </w:pPr>
      <w:r>
        <w:t xml:space="preserve">(11)%</w:t>
      </w:r>
    </w:p>
    <w:p>
      <w:pPr>
        <w:pStyle w:val="BodyText"/>
      </w:pPr>
      <w:r>
        <w:rPr>
          <w:rFonts w:hint="eastAsia"/>
        </w:rPr>
        <w:t xml:space="preserve">無意義</w:t>
      </w:r>
    </w:p>
    <w:p>
      <w:pPr>
        <w:pStyle w:val="BodyText"/>
      </w:pPr>
      <w:r>
        <w:t xml:space="preserve">4%</w:t>
      </w:r>
    </w:p>
    <w:p>
      <w:pPr>
        <w:pStyle w:val="BodyText"/>
      </w:pPr>
      <w:r>
        <w:rPr>
          <w:rFonts w:hint="eastAsia"/>
        </w:rPr>
        <w:t xml:space="preserve">附註：</w:t>
      </w:r>
      <w:r>
        <w:br/>
      </w:r>
      <w:r>
        <w:t xml:space="preserve">(1) </w:t>
      </w:r>
      <w:r>
        <w:rPr>
          <w:rFonts w:hint="eastAsia"/>
        </w:rPr>
        <w:t xml:space="preserve">僅為本公司股東應佔權益，不包括非控股權益。</w:t>
      </w:r>
    </w:p>
    <w:p>
      <w:pPr>
        <w:numPr>
          <w:ilvl w:val="0"/>
          <w:numId w:val="1032"/>
        </w:numPr>
      </w:pPr>
      <w:r>
        <w:rPr>
          <w:rFonts w:hint="eastAsia"/>
        </w:rPr>
        <w:t xml:space="preserve">香港分紅業務的會計政策變更後。比較資料已予調整，以與當前期間的呈列相符。詳細資料載列於合併財務報表附註48。</w:t>
      </w:r>
    </w:p>
    <w:p>
      <w:pPr>
        <w:numPr>
          <w:ilvl w:val="0"/>
          <w:numId w:val="1032"/>
        </w:numPr>
      </w:pPr>
      <w:r>
        <w:rPr>
          <w:rFonts w:hint="eastAsia"/>
        </w:rPr>
        <w:t xml:space="preserve">於2020年之前，本集團在集團企業中心呈列預扣稅支出。自2020年起，本集團加強分部資料披露，在發生預扣稅支出的經營分部中呈列預扣</w:t>
      </w:r>
    </w:p>
    <w:p>
      <w:pPr>
        <w:pStyle w:val="FirstParagraph"/>
      </w:pPr>
      <w:r>
        <w:rPr>
          <w:rFonts w:hint="eastAsia"/>
        </w:rPr>
        <w:t xml:space="preserve">稅支出。比較資料已予調整，以與當前期間的呈列相符。</w:t>
      </w:r>
    </w:p>
    <w:p>
      <w:pPr>
        <w:pStyle w:val="BodyText"/>
      </w:pPr>
      <w:r>
        <w:t xml:space="preserve">022</w:t>
      </w:r>
    </w:p>
    <w:p>
      <w:pPr>
        <w:pStyle w:val="BodyText"/>
      </w:pPr>
      <w:r>
        <w:rPr>
          <w:rFonts w:hint="eastAsia"/>
        </w:rPr>
        <w:t xml:space="preserve">財務及營運回顧友邦保險控股有限公司集團首席財務總監回顧</w:t>
      </w:r>
    </w:p>
    <w:p>
      <w:pPr>
        <w:pStyle w:val="BodyText"/>
      </w:pPr>
      <w:r>
        <w:rPr>
          <w:rFonts w:hint="eastAsia"/>
        </w:rPr>
        <w:t xml:space="preserve">我們的高質素、經常性盈利來源以及對有效保單組合的積極管理，帶動稅後營運溢利增長了5%至59.42億美元，</w:t>
      </w:r>
    </w:p>
    <w:p>
      <w:pPr>
        <w:pStyle w:val="BodyText"/>
      </w:pPr>
      <w:r>
        <w:rPr>
          <w:rFonts w:hint="eastAsia"/>
        </w:rPr>
        <w:t xml:space="preserve">並使營運溢利率穩定在16.9%。所收取的續保保費增加了10%，經常性保費總額佔2020年所收取保費的90%以</w:t>
      </w:r>
    </w:p>
    <w:p>
      <w:pPr>
        <w:pStyle w:val="BodyText"/>
      </w:pPr>
      <w:r>
        <w:rPr>
          <w:rFonts w:hint="eastAsia"/>
        </w:rPr>
        <w:t xml:space="preserve">上。稅後營運溢利增長受益於全年顯著的正面理賠經驗，其抵銷了新固定收入投資的收益率下跌及假設長期股權</w:t>
      </w:r>
    </w:p>
    <w:p>
      <w:pPr>
        <w:pStyle w:val="BodyText"/>
      </w:pPr>
      <w:r>
        <w:rPr>
          <w:rFonts w:hint="eastAsia"/>
        </w:rPr>
        <w:t xml:space="preserve">投資回報減少的影響。一如預期，上半年所述的異常正面醫療理賠經驗並未在下半年再次發生，但我們繼續看到</w:t>
      </w:r>
    </w:p>
    <w:p>
      <w:pPr>
        <w:pStyle w:val="BodyText"/>
      </w:pPr>
      <w:r>
        <w:rPr>
          <w:rFonts w:hint="eastAsia"/>
        </w:rPr>
        <w:t xml:space="preserve">此來源對稅後營運溢利增長的正面貢獻。在友邦保險泰國業務失效經驗恢復正常的情況下，下半年的續保率有所</w:t>
      </w:r>
    </w:p>
    <w:p>
      <w:pPr>
        <w:pStyle w:val="BodyText"/>
      </w:pPr>
      <w:r>
        <w:rPr>
          <w:rFonts w:hint="eastAsia"/>
        </w:rPr>
        <w:t xml:space="preserve">改善，而本集團的續保率為95%。</w:t>
      </w:r>
    </w:p>
    <w:p>
      <w:pPr>
        <w:pStyle w:val="BodyText"/>
      </w:pPr>
      <w:r>
        <w:rPr>
          <w:rFonts w:hint="eastAsia"/>
        </w:rPr>
        <w:t xml:space="preserve">中國內地錄得強勁增長，全年稅後營運溢利增加14%，主要是由於我們不斷增長的有效保單組合及有利的理賠經</w:t>
      </w:r>
    </w:p>
    <w:p>
      <w:pPr>
        <w:pStyle w:val="BodyText"/>
      </w:pPr>
      <w:r>
        <w:rPr>
          <w:rFonts w:hint="eastAsia"/>
        </w:rPr>
        <w:t xml:space="preserve">驗。儘管上半年顯著的正面理賠經驗在下半年趨於正常化，但全年總體理賠經驗仍保持正面。</w:t>
      </w:r>
    </w:p>
    <w:p>
      <w:pPr>
        <w:pStyle w:val="BodyText"/>
      </w:pPr>
      <w:r>
        <w:rPr>
          <w:rFonts w:hint="eastAsia"/>
        </w:rPr>
        <w:t xml:space="preserve">香港的稅後營運溢利增加10%，是由於相關業務增長及有利的理賠經驗大幅抵銷了債券收益率下跌造成的投資收</w:t>
      </w:r>
    </w:p>
    <w:p>
      <w:pPr>
        <w:pStyle w:val="BodyText"/>
      </w:pPr>
      <w:r>
        <w:rPr>
          <w:rFonts w:hint="eastAsia"/>
        </w:rPr>
        <w:t xml:space="preserve">入減少及自2019年末起長期投資回報假設下降所造成的負面影響。</w:t>
      </w:r>
    </w:p>
    <w:p>
      <w:pPr>
        <w:pStyle w:val="BodyText"/>
      </w:pPr>
      <w:r>
        <w:rPr>
          <w:rFonts w:hint="eastAsia"/>
        </w:rPr>
        <w:t xml:space="preserve">泰國的全年稅後營運溢利減少7%。儘管失效經驗在下半年顯著改善，但泰國股市下跌加上長期股權回報假設下</w:t>
      </w:r>
    </w:p>
    <w:p>
      <w:pPr>
        <w:pStyle w:val="BodyText"/>
      </w:pPr>
      <w:r>
        <w:rPr>
          <w:rFonts w:hint="eastAsia"/>
        </w:rPr>
        <w:t xml:space="preserve">降大幅抵銷了正面營運經驗及相關業務增長。</w:t>
      </w:r>
    </w:p>
    <w:p>
      <w:pPr>
        <w:pStyle w:val="BodyText"/>
      </w:pPr>
      <w:r>
        <w:rPr>
          <w:rFonts w:hint="eastAsia"/>
        </w:rPr>
        <w:t xml:space="preserve">新加坡的稅後營運溢利增加8%，受惠於有效保單組合增長與續保率、開支及理賠方面的營運經驗有所改善。</w:t>
      </w:r>
    </w:p>
    <w:p>
      <w:pPr>
        <w:pStyle w:val="BodyText"/>
      </w:pPr>
      <w:r>
        <w:rPr>
          <w:rFonts w:hint="eastAsia"/>
        </w:rPr>
        <w:t xml:space="preserve">馬來西亞的稅後營運溢利大致保持穩定，是由於業務增長及正面理賠經驗被先前所述的就一項旨在識別及支付累</w:t>
      </w:r>
    </w:p>
    <w:p>
      <w:pPr>
        <w:pStyle w:val="BodyText"/>
      </w:pPr>
      <w:r>
        <w:rPr>
          <w:rFonts w:hint="eastAsia"/>
        </w:rPr>
        <w:t xml:space="preserve">計未報告死亡理賠的行業性舉措所準備的一筆一次性撥備所抵銷。撇除該撥備，馬來西亞的稅後營運溢利增加</w:t>
      </w:r>
    </w:p>
    <w:p>
      <w:pPr>
        <w:pStyle w:val="BodyText"/>
      </w:pPr>
      <w:r>
        <w:t xml:space="preserve">8%。</w:t>
      </w:r>
    </w:p>
    <w:p>
      <w:pPr>
        <w:pStyle w:val="BodyText"/>
      </w:pPr>
      <w:r>
        <w:rPr>
          <w:rFonts w:hint="eastAsia"/>
        </w:rPr>
        <w:t xml:space="preserve">其他市場的稅後營運溢利減少11%，其中澳洲的稅後營運溢利比2019年的水平低6,800萬美元，主要是由於較低</w:t>
      </w:r>
    </w:p>
    <w:p>
      <w:pPr>
        <w:pStyle w:val="BodyText"/>
      </w:pPr>
      <w:r>
        <w:rPr>
          <w:rFonts w:hint="eastAsia"/>
        </w:rPr>
        <w:t xml:space="preserve">的傷殘保險保單的收益率。中國台灣及越南的增長大致上被印尼、菲律賓及南韓的稅後營運溢利減少所抵銷。</w:t>
      </w:r>
    </w:p>
    <w:p>
      <w:pPr>
        <w:pStyle w:val="BodyText"/>
      </w:pPr>
      <w:r>
        <w:rPr>
          <w:rFonts w:hint="eastAsia"/>
        </w:rPr>
        <w:t xml:space="preserve">平均股東分配權益增加11%至457億美元，而股東分配權益營運回報為13.0%。</w:t>
      </w:r>
    </w:p>
    <w:p>
      <w:pPr>
        <w:pStyle w:val="BodyText"/>
      </w:pPr>
      <w:r>
        <w:t xml:space="preserve">023</w:t>
      </w:r>
    </w:p>
    <w:p>
      <w:pPr>
        <w:pStyle w:val="BodyText"/>
      </w:pPr>
      <w:r>
        <w:rPr>
          <w:rFonts w:hint="eastAsia"/>
        </w:rPr>
        <w:t xml:space="preserve">概覽財務及營運回顧企業管治其他資料財務報表2020年報</w:t>
      </w:r>
    </w:p>
    <w:p>
      <w:pPr>
        <w:pStyle w:val="BodyText"/>
      </w:pPr>
      <w:r>
        <w:rPr>
          <w:rFonts w:hint="eastAsia"/>
        </w:rPr>
        <w:t xml:space="preserve">按分部劃分的總加權保費收入</w:t>
      </w:r>
    </w:p>
    <w:p>
      <w:pPr>
        <w:pStyle w:val="BodyText"/>
      </w:pPr>
      <w:r>
        <w:rPr>
          <w:rFonts w:hint="eastAsia"/>
        </w:rPr>
        <w:t xml:space="preserve">百萬美元，除另有說明外</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其他市場</w:t>
      </w:r>
    </w:p>
    <w:p>
      <w:pPr>
        <w:pStyle w:val="BodyText"/>
      </w:pPr>
      <w:r>
        <w:rPr>
          <w:rFonts w:hint="eastAsia"/>
        </w:rPr>
        <w:t xml:space="preserve">總計</w:t>
      </w:r>
    </w:p>
    <w:p>
      <w:pPr>
        <w:pStyle w:val="BodyText"/>
      </w:pPr>
      <w:r>
        <w:rPr>
          <w:rFonts w:hint="eastAsia"/>
        </w:rPr>
        <w:t xml:space="preserve">2020年</w:t>
      </w:r>
    </w:p>
    <w:p>
      <w:pPr>
        <w:pStyle w:val="BodyText"/>
      </w:pPr>
      <w:r>
        <w:t xml:space="preserve">13,042</w:t>
      </w:r>
    </w:p>
    <w:p>
      <w:pPr>
        <w:pStyle w:val="BodyText"/>
      </w:pPr>
      <w:r>
        <w:t xml:space="preserve">4,462</w:t>
      </w:r>
    </w:p>
    <w:p>
      <w:pPr>
        <w:pStyle w:val="BodyText"/>
      </w:pPr>
      <w:r>
        <w:t xml:space="preserve">3,088</w:t>
      </w:r>
    </w:p>
    <w:p>
      <w:pPr>
        <w:pStyle w:val="BodyText"/>
      </w:pPr>
      <w:r>
        <w:t xml:space="preserve">2,216</w:t>
      </w:r>
    </w:p>
    <w:p>
      <w:pPr>
        <w:pStyle w:val="BodyText"/>
      </w:pPr>
      <w:r>
        <w:t xml:space="preserve">5,622</w:t>
      </w:r>
    </w:p>
    <w:p>
      <w:pPr>
        <w:pStyle w:val="BodyText"/>
      </w:pPr>
      <w:r>
        <w:t xml:space="preserve">6,978</w:t>
      </w:r>
    </w:p>
    <w:p>
      <w:pPr>
        <w:pStyle w:val="BodyText"/>
      </w:pPr>
      <w:r>
        <w:rPr>
          <w:rFonts w:hint="eastAsia"/>
        </w:rPr>
        <w:t xml:space="preserve">2019年</w:t>
      </w:r>
    </w:p>
    <w:p>
      <w:pPr>
        <w:pStyle w:val="BodyText"/>
      </w:pPr>
      <w:r>
        <w:t xml:space="preserve">13,107</w:t>
      </w:r>
    </w:p>
    <w:p>
      <w:pPr>
        <w:pStyle w:val="BodyText"/>
      </w:pPr>
      <w:r>
        <w:t xml:space="preserve">4,352</w:t>
      </w:r>
    </w:p>
    <w:p>
      <w:pPr>
        <w:pStyle w:val="BodyText"/>
      </w:pPr>
      <w:r>
        <w:t xml:space="preserve">2,916</w:t>
      </w:r>
    </w:p>
    <w:p>
      <w:pPr>
        <w:pStyle w:val="BodyText"/>
      </w:pPr>
      <w:r>
        <w:t xml:space="preserve">2,142</w:t>
      </w:r>
    </w:p>
    <w:p>
      <w:pPr>
        <w:pStyle w:val="BodyText"/>
      </w:pPr>
      <w:r>
        <w:t xml:space="preserve">4,804</w:t>
      </w:r>
    </w:p>
    <w:p>
      <w:pPr>
        <w:pStyle w:val="BodyText"/>
      </w:pPr>
      <w:r>
        <w:t xml:space="preserve">6,681</w:t>
      </w:r>
    </w:p>
    <w:p>
      <w:pPr>
        <w:pStyle w:val="BodyText"/>
      </w:pPr>
      <w:r>
        <w:t xml:space="preserve">35,408</w:t>
      </w:r>
    </w:p>
    <w:p>
      <w:pPr>
        <w:pStyle w:val="BodyText"/>
      </w:pPr>
      <w:r>
        <w:t xml:space="preserve">34,002</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w:t>
      </w:r>
    </w:p>
    <w:p>
      <w:pPr>
        <w:pStyle w:val="BodyText"/>
      </w:pPr>
      <w:r>
        <w:t xml:space="preserve">3%</w:t>
      </w:r>
    </w:p>
    <w:p>
      <w:pPr>
        <w:pStyle w:val="BodyText"/>
      </w:pPr>
      <w:r>
        <w:t xml:space="preserve">7%</w:t>
      </w:r>
    </w:p>
    <w:p>
      <w:pPr>
        <w:pStyle w:val="BodyText"/>
      </w:pPr>
      <w:r>
        <w:t xml:space="preserve">5%</w:t>
      </w:r>
    </w:p>
    <w:p>
      <w:pPr>
        <w:pStyle w:val="BodyText"/>
      </w:pPr>
      <w:r>
        <w:t xml:space="preserve">17%</w:t>
      </w:r>
    </w:p>
    <w:p>
      <w:pPr>
        <w:pStyle w:val="BodyText"/>
      </w:pPr>
      <w:r>
        <w:t xml:space="preserve">5%</w:t>
      </w:r>
    </w:p>
    <w:p>
      <w:pPr>
        <w:pStyle w:val="BodyText"/>
      </w:pPr>
      <w:r>
        <w:t xml:space="preserve">4%</w:t>
      </w:r>
    </w:p>
    <w:p>
      <w:pPr>
        <w:pStyle w:val="BodyText"/>
      </w:pPr>
      <w:r>
        <w:t xml:space="preserve">–</w:t>
      </w:r>
    </w:p>
    <w:p>
      <w:pPr>
        <w:pStyle w:val="BodyText"/>
      </w:pPr>
      <w:r>
        <w:t xml:space="preserve">3%</w:t>
      </w:r>
    </w:p>
    <w:p>
      <w:pPr>
        <w:pStyle w:val="BodyText"/>
      </w:pPr>
      <w:r>
        <w:t xml:space="preserve">6%</w:t>
      </w:r>
    </w:p>
    <w:p>
      <w:pPr>
        <w:pStyle w:val="BodyText"/>
      </w:pPr>
      <w:r>
        <w:t xml:space="preserve">3%</w:t>
      </w:r>
    </w:p>
    <w:p>
      <w:pPr>
        <w:pStyle w:val="BodyText"/>
      </w:pPr>
      <w:r>
        <w:t xml:space="preserve">17%</w:t>
      </w:r>
    </w:p>
    <w:p>
      <w:pPr>
        <w:pStyle w:val="BodyText"/>
      </w:pPr>
      <w:r>
        <w:t xml:space="preserve">4%</w:t>
      </w:r>
    </w:p>
    <w:p>
      <w:pPr>
        <w:pStyle w:val="BodyText"/>
      </w:pPr>
      <w:r>
        <w:t xml:space="preserve">4%</w:t>
      </w:r>
    </w:p>
    <w:p>
      <w:pPr>
        <w:pStyle w:val="BodyText"/>
      </w:pPr>
      <w:r>
        <w:rPr>
          <w:rFonts w:hint="eastAsia"/>
        </w:rPr>
        <w:t xml:space="preserve">總加權保費收入較2019年增加4%至354.08億美元。所收取的續保保費增加10%，經常性保費總額佔2020年所收</w:t>
      </w:r>
    </w:p>
    <w:p>
      <w:pPr>
        <w:pStyle w:val="BodyText"/>
      </w:pPr>
      <w:r>
        <w:rPr>
          <w:rFonts w:hint="eastAsia"/>
        </w:rPr>
        <w:t xml:space="preserve">取保費的90%以上。</w:t>
      </w:r>
    </w:p>
    <w:p>
      <w:pPr>
        <w:pStyle w:val="BodyText"/>
      </w:pPr>
      <w:r>
        <w:rPr>
          <w:rFonts w:hint="eastAsia"/>
        </w:rPr>
        <w:t xml:space="preserve">國際財務報告準則營運溢利投資回報</w:t>
      </w:r>
    </w:p>
    <w:p>
      <w:pPr>
        <w:pStyle w:val="BodyText"/>
      </w:pPr>
      <w:r>
        <w:rPr>
          <w:rFonts w:hint="eastAsia"/>
        </w:rPr>
        <w:t xml:space="preserve">百萬美元，除另有說明外</w:t>
      </w:r>
    </w:p>
    <w:p>
      <w:pPr>
        <w:pStyle w:val="BodyText"/>
      </w:pPr>
      <w:r>
        <w:rPr>
          <w:rFonts w:hint="eastAsia"/>
        </w:rPr>
        <w:t xml:space="preserve">利息收入</w:t>
      </w:r>
    </w:p>
    <w:p>
      <w:pPr>
        <w:pStyle w:val="BodyText"/>
      </w:pPr>
      <w:r>
        <w:rPr>
          <w:rFonts w:hint="eastAsia"/>
        </w:rPr>
        <w:t xml:space="preserve">股權及房地產的預期長期投資回報</w:t>
      </w:r>
    </w:p>
    <w:p>
      <w:pPr>
        <w:pStyle w:val="BodyText"/>
      </w:pPr>
      <w:r>
        <w:rPr>
          <w:rFonts w:hint="eastAsia"/>
        </w:rPr>
        <w:t xml:space="preserve">總計</w:t>
      </w:r>
    </w:p>
    <w:p>
      <w:pPr>
        <w:pStyle w:val="BodyText"/>
      </w:pPr>
      <w:r>
        <w:rPr>
          <w:rFonts w:hint="eastAsia"/>
        </w:rPr>
        <w:t xml:space="preserve">2020年</w:t>
      </w:r>
    </w:p>
    <w:p>
      <w:pPr>
        <w:pStyle w:val="BodyText"/>
      </w:pPr>
      <w:r>
        <w:rPr>
          <w:rFonts w:hint="eastAsia"/>
        </w:rPr>
        <w:t xml:space="preserve">2019年</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7,051</w:t>
      </w:r>
    </w:p>
    <w:p>
      <w:pPr>
        <w:pStyle w:val="BodyText"/>
      </w:pPr>
      <w:r>
        <w:t xml:space="preserve">2,347</w:t>
      </w:r>
    </w:p>
    <w:p>
      <w:pPr>
        <w:pStyle w:val="BodyText"/>
      </w:pPr>
      <w:r>
        <w:t xml:space="preserve">9,398</w:t>
      </w:r>
    </w:p>
    <w:p>
      <w:pPr>
        <w:pStyle w:val="BodyText"/>
      </w:pPr>
      <w:r>
        <w:t xml:space="preserve">6,624</w:t>
      </w:r>
    </w:p>
    <w:p>
      <w:pPr>
        <w:pStyle w:val="BodyText"/>
      </w:pPr>
      <w:r>
        <w:t xml:space="preserve">2,275</w:t>
      </w:r>
    </w:p>
    <w:p>
      <w:pPr>
        <w:pStyle w:val="BodyText"/>
      </w:pPr>
      <w:r>
        <w:t xml:space="preserve">8,899</w:t>
      </w:r>
    </w:p>
    <w:p>
      <w:pPr>
        <w:pStyle w:val="BodyText"/>
      </w:pPr>
      <w:r>
        <w:t xml:space="preserve">7%</w:t>
      </w:r>
    </w:p>
    <w:p>
      <w:pPr>
        <w:pStyle w:val="BodyText"/>
      </w:pPr>
      <w:r>
        <w:t xml:space="preserve">4%</w:t>
      </w:r>
    </w:p>
    <w:p>
      <w:pPr>
        <w:pStyle w:val="BodyText"/>
      </w:pPr>
      <w:r>
        <w:t xml:space="preserve">6%</w:t>
      </w:r>
    </w:p>
    <w:p>
      <w:pPr>
        <w:pStyle w:val="BodyText"/>
      </w:pPr>
      <w:r>
        <w:t xml:space="preserve">6%</w:t>
      </w:r>
    </w:p>
    <w:p>
      <w:pPr>
        <w:pStyle w:val="BodyText"/>
      </w:pPr>
      <w:r>
        <w:t xml:space="preserve">3%</w:t>
      </w:r>
    </w:p>
    <w:p>
      <w:pPr>
        <w:pStyle w:val="BodyText"/>
      </w:pPr>
      <w:r>
        <w:t xml:space="preserve">6%</w:t>
      </w:r>
    </w:p>
    <w:p>
      <w:pPr>
        <w:pStyle w:val="BodyText"/>
      </w:pPr>
      <w:r>
        <w:rPr>
          <w:rFonts w:hint="eastAsia"/>
        </w:rPr>
        <w:t xml:space="preserve">國際財務報告準則營運溢利投資回報較2019年增長6%至93.98億美元。該增長主要由投資組合規模擴大所帶動，</w:t>
      </w:r>
    </w:p>
    <w:p>
      <w:pPr>
        <w:pStyle w:val="BodyText"/>
      </w:pPr>
      <w:r>
        <w:rPr>
          <w:rFonts w:hint="eastAsia"/>
        </w:rPr>
        <w:t xml:space="preserve">部分被新固定收入投資的收益率降低及預期長期股權回報降低所抵銷。</w:t>
      </w:r>
    </w:p>
    <w:p>
      <w:pPr>
        <w:pStyle w:val="BodyText"/>
      </w:pPr>
      <w:r>
        <w:rPr>
          <w:rFonts w:hint="eastAsia"/>
        </w:rPr>
        <w:t xml:space="preserve">營運開支</w:t>
      </w:r>
    </w:p>
    <w:p>
      <w:pPr>
        <w:pStyle w:val="BodyText"/>
      </w:pPr>
      <w:r>
        <w:rPr>
          <w:rFonts w:hint="eastAsia"/>
        </w:rPr>
        <w:t xml:space="preserve">百萬美元，除另有說明外</w:t>
      </w:r>
    </w:p>
    <w:p>
      <w:pPr>
        <w:pStyle w:val="BodyText"/>
      </w:pPr>
      <w:r>
        <w:rPr>
          <w:rFonts w:hint="eastAsia"/>
        </w:rPr>
        <w:t xml:space="preserve">營運開支</w:t>
      </w:r>
    </w:p>
    <w:p>
      <w:pPr>
        <w:pStyle w:val="BodyText"/>
      </w:pPr>
      <w:r>
        <w:rPr>
          <w:rFonts w:hint="eastAsia"/>
        </w:rPr>
        <w:t xml:space="preserve">2020年</w:t>
      </w:r>
    </w:p>
    <w:p>
      <w:pPr>
        <w:pStyle w:val="BodyText"/>
      </w:pPr>
      <w:r>
        <w:t xml:space="preserve">2,695</w:t>
      </w:r>
    </w:p>
    <w:p>
      <w:pPr>
        <w:pStyle w:val="BodyText"/>
      </w:pPr>
      <w:r>
        <w:rPr>
          <w:rFonts w:hint="eastAsia"/>
        </w:rPr>
        <w:t xml:space="preserve">2019年</w:t>
      </w:r>
    </w:p>
    <w:p>
      <w:pPr>
        <w:pStyle w:val="BodyText"/>
      </w:pPr>
      <w:r>
        <w:t xml:space="preserve">2,468</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9%</w:t>
      </w:r>
    </w:p>
    <w:p>
      <w:pPr>
        <w:pStyle w:val="BodyText"/>
      </w:pPr>
      <w:r>
        <w:t xml:space="preserve">9%</w:t>
      </w:r>
    </w:p>
    <w:p>
      <w:pPr>
        <w:pStyle w:val="BodyText"/>
      </w:pPr>
      <w:r>
        <w:rPr>
          <w:rFonts w:hint="eastAsia"/>
        </w:rPr>
        <w:t xml:space="preserve">費用率為7.6%，而2019年為7.3%，乃由於新業務量減少以及計入於2019年下半年收購的澳洲業務所致。</w:t>
      </w:r>
    </w:p>
    <w:p>
      <w:pPr>
        <w:pStyle w:val="BodyText"/>
      </w:pPr>
      <w:r>
        <w:t xml:space="preserve">024</w:t>
      </w:r>
    </w:p>
    <w:p>
      <w:pPr>
        <w:pStyle w:val="BodyText"/>
      </w:pPr>
      <w:r>
        <w:rPr>
          <w:rFonts w:hint="eastAsia"/>
        </w:rPr>
        <w:t xml:space="preserve">財務及營運回顧友邦保險控股有限公司集團首席財務總監回顧</w:t>
      </w:r>
    </w:p>
    <w:p>
      <w:pPr>
        <w:pStyle w:val="BodyText"/>
      </w:pPr>
      <w:r>
        <w:rPr>
          <w:rFonts w:hint="eastAsia"/>
        </w:rPr>
        <w:t xml:space="preserve">純利(1)(3)</w:t>
      </w:r>
    </w:p>
    <w:p>
      <w:pPr>
        <w:pStyle w:val="BodyText"/>
      </w:pPr>
      <w:r>
        <w:rPr>
          <w:rFonts w:hint="eastAsia"/>
        </w:rPr>
        <w:t xml:space="preserve">百萬美元，除另有說明外</w:t>
      </w:r>
    </w:p>
    <w:p>
      <w:pPr>
        <w:pStyle w:val="BodyText"/>
      </w:pPr>
      <w:r>
        <w:rPr>
          <w:rFonts w:hint="eastAsia"/>
        </w:rPr>
        <w:t xml:space="preserve">稅後營運溢利(3)</w:t>
      </w:r>
    </w:p>
    <w:p>
      <w:pPr>
        <w:pStyle w:val="BodyText"/>
      </w:pPr>
      <w:r>
        <w:rPr>
          <w:rFonts w:hint="eastAsia"/>
        </w:rPr>
        <w:t xml:space="preserve">有關股權及房地產投資回報的短期波動，</w:t>
      </w:r>
    </w:p>
    <w:p>
      <w:pPr>
        <w:pStyle w:val="BodyText"/>
      </w:pPr>
      <w:r>
        <w:rPr>
          <w:rFonts w:hint="eastAsia"/>
        </w:rPr>
        <w:t xml:space="preserve">已扣除稅項(2)(3)</w:t>
      </w:r>
    </w:p>
    <w:p>
      <w:pPr>
        <w:pStyle w:val="BodyText"/>
      </w:pPr>
      <w:r>
        <w:rPr>
          <w:rFonts w:hint="eastAsia"/>
        </w:rPr>
        <w:t xml:space="preserve">持作自用物業的重估虧損</w:t>
      </w:r>
      <w:r>
        <w:t xml:space="preserve"> </w:t>
      </w:r>
      <w:r>
        <w:rPr>
          <w:rFonts w:hint="eastAsia"/>
        </w:rPr>
        <w:t xml:space="preserve">∕（收益）</w:t>
      </w:r>
      <w:r>
        <w:br/>
      </w:r>
      <w:r>
        <w:rPr>
          <w:rFonts w:hint="eastAsia"/>
        </w:rPr>
        <w:t xml:space="preserve">之重新分類，已扣除稅項(2)(3)</w:t>
      </w:r>
    </w:p>
    <w:p>
      <w:pPr>
        <w:pStyle w:val="BodyText"/>
      </w:pPr>
      <w:r>
        <w:rPr>
          <w:rFonts w:hint="eastAsia"/>
        </w:rPr>
        <w:t xml:space="preserve">企業交易相關成本，已扣除稅項</w:t>
      </w:r>
    </w:p>
    <w:p>
      <w:pPr>
        <w:pStyle w:val="BodyText"/>
      </w:pPr>
      <w:r>
        <w:rPr>
          <w:rFonts w:hint="eastAsia"/>
        </w:rPr>
        <w:t xml:space="preserve">實施新會計準則的成本，已扣除稅項</w:t>
      </w:r>
    </w:p>
    <w:p>
      <w:pPr>
        <w:pStyle w:val="BodyText"/>
      </w:pPr>
      <w:r>
        <w:rPr>
          <w:rFonts w:hint="eastAsia"/>
        </w:rPr>
        <w:t xml:space="preserve">其他非營運投資回報及其他項目，已扣除稅項(3)</w:t>
      </w:r>
    </w:p>
    <w:p>
      <w:pPr>
        <w:pStyle w:val="BodyText"/>
      </w:pPr>
      <w:r>
        <w:rPr>
          <w:rFonts w:hint="eastAsia"/>
        </w:rPr>
        <w:t xml:space="preserve">總計</w:t>
      </w:r>
    </w:p>
    <w:p>
      <w:pPr>
        <w:pStyle w:val="BodyText"/>
      </w:pPr>
      <w:r>
        <w:rPr>
          <w:rFonts w:hint="eastAsia"/>
        </w:rPr>
        <w:t xml:space="preserve">附註：</w:t>
      </w:r>
      <w:r>
        <w:br/>
      </w:r>
      <w:r>
        <w:t xml:space="preserve">(1) </w:t>
      </w:r>
      <w:r>
        <w:rPr>
          <w:rFonts w:hint="eastAsia"/>
        </w:rPr>
        <w:t xml:space="preserve">僅為本公司股東應佔權益，不包括非控股權益。</w:t>
      </w:r>
    </w:p>
    <w:p>
      <w:pPr>
        <w:pStyle w:val="BodyText"/>
      </w:pPr>
      <w:r>
        <w:rPr>
          <w:rFonts w:hint="eastAsia"/>
        </w:rPr>
        <w:t xml:space="preserve">2020年</w:t>
      </w:r>
    </w:p>
    <w:p>
      <w:pPr>
        <w:pStyle w:val="BodyText"/>
      </w:pPr>
      <w:r>
        <w:t xml:space="preserve">5,942</w:t>
      </w:r>
    </w:p>
    <w:p>
      <w:pPr>
        <w:pStyle w:val="BodyText"/>
      </w:pPr>
      <w:r>
        <w:rPr>
          <w:rFonts w:hint="eastAsia"/>
        </w:rPr>
        <w:t xml:space="preserve">2019年</w:t>
      </w:r>
    </w:p>
    <w:p>
      <w:pPr>
        <w:pStyle w:val="BodyText"/>
      </w:pPr>
      <w:r>
        <w:t xml:space="preserve">5,689</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5%</w:t>
      </w:r>
    </w:p>
    <w:p>
      <w:pPr>
        <w:pStyle w:val="BodyText"/>
      </w:pPr>
      <w:r>
        <w:t xml:space="preserve">4%</w:t>
      </w:r>
    </w:p>
    <w:p>
      <w:pPr>
        <w:pStyle w:val="FirstParagraph"/>
      </w:pPr>
      <w:r>
        <w:t xml:space="preserve">305</w:t>
      </w:r>
    </w:p>
    <w:p>
      <w:pPr>
        <w:pStyle w:val="BodyText"/>
      </w:pPr>
      <w:r>
        <w:rPr>
          <w:rFonts w:hint="eastAsia"/>
        </w:rPr>
        <w:t xml:space="preserve">無意義</w:t>
      </w:r>
    </w:p>
    <w:p>
      <w:pPr>
        <w:pStyle w:val="BodyText"/>
      </w:pPr>
      <w:r>
        <w:rPr>
          <w:rFonts w:hint="eastAsia"/>
        </w:rPr>
        <w:t xml:space="preserve">無意義</w:t>
      </w:r>
    </w:p>
    <w:p>
      <w:pPr>
        <w:pStyle w:val="BodyText"/>
      </w:pPr>
      <w:r>
        <w:t xml:space="preserve">52</w:t>
      </w:r>
    </w:p>
    <w:p>
      <w:pPr>
        <w:pStyle w:val="FirstParagraph"/>
      </w:pPr>
      <w:r>
        <w:t xml:space="preserve">277</w:t>
      </w:r>
    </w:p>
    <w:p>
      <w:pPr>
        <w:pStyle w:val="BodyText"/>
      </w:pPr>
      <w:r>
        <w:t xml:space="preserve">5,779</w:t>
      </w:r>
    </w:p>
    <w:p>
      <w:pPr>
        <w:pStyle w:val="FirstParagraph"/>
      </w:pPr>
      <w:r>
        <w:t xml:space="preserve">262</w:t>
      </w:r>
    </w:p>
    <w:p>
      <w:pPr>
        <w:pStyle w:val="BodyText"/>
      </w:pPr>
      <w:r>
        <w:t xml:space="preserve">5,979</w:t>
      </w:r>
    </w:p>
    <w:p>
      <w:pPr>
        <w:pStyle w:val="BodyText"/>
      </w:pPr>
      <w:r>
        <w:rPr>
          <w:rFonts w:hint="eastAsia"/>
        </w:rPr>
        <w:t xml:space="preserve">無意義</w:t>
      </w:r>
    </w:p>
    <w:p>
      <w:pPr>
        <w:pStyle w:val="BodyText"/>
      </w:pPr>
      <w:r>
        <w:rPr>
          <w:rFonts w:hint="eastAsia"/>
        </w:rPr>
        <w:t xml:space="preserve">無意義</w:t>
      </w:r>
    </w:p>
    <w:p>
      <w:pPr>
        <w:pStyle w:val="BodyText"/>
      </w:pPr>
      <w:r>
        <w:rPr>
          <w:rFonts w:hint="eastAsia"/>
        </w:rPr>
        <w:t xml:space="preserve">無意義</w:t>
      </w:r>
    </w:p>
    <w:p>
      <w:pPr>
        <w:pStyle w:val="BodyText"/>
      </w:pPr>
      <w:r>
        <w:rPr>
          <w:rFonts w:hint="eastAsia"/>
        </w:rPr>
        <w:t xml:space="preserve">無意義</w:t>
      </w:r>
    </w:p>
    <w:p>
      <w:pPr>
        <w:pStyle w:val="BodyText"/>
      </w:pPr>
      <w:r>
        <w:t xml:space="preserve">(3)%</w:t>
      </w:r>
    </w:p>
    <w:p>
      <w:pPr>
        <w:pStyle w:val="BodyText"/>
      </w:pPr>
      <w:r>
        <w:rPr>
          <w:rFonts w:hint="eastAsia"/>
        </w:rPr>
        <w:t xml:space="preserve">無意義</w:t>
      </w:r>
    </w:p>
    <w:p>
      <w:pPr>
        <w:pStyle w:val="BodyText"/>
      </w:pPr>
      <w:r>
        <w:rPr>
          <w:rFonts w:hint="eastAsia"/>
        </w:rPr>
        <w:t xml:space="preserve">無意義</w:t>
      </w:r>
    </w:p>
    <w:p>
      <w:pPr>
        <w:pStyle w:val="BodyText"/>
      </w:pPr>
      <w:r>
        <w:rPr>
          <w:rFonts w:hint="eastAsia"/>
        </w:rPr>
        <w:t xml:space="preserve">無意義</w:t>
      </w:r>
    </w:p>
    <w:p>
      <w:pPr>
        <w:pStyle w:val="BodyText"/>
      </w:pPr>
      <w:r>
        <w:rPr>
          <w:rFonts w:hint="eastAsia"/>
        </w:rPr>
        <w:t xml:space="preserve">無意義</w:t>
      </w:r>
    </w:p>
    <w:p>
      <w:pPr>
        <w:pStyle w:val="BodyText"/>
      </w:pPr>
      <w:r>
        <w:t xml:space="preserve">(3)%</w:t>
      </w:r>
    </w:p>
    <w:p>
      <w:pPr>
        <w:numPr>
          <w:ilvl w:val="0"/>
          <w:numId w:val="1036"/>
        </w:numPr>
      </w:pPr>
      <w:r>
        <w:rPr>
          <w:rFonts w:hint="eastAsia"/>
        </w:rPr>
        <w:t xml:space="preserve">投資回報的短期波動包括持作自用物業的重估收益及虧損。此金額重新分類以自純利中扣除以符合國際財務報告準則計量及呈列。</w:t>
      </w:r>
    </w:p>
    <w:p>
      <w:pPr>
        <w:numPr>
          <w:ilvl w:val="0"/>
          <w:numId w:val="1036"/>
        </w:numPr>
      </w:pPr>
      <w:r>
        <w:rPr>
          <w:rFonts w:hint="eastAsia"/>
        </w:rPr>
        <w:t xml:space="preserve">香港分紅業務的會計政策變更後。比較資料已予調整，以與當前期間的呈列相符。詳細資料載列於合併財務報表附註48。</w:t>
      </w:r>
    </w:p>
    <w:p>
      <w:pPr>
        <w:pStyle w:val="FirstParagraph"/>
      </w:pPr>
      <w:r>
        <w:rPr>
          <w:rFonts w:hint="eastAsia"/>
        </w:rPr>
        <w:t xml:space="preserve">國際財務報告準則非營運變動</w:t>
      </w:r>
    </w:p>
    <w:p>
      <w:pPr>
        <w:pStyle w:val="BodyText"/>
      </w:pPr>
      <w:r>
        <w:rPr>
          <w:rFonts w:hint="eastAsia"/>
        </w:rPr>
        <w:t xml:space="preserve">國際財務報告準則純利於2020年為57.79億美元，而2019年為59.79億美元。友邦保險的純利包括有關股權及投資</w:t>
      </w:r>
    </w:p>
    <w:p>
      <w:pPr>
        <w:pStyle w:val="BodyText"/>
      </w:pPr>
      <w:r>
        <w:rPr>
          <w:rFonts w:hint="eastAsia"/>
        </w:rPr>
        <w:t xml:space="preserve">物業組合的市值變動。2020年業績包括股權及房地產與長期假設相比的負面短期波動4.06億美元，相比2019年</w:t>
      </w:r>
    </w:p>
    <w:p>
      <w:pPr>
        <w:pStyle w:val="BodyText"/>
      </w:pPr>
      <w:r>
        <w:rPr>
          <w:rFonts w:hint="eastAsia"/>
        </w:rPr>
        <w:t xml:space="preserve">的正面變動3.05億美元。自2010年首次公開招股以來，在累計純利394億美元中，已扣除的投資回報累計輕微負</w:t>
      </w:r>
    </w:p>
    <w:p>
      <w:pPr>
        <w:pStyle w:val="BodyText"/>
      </w:pPr>
      <w:r>
        <w:rPr>
          <w:rFonts w:hint="eastAsia"/>
        </w:rPr>
        <w:t xml:space="preserve">面短期波動為3億美元。2020年的其他非營運項目包括企業交易相關成本5,600萬美元、實施新會計準則的成本</w:t>
      </w:r>
    </w:p>
    <w:p>
      <w:pPr>
        <w:pStyle w:val="BodyText"/>
      </w:pPr>
      <w:r>
        <w:rPr>
          <w:rFonts w:hint="eastAsia"/>
        </w:rPr>
        <w:t xml:space="preserve">3,000萬美元及其他非營運項目2.77億美元，主要由可供出售債務證券的已變現收益所帶動，惟被未確認稅務狀</w:t>
      </w:r>
    </w:p>
    <w:p>
      <w:pPr>
        <w:pStyle w:val="BodyText"/>
      </w:pPr>
      <w:r>
        <w:rPr>
          <w:rFonts w:hint="eastAsia"/>
        </w:rPr>
        <w:t xml:space="preserve">況撥備的變動所抵銷。</w:t>
      </w:r>
    </w:p>
    <w:p>
      <w:pPr>
        <w:pStyle w:val="BodyText"/>
      </w:pPr>
      <w:r>
        <w:t xml:space="preserve">025</w:t>
      </w:r>
    </w:p>
    <w:p>
      <w:pPr>
        <w:pStyle w:val="BodyText"/>
      </w:pPr>
      <w:r>
        <w:rPr>
          <w:rFonts w:hint="eastAsia"/>
        </w:rPr>
        <w:t xml:space="preserve">概覽財務及營運回顧企業管治其他資料財務報表2020年報</w:t>
      </w:r>
    </w:p>
    <w:p>
      <w:pPr>
        <w:pStyle w:val="BodyText"/>
      </w:pPr>
      <w:r>
        <w:rPr>
          <w:rFonts w:hint="eastAsia"/>
        </w:rPr>
        <w:t xml:space="preserve">股東分配權益變動(1)</w:t>
      </w:r>
    </w:p>
    <w:p>
      <w:pPr>
        <w:pStyle w:val="BodyText"/>
      </w:pPr>
      <w:r>
        <w:rPr>
          <w:rFonts w:hint="eastAsia"/>
        </w:rPr>
        <w:t xml:space="preserve">百萬美元，除另有說明外</w:t>
      </w:r>
    </w:p>
    <w:p>
      <w:pPr>
        <w:pStyle w:val="BodyText"/>
      </w:pPr>
      <w:r>
        <w:rPr>
          <w:rFonts w:hint="eastAsia"/>
        </w:rPr>
        <w:t xml:space="preserve">期初股東分配權益</w:t>
      </w:r>
    </w:p>
    <w:p>
      <w:pPr>
        <w:pStyle w:val="BodyText"/>
      </w:pPr>
      <w:r>
        <w:rPr>
          <w:rFonts w:hint="eastAsia"/>
        </w:rPr>
        <w:t xml:space="preserve">會計政策變更追溯調整</w:t>
      </w:r>
    </w:p>
    <w:p>
      <w:pPr>
        <w:pStyle w:val="BodyText"/>
      </w:pPr>
      <w:r>
        <w:rPr>
          <w:rFonts w:hint="eastAsia"/>
        </w:rPr>
        <w:t xml:space="preserve">期初股東分配權益，經調整</w:t>
      </w:r>
    </w:p>
    <w:p>
      <w:pPr>
        <w:pStyle w:val="BodyText"/>
      </w:pPr>
      <w:r>
        <w:rPr>
          <w:rFonts w:hint="eastAsia"/>
        </w:rPr>
        <w:t xml:space="preserve">純利</w:t>
      </w:r>
    </w:p>
    <w:p>
      <w:pPr>
        <w:pStyle w:val="BodyText"/>
      </w:pPr>
      <w:r>
        <w:rPr>
          <w:rFonts w:hint="eastAsia"/>
        </w:rPr>
        <w:t xml:space="preserve">注入僱員股票信託的股份</w:t>
      </w:r>
    </w:p>
    <w:p>
      <w:pPr>
        <w:pStyle w:val="BodyText"/>
      </w:pPr>
      <w:r>
        <w:rPr>
          <w:rFonts w:hint="eastAsia"/>
        </w:rPr>
        <w:t xml:space="preserve">股息</w:t>
      </w:r>
    </w:p>
    <w:p>
      <w:pPr>
        <w:pStyle w:val="BodyText"/>
      </w:pPr>
      <w:r>
        <w:rPr>
          <w:rFonts w:hint="eastAsia"/>
        </w:rPr>
        <w:t xml:space="preserve">持作自用物業重估（虧損）∕收益</w:t>
      </w:r>
    </w:p>
    <w:p>
      <w:pPr>
        <w:pStyle w:val="BodyText"/>
      </w:pPr>
      <w:r>
        <w:rPr>
          <w:rFonts w:hint="eastAsia"/>
        </w:rPr>
        <w:t xml:space="preserve">外幣換算調整</w:t>
      </w:r>
    </w:p>
    <w:p>
      <w:pPr>
        <w:pStyle w:val="BodyText"/>
      </w:pPr>
      <w:r>
        <w:rPr>
          <w:rFonts w:hint="eastAsia"/>
        </w:rPr>
        <w:t xml:space="preserve">其他資本變動</w:t>
      </w:r>
    </w:p>
    <w:p>
      <w:pPr>
        <w:pStyle w:val="BodyText"/>
      </w:pPr>
      <w:r>
        <w:rPr>
          <w:rFonts w:hint="eastAsia"/>
        </w:rPr>
        <w:t xml:space="preserve">股東分配權益變動總額</w:t>
      </w:r>
    </w:p>
    <w:p>
      <w:pPr>
        <w:pStyle w:val="BodyText"/>
      </w:pPr>
      <w:r>
        <w:rPr>
          <w:rFonts w:hint="eastAsia"/>
        </w:rPr>
        <w:t xml:space="preserve">期末股東分配權益</w:t>
      </w:r>
    </w:p>
    <w:p>
      <w:pPr>
        <w:pStyle w:val="BodyText"/>
      </w:pPr>
      <w:r>
        <w:rPr>
          <w:rFonts w:hint="eastAsia"/>
        </w:rPr>
        <w:t xml:space="preserve">平均股東分配權益</w:t>
      </w:r>
    </w:p>
    <w:p>
      <w:pPr>
        <w:pStyle w:val="BodyText"/>
      </w:pPr>
      <w:r>
        <w:rPr>
          <w:rFonts w:hint="eastAsia"/>
        </w:rPr>
        <w:t xml:space="preserve">2020年</w:t>
      </w:r>
    </w:p>
    <w:p>
      <w:pPr>
        <w:pStyle w:val="BodyText"/>
      </w:pPr>
      <w:r>
        <w:t xml:space="preserve">42,845</w:t>
      </w:r>
    </w:p>
    <w:p>
      <w:pPr>
        <w:pStyle w:val="BodyText"/>
      </w:pPr>
      <w:r>
        <w:t xml:space="preserve">433</w:t>
      </w:r>
    </w:p>
    <w:p>
      <w:pPr>
        <w:pStyle w:val="BodyText"/>
      </w:pPr>
      <w:r>
        <w:t xml:space="preserve">43,278</w:t>
      </w:r>
    </w:p>
    <w:p>
      <w:pPr>
        <w:pStyle w:val="BodyText"/>
      </w:pPr>
      <w:r>
        <w:t xml:space="preserve">5,779</w:t>
      </w:r>
    </w:p>
    <w:p>
      <w:pPr>
        <w:pStyle w:val="FirstParagraph"/>
      </w:pPr>
      <w:r>
        <w:t xml:space="preserve">(1,997)</w:t>
      </w:r>
    </w:p>
    <w:p>
      <w:pPr>
        <w:pStyle w:val="FirstParagraph"/>
      </w:pPr>
      <w:r>
        <w:t xml:space="preserve">931</w:t>
      </w:r>
    </w:p>
    <w:p>
      <w:pPr>
        <w:pStyle w:val="BodyText"/>
      </w:pPr>
      <w:r>
        <w:t xml:space="preserve">101</w:t>
      </w:r>
    </w:p>
    <w:p>
      <w:pPr>
        <w:pStyle w:val="BodyText"/>
      </w:pPr>
      <w:r>
        <w:t xml:space="preserve">4,752</w:t>
      </w:r>
    </w:p>
    <w:p>
      <w:pPr>
        <w:pStyle w:val="BodyText"/>
      </w:pPr>
      <w:r>
        <w:t xml:space="preserve">48,030</w:t>
      </w:r>
    </w:p>
    <w:p>
      <w:pPr>
        <w:pStyle w:val="BodyText"/>
      </w:pPr>
      <w:r>
        <w:t xml:space="preserve">45,654</w:t>
      </w:r>
    </w:p>
    <w:p>
      <w:pPr>
        <w:pStyle w:val="BodyText"/>
      </w:pPr>
      <w:r>
        <w:rPr>
          <w:rFonts w:hint="eastAsia"/>
        </w:rPr>
        <w:t xml:space="preserve">2019年</w:t>
      </w:r>
    </w:p>
    <w:p>
      <w:pPr>
        <w:pStyle w:val="BodyText"/>
      </w:pPr>
      <w:r>
        <w:t xml:space="preserve">37,277</w:t>
      </w:r>
    </w:p>
    <w:p>
      <w:pPr>
        <w:pStyle w:val="BodyText"/>
      </w:pPr>
      <w:r>
        <w:t xml:space="preserve">1,130</w:t>
      </w:r>
    </w:p>
    <w:p>
      <w:pPr>
        <w:pStyle w:val="BodyText"/>
      </w:pPr>
      <w:r>
        <w:t xml:space="preserve">38,407</w:t>
      </w:r>
    </w:p>
    <w:p>
      <w:pPr>
        <w:pStyle w:val="BodyText"/>
      </w:pPr>
      <w:r>
        <w:t xml:space="preserve">5,979</w:t>
      </w:r>
    </w:p>
    <w:p>
      <w:pPr>
        <w:pStyle w:val="FirstParagraph"/>
      </w:pPr>
      <w:r>
        <w:t xml:space="preserve">(1,961)</w:t>
      </w:r>
    </w:p>
    <w:p>
      <w:pPr>
        <w:pStyle w:val="BodyText"/>
      </w:pPr>
      <w:r>
        <w:t xml:space="preserve">154</w:t>
      </w:r>
    </w:p>
    <w:p>
      <w:pPr>
        <w:pStyle w:val="BodyText"/>
      </w:pPr>
      <w:r>
        <w:t xml:space="preserve">603</w:t>
      </w:r>
    </w:p>
    <w:p>
      <w:pPr>
        <w:pStyle w:val="BodyText"/>
      </w:pPr>
      <w:r>
        <w:t xml:space="preserve">117</w:t>
      </w:r>
    </w:p>
    <w:p>
      <w:pPr>
        <w:pStyle w:val="BodyText"/>
      </w:pPr>
      <w:r>
        <w:t xml:space="preserve">4,871</w:t>
      </w:r>
    </w:p>
    <w:p>
      <w:pPr>
        <w:pStyle w:val="BodyText"/>
      </w:pPr>
      <w:r>
        <w:t xml:space="preserve">43,278</w:t>
      </w:r>
    </w:p>
    <w:p>
      <w:pPr>
        <w:pStyle w:val="BodyText"/>
      </w:pPr>
      <w:r>
        <w:t xml:space="preserve">40,638</w:t>
      </w:r>
    </w:p>
    <w:p>
      <w:pPr>
        <w:pStyle w:val="BodyText"/>
      </w:pPr>
      <w:r>
        <w:rPr>
          <w:rFonts w:hint="eastAsia"/>
        </w:rPr>
        <w:t xml:space="preserve">附註：</w:t>
      </w:r>
      <w:r>
        <w:br/>
      </w:r>
      <w:r>
        <w:t xml:space="preserve">(1) </w:t>
      </w:r>
      <w:r>
        <w:rPr>
          <w:rFonts w:hint="eastAsia"/>
        </w:rPr>
        <w:t xml:space="preserve">香港分紅業務的會計政策變更後。比較資料已予調整，以與當前期間的呈列相符。詳細資料載列於合併財務報表附註48。</w:t>
      </w:r>
    </w:p>
    <w:p>
      <w:pPr>
        <w:pStyle w:val="BodyText"/>
      </w:pPr>
      <w:r>
        <w:rPr>
          <w:rFonts w:hint="eastAsia"/>
        </w:rPr>
        <w:t xml:space="preserve">股東分配權益變動不包括公平值準備金的變動。我們認為此更能清晰反映股東權益於年內的相關變動，此不包括</w:t>
      </w:r>
    </w:p>
    <w:p>
      <w:pPr>
        <w:pStyle w:val="BodyText"/>
      </w:pPr>
      <w:r>
        <w:rPr>
          <w:rFonts w:hint="eastAsia"/>
        </w:rPr>
        <w:t xml:space="preserve">可供出售債券按國際財務報告準則進行的會計處理的市值調整。</w:t>
      </w:r>
    </w:p>
    <w:p>
      <w:pPr>
        <w:pStyle w:val="BodyText"/>
      </w:pPr>
      <w:r>
        <w:rPr>
          <w:rFonts w:hint="eastAsia"/>
        </w:rPr>
        <w:t xml:space="preserve">股東分配權益增加9%至480.30億美元，增長乃由於純利57.79億美元及當地貨幣兌我們的美元呈報貨幣升值9.31</w:t>
      </w:r>
    </w:p>
    <w:p>
      <w:pPr>
        <w:pStyle w:val="BodyText"/>
      </w:pPr>
      <w:r>
        <w:rPr>
          <w:rFonts w:hint="eastAsia"/>
        </w:rPr>
        <w:t xml:space="preserve">億美元的影響，惟部分被派付股息19.97億美元所抵銷。</w:t>
      </w:r>
    </w:p>
    <w:p>
      <w:pPr>
        <w:pStyle w:val="BodyText"/>
      </w:pPr>
      <w:r>
        <w:rPr>
          <w:rFonts w:hint="eastAsia"/>
        </w:rPr>
        <w:t xml:space="preserve">平均股東分配權益較去年增長11%。</w:t>
      </w:r>
    </w:p>
    <w:p>
      <w:pPr>
        <w:pStyle w:val="BodyText"/>
      </w:pPr>
      <w:r>
        <w:rPr>
          <w:rFonts w:hint="eastAsia"/>
        </w:rPr>
        <w:t xml:space="preserve">對匯率、利率及股本價格變動的敏感度載於合併財務報表附註38。</w:t>
      </w:r>
    </w:p>
    <w:p>
      <w:pPr>
        <w:pStyle w:val="BodyText"/>
      </w:pPr>
      <w:r>
        <w:t xml:space="preserve">026</w:t>
      </w:r>
    </w:p>
    <w:p>
      <w:pPr>
        <w:pStyle w:val="BodyText"/>
      </w:pPr>
      <w:r>
        <w:rPr>
          <w:rFonts w:hint="eastAsia"/>
        </w:rPr>
        <w:t xml:space="preserve">財務及營運回顧友邦保險控股有限公司集團首席財務總監回顧</w:t>
      </w:r>
    </w:p>
    <w:p>
      <w:pPr>
        <w:pStyle w:val="BodyText"/>
      </w:pPr>
      <w:r>
        <w:rPr>
          <w:rFonts w:hint="eastAsia"/>
        </w:rPr>
        <w:t xml:space="preserve">國際財務報告準則每股盈利</w:t>
      </w:r>
    </w:p>
    <w:p>
      <w:pPr>
        <w:pStyle w:val="BodyText"/>
      </w:pPr>
      <w:r>
        <w:rPr>
          <w:rFonts w:hint="eastAsia"/>
        </w:rPr>
        <w:t xml:space="preserve">股東應佔稅後營運溢利的每股基本盈利增加4%至2020年的49.27美仙。</w:t>
      </w:r>
    </w:p>
    <w:p>
      <w:pPr>
        <w:pStyle w:val="BodyText"/>
      </w:pPr>
      <w:r>
        <w:rPr>
          <w:rFonts w:hint="eastAsia"/>
        </w:rPr>
        <w:t xml:space="preserve">股東應佔國際財務報告準則純利的每股基本盈利包括股權及投資物業組合的市價變動，減少3%至2020年的47.92</w:t>
      </w:r>
    </w:p>
    <w:p>
      <w:pPr>
        <w:pStyle w:val="BodyText"/>
      </w:pPr>
      <w:r>
        <w:rPr>
          <w:rFonts w:hint="eastAsia"/>
        </w:rPr>
        <w:t xml:space="preserve">美仙。</w:t>
      </w:r>
    </w:p>
    <w:p>
      <w:pPr>
        <w:pStyle w:val="BodyText"/>
      </w:pPr>
      <w:r>
        <w:rPr>
          <w:rFonts w:hint="eastAsia"/>
        </w:rPr>
        <w:t xml:space="preserve">國際財務報告準則每股盈利</w:t>
      </w:r>
      <w:r>
        <w:t xml:space="preserve"> — </w:t>
      </w:r>
      <w:r>
        <w:rPr>
          <w:rFonts w:hint="eastAsia"/>
        </w:rPr>
        <w:t xml:space="preserve">基本</w:t>
      </w:r>
    </w:p>
    <w:p>
      <w:pPr>
        <w:pStyle w:val="BodyText"/>
      </w:pPr>
      <w:r>
        <w:rPr>
          <w:rFonts w:hint="eastAsia"/>
        </w:rPr>
        <w:t xml:space="preserve">溢利（百萬美元）</w:t>
      </w:r>
    </w:p>
    <w:p>
      <w:pPr>
        <w:pStyle w:val="BodyText"/>
      </w:pPr>
      <w:r>
        <w:rPr>
          <w:rFonts w:hint="eastAsia"/>
        </w:rPr>
        <w:t xml:space="preserve">普通股的加權平均股數（百萬）</w:t>
      </w:r>
    </w:p>
    <w:p>
      <w:pPr>
        <w:pStyle w:val="BodyText"/>
      </w:pPr>
      <w:r>
        <w:rPr>
          <w:rFonts w:hint="eastAsia"/>
        </w:rPr>
        <w:t xml:space="preserve">每股基本盈利（美仙）</w:t>
      </w:r>
    </w:p>
    <w:p>
      <w:pPr>
        <w:pStyle w:val="BodyText"/>
      </w:pPr>
      <w:r>
        <w:rPr>
          <w:rFonts w:hint="eastAsia"/>
        </w:rPr>
        <w:t xml:space="preserve">國際財務報告準則每股盈利</w:t>
      </w:r>
      <w:r>
        <w:t xml:space="preserve"> — </w:t>
      </w:r>
      <w:r>
        <w:rPr>
          <w:rFonts w:hint="eastAsia"/>
        </w:rPr>
        <w:t xml:space="preserve">攤薄</w:t>
      </w:r>
    </w:p>
    <w:p>
      <w:pPr>
        <w:pStyle w:val="BodyText"/>
      </w:pPr>
      <w:r>
        <w:rPr>
          <w:rFonts w:hint="eastAsia"/>
        </w:rPr>
        <w:t xml:space="preserve">溢利（百萬美元）</w:t>
      </w:r>
    </w:p>
    <w:p>
      <w:pPr>
        <w:pStyle w:val="BodyText"/>
      </w:pPr>
      <w:r>
        <w:rPr>
          <w:rFonts w:hint="eastAsia"/>
        </w:rPr>
        <w:t xml:space="preserve">普通股的加權平均股數(2)（百萬）</w:t>
      </w:r>
    </w:p>
    <w:p>
      <w:pPr>
        <w:pStyle w:val="BodyText"/>
      </w:pPr>
      <w:r>
        <w:rPr>
          <w:rFonts w:hint="eastAsia"/>
        </w:rPr>
        <w:t xml:space="preserve">每股攤薄盈利(2)（美仙）</w:t>
      </w:r>
    </w:p>
    <w:p>
      <w:pPr>
        <w:pStyle w:val="BodyText"/>
      </w:pPr>
      <w:r>
        <w:rPr>
          <w:rFonts w:hint="eastAsia"/>
        </w:rPr>
        <w:t xml:space="preserve">附註：</w:t>
      </w:r>
      <w:r>
        <w:br/>
      </w:r>
      <w:r>
        <w:t xml:space="preserve">(1) </w:t>
      </w:r>
      <w:r>
        <w:rPr>
          <w:rFonts w:hint="eastAsia"/>
        </w:rPr>
        <w:t xml:space="preserve">僅為本公司股東應佔權益，不包括非控股權益。</w:t>
      </w:r>
    </w:p>
    <w:p>
      <w:pPr>
        <w:pStyle w:val="BodyText"/>
      </w:pPr>
      <w:r>
        <w:rPr>
          <w:rFonts w:hint="eastAsia"/>
        </w:rPr>
        <w:t xml:space="preserve">純利(1)(3)</w:t>
      </w:r>
    </w:p>
    <w:p>
      <w:pPr>
        <w:pStyle w:val="BodyText"/>
      </w:pPr>
      <w:r>
        <w:rPr>
          <w:rFonts w:hint="eastAsia"/>
        </w:rPr>
        <w:t xml:space="preserve">稅後營運溢利(1)(3)</w:t>
      </w:r>
    </w:p>
    <w:p>
      <w:pPr>
        <w:pStyle w:val="BodyText"/>
      </w:pPr>
      <w:r>
        <w:rPr>
          <w:rFonts w:hint="eastAsia"/>
        </w:rPr>
        <w:t xml:space="preserve">2020年</w:t>
      </w:r>
    </w:p>
    <w:p>
      <w:pPr>
        <w:pStyle w:val="BodyText"/>
      </w:pPr>
      <w:r>
        <w:t xml:space="preserve">5,779</w:t>
      </w:r>
    </w:p>
    <w:p>
      <w:pPr>
        <w:pStyle w:val="BodyText"/>
      </w:pPr>
      <w:r>
        <w:t xml:space="preserve">12,060</w:t>
      </w:r>
    </w:p>
    <w:p>
      <w:pPr>
        <w:pStyle w:val="BodyText"/>
      </w:pPr>
      <w:r>
        <w:t xml:space="preserve">47.92</w:t>
      </w:r>
    </w:p>
    <w:p>
      <w:pPr>
        <w:pStyle w:val="BodyText"/>
      </w:pPr>
      <w:r>
        <w:rPr>
          <w:rFonts w:hint="eastAsia"/>
        </w:rPr>
        <w:t xml:space="preserve">2019年</w:t>
      </w:r>
    </w:p>
    <w:p>
      <w:pPr>
        <w:pStyle w:val="BodyText"/>
      </w:pPr>
      <w:r>
        <w:t xml:space="preserve">5,979</w:t>
      </w:r>
    </w:p>
    <w:p>
      <w:pPr>
        <w:pStyle w:val="BodyText"/>
      </w:pPr>
      <w:r>
        <w:t xml:space="preserve">12,042</w:t>
      </w:r>
    </w:p>
    <w:p>
      <w:pPr>
        <w:pStyle w:val="BodyText"/>
      </w:pPr>
      <w:r>
        <w:t xml:space="preserve">49.65</w:t>
      </w:r>
    </w:p>
    <w:p>
      <w:pPr>
        <w:pStyle w:val="BodyText"/>
      </w:pPr>
      <w:r>
        <w:rPr>
          <w:rFonts w:hint="eastAsia"/>
        </w:rPr>
        <w:t xml:space="preserve">2020年</w:t>
      </w:r>
    </w:p>
    <w:p>
      <w:pPr>
        <w:pStyle w:val="BodyText"/>
      </w:pPr>
      <w:r>
        <w:t xml:space="preserve">5,942</w:t>
      </w:r>
    </w:p>
    <w:p>
      <w:pPr>
        <w:pStyle w:val="BodyText"/>
      </w:pPr>
      <w:r>
        <w:t xml:space="preserve">12,060</w:t>
      </w:r>
    </w:p>
    <w:p>
      <w:pPr>
        <w:pStyle w:val="BodyText"/>
      </w:pPr>
      <w:r>
        <w:t xml:space="preserve">49.27</w:t>
      </w:r>
    </w:p>
    <w:p>
      <w:pPr>
        <w:pStyle w:val="BodyText"/>
      </w:pPr>
      <w:r>
        <w:rPr>
          <w:rFonts w:hint="eastAsia"/>
        </w:rPr>
        <w:t xml:space="preserve">2019年</w:t>
      </w:r>
    </w:p>
    <w:p>
      <w:pPr>
        <w:pStyle w:val="BodyText"/>
      </w:pPr>
      <w:r>
        <w:t xml:space="preserve">5,689</w:t>
      </w:r>
    </w:p>
    <w:p>
      <w:pPr>
        <w:pStyle w:val="BodyText"/>
      </w:pPr>
      <w:r>
        <w:t xml:space="preserve">12,042</w:t>
      </w:r>
    </w:p>
    <w:p>
      <w:pPr>
        <w:pStyle w:val="BodyText"/>
      </w:pPr>
      <w:r>
        <w:t xml:space="preserve">47.24</w:t>
      </w:r>
    </w:p>
    <w:p>
      <w:pPr>
        <w:pStyle w:val="BodyText"/>
      </w:pPr>
      <w:r>
        <w:rPr>
          <w:rFonts w:hint="eastAsia"/>
        </w:rPr>
        <w:t xml:space="preserve">純利(1)(3)</w:t>
      </w:r>
    </w:p>
    <w:p>
      <w:pPr>
        <w:pStyle w:val="BodyText"/>
      </w:pPr>
      <w:r>
        <w:rPr>
          <w:rFonts w:hint="eastAsia"/>
        </w:rPr>
        <w:t xml:space="preserve">稅後營運溢利(1)(3)</w:t>
      </w:r>
    </w:p>
    <w:p>
      <w:pPr>
        <w:pStyle w:val="BodyText"/>
      </w:pPr>
      <w:r>
        <w:rPr>
          <w:rFonts w:hint="eastAsia"/>
        </w:rPr>
        <w:t xml:space="preserve">2020年</w:t>
      </w:r>
    </w:p>
    <w:p>
      <w:pPr>
        <w:pStyle w:val="BodyText"/>
      </w:pPr>
      <w:r>
        <w:t xml:space="preserve">5,779</w:t>
      </w:r>
    </w:p>
    <w:p>
      <w:pPr>
        <w:pStyle w:val="BodyText"/>
      </w:pPr>
      <w:r>
        <w:t xml:space="preserve">12,080</w:t>
      </w:r>
    </w:p>
    <w:p>
      <w:pPr>
        <w:pStyle w:val="BodyText"/>
      </w:pPr>
      <w:r>
        <w:t xml:space="preserve">47.84</w:t>
      </w:r>
    </w:p>
    <w:p>
      <w:pPr>
        <w:pStyle w:val="BodyText"/>
      </w:pPr>
      <w:r>
        <w:rPr>
          <w:rFonts w:hint="eastAsia"/>
        </w:rPr>
        <w:t xml:space="preserve">2019年</w:t>
      </w:r>
    </w:p>
    <w:p>
      <w:pPr>
        <w:pStyle w:val="BodyText"/>
      </w:pPr>
      <w:r>
        <w:t xml:space="preserve">5,979</w:t>
      </w:r>
    </w:p>
    <w:p>
      <w:pPr>
        <w:pStyle w:val="BodyText"/>
      </w:pPr>
      <w:r>
        <w:t xml:space="preserve">12,071</w:t>
      </w:r>
    </w:p>
    <w:p>
      <w:pPr>
        <w:pStyle w:val="BodyText"/>
      </w:pPr>
      <w:r>
        <w:t xml:space="preserve">49.53</w:t>
      </w:r>
    </w:p>
    <w:p>
      <w:pPr>
        <w:pStyle w:val="BodyText"/>
      </w:pPr>
      <w:r>
        <w:rPr>
          <w:rFonts w:hint="eastAsia"/>
        </w:rPr>
        <w:t xml:space="preserve">2020年</w:t>
      </w:r>
    </w:p>
    <w:p>
      <w:pPr>
        <w:pStyle w:val="BodyText"/>
      </w:pPr>
      <w:r>
        <w:t xml:space="preserve">5,942</w:t>
      </w:r>
    </w:p>
    <w:p>
      <w:pPr>
        <w:pStyle w:val="BodyText"/>
      </w:pPr>
      <w:r>
        <w:t xml:space="preserve">12,080</w:t>
      </w:r>
    </w:p>
    <w:p>
      <w:pPr>
        <w:pStyle w:val="BodyText"/>
      </w:pPr>
      <w:r>
        <w:t xml:space="preserve">49.19</w:t>
      </w:r>
    </w:p>
    <w:p>
      <w:pPr>
        <w:pStyle w:val="BodyText"/>
      </w:pPr>
      <w:r>
        <w:rPr>
          <w:rFonts w:hint="eastAsia"/>
        </w:rPr>
        <w:t xml:space="preserve">2019年</w:t>
      </w:r>
    </w:p>
    <w:p>
      <w:pPr>
        <w:pStyle w:val="BodyText"/>
      </w:pPr>
      <w:r>
        <w:t xml:space="preserve">5,689</w:t>
      </w:r>
    </w:p>
    <w:p>
      <w:pPr>
        <w:pStyle w:val="BodyText"/>
      </w:pPr>
      <w:r>
        <w:t xml:space="preserve">12,071</w:t>
      </w:r>
    </w:p>
    <w:p>
      <w:pPr>
        <w:pStyle w:val="BodyText"/>
      </w:pPr>
      <w:r>
        <w:t xml:space="preserve">47.13</w:t>
      </w:r>
    </w:p>
    <w:p>
      <w:pPr>
        <w:pStyle w:val="Compact"/>
        <w:numPr>
          <w:ilvl w:val="0"/>
          <w:numId w:val="1040"/>
        </w:numPr>
      </w:pPr>
      <w:r>
        <w:rPr>
          <w:rFonts w:hint="eastAsia"/>
        </w:rPr>
        <w:t xml:space="preserve">每股攤薄盈利包括根據合併財務報表附註40所述以股份為基礎的報酬計劃中授予合資格董事、主管、僱員及代理的購股權、受限制股份單</w:t>
      </w:r>
    </w:p>
    <w:p>
      <w:pPr>
        <w:pStyle w:val="FirstParagraph"/>
      </w:pPr>
      <w:r>
        <w:rPr>
          <w:rFonts w:hint="eastAsia"/>
        </w:rPr>
        <w:t xml:space="preserve">位、受限制股份購買單位及受限制股份認購單位的攤薄影響（如有）。</w:t>
      </w:r>
    </w:p>
    <w:p>
      <w:pPr>
        <w:pStyle w:val="Compact"/>
        <w:numPr>
          <w:ilvl w:val="0"/>
          <w:numId w:val="1041"/>
        </w:numPr>
      </w:pPr>
      <w:r>
        <w:rPr>
          <w:rFonts w:hint="eastAsia"/>
        </w:rPr>
        <w:t xml:space="preserve">香港分紅業務的會計政策變更後。比較資料已予調整，以與當前期間的呈列相符。詳細資料載列於合併財務報表附註48。</w:t>
      </w:r>
    </w:p>
    <w:p>
      <w:pPr>
        <w:pStyle w:val="FirstParagraph"/>
      </w:pPr>
      <w:r>
        <w:t xml:space="preserve">027</w:t>
      </w:r>
    </w:p>
    <w:p>
      <w:pPr>
        <w:pStyle w:val="BodyText"/>
      </w:pPr>
      <w:r>
        <w:rPr>
          <w:rFonts w:hint="eastAsia"/>
        </w:rPr>
        <w:t xml:space="preserve">概覽財務及營運回顧企業管治其他資料財務報表2020年報</w:t>
      </w:r>
    </w:p>
    <w:p>
      <w:pPr>
        <w:pStyle w:val="BodyText"/>
      </w:pPr>
      <w:r>
        <w:rPr>
          <w:rFonts w:hint="eastAsia"/>
        </w:rPr>
        <w:t xml:space="preserve">資本</w:t>
      </w:r>
    </w:p>
    <w:p>
      <w:pPr>
        <w:pStyle w:val="BodyText"/>
      </w:pPr>
      <w:r>
        <w:rPr>
          <w:rFonts w:hint="eastAsia"/>
        </w:rPr>
        <w:t xml:space="preserve">自由盈餘產生</w:t>
      </w:r>
    </w:p>
    <w:p>
      <w:pPr>
        <w:pStyle w:val="BodyText"/>
      </w:pPr>
      <w:r>
        <w:rPr>
          <w:rFonts w:hint="eastAsia"/>
        </w:rPr>
        <w:t xml:space="preserve">本集團的自由盈餘為經調整資產淨值超出所需資本（包括合併準備金及資本要求）的部分。本集團持有自由盈餘</w:t>
      </w:r>
    </w:p>
    <w:p>
      <w:pPr>
        <w:pStyle w:val="BodyText"/>
      </w:pPr>
      <w:r>
        <w:rPr>
          <w:rFonts w:hint="eastAsia"/>
        </w:rPr>
        <w:t xml:space="preserve">以令本集團可以投資新業務，善用非內部機遇及應對資本市場壓力帶來的影響。</w:t>
      </w:r>
    </w:p>
    <w:p>
      <w:pPr>
        <w:pStyle w:val="BodyText"/>
      </w:pPr>
      <w:r>
        <w:rPr>
          <w:rFonts w:hint="eastAsia"/>
        </w:rPr>
        <w:t xml:space="preserve">產生的基本自由盈餘為期間有效保單業務所產生的自由盈餘的預期金額的營運指標，此未計入投資新業務、未分</w:t>
      </w:r>
    </w:p>
    <w:p>
      <w:pPr>
        <w:pStyle w:val="BodyText"/>
      </w:pPr>
      <w:r>
        <w:rPr>
          <w:rFonts w:hint="eastAsia"/>
        </w:rPr>
        <w:t xml:space="preserve">配集團總部開支、財務費用、投資回報差異及其他非營運項目。</w:t>
      </w:r>
    </w:p>
    <w:p>
      <w:pPr>
        <w:pStyle w:val="BodyText"/>
      </w:pPr>
      <w:r>
        <w:rPr>
          <w:rFonts w:hint="eastAsia"/>
        </w:rPr>
        <w:t xml:space="preserve">產生的基本自由盈餘增加7%至58.43億美元是由於我們有效保單組合的持續增長及我們對此積極管理所帶動，這</w:t>
      </w:r>
    </w:p>
    <w:p>
      <w:pPr>
        <w:pStyle w:val="BodyText"/>
      </w:pPr>
      <w:r>
        <w:rPr>
          <w:rFonts w:hint="eastAsia"/>
        </w:rPr>
        <w:t xml:space="preserve">足以抵銷預期投資回報降低的影響。下半年產生的基本自由盈餘亦反映了長期經濟假設在本年中的下跌。</w:t>
      </w:r>
    </w:p>
    <w:p>
      <w:pPr>
        <w:pStyle w:val="BodyText"/>
      </w:pPr>
      <w:r>
        <w:rPr>
          <w:rFonts w:hint="eastAsia"/>
        </w:rPr>
        <w:t xml:space="preserve">承保新業務所投資的自由盈餘較去年減少2%至14.28億美元，乃由於新業務量下跌，但被相關承保開支超支及香</w:t>
      </w:r>
    </w:p>
    <w:p>
      <w:pPr>
        <w:pStyle w:val="BodyText"/>
      </w:pPr>
      <w:r>
        <w:rPr>
          <w:rFonts w:hint="eastAsia"/>
        </w:rPr>
        <w:t xml:space="preserve">港分紅產品佔產品組合較少的影響所抵銷。</w:t>
      </w:r>
    </w:p>
    <w:p>
      <w:pPr>
        <w:pStyle w:val="BodyText"/>
      </w:pPr>
      <w:r>
        <w:rPr>
          <w:rFonts w:hint="eastAsia"/>
        </w:rPr>
        <w:t xml:space="preserve">於2020年12月31日，於派付19.97億美元的股息後，本集團的財務狀況仍然非常穩健，自由盈餘為134.73億美</w:t>
      </w:r>
    </w:p>
    <w:p>
      <w:pPr>
        <w:pStyle w:val="BodyText"/>
      </w:pPr>
      <w:r>
        <w:rPr>
          <w:rFonts w:hint="eastAsia"/>
        </w:rPr>
        <w:t xml:space="preserve">元。2020年負面投資差異反映了法定準備金當中政府債券收益率急劇下跌（尤其是在美國及泰國）以及泰國股市</w:t>
      </w:r>
    </w:p>
    <w:p>
      <w:pPr>
        <w:pStyle w:val="BodyText"/>
      </w:pPr>
      <w:r>
        <w:rPr>
          <w:rFonts w:hint="eastAsia"/>
        </w:rPr>
        <w:t xml:space="preserve">大幅下滑的影響。</w:t>
      </w:r>
    </w:p>
    <w:p>
      <w:pPr>
        <w:pStyle w:val="BodyText"/>
      </w:pPr>
      <w:r>
        <w:rPr>
          <w:rFonts w:hint="eastAsia"/>
        </w:rPr>
        <w:t xml:space="preserve">下表概述自由盈餘變動：</w:t>
      </w:r>
    </w:p>
    <w:p>
      <w:pPr>
        <w:pStyle w:val="BodyText"/>
      </w:pPr>
      <w:r>
        <w:rPr>
          <w:rFonts w:hint="eastAsia"/>
        </w:rPr>
        <w:t xml:space="preserve">百萬美元，除另有說明外</w:t>
      </w:r>
    </w:p>
    <w:p>
      <w:pPr>
        <w:pStyle w:val="BodyText"/>
      </w:pPr>
      <w:r>
        <w:rPr>
          <w:rFonts w:hint="eastAsia"/>
        </w:rPr>
        <w:t xml:space="preserve">期初自由盈餘</w:t>
      </w:r>
    </w:p>
    <w:p>
      <w:pPr>
        <w:pStyle w:val="BodyText"/>
      </w:pPr>
      <w:r>
        <w:rPr>
          <w:rFonts w:hint="eastAsia"/>
        </w:rPr>
        <w:t xml:space="preserve">收購的影響(1)</w:t>
      </w:r>
    </w:p>
    <w:p>
      <w:pPr>
        <w:pStyle w:val="BodyText"/>
      </w:pPr>
      <w:r>
        <w:rPr>
          <w:rFonts w:hint="eastAsia"/>
        </w:rPr>
        <w:t xml:space="preserve">產生的基本自由盈餘</w:t>
      </w:r>
    </w:p>
    <w:p>
      <w:pPr>
        <w:pStyle w:val="BodyText"/>
      </w:pPr>
      <w:r>
        <w:rPr>
          <w:rFonts w:hint="eastAsia"/>
        </w:rPr>
        <w:t xml:space="preserve">撥付新業務所用的自由盈餘</w:t>
      </w:r>
    </w:p>
    <w:p>
      <w:pPr>
        <w:pStyle w:val="BodyText"/>
      </w:pPr>
      <w:r>
        <w:rPr>
          <w:rFonts w:hint="eastAsia"/>
        </w:rPr>
        <w:t xml:space="preserve">未分配集團總部開支</w:t>
      </w:r>
    </w:p>
    <w:p>
      <w:pPr>
        <w:pStyle w:val="BodyText"/>
      </w:pPr>
      <w:r>
        <w:rPr>
          <w:rFonts w:hint="eastAsia"/>
        </w:rPr>
        <w:t xml:space="preserve">財務費用及其他資本變動</w:t>
      </w:r>
    </w:p>
    <w:p>
      <w:pPr>
        <w:pStyle w:val="BodyText"/>
      </w:pPr>
      <w:r>
        <w:rPr>
          <w:rFonts w:hint="eastAsia"/>
        </w:rPr>
        <w:t xml:space="preserve">未計及投資差異及股息的自由盈餘</w:t>
      </w:r>
    </w:p>
    <w:p>
      <w:pPr>
        <w:pStyle w:val="BodyText"/>
      </w:pPr>
      <w:r>
        <w:rPr>
          <w:rFonts w:hint="eastAsia"/>
        </w:rPr>
        <w:t xml:space="preserve">投資回報差異及其他項目</w:t>
      </w:r>
    </w:p>
    <w:p>
      <w:pPr>
        <w:pStyle w:val="BodyText"/>
      </w:pPr>
      <w:r>
        <w:rPr>
          <w:rFonts w:hint="eastAsia"/>
        </w:rPr>
        <w:t xml:space="preserve">未計及股息的自由盈餘</w:t>
      </w:r>
    </w:p>
    <w:p>
      <w:pPr>
        <w:pStyle w:val="BodyText"/>
      </w:pPr>
      <w:r>
        <w:rPr>
          <w:rFonts w:hint="eastAsia"/>
        </w:rPr>
        <w:t xml:space="preserve">股息</w:t>
      </w:r>
    </w:p>
    <w:p>
      <w:pPr>
        <w:pStyle w:val="BodyText"/>
      </w:pPr>
      <w:r>
        <w:rPr>
          <w:rFonts w:hint="eastAsia"/>
        </w:rPr>
        <w:t xml:space="preserve">期末自由盈餘</w:t>
      </w:r>
    </w:p>
    <w:p>
      <w:pPr>
        <w:pStyle w:val="BodyText"/>
      </w:pPr>
      <w:r>
        <w:rPr>
          <w:rFonts w:hint="eastAsia"/>
        </w:rPr>
        <w:t xml:space="preserve">附註：</w:t>
      </w:r>
      <w:r>
        <w:br/>
      </w:r>
      <w:r>
        <w:t xml:space="preserve">(1) </w:t>
      </w:r>
      <w:r>
        <w:rPr>
          <w:rFonts w:hint="eastAsia"/>
        </w:rPr>
        <w:t xml:space="preserve">2019年收購CMLA的影響乃經計及再保險的影響後計算。</w:t>
      </w:r>
    </w:p>
    <w:p>
      <w:pPr>
        <w:pStyle w:val="BodyText"/>
      </w:pPr>
      <w:r>
        <w:rPr>
          <w:rFonts w:hint="eastAsia"/>
        </w:rPr>
        <w:t xml:space="preserve">2020年</w:t>
      </w:r>
    </w:p>
    <w:p>
      <w:pPr>
        <w:pStyle w:val="BodyText"/>
      </w:pPr>
      <w:r>
        <w:t xml:space="preserve">14,917</w:t>
      </w:r>
    </w:p>
    <w:p>
      <w:pPr>
        <w:pStyle w:val="FirstParagraph"/>
      </w:pPr>
      <w:r>
        <w:t xml:space="preserve">5,843</w:t>
      </w:r>
    </w:p>
    <w:p>
      <w:pPr>
        <w:pStyle w:val="BodyText"/>
      </w:pPr>
      <w:r>
        <w:t xml:space="preserve">(1,428)</w:t>
      </w:r>
    </w:p>
    <w:p>
      <w:pPr>
        <w:pStyle w:val="FirstParagraph"/>
      </w:pPr>
      <w:r>
        <w:t xml:space="preserve">18,975</w:t>
      </w:r>
    </w:p>
    <w:p>
      <w:pPr>
        <w:pStyle w:val="BodyText"/>
      </w:pPr>
      <w:r>
        <w:t xml:space="preserve">(3,505)</w:t>
      </w:r>
    </w:p>
    <w:p>
      <w:pPr>
        <w:pStyle w:val="BodyText"/>
      </w:pPr>
      <w:r>
        <w:t xml:space="preserve">15,470</w:t>
      </w:r>
    </w:p>
    <w:p>
      <w:pPr>
        <w:pStyle w:val="BodyText"/>
      </w:pPr>
      <w:r>
        <w:t xml:space="preserve">(1,997)</w:t>
      </w:r>
    </w:p>
    <w:p>
      <w:pPr>
        <w:pStyle w:val="BodyText"/>
      </w:pPr>
      <w:r>
        <w:t xml:space="preserve">13,473</w:t>
      </w:r>
    </w:p>
    <w:p>
      <w:pPr>
        <w:pStyle w:val="BodyText"/>
      </w:pPr>
      <w:r>
        <w:rPr>
          <w:rFonts w:hint="eastAsia"/>
        </w:rPr>
        <w:t xml:space="preserve">2019年</w:t>
      </w:r>
    </w:p>
    <w:p>
      <w:pPr>
        <w:pStyle w:val="BodyText"/>
      </w:pPr>
      <w:r>
        <w:t xml:space="preserve">14,751</w:t>
      </w:r>
    </w:p>
    <w:p>
      <w:pPr>
        <w:pStyle w:val="BodyText"/>
      </w:pPr>
      <w:r>
        <w:t xml:space="preserve">(1,045)</w:t>
      </w:r>
    </w:p>
    <w:p>
      <w:pPr>
        <w:pStyle w:val="BodyText"/>
      </w:pPr>
      <w:r>
        <w:t xml:space="preserve">5,501</w:t>
      </w:r>
    </w:p>
    <w:p>
      <w:pPr>
        <w:pStyle w:val="BodyText"/>
      </w:pPr>
      <w:r>
        <w:t xml:space="preserve">(1,477)</w:t>
      </w:r>
    </w:p>
    <w:p>
      <w:pPr>
        <w:pStyle w:val="FirstParagraph"/>
      </w:pPr>
      <w:r>
        <w:t xml:space="preserve">17,466</w:t>
      </w:r>
    </w:p>
    <w:p>
      <w:pPr>
        <w:pStyle w:val="FirstParagraph"/>
      </w:pPr>
      <w:r>
        <w:t xml:space="preserve">16,878</w:t>
      </w:r>
    </w:p>
    <w:p>
      <w:pPr>
        <w:pStyle w:val="BodyText"/>
      </w:pPr>
      <w:r>
        <w:t xml:space="preserve">(1,961)</w:t>
      </w:r>
    </w:p>
    <w:p>
      <w:pPr>
        <w:pStyle w:val="BodyText"/>
      </w:pPr>
      <w:r>
        <w:t xml:space="preserve">14,917</w:t>
      </w:r>
    </w:p>
    <w:p>
      <w:pPr>
        <w:pStyle w:val="BodyText"/>
      </w:pPr>
      <w:r>
        <w:t xml:space="preserve">028</w:t>
      </w:r>
    </w:p>
    <w:p>
      <w:pPr>
        <w:pStyle w:val="BodyText"/>
      </w:pPr>
      <w:r>
        <w:rPr>
          <w:rFonts w:hint="eastAsia"/>
        </w:rPr>
        <w:t xml:space="preserve">財務及營運回顧友邦保險控股有限公司集團首席財務總監回顧</w:t>
      </w:r>
    </w:p>
    <w:p>
      <w:pPr>
        <w:pStyle w:val="BodyText"/>
      </w:pPr>
      <w:r>
        <w:rPr>
          <w:rFonts w:hint="eastAsia"/>
        </w:rPr>
        <w:t xml:space="preserve">營運資金及集團企業中心匯款淨額</w:t>
      </w:r>
    </w:p>
    <w:p>
      <w:pPr>
        <w:pStyle w:val="BodyText"/>
      </w:pPr>
      <w:r>
        <w:rPr>
          <w:rFonts w:hint="eastAsia"/>
        </w:rPr>
        <w:t xml:space="preserve">於派付股息19.97億美元後，營運資金增加36.98億美元至2020年</w:t>
      </w:r>
      <w:r>
        <w:t xml:space="preserve"> </w:t>
      </w:r>
      <w:r>
        <w:rPr>
          <w:rFonts w:hint="eastAsia"/>
        </w:rPr>
        <w:t xml:space="preserve">12月31日的171.69億美元。</w:t>
      </w:r>
    </w:p>
    <w:p>
      <w:pPr>
        <w:pStyle w:val="BodyText"/>
      </w:pPr>
      <w:r>
        <w:rPr>
          <w:rFonts w:hint="eastAsia"/>
        </w:rPr>
        <w:t xml:space="preserve">業務單位匯付予集團企業中心的匯款按當地盈利、新業務增長及當地的償付要求而每年訂立計劃。實際匯款淨額</w:t>
      </w:r>
    </w:p>
    <w:p>
      <w:pPr>
        <w:pStyle w:val="BodyText"/>
      </w:pPr>
      <w:r>
        <w:rPr>
          <w:rFonts w:hint="eastAsia"/>
        </w:rPr>
        <w:t xml:space="preserve">經考慮控股公司持有的流動資金、現金流量規定（包括集團總部開支）、借貸利息付款及股息後釐定。</w:t>
      </w:r>
    </w:p>
    <w:p>
      <w:pPr>
        <w:pStyle w:val="BodyText"/>
      </w:pPr>
      <w:r>
        <w:rPr>
          <w:rFonts w:hint="eastAsia"/>
        </w:rPr>
        <w:t xml:space="preserve">我們的本地業務於2020年向集團企業中心匯付26.76億美元，而2019年為37.30億美元。因2019冠狀病毒病大流行</w:t>
      </w:r>
    </w:p>
    <w:p>
      <w:pPr>
        <w:pStyle w:val="BodyText"/>
      </w:pPr>
      <w:r>
        <w:rPr>
          <w:rFonts w:hint="eastAsia"/>
        </w:rPr>
        <w:t xml:space="preserve">對傷殘理賠的行業性影響及當地監管資本要求的增加而對澳洲的出資，抵銷了來自其他市場的正面匯款。如早前</w:t>
      </w:r>
    </w:p>
    <w:p>
      <w:pPr>
        <w:pStyle w:val="BodyText"/>
      </w:pPr>
      <w:r>
        <w:rPr>
          <w:rFonts w:hint="eastAsia"/>
        </w:rPr>
        <w:t xml:space="preserve">所述，由於所需監管批文的時間安排，於2019年的37.30億美元匯款淨額包括一筆2018年來自泰國的匯款。</w:t>
      </w:r>
    </w:p>
    <w:p>
      <w:pPr>
        <w:pStyle w:val="BodyText"/>
      </w:pPr>
      <w:r>
        <w:rPr>
          <w:rFonts w:hint="eastAsia"/>
        </w:rPr>
        <w:t xml:space="preserve">我們自全球中期票據及證券計劃下募集了27.92億美元，且我們就收購CMLA支付了8.39億美元。</w:t>
      </w:r>
    </w:p>
    <w:p>
      <w:pPr>
        <w:pStyle w:val="BodyText"/>
      </w:pPr>
      <w:r>
        <w:rPr>
          <w:rFonts w:hint="eastAsia"/>
        </w:rPr>
        <w:t xml:space="preserve">營運資金變動概述如下：</w:t>
      </w:r>
    </w:p>
    <w:p>
      <w:pPr>
        <w:pStyle w:val="BodyText"/>
      </w:pPr>
      <w:r>
        <w:rPr>
          <w:rFonts w:hint="eastAsia"/>
        </w:rPr>
        <w:t xml:space="preserve">百萬美元，除另有說明外</w:t>
      </w:r>
    </w:p>
    <w:p>
      <w:pPr>
        <w:pStyle w:val="BodyText"/>
      </w:pPr>
      <w:r>
        <w:rPr>
          <w:rFonts w:hint="eastAsia"/>
        </w:rPr>
        <w:t xml:space="preserve">期初營運資金</w:t>
      </w:r>
    </w:p>
    <w:p>
      <w:pPr>
        <w:pStyle w:val="BodyText"/>
      </w:pPr>
      <w:r>
        <w:rPr>
          <w:rFonts w:hint="eastAsia"/>
        </w:rPr>
        <w:t xml:space="preserve">集團企業中心營運業績(1)</w:t>
      </w:r>
    </w:p>
    <w:p>
      <w:pPr>
        <w:pStyle w:val="BodyText"/>
      </w:pPr>
      <w:r>
        <w:rPr>
          <w:rFonts w:hint="eastAsia"/>
        </w:rPr>
        <w:t xml:space="preserve">來自業務單位的匯款淨額</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其他市場</w:t>
      </w:r>
    </w:p>
    <w:p>
      <w:pPr>
        <w:pStyle w:val="BodyText"/>
      </w:pPr>
      <w:r>
        <w:rPr>
          <w:rFonts w:hint="eastAsia"/>
        </w:rPr>
        <w:t xml:space="preserve">匯付予集團企業中心的匯款淨額</w:t>
      </w:r>
    </w:p>
    <w:p>
      <w:pPr>
        <w:pStyle w:val="BodyText"/>
      </w:pPr>
      <w:r>
        <w:rPr>
          <w:rFonts w:hint="eastAsia"/>
        </w:rPr>
        <w:t xml:space="preserve">支付收購CMLA款項</w:t>
      </w:r>
    </w:p>
    <w:p>
      <w:pPr>
        <w:pStyle w:val="BodyText"/>
      </w:pPr>
      <w:r>
        <w:rPr>
          <w:rFonts w:hint="eastAsia"/>
        </w:rPr>
        <w:t xml:space="preserve">借貸增加</w:t>
      </w:r>
    </w:p>
    <w:p>
      <w:pPr>
        <w:pStyle w:val="BodyText"/>
      </w:pPr>
      <w:r>
        <w:rPr>
          <w:rFonts w:hint="eastAsia"/>
        </w:rPr>
        <w:t xml:space="preserve">注入僱員股票信託的股份</w:t>
      </w:r>
    </w:p>
    <w:p>
      <w:pPr>
        <w:pStyle w:val="BodyText"/>
      </w:pPr>
      <w:r>
        <w:rPr>
          <w:rFonts w:hint="eastAsia"/>
        </w:rPr>
        <w:t xml:space="preserve">派付股息</w:t>
      </w:r>
    </w:p>
    <w:p>
      <w:pPr>
        <w:pStyle w:val="BodyText"/>
      </w:pPr>
      <w:r>
        <w:rPr>
          <w:rFonts w:hint="eastAsia"/>
        </w:rPr>
        <w:t xml:space="preserve">債務證券的市值變動及其他事項(1)</w:t>
      </w:r>
    </w:p>
    <w:p>
      <w:pPr>
        <w:pStyle w:val="BodyText"/>
      </w:pPr>
      <w:r>
        <w:rPr>
          <w:rFonts w:hint="eastAsia"/>
        </w:rPr>
        <w:t xml:space="preserve">期末營運資金</w:t>
      </w:r>
    </w:p>
    <w:p>
      <w:pPr>
        <w:pStyle w:val="BodyText"/>
      </w:pPr>
      <w:r>
        <w:rPr>
          <w:rFonts w:hint="eastAsia"/>
        </w:rPr>
        <w:t xml:space="preserve">2020年</w:t>
      </w:r>
    </w:p>
    <w:p>
      <w:pPr>
        <w:pStyle w:val="BodyText"/>
      </w:pPr>
      <w:r>
        <w:t xml:space="preserve">13,471</w:t>
      </w:r>
    </w:p>
    <w:p>
      <w:pPr>
        <w:pStyle w:val="BodyText"/>
      </w:pPr>
      <w:r>
        <w:t xml:space="preserve">42</w:t>
      </w:r>
    </w:p>
    <w:p>
      <w:pPr>
        <w:pStyle w:val="BodyText"/>
      </w:pPr>
      <w:r>
        <w:t xml:space="preserve">643</w:t>
      </w:r>
    </w:p>
    <w:p>
      <w:pPr>
        <w:pStyle w:val="BodyText"/>
      </w:pPr>
      <w:r>
        <w:t xml:space="preserve">394</w:t>
      </w:r>
    </w:p>
    <w:p>
      <w:pPr>
        <w:pStyle w:val="BodyText"/>
      </w:pPr>
      <w:r>
        <w:t xml:space="preserve">332</w:t>
      </w:r>
    </w:p>
    <w:p>
      <w:pPr>
        <w:pStyle w:val="BodyText"/>
      </w:pPr>
      <w:r>
        <w:t xml:space="preserve">97</w:t>
      </w:r>
    </w:p>
    <w:p>
      <w:pPr>
        <w:pStyle w:val="BodyText"/>
      </w:pPr>
      <w:r>
        <w:t xml:space="preserve">1,139</w:t>
      </w:r>
    </w:p>
    <w:p>
      <w:pPr>
        <w:pStyle w:val="BodyText"/>
      </w:pPr>
      <w:r>
        <w:t xml:space="preserve">71</w:t>
      </w:r>
    </w:p>
    <w:p>
      <w:pPr>
        <w:pStyle w:val="BodyText"/>
      </w:pPr>
      <w:r>
        <w:t xml:space="preserve">2,676</w:t>
      </w:r>
    </w:p>
    <w:p>
      <w:pPr>
        <w:pStyle w:val="FirstParagraph"/>
      </w:pPr>
      <w:r>
        <w:t xml:space="preserve">2,792</w:t>
      </w:r>
    </w:p>
    <w:p>
      <w:pPr>
        <w:pStyle w:val="FirstParagraph"/>
      </w:pPr>
      <w:r>
        <w:t xml:space="preserve">(1,997)</w:t>
      </w:r>
    </w:p>
    <w:p>
      <w:pPr>
        <w:pStyle w:val="BodyText"/>
      </w:pPr>
      <w:r>
        <w:t xml:space="preserve">1,040</w:t>
      </w:r>
    </w:p>
    <w:p>
      <w:pPr>
        <w:pStyle w:val="BodyText"/>
      </w:pPr>
      <w:r>
        <w:t xml:space="preserve">17,169</w:t>
      </w:r>
    </w:p>
    <w:p>
      <w:pPr>
        <w:pStyle w:val="BodyText"/>
      </w:pPr>
      <w:r>
        <w:rPr>
          <w:rFonts w:hint="eastAsia"/>
        </w:rPr>
        <w:t xml:space="preserve">2019年</w:t>
      </w:r>
    </w:p>
    <w:p>
      <w:pPr>
        <w:pStyle w:val="BodyText"/>
      </w:pPr>
      <w:r>
        <w:t xml:space="preserve">10,296</w:t>
      </w:r>
    </w:p>
    <w:p>
      <w:pPr>
        <w:pStyle w:val="FirstParagraph"/>
      </w:pPr>
      <w:r>
        <w:t xml:space="preserve">986</w:t>
      </w:r>
    </w:p>
    <w:p>
      <w:pPr>
        <w:pStyle w:val="BodyText"/>
      </w:pPr>
      <w:r>
        <w:t xml:space="preserve">1,037</w:t>
      </w:r>
    </w:p>
    <w:p>
      <w:pPr>
        <w:pStyle w:val="BodyText"/>
      </w:pPr>
      <w:r>
        <w:t xml:space="preserve">295</w:t>
      </w:r>
    </w:p>
    <w:p>
      <w:pPr>
        <w:pStyle w:val="BodyText"/>
      </w:pPr>
      <w:r>
        <w:t xml:space="preserve">176</w:t>
      </w:r>
    </w:p>
    <w:p>
      <w:pPr>
        <w:pStyle w:val="BodyText"/>
      </w:pPr>
      <w:r>
        <w:t xml:space="preserve">1,022</w:t>
      </w:r>
    </w:p>
    <w:p>
      <w:pPr>
        <w:pStyle w:val="BodyText"/>
      </w:pPr>
      <w:r>
        <w:t xml:space="preserve">214</w:t>
      </w:r>
    </w:p>
    <w:p>
      <w:pPr>
        <w:pStyle w:val="BodyText"/>
      </w:pPr>
      <w:r>
        <w:t xml:space="preserve">3,730</w:t>
      </w:r>
    </w:p>
    <w:p>
      <w:pPr>
        <w:pStyle w:val="FirstParagraph"/>
      </w:pPr>
      <w:r>
        <w:t xml:space="preserve">797</w:t>
      </w:r>
    </w:p>
    <w:p>
      <w:pPr>
        <w:pStyle w:val="FirstParagraph"/>
      </w:pPr>
      <w:r>
        <w:t xml:space="preserve">(1,961)</w:t>
      </w:r>
    </w:p>
    <w:p>
      <w:pPr>
        <w:pStyle w:val="BodyText"/>
      </w:pPr>
      <w:r>
        <w:t xml:space="preserve">977</w:t>
      </w:r>
    </w:p>
    <w:p>
      <w:pPr>
        <w:pStyle w:val="BodyText"/>
      </w:pPr>
      <w:r>
        <w:t xml:space="preserve">13,471</w:t>
      </w:r>
    </w:p>
    <w:p>
      <w:pPr>
        <w:pStyle w:val="BodyText"/>
      </w:pPr>
      <w:r>
        <w:rPr>
          <w:rFonts w:hint="eastAsia"/>
        </w:rPr>
        <w:t xml:space="preserve">附註：</w:t>
      </w:r>
      <w:r>
        <w:br/>
      </w:r>
      <w:r>
        <w:t xml:space="preserve">(1) </w:t>
      </w:r>
      <w:r>
        <w:rPr>
          <w:rFonts w:hint="eastAsia"/>
        </w:rPr>
        <w:t xml:space="preserve">於2020年之前，本集團在集團企業中心呈列預扣稅支出。自2020年起，本集團加強分部資料披露，在發生預扣稅支出的經營分部中呈列預扣</w:t>
      </w:r>
    </w:p>
    <w:p>
      <w:pPr>
        <w:pStyle w:val="BodyText"/>
      </w:pPr>
      <w:r>
        <w:rPr>
          <w:rFonts w:hint="eastAsia"/>
        </w:rPr>
        <w:t xml:space="preserve">稅支出。比較資料已予調整，以與當前期間的呈列相符。</w:t>
      </w:r>
    </w:p>
    <w:p>
      <w:pPr>
        <w:pStyle w:val="BodyText"/>
      </w:pPr>
      <w:r>
        <w:t xml:space="preserve">029</w:t>
      </w:r>
    </w:p>
    <w:p>
      <w:pPr>
        <w:pStyle w:val="BodyText"/>
      </w:pPr>
      <w:r>
        <w:rPr>
          <w:rFonts w:hint="eastAsia"/>
        </w:rPr>
        <w:t xml:space="preserve">概覽財務及營運回顧企業管治其他資料財務報表2020年報</w:t>
      </w:r>
    </w:p>
    <w:p>
      <w:pPr>
        <w:pStyle w:val="BodyText"/>
      </w:pPr>
      <w:r>
        <w:rPr>
          <w:rFonts w:hint="eastAsia"/>
        </w:rPr>
        <w:t xml:space="preserve">控股公司財務資源</w:t>
      </w:r>
    </w:p>
    <w:p>
      <w:pPr>
        <w:pStyle w:val="BodyText"/>
      </w:pPr>
      <w:r>
        <w:rPr>
          <w:rFonts w:hint="eastAsia"/>
        </w:rPr>
        <w:t xml:space="preserve">控股公司財務資源為一項新披露，其將自2021年1月1日開始的財政年度取代營運資金，以就可直接運用於派付股</w:t>
      </w:r>
    </w:p>
    <w:p>
      <w:pPr>
        <w:pStyle w:val="BodyText"/>
      </w:pPr>
      <w:r>
        <w:rPr>
          <w:rFonts w:hint="eastAsia"/>
        </w:rPr>
        <w:t xml:space="preserve">息、支付我們的借貸利息及為我們的業務提供財務支持及投資的財務資源提供更佳的見解。</w:t>
      </w:r>
    </w:p>
    <w:p>
      <w:pPr>
        <w:pStyle w:val="BodyText"/>
      </w:pPr>
      <w:r>
        <w:rPr>
          <w:rFonts w:hint="eastAsia"/>
        </w:rPr>
        <w:t xml:space="preserve">該等財務資源為本集團上市控股公司友邦保險控股有限公司（本公司）的債務及股本證券、存款、現金及現金等</w:t>
      </w:r>
    </w:p>
    <w:p>
      <w:pPr>
        <w:pStyle w:val="BodyText"/>
      </w:pPr>
      <w:r>
        <w:rPr>
          <w:rFonts w:hint="eastAsia"/>
        </w:rPr>
        <w:t xml:space="preserve">價物和已派付但附屬公司未結算的股息，並已扣除回購協議下的債項。</w:t>
      </w:r>
    </w:p>
    <w:p>
      <w:pPr>
        <w:pStyle w:val="BodyText"/>
      </w:pPr>
      <w:r>
        <w:rPr>
          <w:rFonts w:hint="eastAsia"/>
        </w:rPr>
        <w:t xml:space="preserve">控股公司財務資源為集團企業中心持有的營運資金的一部分。控股公司為集團企業中心的一部分，如下圖所示：</w:t>
      </w:r>
    </w:p>
    <w:p>
      <w:pPr>
        <w:pStyle w:val="BodyText"/>
      </w:pPr>
      <w:r>
        <w:rPr>
          <w:rFonts w:hint="eastAsia"/>
        </w:rPr>
        <w:t xml:space="preserve">友邦保險企業架構簡圖(1)</w:t>
      </w:r>
    </w:p>
    <w:p>
      <w:pPr>
        <w:pStyle w:val="BodyText"/>
      </w:pPr>
      <w:r>
        <w:rPr>
          <w:rFonts w:hint="eastAsia"/>
        </w:rPr>
        <w:t xml:space="preserve">集團企業中心</w:t>
      </w:r>
    </w:p>
    <w:p>
      <w:pPr>
        <w:pStyle w:val="BodyText"/>
      </w:pPr>
      <w:r>
        <w:rPr>
          <w:rFonts w:hint="eastAsia"/>
        </w:rPr>
        <w:t xml:space="preserve">友邦保險控股有限公司</w:t>
      </w:r>
    </w:p>
    <w:p>
      <w:pPr>
        <w:pStyle w:val="BodyText"/>
      </w:pPr>
      <w:r>
        <w:rPr>
          <w:rFonts w:hint="eastAsia"/>
        </w:rPr>
        <w:t xml:space="preserve">控股公司</w:t>
      </w:r>
    </w:p>
    <w:p>
      <w:pPr>
        <w:pStyle w:val="BodyText"/>
      </w:pPr>
      <w:r>
        <w:rPr>
          <w:rFonts w:hint="eastAsia"/>
        </w:rPr>
        <w:t xml:space="preserve">其他集團企業</w:t>
      </w:r>
      <w:r>
        <w:br/>
      </w:r>
      <w:r>
        <w:rPr>
          <w:rFonts w:hint="eastAsia"/>
        </w:rPr>
        <w:t xml:space="preserve">中心實體</w:t>
      </w:r>
    </w:p>
    <w:p>
      <w:pPr>
        <w:pStyle w:val="BodyText"/>
      </w:pPr>
      <w:r>
        <w:rPr>
          <w:rFonts w:hint="eastAsia"/>
        </w:rPr>
        <w:t xml:space="preserve">當地業務單位</w:t>
      </w:r>
    </w:p>
    <w:p>
      <w:pPr>
        <w:pStyle w:val="BodyText"/>
      </w:pPr>
      <w:r>
        <w:rPr>
          <w:rFonts w:hint="eastAsia"/>
        </w:rPr>
        <w:t xml:space="preserve">友邦保險有限公司</w:t>
      </w:r>
    </w:p>
    <w:p>
      <w:pPr>
        <w:pStyle w:val="BodyText"/>
      </w:pPr>
      <w:r>
        <w:rPr>
          <w:rFonts w:hint="eastAsia"/>
        </w:rPr>
        <w:t xml:space="preserve">中國內地、泰國、新加坡、</w:t>
      </w:r>
      <w:r>
        <w:br/>
      </w:r>
      <w:r>
        <w:rPr>
          <w:rFonts w:hint="eastAsia"/>
        </w:rPr>
        <w:t xml:space="preserve">馬來西亞、其他(2)</w:t>
      </w:r>
    </w:p>
    <w:p>
      <w:pPr>
        <w:pStyle w:val="BodyText"/>
      </w:pPr>
      <w:r>
        <w:rPr>
          <w:rFonts w:hint="eastAsia"/>
        </w:rPr>
        <w:t xml:space="preserve">友邦保險（國際）有限公司</w:t>
      </w:r>
    </w:p>
    <w:p>
      <w:pPr>
        <w:pStyle w:val="BodyText"/>
      </w:pPr>
      <w:r>
        <w:rPr>
          <w:rFonts w:hint="eastAsia"/>
        </w:rPr>
        <w:t xml:space="preserve">香港、其他(3)</w:t>
      </w:r>
    </w:p>
    <w:p>
      <w:pPr>
        <w:pStyle w:val="Compact"/>
        <w:numPr>
          <w:ilvl w:val="0"/>
          <w:numId w:val="1051"/>
        </w:numPr>
      </w:pPr>
      <w:r>
        <w:rPr>
          <w:rFonts w:hint="eastAsia"/>
        </w:rPr>
        <w:t xml:space="preserve">圖表僅作說明目的，並非旨在描述集團內的所有獨立實體</w:t>
      </w:r>
    </w:p>
    <w:p>
      <w:pPr>
        <w:pStyle w:val="Compact"/>
        <w:numPr>
          <w:ilvl w:val="0"/>
          <w:numId w:val="1051"/>
        </w:numPr>
      </w:pPr>
      <w:r>
        <w:rPr>
          <w:rFonts w:hint="eastAsia"/>
        </w:rPr>
        <w:t xml:space="preserve">澳洲、汶萊、緬甸、菲律賓、斯里蘭卡</w:t>
      </w:r>
    </w:p>
    <w:p>
      <w:pPr>
        <w:pStyle w:val="Compact"/>
        <w:numPr>
          <w:ilvl w:val="0"/>
          <w:numId w:val="1051"/>
        </w:numPr>
      </w:pPr>
      <w:r>
        <w:rPr>
          <w:rFonts w:hint="eastAsia"/>
        </w:rPr>
        <w:t xml:space="preserve">柬埔寨、印尼、印度、南韓、澳門、新西蘭、中國台灣、越南</w:t>
      </w:r>
    </w:p>
    <w:p>
      <w:pPr>
        <w:pStyle w:val="FirstParagraph"/>
      </w:pPr>
      <w:r>
        <w:rPr>
          <w:rFonts w:hint="eastAsia"/>
        </w:rPr>
        <w:t xml:space="preserve">截至2020年12月31日，控股公司財務資源為123.88億美元，而截至2019年12月31日為86.30億美元。37.58億美元</w:t>
      </w:r>
    </w:p>
    <w:p>
      <w:pPr>
        <w:pStyle w:val="BodyText"/>
      </w:pPr>
      <w:r>
        <w:rPr>
          <w:rFonts w:hint="eastAsia"/>
        </w:rPr>
        <w:t xml:space="preserve">的增長主要是由於年內附屬公司流向控股公司的資金流量23.54億美元及發行借貸的所得款項淨額合共27.92億美</w:t>
      </w:r>
    </w:p>
    <w:p>
      <w:pPr>
        <w:pStyle w:val="BodyText"/>
      </w:pPr>
      <w:r>
        <w:rPr>
          <w:rFonts w:hint="eastAsia"/>
        </w:rPr>
        <w:t xml:space="preserve">元，惟被派付股息19.97億美元所抵銷。於2020及2019年度，來自附屬公司的資金流量大部分源自我們的主要營</w:t>
      </w:r>
    </w:p>
    <w:p>
      <w:pPr>
        <w:pStyle w:val="BodyText"/>
      </w:pPr>
      <w:r>
        <w:rPr>
          <w:rFonts w:hint="eastAsia"/>
        </w:rPr>
        <w:t xml:space="preserve">運公司AIA</w:t>
      </w:r>
      <w:r>
        <w:t xml:space="preserve"> Co.。</w:t>
      </w:r>
    </w:p>
    <w:p>
      <w:pPr>
        <w:pStyle w:val="BodyText"/>
      </w:pPr>
      <w:r>
        <w:t xml:space="preserve">030</w:t>
      </w:r>
    </w:p>
    <w:p>
      <w:pPr>
        <w:pStyle w:val="BodyText"/>
      </w:pPr>
      <w:r>
        <w:rPr>
          <w:rFonts w:hint="eastAsia"/>
        </w:rPr>
        <w:t xml:space="preserve">財務及營運回顧友邦保險控股有限公司集團首席財務總監回顧</w:t>
      </w:r>
    </w:p>
    <w:p>
      <w:pPr>
        <w:pStyle w:val="BodyText"/>
      </w:pPr>
      <w:r>
        <w:rPr>
          <w:rFonts w:hint="eastAsia"/>
        </w:rPr>
        <w:t xml:space="preserve">控股公司財務資源的變動概述如下：</w:t>
      </w:r>
    </w:p>
    <w:p>
      <w:pPr>
        <w:pStyle w:val="BodyText"/>
      </w:pPr>
      <w:r>
        <w:rPr>
          <w:rFonts w:hint="eastAsia"/>
        </w:rPr>
        <w:t xml:space="preserve">百萬美元，除另有說明外</w:t>
      </w:r>
    </w:p>
    <w:p>
      <w:pPr>
        <w:pStyle w:val="BodyText"/>
      </w:pPr>
      <w:r>
        <w:rPr>
          <w:rFonts w:hint="eastAsia"/>
        </w:rPr>
        <w:t xml:space="preserve">期初控股公司財務資源</w:t>
      </w:r>
    </w:p>
    <w:p>
      <w:pPr>
        <w:pStyle w:val="BodyText"/>
      </w:pPr>
      <w:r>
        <w:rPr>
          <w:rFonts w:hint="eastAsia"/>
        </w:rPr>
        <w:t xml:space="preserve">來自附屬公司的資金流量</w:t>
      </w:r>
    </w:p>
    <w:p>
      <w:pPr>
        <w:pStyle w:val="BodyText"/>
      </w:pPr>
      <w:r>
        <w:rPr>
          <w:rFonts w:hint="eastAsia"/>
        </w:rPr>
        <w:t xml:space="preserve">企業活動（包括收購）</w:t>
      </w:r>
    </w:p>
    <w:p>
      <w:pPr>
        <w:pStyle w:val="BodyText"/>
      </w:pPr>
      <w:r>
        <w:rPr>
          <w:rFonts w:hint="eastAsia"/>
        </w:rPr>
        <w:t xml:space="preserve">控股公司資金淨流量</w:t>
      </w:r>
    </w:p>
    <w:p>
      <w:pPr>
        <w:pStyle w:val="BodyText"/>
      </w:pPr>
      <w:r>
        <w:rPr>
          <w:rFonts w:hint="eastAsia"/>
        </w:rPr>
        <w:t xml:space="preserve">借貸增加(1)</w:t>
      </w:r>
    </w:p>
    <w:p>
      <w:pPr>
        <w:pStyle w:val="BodyText"/>
      </w:pPr>
      <w:r>
        <w:rPr>
          <w:rFonts w:hint="eastAsia"/>
        </w:rPr>
        <w:t xml:space="preserve">借貸利息支付(1)</w:t>
      </w:r>
    </w:p>
    <w:p>
      <w:pPr>
        <w:pStyle w:val="BodyText"/>
      </w:pPr>
      <w:r>
        <w:rPr>
          <w:rFonts w:hint="eastAsia"/>
        </w:rPr>
        <w:t xml:space="preserve">投資收入、債務證券的市值變動及其他</w:t>
      </w:r>
    </w:p>
    <w:p>
      <w:pPr>
        <w:pStyle w:val="BodyText"/>
      </w:pPr>
      <w:r>
        <w:rPr>
          <w:rFonts w:hint="eastAsia"/>
        </w:rPr>
        <w:t xml:space="preserve">期末派付股息前的控股公司財務資源</w:t>
      </w:r>
    </w:p>
    <w:p>
      <w:pPr>
        <w:pStyle w:val="BodyText"/>
      </w:pPr>
      <w:r>
        <w:rPr>
          <w:rFonts w:hint="eastAsia"/>
        </w:rPr>
        <w:t xml:space="preserve">派付股息</w:t>
      </w:r>
    </w:p>
    <w:p>
      <w:pPr>
        <w:pStyle w:val="BodyText"/>
      </w:pPr>
      <w:r>
        <w:rPr>
          <w:rFonts w:hint="eastAsia"/>
        </w:rPr>
        <w:t xml:space="preserve">期末控股公司財務資源</w:t>
      </w:r>
    </w:p>
    <w:p>
      <w:pPr>
        <w:pStyle w:val="BodyText"/>
      </w:pPr>
      <w:r>
        <w:rPr>
          <w:rFonts w:hint="eastAsia"/>
        </w:rPr>
        <w:t xml:space="preserve">於十二個月內可收回資產及應償還負債如下：</w:t>
      </w:r>
    </w:p>
    <w:p>
      <w:pPr>
        <w:pStyle w:val="BodyText"/>
      </w:pPr>
      <w:r>
        <w:rPr>
          <w:rFonts w:hint="eastAsia"/>
        </w:rPr>
        <w:t xml:space="preserve">百萬美元，除另有說明外</w:t>
      </w:r>
    </w:p>
    <w:p>
      <w:pPr>
        <w:pStyle w:val="BodyText"/>
      </w:pPr>
      <w:r>
        <w:rPr>
          <w:rFonts w:hint="eastAsia"/>
        </w:rPr>
        <w:t xml:space="preserve">向附屬公司借出的貸款</w:t>
      </w:r>
      <w:r>
        <w:t xml:space="preserve"> </w:t>
      </w:r>
      <w:r>
        <w:rPr>
          <w:rFonts w:hint="eastAsia"/>
        </w:rPr>
        <w:t xml:space="preserve">∕應收附屬公司金額(2)</w:t>
      </w:r>
    </w:p>
    <w:p>
      <w:pPr>
        <w:pStyle w:val="BodyText"/>
      </w:pPr>
      <w:r>
        <w:rPr>
          <w:rFonts w:hint="eastAsia"/>
        </w:rPr>
        <w:t xml:space="preserve">中期票據及證券(3)</w:t>
      </w:r>
    </w:p>
    <w:p>
      <w:pPr>
        <w:pStyle w:val="BodyText"/>
      </w:pPr>
      <w:r>
        <w:rPr>
          <w:rFonts w:hint="eastAsia"/>
        </w:rPr>
        <w:t xml:space="preserve">其他資產及其他負債淨額</w:t>
      </w:r>
    </w:p>
    <w:p>
      <w:pPr>
        <w:pStyle w:val="BodyText"/>
      </w:pPr>
      <w:r>
        <w:rPr>
          <w:rFonts w:hint="eastAsia"/>
        </w:rPr>
        <w:t xml:space="preserve">2020年</w:t>
      </w:r>
    </w:p>
    <w:p>
      <w:pPr>
        <w:pStyle w:val="BodyText"/>
      </w:pPr>
      <w:r>
        <w:rPr>
          <w:rFonts w:hint="eastAsia"/>
        </w:rPr>
        <w:t xml:space="preserve">2019年</w:t>
      </w:r>
    </w:p>
    <w:p>
      <w:pPr>
        <w:pStyle w:val="BodyText"/>
      </w:pPr>
      <w:r>
        <w:t xml:space="preserve">8,630</w:t>
      </w:r>
    </w:p>
    <w:p>
      <w:pPr>
        <w:pStyle w:val="BodyText"/>
      </w:pPr>
      <w:r>
        <w:t xml:space="preserve">2,354</w:t>
      </w:r>
    </w:p>
    <w:p>
      <w:pPr>
        <w:pStyle w:val="BodyText"/>
      </w:pPr>
      <w:r>
        <w:t xml:space="preserve">–</w:t>
      </w:r>
    </w:p>
    <w:p>
      <w:pPr>
        <w:pStyle w:val="BodyText"/>
      </w:pPr>
      <w:r>
        <w:t xml:space="preserve">2,354</w:t>
      </w:r>
    </w:p>
    <w:p>
      <w:pPr>
        <w:pStyle w:val="BodyText"/>
      </w:pPr>
      <w:r>
        <w:t xml:space="preserve">2,792</w:t>
      </w:r>
    </w:p>
    <w:p>
      <w:pPr>
        <w:pStyle w:val="FirstParagraph"/>
      </w:pPr>
      <w:r>
        <w:t xml:space="preserve">854</w:t>
      </w:r>
    </w:p>
    <w:p>
      <w:pPr>
        <w:pStyle w:val="BodyText"/>
      </w:pPr>
      <w:r>
        <w:t xml:space="preserve">14,385</w:t>
      </w:r>
    </w:p>
    <w:p>
      <w:pPr>
        <w:pStyle w:val="BodyText"/>
      </w:pPr>
      <w:r>
        <w:t xml:space="preserve">(1,997)</w:t>
      </w:r>
    </w:p>
    <w:p>
      <w:pPr>
        <w:pStyle w:val="BodyText"/>
      </w:pPr>
      <w:r>
        <w:t xml:space="preserve">12,388</w:t>
      </w:r>
    </w:p>
    <w:p>
      <w:pPr>
        <w:pStyle w:val="BodyText"/>
      </w:pPr>
      <w:r>
        <w:t xml:space="preserve">8,339</w:t>
      </w:r>
    </w:p>
    <w:p>
      <w:pPr>
        <w:pStyle w:val="BodyText"/>
      </w:pPr>
      <w:r>
        <w:t xml:space="preserve">2,603</w:t>
      </w:r>
    </w:p>
    <w:p>
      <w:pPr>
        <w:pStyle w:val="BodyText"/>
      </w:pPr>
      <w:r>
        <w:t xml:space="preserve">(1,450)</w:t>
      </w:r>
    </w:p>
    <w:p>
      <w:pPr>
        <w:pStyle w:val="BodyText"/>
      </w:pPr>
      <w:r>
        <w:t xml:space="preserve">1,153</w:t>
      </w:r>
    </w:p>
    <w:p>
      <w:pPr>
        <w:pStyle w:val="BodyText"/>
      </w:pPr>
      <w:r>
        <w:t xml:space="preserve">797</w:t>
      </w:r>
    </w:p>
    <w:p>
      <w:pPr>
        <w:pStyle w:val="FirstParagraph"/>
      </w:pPr>
      <w:r>
        <w:t xml:space="preserve">530</w:t>
      </w:r>
    </w:p>
    <w:p>
      <w:pPr>
        <w:pStyle w:val="BodyText"/>
      </w:pPr>
      <w:r>
        <w:t xml:space="preserve">10,591</w:t>
      </w:r>
    </w:p>
    <w:p>
      <w:pPr>
        <w:pStyle w:val="BodyText"/>
      </w:pPr>
      <w:r>
        <w:t xml:space="preserve">(1,961)</w:t>
      </w:r>
    </w:p>
    <w:p>
      <w:pPr>
        <w:pStyle w:val="BodyText"/>
      </w:pPr>
      <w:r>
        <w:t xml:space="preserve">8,630</w:t>
      </w:r>
    </w:p>
    <w:p>
      <w:pPr>
        <w:pStyle w:val="BodyText"/>
      </w:pPr>
      <w:r>
        <w:rPr>
          <w:rFonts w:hint="eastAsia"/>
        </w:rPr>
        <w:t xml:space="preserve">於2020年</w:t>
      </w:r>
      <w:r>
        <w:br/>
      </w:r>
      <w:r>
        <w:rPr>
          <w:rFonts w:hint="eastAsia"/>
        </w:rPr>
        <w:t xml:space="preserve">12月</w:t>
      </w:r>
      <w:r>
        <w:t xml:space="preserve"> </w:t>
      </w:r>
      <w:r>
        <w:rPr>
          <w:rFonts w:hint="eastAsia"/>
        </w:rPr>
        <w:t xml:space="preserve">31日</w:t>
      </w:r>
    </w:p>
    <w:p>
      <w:pPr>
        <w:pStyle w:val="BodyText"/>
      </w:pPr>
      <w:r>
        <w:rPr>
          <w:rFonts w:hint="eastAsia"/>
        </w:rPr>
        <w:t xml:space="preserve">於2019年</w:t>
      </w:r>
      <w:r>
        <w:br/>
      </w:r>
      <w:r>
        <w:rPr>
          <w:rFonts w:hint="eastAsia"/>
        </w:rPr>
        <w:t xml:space="preserve">12月</w:t>
      </w:r>
      <w:r>
        <w:t xml:space="preserve"> </w:t>
      </w:r>
      <w:r>
        <w:rPr>
          <w:rFonts w:hint="eastAsia"/>
        </w:rPr>
        <w:t xml:space="preserve">31日</w:t>
      </w:r>
    </w:p>
    <w:p>
      <w:pPr>
        <w:pStyle w:val="BodyText"/>
      </w:pPr>
      <w:r>
        <w:t xml:space="preserve">90</w:t>
      </w:r>
    </w:p>
    <w:p>
      <w:pPr>
        <w:pStyle w:val="BodyText"/>
      </w:pPr>
      <w:r>
        <w:t xml:space="preserve">(1,002)</w:t>
      </w:r>
    </w:p>
    <w:p>
      <w:pPr>
        <w:pStyle w:val="FirstParagraph"/>
      </w:pPr>
      <w:r>
        <w:t xml:space="preserve">84</w:t>
      </w:r>
    </w:p>
    <w:p>
      <w:pPr>
        <w:pStyle w:val="BodyText"/>
      </w:pPr>
      <w:r>
        <w:t xml:space="preserve">–</w:t>
      </w:r>
    </w:p>
    <w:p>
      <w:pPr>
        <w:pStyle w:val="FirstParagraph"/>
      </w:pPr>
      <w:r>
        <w:rPr>
          <w:rFonts w:hint="eastAsia"/>
        </w:rPr>
        <w:t xml:space="preserve">附註：</w:t>
      </w:r>
      <w:r>
        <w:br/>
      </w:r>
      <w:r>
        <w:t xml:space="preserve">(1) </w:t>
      </w:r>
      <w:r>
        <w:rPr>
          <w:rFonts w:hint="eastAsia"/>
        </w:rPr>
        <w:t xml:space="preserve">借貸主要包括中期票據及證券、其他集團內公司間貸款及本公司22.90億美元無抵押承諾信貸融資的未償還款項（如有）。</w:t>
      </w:r>
    </w:p>
    <w:p>
      <w:pPr>
        <w:pStyle w:val="Compact"/>
        <w:numPr>
          <w:ilvl w:val="0"/>
          <w:numId w:val="1056"/>
        </w:numPr>
      </w:pPr>
      <w:r>
        <w:rPr>
          <w:rFonts w:hint="eastAsia"/>
        </w:rPr>
        <w:t xml:space="preserve">截至2020年12月31日，向附屬公司借出的貸款</w:t>
      </w:r>
      <w:r>
        <w:t xml:space="preserve"> </w:t>
      </w:r>
      <w:r>
        <w:rPr>
          <w:rFonts w:hint="eastAsia"/>
        </w:rPr>
        <w:t xml:space="preserve">∕應收附屬公司金額為19.04億美元（2019年：19.18億美元）。9,000萬美元（2019年：8,400萬</w:t>
      </w:r>
    </w:p>
    <w:p>
      <w:pPr>
        <w:pStyle w:val="FirstParagraph"/>
      </w:pPr>
      <w:r>
        <w:rPr>
          <w:rFonts w:hint="eastAsia"/>
        </w:rPr>
        <w:t xml:space="preserve">美元）於截至2020年12月31日止年度後的十二個月內可收回。</w:t>
      </w:r>
    </w:p>
    <w:p>
      <w:pPr>
        <w:pStyle w:val="Compact"/>
        <w:numPr>
          <w:ilvl w:val="0"/>
          <w:numId w:val="1057"/>
        </w:numPr>
      </w:pPr>
      <w:r>
        <w:rPr>
          <w:rFonts w:hint="eastAsia"/>
        </w:rPr>
        <w:t xml:space="preserve">截至2020年12月31日，向市場配售的中期票據及證券為85.59億美元（2019年：57.57億美元）。10.02億美元（2019年：零）應於截至2020年</w:t>
      </w:r>
    </w:p>
    <w:p>
      <w:pPr>
        <w:pStyle w:val="FirstParagraph"/>
      </w:pPr>
      <w:r>
        <w:rPr>
          <w:rFonts w:hint="eastAsia"/>
        </w:rPr>
        <w:t xml:space="preserve">12月31日止年度後的十二個月內償還。向市場配售的中期票據及證券的詳細資料載列於合併財務報表附註30。</w:t>
      </w:r>
    </w:p>
    <w:p>
      <w:pPr>
        <w:pStyle w:val="BodyText"/>
      </w:pPr>
      <w:r>
        <w:rPr>
          <w:rFonts w:hint="eastAsia"/>
        </w:rPr>
        <w:t xml:space="preserve">營運資金與控股公司財務資源的對賬</w:t>
      </w:r>
    </w:p>
    <w:p>
      <w:pPr>
        <w:pStyle w:val="BodyText"/>
      </w:pPr>
      <w:r>
        <w:rPr>
          <w:rFonts w:hint="eastAsia"/>
        </w:rPr>
        <w:t xml:space="preserve">百萬美元，除另有說明外</w:t>
      </w:r>
    </w:p>
    <w:p>
      <w:pPr>
        <w:pStyle w:val="BodyText"/>
      </w:pPr>
      <w:r>
        <w:rPr>
          <w:rFonts w:hint="eastAsia"/>
        </w:rPr>
        <w:t xml:space="preserve">於12月31日的營運資金</w:t>
      </w:r>
    </w:p>
    <w:p>
      <w:pPr>
        <w:pStyle w:val="BodyText"/>
      </w:pPr>
      <w:r>
        <w:rPr>
          <w:rFonts w:hint="eastAsia"/>
        </w:rPr>
        <w:t xml:space="preserve">友邦保險有限公司的營運資金（不包括分公司資產）</w:t>
      </w:r>
    </w:p>
    <w:p>
      <w:pPr>
        <w:pStyle w:val="BodyText"/>
      </w:pPr>
      <w:r>
        <w:rPr>
          <w:rFonts w:hint="eastAsia"/>
        </w:rPr>
        <w:t xml:space="preserve">友邦保險（國際）有限公司的營運資金（不包括分公司資產）</w:t>
      </w:r>
    </w:p>
    <w:p>
      <w:pPr>
        <w:pStyle w:val="BodyText"/>
      </w:pPr>
      <w:r>
        <w:rPr>
          <w:rFonts w:hint="eastAsia"/>
        </w:rPr>
        <w:t xml:space="preserve">其他集團企業中心實體</w:t>
      </w:r>
    </w:p>
    <w:p>
      <w:pPr>
        <w:pStyle w:val="BodyText"/>
      </w:pPr>
      <w:r>
        <w:rPr>
          <w:rFonts w:hint="eastAsia"/>
        </w:rPr>
        <w:t xml:space="preserve">於12月31日的控股公司財務資源</w:t>
      </w:r>
    </w:p>
    <w:p>
      <w:pPr>
        <w:pStyle w:val="BodyText"/>
      </w:pPr>
      <w:r>
        <w:rPr>
          <w:rFonts w:hint="eastAsia"/>
        </w:rPr>
        <w:t xml:space="preserve">2020年</w:t>
      </w:r>
    </w:p>
    <w:p>
      <w:pPr>
        <w:pStyle w:val="BodyText"/>
      </w:pPr>
      <w:r>
        <w:t xml:space="preserve">17,169</w:t>
      </w:r>
    </w:p>
    <w:p>
      <w:pPr>
        <w:pStyle w:val="BodyText"/>
      </w:pPr>
      <w:r>
        <w:t xml:space="preserve">(1,897)</w:t>
      </w:r>
    </w:p>
    <w:p>
      <w:pPr>
        <w:pStyle w:val="BodyText"/>
      </w:pPr>
      <w:r>
        <w:t xml:space="preserve">(1,935)</w:t>
      </w:r>
    </w:p>
    <w:p>
      <w:pPr>
        <w:pStyle w:val="FirstParagraph"/>
      </w:pPr>
      <w:r>
        <w:t xml:space="preserve">12,388</w:t>
      </w:r>
    </w:p>
    <w:p>
      <w:pPr>
        <w:pStyle w:val="BodyText"/>
      </w:pPr>
      <w:r>
        <w:rPr>
          <w:rFonts w:hint="eastAsia"/>
        </w:rPr>
        <w:t xml:space="preserve">2019年</w:t>
      </w:r>
    </w:p>
    <w:p>
      <w:pPr>
        <w:pStyle w:val="BodyText"/>
      </w:pPr>
      <w:r>
        <w:t xml:space="preserve">13,471</w:t>
      </w:r>
    </w:p>
    <w:p>
      <w:pPr>
        <w:pStyle w:val="BodyText"/>
      </w:pPr>
      <w:r>
        <w:t xml:space="preserve">(2,741)</w:t>
      </w:r>
    </w:p>
    <w:p>
      <w:pPr>
        <w:pStyle w:val="BodyText"/>
      </w:pPr>
      <w:r>
        <w:t xml:space="preserve">(1,428)</w:t>
      </w:r>
    </w:p>
    <w:p>
      <w:pPr>
        <w:pStyle w:val="FirstParagraph"/>
      </w:pPr>
      <w:r>
        <w:t xml:space="preserve">8,630</w:t>
      </w:r>
    </w:p>
    <w:p>
      <w:pPr>
        <w:pStyle w:val="BodyText"/>
      </w:pPr>
      <w:r>
        <w:t xml:space="preserve">031</w:t>
      </w:r>
    </w:p>
    <w:p>
      <w:pPr>
        <w:pStyle w:val="BodyText"/>
      </w:pPr>
      <w:r>
        <w:rPr>
          <w:rFonts w:hint="eastAsia"/>
        </w:rPr>
        <w:t xml:space="preserve">概覽財務及營運回顧企業管治其他資料財務報表2020年報</w:t>
      </w:r>
    </w:p>
    <w:p>
      <w:pPr>
        <w:pStyle w:val="BodyText"/>
      </w:pPr>
      <w:r>
        <w:rPr>
          <w:rFonts w:hint="eastAsia"/>
        </w:rPr>
        <w:t xml:space="preserve">國際財務報告準則資產負債表</w:t>
      </w:r>
    </w:p>
    <w:p>
      <w:pPr>
        <w:pStyle w:val="BodyText"/>
      </w:pPr>
      <w:r>
        <w:rPr>
          <w:rFonts w:hint="eastAsia"/>
        </w:rPr>
        <w:t xml:space="preserve">合併財務狀況表(1)</w:t>
      </w:r>
    </w:p>
    <w:p>
      <w:pPr>
        <w:pStyle w:val="BodyText"/>
      </w:pPr>
      <w:r>
        <w:rPr>
          <w:rFonts w:hint="eastAsia"/>
        </w:rPr>
        <w:t xml:space="preserve">百萬美元，除另有說明外</w:t>
      </w:r>
    </w:p>
    <w:p>
      <w:pPr>
        <w:pStyle w:val="BodyText"/>
      </w:pPr>
      <w:r>
        <w:rPr>
          <w:rFonts w:hint="eastAsia"/>
        </w:rPr>
        <w:t xml:space="preserve">資產</w:t>
      </w:r>
    </w:p>
    <w:p>
      <w:pPr>
        <w:pStyle w:val="BodyText"/>
      </w:pPr>
      <w:r>
        <w:rPr>
          <w:rFonts w:hint="eastAsia"/>
        </w:rPr>
        <w:t xml:space="preserve">金融投資</w:t>
      </w:r>
    </w:p>
    <w:p>
      <w:pPr>
        <w:pStyle w:val="BodyText"/>
      </w:pPr>
      <w:r>
        <w:rPr>
          <w:rFonts w:hint="eastAsia"/>
        </w:rPr>
        <w:t xml:space="preserve">投資物業</w:t>
      </w:r>
    </w:p>
    <w:p>
      <w:pPr>
        <w:pStyle w:val="BodyText"/>
      </w:pPr>
      <w:r>
        <w:rPr>
          <w:rFonts w:hint="eastAsia"/>
        </w:rPr>
        <w:t xml:space="preserve">現金及現金等價物</w:t>
      </w:r>
    </w:p>
    <w:p>
      <w:pPr>
        <w:pStyle w:val="BodyText"/>
      </w:pPr>
      <w:r>
        <w:rPr>
          <w:rFonts w:hint="eastAsia"/>
        </w:rPr>
        <w:t xml:space="preserve">遞延承保及啟動成本</w:t>
      </w:r>
    </w:p>
    <w:p>
      <w:pPr>
        <w:pStyle w:val="BodyText"/>
      </w:pPr>
      <w:r>
        <w:rPr>
          <w:rFonts w:hint="eastAsia"/>
        </w:rPr>
        <w:t xml:space="preserve">其他資產</w:t>
      </w:r>
    </w:p>
    <w:p>
      <w:pPr>
        <w:pStyle w:val="BodyText"/>
      </w:pPr>
      <w:r>
        <w:rPr>
          <w:rFonts w:hint="eastAsia"/>
        </w:rPr>
        <w:t xml:space="preserve">總資產</w:t>
      </w:r>
    </w:p>
    <w:p>
      <w:pPr>
        <w:pStyle w:val="BodyText"/>
      </w:pPr>
      <w:r>
        <w:rPr>
          <w:rFonts w:hint="eastAsia"/>
        </w:rPr>
        <w:t xml:space="preserve">負債</w:t>
      </w:r>
    </w:p>
    <w:p>
      <w:pPr>
        <w:pStyle w:val="BodyText"/>
      </w:pPr>
      <w:r>
        <w:rPr>
          <w:rFonts w:hint="eastAsia"/>
        </w:rPr>
        <w:t xml:space="preserve">保險及投資合約負債</w:t>
      </w:r>
    </w:p>
    <w:p>
      <w:pPr>
        <w:pStyle w:val="BodyText"/>
      </w:pPr>
      <w:r>
        <w:rPr>
          <w:rFonts w:hint="eastAsia"/>
        </w:rPr>
        <w:t xml:space="preserve">借貸</w:t>
      </w:r>
    </w:p>
    <w:p>
      <w:pPr>
        <w:pStyle w:val="BodyText"/>
      </w:pPr>
      <w:r>
        <w:rPr>
          <w:rFonts w:hint="eastAsia"/>
        </w:rPr>
        <w:t xml:space="preserve">其他負債</w:t>
      </w:r>
    </w:p>
    <w:p>
      <w:pPr>
        <w:pStyle w:val="BodyText"/>
      </w:pPr>
      <w:r>
        <w:rPr>
          <w:rFonts w:hint="eastAsia"/>
        </w:rPr>
        <w:t xml:space="preserve">減總負債</w:t>
      </w:r>
    </w:p>
    <w:p>
      <w:pPr>
        <w:pStyle w:val="BodyText"/>
      </w:pPr>
      <w:r>
        <w:rPr>
          <w:rFonts w:hint="eastAsia"/>
        </w:rPr>
        <w:t xml:space="preserve">權益</w:t>
      </w:r>
    </w:p>
    <w:p>
      <w:pPr>
        <w:pStyle w:val="BodyText"/>
      </w:pPr>
      <w:r>
        <w:rPr>
          <w:rFonts w:hint="eastAsia"/>
        </w:rPr>
        <w:t xml:space="preserve">總權益</w:t>
      </w:r>
    </w:p>
    <w:p>
      <w:pPr>
        <w:pStyle w:val="BodyText"/>
      </w:pPr>
      <w:r>
        <w:rPr>
          <w:rFonts w:hint="eastAsia"/>
        </w:rPr>
        <w:t xml:space="preserve">減非控股權益</w:t>
      </w:r>
    </w:p>
    <w:p>
      <w:pPr>
        <w:pStyle w:val="BodyText"/>
      </w:pPr>
      <w:r>
        <w:rPr>
          <w:rFonts w:hint="eastAsia"/>
        </w:rPr>
        <w:t xml:space="preserve">友邦保險控股有限公司股東應佔總權益</w:t>
      </w:r>
    </w:p>
    <w:p>
      <w:pPr>
        <w:pStyle w:val="BodyText"/>
      </w:pPr>
      <w:r>
        <w:rPr>
          <w:rFonts w:hint="eastAsia"/>
        </w:rPr>
        <w:t xml:space="preserve">股東分配權益</w:t>
      </w:r>
    </w:p>
    <w:p>
      <w:pPr>
        <w:pStyle w:val="BodyText"/>
      </w:pPr>
      <w:r>
        <w:rPr>
          <w:rFonts w:hint="eastAsia"/>
        </w:rPr>
        <w:t xml:space="preserve">股東權益變動(1)</w:t>
      </w:r>
    </w:p>
    <w:p>
      <w:pPr>
        <w:pStyle w:val="BodyText"/>
      </w:pPr>
      <w:r>
        <w:rPr>
          <w:rFonts w:hint="eastAsia"/>
        </w:rPr>
        <w:t xml:space="preserve">百萬美元，除另有說明外</w:t>
      </w:r>
    </w:p>
    <w:p>
      <w:pPr>
        <w:pStyle w:val="BodyText"/>
      </w:pPr>
      <w:r>
        <w:rPr>
          <w:rFonts w:hint="eastAsia"/>
        </w:rPr>
        <w:t xml:space="preserve">期初股東權益</w:t>
      </w:r>
    </w:p>
    <w:p>
      <w:pPr>
        <w:pStyle w:val="BodyText"/>
      </w:pPr>
      <w:r>
        <w:rPr>
          <w:rFonts w:hint="eastAsia"/>
        </w:rPr>
        <w:t xml:space="preserve">會計政策變更追溯調整</w:t>
      </w:r>
    </w:p>
    <w:p>
      <w:pPr>
        <w:pStyle w:val="BodyText"/>
      </w:pPr>
      <w:r>
        <w:rPr>
          <w:rFonts w:hint="eastAsia"/>
        </w:rPr>
        <w:t xml:space="preserve">期初股東權益，經調整</w:t>
      </w:r>
    </w:p>
    <w:p>
      <w:pPr>
        <w:pStyle w:val="BodyText"/>
      </w:pPr>
      <w:r>
        <w:rPr>
          <w:rFonts w:hint="eastAsia"/>
        </w:rPr>
        <w:t xml:space="preserve">純利</w:t>
      </w:r>
    </w:p>
    <w:p>
      <w:pPr>
        <w:pStyle w:val="BodyText"/>
      </w:pPr>
      <w:r>
        <w:rPr>
          <w:rFonts w:hint="eastAsia"/>
        </w:rPr>
        <w:t xml:space="preserve">資產的公平值收益</w:t>
      </w:r>
    </w:p>
    <w:p>
      <w:pPr>
        <w:pStyle w:val="BodyText"/>
      </w:pPr>
      <w:r>
        <w:rPr>
          <w:rFonts w:hint="eastAsia"/>
        </w:rPr>
        <w:t xml:space="preserve">注入僱員股票信託的股份</w:t>
      </w:r>
    </w:p>
    <w:p>
      <w:pPr>
        <w:pStyle w:val="BodyText"/>
      </w:pPr>
      <w:r>
        <w:rPr>
          <w:rFonts w:hint="eastAsia"/>
        </w:rPr>
        <w:t xml:space="preserve">股息</w:t>
      </w:r>
    </w:p>
    <w:p>
      <w:pPr>
        <w:pStyle w:val="BodyText"/>
      </w:pPr>
      <w:r>
        <w:rPr>
          <w:rFonts w:hint="eastAsia"/>
        </w:rPr>
        <w:t xml:space="preserve">持作自用物業重估（虧損）∕收益</w:t>
      </w:r>
    </w:p>
    <w:p>
      <w:pPr>
        <w:pStyle w:val="BodyText"/>
      </w:pPr>
      <w:r>
        <w:rPr>
          <w:rFonts w:hint="eastAsia"/>
        </w:rPr>
        <w:t xml:space="preserve">外幣換算調整</w:t>
      </w:r>
    </w:p>
    <w:p>
      <w:pPr>
        <w:pStyle w:val="BodyText"/>
      </w:pPr>
      <w:r>
        <w:rPr>
          <w:rFonts w:hint="eastAsia"/>
        </w:rPr>
        <w:t xml:space="preserve">其他資本變動</w:t>
      </w:r>
    </w:p>
    <w:p>
      <w:pPr>
        <w:pStyle w:val="BodyText"/>
      </w:pPr>
      <w:r>
        <w:rPr>
          <w:rFonts w:hint="eastAsia"/>
        </w:rPr>
        <w:t xml:space="preserve">股東權益變動總額</w:t>
      </w:r>
    </w:p>
    <w:p>
      <w:pPr>
        <w:pStyle w:val="BodyText"/>
      </w:pPr>
      <w:r>
        <w:rPr>
          <w:rFonts w:hint="eastAsia"/>
        </w:rPr>
        <w:t xml:space="preserve">期末股東權益</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rPr>
          <w:rFonts w:hint="eastAsia"/>
        </w:rPr>
        <w:t xml:space="preserve">變動</w:t>
      </w:r>
      <w:r>
        <w:br/>
      </w:r>
      <w:r>
        <w:rPr>
          <w:rFonts w:hint="eastAsia"/>
        </w:rPr>
        <w:t xml:space="preserve">（實質匯率）</w:t>
      </w:r>
    </w:p>
    <w:p>
      <w:pPr>
        <w:pStyle w:val="BodyText"/>
      </w:pPr>
      <w:r>
        <w:t xml:space="preserve">271,467</w:t>
      </w:r>
    </w:p>
    <w:p>
      <w:pPr>
        <w:pStyle w:val="BodyText"/>
      </w:pPr>
      <w:r>
        <w:t xml:space="preserve">233,363</w:t>
      </w:r>
    </w:p>
    <w:p>
      <w:pPr>
        <w:pStyle w:val="BodyText"/>
      </w:pPr>
      <w:r>
        <w:t xml:space="preserve">4,639</w:t>
      </w:r>
    </w:p>
    <w:p>
      <w:pPr>
        <w:pStyle w:val="BodyText"/>
      </w:pPr>
      <w:r>
        <w:t xml:space="preserve">5,619</w:t>
      </w:r>
    </w:p>
    <w:p>
      <w:pPr>
        <w:pStyle w:val="BodyText"/>
      </w:pPr>
      <w:r>
        <w:t xml:space="preserve">27,915</w:t>
      </w:r>
    </w:p>
    <w:p>
      <w:pPr>
        <w:pStyle w:val="BodyText"/>
      </w:pPr>
      <w:r>
        <w:t xml:space="preserve">16,481</w:t>
      </w:r>
    </w:p>
    <w:p>
      <w:pPr>
        <w:pStyle w:val="BodyText"/>
      </w:pPr>
      <w:r>
        <w:t xml:space="preserve">4,834</w:t>
      </w:r>
    </w:p>
    <w:p>
      <w:pPr>
        <w:pStyle w:val="BodyText"/>
      </w:pPr>
      <w:r>
        <w:t xml:space="preserve">3,941</w:t>
      </w:r>
    </w:p>
    <w:p>
      <w:pPr>
        <w:pStyle w:val="BodyText"/>
      </w:pPr>
      <w:r>
        <w:t xml:space="preserve">26,328</w:t>
      </w:r>
    </w:p>
    <w:p>
      <w:pPr>
        <w:pStyle w:val="BodyText"/>
      </w:pPr>
      <w:r>
        <w:t xml:space="preserve">15,666</w:t>
      </w:r>
    </w:p>
    <w:p>
      <w:pPr>
        <w:pStyle w:val="BodyText"/>
      </w:pPr>
      <w:r>
        <w:t xml:space="preserve">326,121</w:t>
      </w:r>
    </w:p>
    <w:p>
      <w:pPr>
        <w:pStyle w:val="BodyText"/>
      </w:pPr>
      <w:r>
        <w:t xml:space="preserve">284,132</w:t>
      </w:r>
    </w:p>
    <w:p>
      <w:pPr>
        <w:pStyle w:val="BodyText"/>
      </w:pPr>
      <w:r>
        <w:t xml:space="preserve">235,952</w:t>
      </w:r>
    </w:p>
    <w:p>
      <w:pPr>
        <w:pStyle w:val="BodyText"/>
      </w:pPr>
      <w:r>
        <w:t xml:space="preserve">204,454</w:t>
      </w:r>
    </w:p>
    <w:p>
      <w:pPr>
        <w:pStyle w:val="BodyText"/>
      </w:pPr>
      <w:r>
        <w:t xml:space="preserve">8,559</w:t>
      </w:r>
    </w:p>
    <w:p>
      <w:pPr>
        <w:pStyle w:val="BodyText"/>
      </w:pPr>
      <w:r>
        <w:t xml:space="preserve">17,942</w:t>
      </w:r>
    </w:p>
    <w:p>
      <w:pPr>
        <w:pStyle w:val="BodyText"/>
      </w:pPr>
      <w:r>
        <w:t xml:space="preserve">5,757</w:t>
      </w:r>
    </w:p>
    <w:p>
      <w:pPr>
        <w:pStyle w:val="BodyText"/>
      </w:pPr>
      <w:r>
        <w:t xml:space="preserve">18,526</w:t>
      </w:r>
    </w:p>
    <w:p>
      <w:pPr>
        <w:pStyle w:val="BodyText"/>
      </w:pPr>
      <w:r>
        <w:t xml:space="preserve">262,453</w:t>
      </w:r>
    </w:p>
    <w:p>
      <w:pPr>
        <w:pStyle w:val="BodyText"/>
      </w:pPr>
      <w:r>
        <w:t xml:space="preserve">228,737</w:t>
      </w:r>
    </w:p>
    <w:p>
      <w:pPr>
        <w:pStyle w:val="BodyText"/>
      </w:pPr>
      <w:r>
        <w:t xml:space="preserve">63,668</w:t>
      </w:r>
    </w:p>
    <w:p>
      <w:pPr>
        <w:pStyle w:val="BodyText"/>
      </w:pPr>
      <w:r>
        <w:t xml:space="preserve">468</w:t>
      </w:r>
    </w:p>
    <w:p>
      <w:pPr>
        <w:pStyle w:val="BodyText"/>
      </w:pPr>
      <w:r>
        <w:t xml:space="preserve">63,200</w:t>
      </w:r>
    </w:p>
    <w:p>
      <w:pPr>
        <w:pStyle w:val="BodyText"/>
      </w:pPr>
      <w:r>
        <w:t xml:space="preserve">48,030</w:t>
      </w:r>
    </w:p>
    <w:p>
      <w:pPr>
        <w:pStyle w:val="BodyText"/>
      </w:pPr>
      <w:r>
        <w:t xml:space="preserve">55,395</w:t>
      </w:r>
    </w:p>
    <w:p>
      <w:pPr>
        <w:pStyle w:val="BodyText"/>
      </w:pPr>
      <w:r>
        <w:t xml:space="preserve">448</w:t>
      </w:r>
    </w:p>
    <w:p>
      <w:pPr>
        <w:pStyle w:val="BodyText"/>
      </w:pPr>
      <w:r>
        <w:t xml:space="preserve">54,947</w:t>
      </w:r>
    </w:p>
    <w:p>
      <w:pPr>
        <w:pStyle w:val="BodyText"/>
      </w:pPr>
      <w:r>
        <w:t xml:space="preserve">43,278</w:t>
      </w:r>
    </w:p>
    <w:p>
      <w:pPr>
        <w:pStyle w:val="BodyText"/>
      </w:pPr>
      <w:r>
        <w:rPr>
          <w:rFonts w:hint="eastAsia"/>
        </w:rPr>
        <w:t xml:space="preserve">2020年</w:t>
      </w:r>
    </w:p>
    <w:p>
      <w:pPr>
        <w:pStyle w:val="BodyText"/>
      </w:pPr>
      <w:r>
        <w:t xml:space="preserve">57,508</w:t>
      </w:r>
    </w:p>
    <w:p>
      <w:pPr>
        <w:pStyle w:val="BodyText"/>
      </w:pPr>
      <w:r>
        <w:t xml:space="preserve">(2,561)</w:t>
      </w:r>
    </w:p>
    <w:p>
      <w:pPr>
        <w:pStyle w:val="BodyText"/>
      </w:pPr>
      <w:r>
        <w:t xml:space="preserve">54,947</w:t>
      </w:r>
    </w:p>
    <w:p>
      <w:pPr>
        <w:pStyle w:val="BodyText"/>
      </w:pPr>
      <w:r>
        <w:t xml:space="preserve">5,779</w:t>
      </w:r>
    </w:p>
    <w:p>
      <w:pPr>
        <w:pStyle w:val="BodyText"/>
      </w:pPr>
      <w:r>
        <w:t xml:space="preserve">3,501</w:t>
      </w:r>
    </w:p>
    <w:p>
      <w:pPr>
        <w:pStyle w:val="FirstParagraph"/>
      </w:pPr>
      <w:r>
        <w:t xml:space="preserve">(1,997)</w:t>
      </w:r>
    </w:p>
    <w:p>
      <w:pPr>
        <w:pStyle w:val="FirstParagraph"/>
      </w:pPr>
      <w:r>
        <w:t xml:space="preserve">931</w:t>
      </w:r>
    </w:p>
    <w:p>
      <w:pPr>
        <w:pStyle w:val="BodyText"/>
      </w:pPr>
      <w:r>
        <w:t xml:space="preserve">101</w:t>
      </w:r>
    </w:p>
    <w:p>
      <w:pPr>
        <w:pStyle w:val="BodyText"/>
      </w:pPr>
      <w:r>
        <w:t xml:space="preserve">8,253</w:t>
      </w:r>
    </w:p>
    <w:p>
      <w:pPr>
        <w:pStyle w:val="BodyText"/>
      </w:pPr>
      <w:r>
        <w:t xml:space="preserve">63,200</w:t>
      </w:r>
    </w:p>
    <w:p>
      <w:pPr>
        <w:pStyle w:val="BodyText"/>
      </w:pPr>
      <w:r>
        <w:t xml:space="preserve">16%</w:t>
      </w:r>
    </w:p>
    <w:p>
      <w:pPr>
        <w:pStyle w:val="BodyText"/>
      </w:pPr>
      <w:r>
        <w:t xml:space="preserve">(4)%</w:t>
      </w:r>
    </w:p>
    <w:p>
      <w:pPr>
        <w:pStyle w:val="BodyText"/>
      </w:pPr>
      <w:r>
        <w:t xml:space="preserve">43%</w:t>
      </w:r>
    </w:p>
    <w:p>
      <w:pPr>
        <w:pStyle w:val="BodyText"/>
      </w:pPr>
      <w:r>
        <w:t xml:space="preserve">6%</w:t>
      </w:r>
    </w:p>
    <w:p>
      <w:pPr>
        <w:pStyle w:val="BodyText"/>
      </w:pPr>
      <w:r>
        <w:t xml:space="preserve">5%</w:t>
      </w:r>
    </w:p>
    <w:p>
      <w:pPr>
        <w:pStyle w:val="BodyText"/>
      </w:pPr>
      <w:r>
        <w:t xml:space="preserve">15%</w:t>
      </w:r>
    </w:p>
    <w:p>
      <w:pPr>
        <w:pStyle w:val="BodyText"/>
      </w:pPr>
      <w:r>
        <w:t xml:space="preserve">15%</w:t>
      </w:r>
    </w:p>
    <w:p>
      <w:pPr>
        <w:pStyle w:val="BodyText"/>
      </w:pPr>
      <w:r>
        <w:t xml:space="preserve">49%</w:t>
      </w:r>
    </w:p>
    <w:p>
      <w:pPr>
        <w:pStyle w:val="BodyText"/>
      </w:pPr>
      <w:r>
        <w:t xml:space="preserve">(3)%</w:t>
      </w:r>
    </w:p>
    <w:p>
      <w:pPr>
        <w:pStyle w:val="BodyText"/>
      </w:pPr>
      <w:r>
        <w:t xml:space="preserve">15%</w:t>
      </w:r>
    </w:p>
    <w:p>
      <w:pPr>
        <w:pStyle w:val="BodyText"/>
      </w:pPr>
      <w:r>
        <w:t xml:space="preserve">15%</w:t>
      </w:r>
    </w:p>
    <w:p>
      <w:pPr>
        <w:pStyle w:val="BodyText"/>
      </w:pPr>
      <w:r>
        <w:t xml:space="preserve">4%</w:t>
      </w:r>
    </w:p>
    <w:p>
      <w:pPr>
        <w:pStyle w:val="BodyText"/>
      </w:pPr>
      <w:r>
        <w:t xml:space="preserve">15%</w:t>
      </w:r>
    </w:p>
    <w:p>
      <w:pPr>
        <w:pStyle w:val="BodyText"/>
      </w:pPr>
      <w:r>
        <w:t xml:space="preserve">11%</w:t>
      </w:r>
    </w:p>
    <w:p>
      <w:pPr>
        <w:pStyle w:val="BodyText"/>
      </w:pPr>
      <w:r>
        <w:rPr>
          <w:rFonts w:hint="eastAsia"/>
        </w:rPr>
        <w:t xml:space="preserve">2019年</w:t>
      </w:r>
    </w:p>
    <w:p>
      <w:pPr>
        <w:pStyle w:val="BodyText"/>
      </w:pPr>
      <w:r>
        <w:t xml:space="preserve">39,488</w:t>
      </w:r>
    </w:p>
    <w:p>
      <w:pPr>
        <w:pStyle w:val="BodyText"/>
      </w:pPr>
      <w:r>
        <w:t xml:space="preserve">1,377</w:t>
      </w:r>
    </w:p>
    <w:p>
      <w:pPr>
        <w:pStyle w:val="BodyText"/>
      </w:pPr>
      <w:r>
        <w:t xml:space="preserve">40,865</w:t>
      </w:r>
    </w:p>
    <w:p>
      <w:pPr>
        <w:pStyle w:val="BodyText"/>
      </w:pPr>
      <w:r>
        <w:t xml:space="preserve">5,979</w:t>
      </w:r>
    </w:p>
    <w:p>
      <w:pPr>
        <w:pStyle w:val="BodyText"/>
      </w:pPr>
      <w:r>
        <w:t xml:space="preserve">9,211</w:t>
      </w:r>
    </w:p>
    <w:p>
      <w:pPr>
        <w:pStyle w:val="FirstParagraph"/>
      </w:pPr>
      <w:r>
        <w:t xml:space="preserve">(1,961)</w:t>
      </w:r>
    </w:p>
    <w:p>
      <w:pPr>
        <w:pStyle w:val="BodyText"/>
      </w:pPr>
      <w:r>
        <w:t xml:space="preserve">154</w:t>
      </w:r>
    </w:p>
    <w:p>
      <w:pPr>
        <w:pStyle w:val="BodyText"/>
      </w:pPr>
      <w:r>
        <w:t xml:space="preserve">603</w:t>
      </w:r>
    </w:p>
    <w:p>
      <w:pPr>
        <w:pStyle w:val="BodyText"/>
      </w:pPr>
      <w:r>
        <w:t xml:space="preserve">117</w:t>
      </w:r>
    </w:p>
    <w:p>
      <w:pPr>
        <w:pStyle w:val="BodyText"/>
      </w:pPr>
      <w:r>
        <w:t xml:space="preserve">14,082</w:t>
      </w:r>
    </w:p>
    <w:p>
      <w:pPr>
        <w:pStyle w:val="BodyText"/>
      </w:pPr>
      <w:r>
        <w:t xml:space="preserve">54,947</w:t>
      </w:r>
    </w:p>
    <w:p>
      <w:pPr>
        <w:pStyle w:val="BodyText"/>
      </w:pPr>
      <w:r>
        <w:rPr>
          <w:rFonts w:hint="eastAsia"/>
        </w:rPr>
        <w:t xml:space="preserve">附註：</w:t>
      </w:r>
      <w:r>
        <w:br/>
      </w:r>
      <w:r>
        <w:t xml:space="preserve">(1) </w:t>
      </w:r>
      <w:r>
        <w:rPr>
          <w:rFonts w:hint="eastAsia"/>
        </w:rPr>
        <w:t xml:space="preserve">香港分紅業務的會計政策變更後。比較資料已予調整，以與當前期間的呈列相符。詳細資料載列於合併財務報表附註48。</w:t>
      </w:r>
    </w:p>
    <w:p>
      <w:pPr>
        <w:pStyle w:val="BodyText"/>
      </w:pPr>
      <w:r>
        <w:t xml:space="preserve">032</w:t>
      </w:r>
    </w:p>
    <w:p>
      <w:pPr>
        <w:pStyle w:val="BodyText"/>
      </w:pPr>
      <w:r>
        <w:rPr>
          <w:rFonts w:hint="eastAsia"/>
        </w:rPr>
        <w:t xml:space="preserve">財務及營運回顧友邦保險控股有限公司集團首席財務總監回顧</w:t>
      </w:r>
    </w:p>
    <w:p>
      <w:pPr>
        <w:pStyle w:val="BodyText"/>
      </w:pPr>
      <w:r>
        <w:rPr>
          <w:rFonts w:hint="eastAsia"/>
        </w:rPr>
        <w:t xml:space="preserve">總投資</w:t>
      </w:r>
    </w:p>
    <w:p>
      <w:pPr>
        <w:pStyle w:val="BodyText"/>
      </w:pPr>
      <w:r>
        <w:rPr>
          <w:rFonts w:hint="eastAsia"/>
        </w:rPr>
        <w:t xml:space="preserve">百萬美元，除另有說明外</w:t>
      </w:r>
    </w:p>
    <w:p>
      <w:pPr>
        <w:pStyle w:val="BodyText"/>
      </w:pPr>
      <w:r>
        <w:rPr>
          <w:rFonts w:hint="eastAsia"/>
        </w:rPr>
        <w:t xml:space="preserve">保單持有人及股東總計</w:t>
      </w:r>
    </w:p>
    <w:p>
      <w:pPr>
        <w:pStyle w:val="BodyText"/>
      </w:pPr>
      <w:r>
        <w:rPr>
          <w:rFonts w:hint="eastAsia"/>
        </w:rPr>
        <w:t xml:space="preserve">單位連結式合約及合併投資基金總計</w:t>
      </w:r>
    </w:p>
    <w:p>
      <w:pPr>
        <w:pStyle w:val="BodyText"/>
      </w:pPr>
      <w:r>
        <w:rPr>
          <w:rFonts w:hint="eastAsia"/>
        </w:rPr>
        <w:t xml:space="preserve">總投資</w:t>
      </w:r>
    </w:p>
    <w:p>
      <w:pPr>
        <w:pStyle w:val="BodyText"/>
      </w:pPr>
      <w:r>
        <w:rPr>
          <w:rFonts w:hint="eastAsia"/>
        </w:rPr>
        <w:t xml:space="preserve">如下所示，投資組合於年內維持穩定：</w:t>
      </w:r>
    </w:p>
    <w:p>
      <w:pPr>
        <w:pStyle w:val="BodyText"/>
      </w:pPr>
      <w:r>
        <w:rPr>
          <w:rFonts w:hint="eastAsia"/>
        </w:rPr>
        <w:t xml:space="preserve">單位連結式合約及合併投資基金</w:t>
      </w:r>
    </w:p>
    <w:p>
      <w:pPr>
        <w:pStyle w:val="BodyText"/>
      </w:pPr>
      <w:r>
        <w:rPr>
          <w:rFonts w:hint="eastAsia"/>
        </w:rPr>
        <w:t xml:space="preserve">百萬美元，除另有說明外</w:t>
      </w:r>
    </w:p>
    <w:p>
      <w:pPr>
        <w:pStyle w:val="BodyText"/>
      </w:pPr>
      <w:r>
        <w:rPr>
          <w:rFonts w:hint="eastAsia"/>
        </w:rPr>
        <w:t xml:space="preserve">單位連結式合約及合併投資基金</w:t>
      </w:r>
    </w:p>
    <w:p>
      <w:pPr>
        <w:pStyle w:val="BodyText"/>
      </w:pPr>
      <w:r>
        <w:rPr>
          <w:rFonts w:hint="eastAsia"/>
        </w:rPr>
        <w:t xml:space="preserve">債務證券</w:t>
      </w:r>
    </w:p>
    <w:p>
      <w:pPr>
        <w:pStyle w:val="BodyText"/>
      </w:pPr>
      <w:r>
        <w:rPr>
          <w:rFonts w:hint="eastAsia"/>
        </w:rPr>
        <w:t xml:space="preserve">貸款及存款</w:t>
      </w:r>
    </w:p>
    <w:p>
      <w:pPr>
        <w:pStyle w:val="BodyText"/>
      </w:pPr>
      <w:r>
        <w:rPr>
          <w:rFonts w:hint="eastAsia"/>
        </w:rPr>
        <w:t xml:space="preserve">股本證券</w:t>
      </w:r>
    </w:p>
    <w:p>
      <w:pPr>
        <w:pStyle w:val="BodyText"/>
      </w:pPr>
      <w:r>
        <w:rPr>
          <w:rFonts w:hint="eastAsia"/>
        </w:rPr>
        <w:t xml:space="preserve">現金及現金等價物</w:t>
      </w:r>
    </w:p>
    <w:p>
      <w:pPr>
        <w:pStyle w:val="BodyText"/>
      </w:pPr>
      <w:r>
        <w:rPr>
          <w:rFonts w:hint="eastAsia"/>
        </w:rPr>
        <w:t xml:space="preserve">衍生金融工具</w:t>
      </w:r>
    </w:p>
    <w:p>
      <w:pPr>
        <w:pStyle w:val="BodyText"/>
      </w:pPr>
      <w:r>
        <w:rPr>
          <w:rFonts w:hint="eastAsia"/>
        </w:rPr>
        <w:t xml:space="preserve">單位連結式合約及合併投資基金總計</w:t>
      </w:r>
    </w:p>
    <w:p>
      <w:pPr>
        <w:pStyle w:val="BodyText"/>
      </w:pPr>
      <w:r>
        <w:rPr>
          <w:rFonts w:hint="eastAsia"/>
        </w:rPr>
        <w:t xml:space="preserve">於2020年</w:t>
      </w:r>
      <w:r>
        <w:br/>
      </w:r>
      <w:r>
        <w:rPr>
          <w:rFonts w:hint="eastAsia"/>
        </w:rPr>
        <w:t xml:space="preserve">12月31日</w:t>
      </w:r>
    </w:p>
    <w:p>
      <w:pPr>
        <w:pStyle w:val="BodyText"/>
      </w:pPr>
      <w:r>
        <w:t xml:space="preserve">247,408</w:t>
      </w:r>
    </w:p>
    <w:p>
      <w:pPr>
        <w:pStyle w:val="BodyText"/>
      </w:pPr>
      <w:r>
        <w:t xml:space="preserve">36,302</w:t>
      </w:r>
    </w:p>
    <w:p>
      <w:pPr>
        <w:pStyle w:val="BodyText"/>
      </w:pPr>
      <w:r>
        <w:t xml:space="preserve">283,710</w:t>
      </w:r>
    </w:p>
    <w:p>
      <w:pPr>
        <w:pStyle w:val="BodyText"/>
      </w:pPr>
      <w:r>
        <w:rPr>
          <w:rFonts w:hint="eastAsia"/>
        </w:rPr>
        <w:t xml:space="preserve">佔總額比重</w:t>
      </w:r>
    </w:p>
    <w:p>
      <w:pPr>
        <w:pStyle w:val="BodyText"/>
      </w:pPr>
      <w:r>
        <w:t xml:space="preserve">87%</w:t>
      </w:r>
    </w:p>
    <w:p>
      <w:pPr>
        <w:pStyle w:val="BodyText"/>
      </w:pPr>
      <w:r>
        <w:t xml:space="preserve">13%</w:t>
      </w:r>
    </w:p>
    <w:p>
      <w:pPr>
        <w:pStyle w:val="BodyText"/>
      </w:pPr>
      <w:r>
        <w:t xml:space="preserve">100%</w:t>
      </w:r>
    </w:p>
    <w:p>
      <w:pPr>
        <w:pStyle w:val="BodyText"/>
      </w:pPr>
      <w:r>
        <w:rPr>
          <w:rFonts w:hint="eastAsia"/>
        </w:rPr>
        <w:t xml:space="preserve">於2019年</w:t>
      </w:r>
      <w:r>
        <w:br/>
      </w:r>
      <w:r>
        <w:rPr>
          <w:rFonts w:hint="eastAsia"/>
        </w:rPr>
        <w:t xml:space="preserve">12月31日</w:t>
      </w:r>
    </w:p>
    <w:p>
      <w:pPr>
        <w:pStyle w:val="BodyText"/>
      </w:pPr>
      <w:r>
        <w:t xml:space="preserve">212,742</w:t>
      </w:r>
    </w:p>
    <w:p>
      <w:pPr>
        <w:pStyle w:val="BodyText"/>
      </w:pPr>
      <w:r>
        <w:t xml:space="preserve">31,456</w:t>
      </w:r>
    </w:p>
    <w:p>
      <w:pPr>
        <w:pStyle w:val="BodyText"/>
      </w:pPr>
      <w:r>
        <w:t xml:space="preserve">244,198</w:t>
      </w:r>
    </w:p>
    <w:p>
      <w:pPr>
        <w:pStyle w:val="BodyText"/>
      </w:pPr>
      <w:r>
        <w:rPr>
          <w:rFonts w:hint="eastAsia"/>
        </w:rPr>
        <w:t xml:space="preserve">佔總額比重</w:t>
      </w:r>
    </w:p>
    <w:p>
      <w:pPr>
        <w:pStyle w:val="BodyText"/>
      </w:pPr>
      <w:r>
        <w:t xml:space="preserve">87%</w:t>
      </w:r>
    </w:p>
    <w:p>
      <w:pPr>
        <w:pStyle w:val="BodyText"/>
      </w:pPr>
      <w:r>
        <w:t xml:space="preserve">13%</w:t>
      </w:r>
    </w:p>
    <w:p>
      <w:pPr>
        <w:pStyle w:val="BodyText"/>
      </w:pPr>
      <w:r>
        <w:t xml:space="preserve">100%</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佔總額比重</w:t>
      </w:r>
    </w:p>
    <w:p>
      <w:pPr>
        <w:pStyle w:val="BodyText"/>
      </w:pPr>
      <w:r>
        <w:rPr>
          <w:rFonts w:hint="eastAsia"/>
        </w:rPr>
        <w:t xml:space="preserve">於2019年</w:t>
      </w:r>
      <w:r>
        <w:br/>
      </w:r>
      <w:r>
        <w:rPr>
          <w:rFonts w:hint="eastAsia"/>
        </w:rPr>
        <w:t xml:space="preserve">12月31日</w:t>
      </w:r>
    </w:p>
    <w:p>
      <w:pPr>
        <w:pStyle w:val="BodyText"/>
      </w:pPr>
      <w:r>
        <w:rPr>
          <w:rFonts w:hint="eastAsia"/>
        </w:rPr>
        <w:t xml:space="preserve">佔總額比重</w:t>
      </w:r>
    </w:p>
    <w:p>
      <w:pPr>
        <w:pStyle w:val="BodyText"/>
      </w:pPr>
      <w:r>
        <w:t xml:space="preserve">6,403</w:t>
      </w:r>
    </w:p>
    <w:p>
      <w:pPr>
        <w:pStyle w:val="BodyText"/>
      </w:pPr>
      <w:r>
        <w:t xml:space="preserve">395</w:t>
      </w:r>
    </w:p>
    <w:p>
      <w:pPr>
        <w:pStyle w:val="BodyText"/>
      </w:pPr>
      <w:r>
        <w:t xml:space="preserve">28,232</w:t>
      </w:r>
    </w:p>
    <w:p>
      <w:pPr>
        <w:pStyle w:val="BodyText"/>
      </w:pPr>
      <w:r>
        <w:t xml:space="preserve">1,219</w:t>
      </w:r>
    </w:p>
    <w:p>
      <w:pPr>
        <w:pStyle w:val="BodyText"/>
      </w:pPr>
      <w:r>
        <w:t xml:space="preserve">53</w:t>
      </w:r>
    </w:p>
    <w:p>
      <w:pPr>
        <w:pStyle w:val="BodyText"/>
      </w:pPr>
      <w:r>
        <w:t xml:space="preserve">36,302</w:t>
      </w:r>
    </w:p>
    <w:p>
      <w:pPr>
        <w:pStyle w:val="BodyText"/>
      </w:pPr>
      <w:r>
        <w:t xml:space="preserve">18%</w:t>
      </w:r>
    </w:p>
    <w:p>
      <w:pPr>
        <w:pStyle w:val="BodyText"/>
      </w:pPr>
      <w:r>
        <w:t xml:space="preserve">1%</w:t>
      </w:r>
    </w:p>
    <w:p>
      <w:pPr>
        <w:pStyle w:val="BodyText"/>
      </w:pPr>
      <w:r>
        <w:t xml:space="preserve">78%</w:t>
      </w:r>
    </w:p>
    <w:p>
      <w:pPr>
        <w:pStyle w:val="BodyText"/>
      </w:pPr>
      <w:r>
        <w:t xml:space="preserve">3%</w:t>
      </w:r>
    </w:p>
    <w:p>
      <w:pPr>
        <w:pStyle w:val="BodyText"/>
      </w:pPr>
      <w:r>
        <w:t xml:space="preserve">–</w:t>
      </w:r>
    </w:p>
    <w:p>
      <w:pPr>
        <w:pStyle w:val="BodyText"/>
      </w:pPr>
      <w:r>
        <w:t xml:space="preserve">5,866</w:t>
      </w:r>
    </w:p>
    <w:p>
      <w:pPr>
        <w:pStyle w:val="BodyText"/>
      </w:pPr>
      <w:r>
        <w:t xml:space="preserve">703</w:t>
      </w:r>
    </w:p>
    <w:p>
      <w:pPr>
        <w:pStyle w:val="BodyText"/>
      </w:pPr>
      <w:r>
        <w:t xml:space="preserve">24,101</w:t>
      </w:r>
    </w:p>
    <w:p>
      <w:pPr>
        <w:pStyle w:val="BodyText"/>
      </w:pPr>
      <w:r>
        <w:t xml:space="preserve">752</w:t>
      </w:r>
    </w:p>
    <w:p>
      <w:pPr>
        <w:pStyle w:val="BodyText"/>
      </w:pPr>
      <w:r>
        <w:t xml:space="preserve">34</w:t>
      </w:r>
    </w:p>
    <w:p>
      <w:pPr>
        <w:pStyle w:val="BodyText"/>
      </w:pPr>
      <w:r>
        <w:t xml:space="preserve">19%</w:t>
      </w:r>
    </w:p>
    <w:p>
      <w:pPr>
        <w:pStyle w:val="BodyText"/>
      </w:pPr>
      <w:r>
        <w:t xml:space="preserve">2%</w:t>
      </w:r>
    </w:p>
    <w:p>
      <w:pPr>
        <w:pStyle w:val="BodyText"/>
      </w:pPr>
      <w:r>
        <w:t xml:space="preserve">77%</w:t>
      </w:r>
    </w:p>
    <w:p>
      <w:pPr>
        <w:pStyle w:val="BodyText"/>
      </w:pPr>
      <w:r>
        <w:t xml:space="preserve">2%</w:t>
      </w:r>
    </w:p>
    <w:p>
      <w:pPr>
        <w:pStyle w:val="BodyText"/>
      </w:pPr>
      <w:r>
        <w:t xml:space="preserve">–</w:t>
      </w:r>
    </w:p>
    <w:p>
      <w:pPr>
        <w:pStyle w:val="BodyText"/>
      </w:pPr>
      <w:r>
        <w:t xml:space="preserve">100%</w:t>
      </w:r>
    </w:p>
    <w:p>
      <w:pPr>
        <w:pStyle w:val="BodyText"/>
      </w:pPr>
      <w:r>
        <w:t xml:space="preserve">31,456</w:t>
      </w:r>
    </w:p>
    <w:p>
      <w:pPr>
        <w:pStyle w:val="BodyText"/>
      </w:pPr>
      <w:r>
        <w:t xml:space="preserve">100%</w:t>
      </w:r>
    </w:p>
    <w:p>
      <w:pPr>
        <w:pStyle w:val="BodyText"/>
      </w:pPr>
      <w:r>
        <w:t xml:space="preserve">033</w:t>
      </w:r>
    </w:p>
    <w:p>
      <w:pPr>
        <w:pStyle w:val="BodyText"/>
      </w:pPr>
      <w:r>
        <w:rPr>
          <w:rFonts w:hint="eastAsia"/>
        </w:rPr>
        <w:t xml:space="preserve">概覽財務及營運回顧企業管治其他資料財務報表2020年報</w:t>
      </w:r>
    </w:p>
    <w:p>
      <w:pPr>
        <w:pStyle w:val="BodyText"/>
      </w:pPr>
      <w:r>
        <w:rPr>
          <w:rFonts w:hint="eastAsia"/>
        </w:rPr>
        <w:t xml:space="preserve">保單持有人及股東投資</w:t>
      </w:r>
    </w:p>
    <w:p>
      <w:pPr>
        <w:pStyle w:val="BodyText"/>
      </w:pPr>
      <w:r>
        <w:rPr>
          <w:rFonts w:hint="eastAsia"/>
        </w:rPr>
        <w:t xml:space="preserve">百萬美元，除另有說明外</w:t>
      </w:r>
    </w:p>
    <w:p>
      <w:pPr>
        <w:pStyle w:val="BodyText"/>
      </w:pPr>
      <w:r>
        <w:rPr>
          <w:rFonts w:hint="eastAsia"/>
        </w:rPr>
        <w:t xml:space="preserve">分紅基金及具特定資產組合的其他分紅業務</w:t>
      </w:r>
    </w:p>
    <w:p>
      <w:pPr>
        <w:pStyle w:val="BodyText"/>
      </w:pPr>
      <w:r>
        <w:rPr>
          <w:rFonts w:hint="eastAsia"/>
        </w:rPr>
        <w:t xml:space="preserve">政府債券</w:t>
      </w:r>
    </w:p>
    <w:p>
      <w:pPr>
        <w:pStyle w:val="BodyText"/>
      </w:pPr>
      <w:r>
        <w:rPr>
          <w:rFonts w:hint="eastAsia"/>
        </w:rPr>
        <w:t xml:space="preserve">其他政府及政府機構債券</w:t>
      </w:r>
    </w:p>
    <w:p>
      <w:pPr>
        <w:pStyle w:val="BodyText"/>
      </w:pPr>
      <w:r>
        <w:rPr>
          <w:rFonts w:hint="eastAsia"/>
        </w:rPr>
        <w:t xml:space="preserve">公司債券及結構證券</w:t>
      </w:r>
    </w:p>
    <w:p>
      <w:pPr>
        <w:pStyle w:val="BodyText"/>
      </w:pPr>
      <w:r>
        <w:rPr>
          <w:rFonts w:hint="eastAsia"/>
        </w:rPr>
        <w:t xml:space="preserve">貸款及存款</w:t>
      </w:r>
    </w:p>
    <w:p>
      <w:pPr>
        <w:pStyle w:val="BodyText"/>
      </w:pPr>
      <w:r>
        <w:rPr>
          <w:rFonts w:hint="eastAsia"/>
        </w:rPr>
        <w:t xml:space="preserve">小計</w:t>
      </w:r>
      <w:r>
        <w:t xml:space="preserve"> </w:t>
      </w:r>
      <w:r>
        <w:rPr>
          <w:rFonts w:hint="eastAsia"/>
        </w:rPr>
        <w:t xml:space="preserve">－</w:t>
      </w:r>
      <w:r>
        <w:t xml:space="preserve"> </w:t>
      </w:r>
      <w:r>
        <w:rPr>
          <w:rFonts w:hint="eastAsia"/>
        </w:rPr>
        <w:t xml:space="preserve">固定收入投資</w:t>
      </w:r>
    </w:p>
    <w:p>
      <w:pPr>
        <w:pStyle w:val="BodyText"/>
      </w:pPr>
      <w:r>
        <w:rPr>
          <w:rFonts w:hint="eastAsia"/>
        </w:rPr>
        <w:t xml:space="preserve">股本證券</w:t>
      </w:r>
    </w:p>
    <w:p>
      <w:pPr>
        <w:pStyle w:val="BodyText"/>
      </w:pPr>
      <w:r>
        <w:rPr>
          <w:rFonts w:hint="eastAsia"/>
        </w:rPr>
        <w:t xml:space="preserve">投資物業及持作自用物業</w:t>
      </w:r>
    </w:p>
    <w:p>
      <w:pPr>
        <w:pStyle w:val="BodyText"/>
      </w:pPr>
      <w:r>
        <w:rPr>
          <w:rFonts w:hint="eastAsia"/>
        </w:rPr>
        <w:t xml:space="preserve">現金及現金等價物</w:t>
      </w:r>
    </w:p>
    <w:p>
      <w:pPr>
        <w:pStyle w:val="BodyText"/>
      </w:pPr>
      <w:r>
        <w:rPr>
          <w:rFonts w:hint="eastAsia"/>
        </w:rPr>
        <w:t xml:space="preserve">衍生金融工具</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佔總額比重</w:t>
      </w:r>
    </w:p>
    <w:p>
      <w:pPr>
        <w:pStyle w:val="BodyText"/>
      </w:pPr>
      <w:r>
        <w:rPr>
          <w:rFonts w:hint="eastAsia"/>
        </w:rPr>
        <w:t xml:space="preserve">於2019年</w:t>
      </w:r>
      <w:r>
        <w:br/>
      </w:r>
      <w:r>
        <w:rPr>
          <w:rFonts w:hint="eastAsia"/>
        </w:rPr>
        <w:t xml:space="preserve">12月31日</w:t>
      </w:r>
    </w:p>
    <w:p>
      <w:pPr>
        <w:pStyle w:val="BodyText"/>
      </w:pPr>
      <w:r>
        <w:rPr>
          <w:rFonts w:hint="eastAsia"/>
        </w:rPr>
        <w:t xml:space="preserve">佔總額比重</w:t>
      </w:r>
    </w:p>
    <w:p>
      <w:pPr>
        <w:pStyle w:val="BodyText"/>
      </w:pPr>
      <w:r>
        <w:t xml:space="preserve">9,324</w:t>
      </w:r>
    </w:p>
    <w:p>
      <w:pPr>
        <w:pStyle w:val="BodyText"/>
      </w:pPr>
      <w:r>
        <w:t xml:space="preserve">11,701</w:t>
      </w:r>
    </w:p>
    <w:p>
      <w:pPr>
        <w:pStyle w:val="BodyText"/>
      </w:pPr>
      <w:r>
        <w:t xml:space="preserve">54,947</w:t>
      </w:r>
    </w:p>
    <w:p>
      <w:pPr>
        <w:pStyle w:val="BodyText"/>
      </w:pPr>
      <w:r>
        <w:t xml:space="preserve">2,519</w:t>
      </w:r>
    </w:p>
    <w:p>
      <w:pPr>
        <w:pStyle w:val="BodyText"/>
      </w:pPr>
      <w:r>
        <w:t xml:space="preserve">78,491</w:t>
      </w:r>
    </w:p>
    <w:p>
      <w:pPr>
        <w:pStyle w:val="BodyText"/>
      </w:pPr>
      <w:r>
        <w:t xml:space="preserve">23,892</w:t>
      </w:r>
    </w:p>
    <w:p>
      <w:pPr>
        <w:pStyle w:val="BodyText"/>
      </w:pPr>
      <w:r>
        <w:t xml:space="preserve">1,054</w:t>
      </w:r>
    </w:p>
    <w:p>
      <w:pPr>
        <w:pStyle w:val="BodyText"/>
      </w:pPr>
      <w:r>
        <w:t xml:space="preserve">565</w:t>
      </w:r>
    </w:p>
    <w:p>
      <w:pPr>
        <w:pStyle w:val="BodyText"/>
      </w:pPr>
      <w:r>
        <w:t xml:space="preserve">335</w:t>
      </w:r>
    </w:p>
    <w:p>
      <w:pPr>
        <w:pStyle w:val="BodyText"/>
      </w:pPr>
      <w:r>
        <w:t xml:space="preserve">4%</w:t>
      </w:r>
    </w:p>
    <w:p>
      <w:pPr>
        <w:pStyle w:val="BodyText"/>
      </w:pPr>
      <w:r>
        <w:t xml:space="preserve">5%</w:t>
      </w:r>
    </w:p>
    <w:p>
      <w:pPr>
        <w:pStyle w:val="BodyText"/>
      </w:pPr>
      <w:r>
        <w:t xml:space="preserve">22%</w:t>
      </w:r>
    </w:p>
    <w:p>
      <w:pPr>
        <w:pStyle w:val="BodyText"/>
      </w:pPr>
      <w:r>
        <w:t xml:space="preserve">1%</w:t>
      </w:r>
    </w:p>
    <w:p>
      <w:pPr>
        <w:pStyle w:val="BodyText"/>
      </w:pPr>
      <w:r>
        <w:t xml:space="preserve">32%</w:t>
      </w:r>
    </w:p>
    <w:p>
      <w:pPr>
        <w:pStyle w:val="BodyText"/>
      </w:pPr>
      <w:r>
        <w:t xml:space="preserve">10%</w:t>
      </w:r>
    </w:p>
    <w:p>
      <w:pPr>
        <w:pStyle w:val="BodyText"/>
      </w:pPr>
      <w:r>
        <w:t xml:space="preserve">–</w:t>
      </w:r>
    </w:p>
    <w:p>
      <w:pPr>
        <w:pStyle w:val="BodyText"/>
      </w:pPr>
      <w:r>
        <w:t xml:space="preserve">–</w:t>
      </w:r>
    </w:p>
    <w:p>
      <w:pPr>
        <w:pStyle w:val="BodyText"/>
      </w:pPr>
      <w:r>
        <w:t xml:space="preserve">–</w:t>
      </w:r>
    </w:p>
    <w:p>
      <w:pPr>
        <w:pStyle w:val="BodyText"/>
      </w:pPr>
      <w:r>
        <w:t xml:space="preserve">7,751</w:t>
      </w:r>
    </w:p>
    <w:p>
      <w:pPr>
        <w:pStyle w:val="BodyText"/>
      </w:pPr>
      <w:r>
        <w:t xml:space="preserve">9,974</w:t>
      </w:r>
    </w:p>
    <w:p>
      <w:pPr>
        <w:pStyle w:val="BodyText"/>
      </w:pPr>
      <w:r>
        <w:t xml:space="preserve">40,842</w:t>
      </w:r>
    </w:p>
    <w:p>
      <w:pPr>
        <w:pStyle w:val="BodyText"/>
      </w:pPr>
      <w:r>
        <w:t xml:space="preserve">2,523</w:t>
      </w:r>
    </w:p>
    <w:p>
      <w:pPr>
        <w:pStyle w:val="BodyText"/>
      </w:pPr>
      <w:r>
        <w:t xml:space="preserve">61,090</w:t>
      </w:r>
    </w:p>
    <w:p>
      <w:pPr>
        <w:pStyle w:val="BodyText"/>
      </w:pPr>
      <w:r>
        <w:t xml:space="preserve">18,739</w:t>
      </w:r>
    </w:p>
    <w:p>
      <w:pPr>
        <w:pStyle w:val="BodyText"/>
      </w:pPr>
      <w:r>
        <w:t xml:space="preserve">1,065</w:t>
      </w:r>
    </w:p>
    <w:p>
      <w:pPr>
        <w:pStyle w:val="BodyText"/>
      </w:pPr>
      <w:r>
        <w:t xml:space="preserve">481</w:t>
      </w:r>
    </w:p>
    <w:p>
      <w:pPr>
        <w:pStyle w:val="BodyText"/>
      </w:pPr>
      <w:r>
        <w:t xml:space="preserve">231</w:t>
      </w:r>
    </w:p>
    <w:p>
      <w:pPr>
        <w:pStyle w:val="BodyText"/>
      </w:pPr>
      <w:r>
        <w:rPr>
          <w:rFonts w:hint="eastAsia"/>
        </w:rPr>
        <w:t xml:space="preserve">分紅基金及具特定資產組合的其他分紅業務小計</w:t>
      </w:r>
    </w:p>
    <w:p>
      <w:pPr>
        <w:pStyle w:val="BodyText"/>
      </w:pPr>
      <w:r>
        <w:t xml:space="preserve">104,337</w:t>
      </w:r>
    </w:p>
    <w:p>
      <w:pPr>
        <w:pStyle w:val="BodyText"/>
      </w:pPr>
      <w:r>
        <w:t xml:space="preserve">42%</w:t>
      </w:r>
    </w:p>
    <w:p>
      <w:pPr>
        <w:pStyle w:val="BodyText"/>
      </w:pPr>
      <w:r>
        <w:t xml:space="preserve">81,606</w:t>
      </w:r>
    </w:p>
    <w:p>
      <w:pPr>
        <w:pStyle w:val="BodyText"/>
      </w:pPr>
      <w:r>
        <w:rPr>
          <w:rFonts w:hint="eastAsia"/>
        </w:rPr>
        <w:t xml:space="preserve">其他保單持有人及股東</w:t>
      </w:r>
    </w:p>
    <w:p>
      <w:pPr>
        <w:pStyle w:val="BodyText"/>
      </w:pPr>
      <w:r>
        <w:rPr>
          <w:rFonts w:hint="eastAsia"/>
        </w:rPr>
        <w:t xml:space="preserve">政府債券</w:t>
      </w:r>
    </w:p>
    <w:p>
      <w:pPr>
        <w:pStyle w:val="BodyText"/>
      </w:pPr>
      <w:r>
        <w:rPr>
          <w:rFonts w:hint="eastAsia"/>
        </w:rPr>
        <w:t xml:space="preserve">其他政府及政府機構債券</w:t>
      </w:r>
    </w:p>
    <w:p>
      <w:pPr>
        <w:pStyle w:val="BodyText"/>
      </w:pPr>
      <w:r>
        <w:rPr>
          <w:rFonts w:hint="eastAsia"/>
        </w:rPr>
        <w:t xml:space="preserve">公司債券及結構證券</w:t>
      </w:r>
    </w:p>
    <w:p>
      <w:pPr>
        <w:pStyle w:val="BodyText"/>
      </w:pPr>
      <w:r>
        <w:rPr>
          <w:rFonts w:hint="eastAsia"/>
        </w:rPr>
        <w:t xml:space="preserve">貸款及存款</w:t>
      </w:r>
    </w:p>
    <w:p>
      <w:pPr>
        <w:pStyle w:val="BodyText"/>
      </w:pPr>
      <w:r>
        <w:rPr>
          <w:rFonts w:hint="eastAsia"/>
        </w:rPr>
        <w:t xml:space="preserve">小計</w:t>
      </w:r>
      <w:r>
        <w:t xml:space="preserve"> </w:t>
      </w:r>
      <w:r>
        <w:rPr>
          <w:rFonts w:hint="eastAsia"/>
        </w:rPr>
        <w:t xml:space="preserve">－</w:t>
      </w:r>
      <w:r>
        <w:t xml:space="preserve"> </w:t>
      </w:r>
      <w:r>
        <w:rPr>
          <w:rFonts w:hint="eastAsia"/>
        </w:rPr>
        <w:t xml:space="preserve">固定收入投資</w:t>
      </w:r>
    </w:p>
    <w:p>
      <w:pPr>
        <w:pStyle w:val="BodyText"/>
      </w:pPr>
      <w:r>
        <w:rPr>
          <w:rFonts w:hint="eastAsia"/>
        </w:rPr>
        <w:t xml:space="preserve">股本證券</w:t>
      </w:r>
    </w:p>
    <w:p>
      <w:pPr>
        <w:pStyle w:val="BodyText"/>
      </w:pPr>
      <w:r>
        <w:rPr>
          <w:rFonts w:hint="eastAsia"/>
        </w:rPr>
        <w:t xml:space="preserve">投資物業及持作自用物業</w:t>
      </w:r>
    </w:p>
    <w:p>
      <w:pPr>
        <w:pStyle w:val="BodyText"/>
      </w:pPr>
      <w:r>
        <w:rPr>
          <w:rFonts w:hint="eastAsia"/>
        </w:rPr>
        <w:t xml:space="preserve">現金及現金等價物</w:t>
      </w:r>
    </w:p>
    <w:p>
      <w:pPr>
        <w:pStyle w:val="BodyText"/>
      </w:pPr>
      <w:r>
        <w:rPr>
          <w:rFonts w:hint="eastAsia"/>
        </w:rPr>
        <w:t xml:space="preserve">衍生金融工具</w:t>
      </w:r>
    </w:p>
    <w:p>
      <w:pPr>
        <w:pStyle w:val="BodyText"/>
      </w:pPr>
      <w:r>
        <w:rPr>
          <w:rFonts w:hint="eastAsia"/>
        </w:rPr>
        <w:t xml:space="preserve">其他保單持有人及股東小計</w:t>
      </w:r>
    </w:p>
    <w:p>
      <w:pPr>
        <w:pStyle w:val="BodyText"/>
      </w:pPr>
      <w:r>
        <w:rPr>
          <w:rFonts w:hint="eastAsia"/>
        </w:rPr>
        <w:t xml:space="preserve">保單持有人及股東總計</w:t>
      </w:r>
    </w:p>
    <w:p>
      <w:pPr>
        <w:pStyle w:val="BodyText"/>
      </w:pPr>
      <w:r>
        <w:rPr>
          <w:rFonts w:hint="eastAsia"/>
        </w:rPr>
        <w:t xml:space="preserve">資產</w:t>
      </w:r>
    </w:p>
    <w:p>
      <w:pPr>
        <w:pStyle w:val="BodyText"/>
      </w:pPr>
      <w:r>
        <w:t xml:space="preserve">46,939</w:t>
      </w:r>
    </w:p>
    <w:p>
      <w:pPr>
        <w:pStyle w:val="BodyText"/>
      </w:pPr>
      <w:r>
        <w:t xml:space="preserve">18,918</w:t>
      </w:r>
    </w:p>
    <w:p>
      <w:pPr>
        <w:pStyle w:val="BodyText"/>
      </w:pPr>
      <w:r>
        <w:t xml:space="preserve">53,649</w:t>
      </w:r>
    </w:p>
    <w:p>
      <w:pPr>
        <w:pStyle w:val="BodyText"/>
      </w:pPr>
      <w:r>
        <w:t xml:space="preserve">6,421</w:t>
      </w:r>
    </w:p>
    <w:p>
      <w:pPr>
        <w:pStyle w:val="BodyText"/>
      </w:pPr>
      <w:r>
        <w:t xml:space="preserve">125,927</w:t>
      </w:r>
    </w:p>
    <w:p>
      <w:pPr>
        <w:pStyle w:val="BodyText"/>
      </w:pPr>
      <w:r>
        <w:t xml:space="preserve">7,058</w:t>
      </w:r>
    </w:p>
    <w:p>
      <w:pPr>
        <w:pStyle w:val="BodyText"/>
      </w:pPr>
      <w:r>
        <w:t xml:space="preserve">5,570</w:t>
      </w:r>
    </w:p>
    <w:p>
      <w:pPr>
        <w:pStyle w:val="BodyText"/>
      </w:pPr>
      <w:r>
        <w:t xml:space="preserve">3,835</w:t>
      </w:r>
    </w:p>
    <w:p>
      <w:pPr>
        <w:pStyle w:val="BodyText"/>
      </w:pPr>
      <w:r>
        <w:t xml:space="preserve">681</w:t>
      </w:r>
    </w:p>
    <w:p>
      <w:pPr>
        <w:pStyle w:val="BodyText"/>
      </w:pPr>
      <w:r>
        <w:t xml:space="preserve">143,071</w:t>
      </w:r>
    </w:p>
    <w:p>
      <w:pPr>
        <w:pStyle w:val="BodyText"/>
      </w:pPr>
      <w:r>
        <w:t xml:space="preserve">247,408</w:t>
      </w:r>
    </w:p>
    <w:p>
      <w:pPr>
        <w:pStyle w:val="BodyText"/>
      </w:pPr>
      <w:r>
        <w:t xml:space="preserve">19%</w:t>
      </w:r>
    </w:p>
    <w:p>
      <w:pPr>
        <w:pStyle w:val="BodyText"/>
      </w:pPr>
      <w:r>
        <w:t xml:space="preserve">7%</w:t>
      </w:r>
    </w:p>
    <w:p>
      <w:pPr>
        <w:pStyle w:val="BodyText"/>
      </w:pPr>
      <w:r>
        <w:t xml:space="preserve">22%</w:t>
      </w:r>
    </w:p>
    <w:p>
      <w:pPr>
        <w:pStyle w:val="BodyText"/>
      </w:pPr>
      <w:r>
        <w:t xml:space="preserve">3%</w:t>
      </w:r>
    </w:p>
    <w:p>
      <w:pPr>
        <w:pStyle w:val="BodyText"/>
      </w:pPr>
      <w:r>
        <w:t xml:space="preserve">51%</w:t>
      </w:r>
    </w:p>
    <w:p>
      <w:pPr>
        <w:pStyle w:val="BodyText"/>
      </w:pPr>
      <w:r>
        <w:t xml:space="preserve">3%</w:t>
      </w:r>
    </w:p>
    <w:p>
      <w:pPr>
        <w:pStyle w:val="BodyText"/>
      </w:pPr>
      <w:r>
        <w:t xml:space="preserve">2%</w:t>
      </w:r>
    </w:p>
    <w:p>
      <w:pPr>
        <w:pStyle w:val="BodyText"/>
      </w:pPr>
      <w:r>
        <w:t xml:space="preserve">2%</w:t>
      </w:r>
    </w:p>
    <w:p>
      <w:pPr>
        <w:pStyle w:val="BodyText"/>
      </w:pPr>
      <w:r>
        <w:t xml:space="preserve">–</w:t>
      </w:r>
    </w:p>
    <w:p>
      <w:pPr>
        <w:pStyle w:val="BodyText"/>
      </w:pPr>
      <w:r>
        <w:t xml:space="preserve">58%</w:t>
      </w:r>
    </w:p>
    <w:p>
      <w:pPr>
        <w:pStyle w:val="BodyText"/>
      </w:pPr>
      <w:r>
        <w:t xml:space="preserve">100%</w:t>
      </w:r>
    </w:p>
    <w:p>
      <w:pPr>
        <w:pStyle w:val="BodyText"/>
      </w:pPr>
      <w:r>
        <w:t xml:space="preserve">43,345</w:t>
      </w:r>
    </w:p>
    <w:p>
      <w:pPr>
        <w:pStyle w:val="BodyText"/>
      </w:pPr>
      <w:r>
        <w:t xml:space="preserve">16,727</w:t>
      </w:r>
    </w:p>
    <w:p>
      <w:pPr>
        <w:pStyle w:val="BodyText"/>
      </w:pPr>
      <w:r>
        <w:t xml:space="preserve">47,479</w:t>
      </w:r>
    </w:p>
    <w:p>
      <w:pPr>
        <w:pStyle w:val="BodyText"/>
      </w:pPr>
      <w:r>
        <w:t xml:space="preserve">6,860</w:t>
      </w:r>
    </w:p>
    <w:p>
      <w:pPr>
        <w:pStyle w:val="BodyText"/>
      </w:pPr>
      <w:r>
        <w:t xml:space="preserve">114,411</w:t>
      </w:r>
    </w:p>
    <w:p>
      <w:pPr>
        <w:pStyle w:val="BodyText"/>
      </w:pPr>
      <w:r>
        <w:t xml:space="preserve">7,482</w:t>
      </w:r>
    </w:p>
    <w:p>
      <w:pPr>
        <w:pStyle w:val="BodyText"/>
      </w:pPr>
      <w:r>
        <w:t xml:space="preserve">5,829</w:t>
      </w:r>
    </w:p>
    <w:p>
      <w:pPr>
        <w:pStyle w:val="BodyText"/>
      </w:pPr>
      <w:r>
        <w:t xml:space="preserve">2,708</w:t>
      </w:r>
    </w:p>
    <w:p>
      <w:pPr>
        <w:pStyle w:val="BodyText"/>
      </w:pPr>
      <w:r>
        <w:t xml:space="preserve">706</w:t>
      </w:r>
    </w:p>
    <w:p>
      <w:pPr>
        <w:pStyle w:val="BodyText"/>
      </w:pPr>
      <w:r>
        <w:t xml:space="preserve">131,136</w:t>
      </w:r>
    </w:p>
    <w:p>
      <w:pPr>
        <w:pStyle w:val="BodyText"/>
      </w:pPr>
      <w:r>
        <w:t xml:space="preserve">212,742</w:t>
      </w:r>
    </w:p>
    <w:p>
      <w:pPr>
        <w:pStyle w:val="BodyText"/>
      </w:pPr>
      <w:r>
        <w:t xml:space="preserve">4%</w:t>
      </w:r>
    </w:p>
    <w:p>
      <w:pPr>
        <w:pStyle w:val="BodyText"/>
      </w:pPr>
      <w:r>
        <w:t xml:space="preserve">5%</w:t>
      </w:r>
    </w:p>
    <w:p>
      <w:pPr>
        <w:pStyle w:val="BodyText"/>
      </w:pPr>
      <w:r>
        <w:t xml:space="preserve">19%</w:t>
      </w:r>
    </w:p>
    <w:p>
      <w:pPr>
        <w:pStyle w:val="BodyText"/>
      </w:pPr>
      <w:r>
        <w:t xml:space="preserve">1%</w:t>
      </w:r>
    </w:p>
    <w:p>
      <w:pPr>
        <w:pStyle w:val="BodyText"/>
      </w:pPr>
      <w:r>
        <w:t xml:space="preserve">29%</w:t>
      </w:r>
    </w:p>
    <w:p>
      <w:pPr>
        <w:pStyle w:val="BodyText"/>
      </w:pPr>
      <w:r>
        <w:t xml:space="preserve">8%</w:t>
      </w:r>
    </w:p>
    <w:p>
      <w:pPr>
        <w:pStyle w:val="BodyText"/>
      </w:pPr>
      <w:r>
        <w:t xml:space="preserve">1%</w:t>
      </w:r>
    </w:p>
    <w:p>
      <w:pPr>
        <w:pStyle w:val="BodyText"/>
      </w:pPr>
      <w:r>
        <w:t xml:space="preserve">–</w:t>
      </w:r>
    </w:p>
    <w:p>
      <w:pPr>
        <w:pStyle w:val="BodyText"/>
      </w:pPr>
      <w:r>
        <w:t xml:space="preserve">–</w:t>
      </w:r>
    </w:p>
    <w:p>
      <w:pPr>
        <w:pStyle w:val="BodyText"/>
      </w:pPr>
      <w:r>
        <w:t xml:space="preserve">38%</w:t>
      </w:r>
    </w:p>
    <w:p>
      <w:pPr>
        <w:pStyle w:val="BodyText"/>
      </w:pPr>
      <w:r>
        <w:t xml:space="preserve">21%</w:t>
      </w:r>
    </w:p>
    <w:p>
      <w:pPr>
        <w:pStyle w:val="BodyText"/>
      </w:pPr>
      <w:r>
        <w:t xml:space="preserve">8%</w:t>
      </w:r>
    </w:p>
    <w:p>
      <w:pPr>
        <w:pStyle w:val="BodyText"/>
      </w:pPr>
      <w:r>
        <w:t xml:space="preserve">22%</w:t>
      </w:r>
    </w:p>
    <w:p>
      <w:pPr>
        <w:pStyle w:val="BodyText"/>
      </w:pPr>
      <w:r>
        <w:t xml:space="preserve">3%</w:t>
      </w:r>
    </w:p>
    <w:p>
      <w:pPr>
        <w:pStyle w:val="BodyText"/>
      </w:pPr>
      <w:r>
        <w:t xml:space="preserve">54%</w:t>
      </w:r>
    </w:p>
    <w:p>
      <w:pPr>
        <w:pStyle w:val="BodyText"/>
      </w:pPr>
      <w:r>
        <w:t xml:space="preserve">4%</w:t>
      </w:r>
    </w:p>
    <w:p>
      <w:pPr>
        <w:pStyle w:val="BodyText"/>
      </w:pPr>
      <w:r>
        <w:t xml:space="preserve">3%</w:t>
      </w:r>
    </w:p>
    <w:p>
      <w:pPr>
        <w:pStyle w:val="BodyText"/>
      </w:pPr>
      <w:r>
        <w:t xml:space="preserve">1%</w:t>
      </w:r>
    </w:p>
    <w:p>
      <w:pPr>
        <w:pStyle w:val="BodyText"/>
      </w:pPr>
      <w:r>
        <w:t xml:space="preserve">–</w:t>
      </w:r>
    </w:p>
    <w:p>
      <w:pPr>
        <w:pStyle w:val="BodyText"/>
      </w:pPr>
      <w:r>
        <w:t xml:space="preserve">62%</w:t>
      </w:r>
    </w:p>
    <w:p>
      <w:pPr>
        <w:pStyle w:val="BodyText"/>
      </w:pPr>
      <w:r>
        <w:t xml:space="preserve">100%</w:t>
      </w:r>
    </w:p>
    <w:p>
      <w:pPr>
        <w:pStyle w:val="BodyText"/>
      </w:pPr>
      <w:r>
        <w:rPr>
          <w:rFonts w:hint="eastAsia"/>
        </w:rPr>
        <w:t xml:space="preserve">分紅業務以獨立法定基金承保，須受法規確立的保單持有人和股東之間的分紅機制所規範。「具特定資產組合的</w:t>
      </w:r>
    </w:p>
    <w:p>
      <w:pPr>
        <w:pStyle w:val="BodyText"/>
      </w:pPr>
      <w:r>
        <w:rPr>
          <w:rFonts w:hint="eastAsia"/>
        </w:rPr>
        <w:t xml:space="preserve">其他分紅業務」（即早前提及的香港分紅業務），以獨立投資資產所支持並就將來的分紅給付作出撥備，縱使保單</w:t>
      </w:r>
    </w:p>
    <w:p>
      <w:pPr>
        <w:pStyle w:val="BodyText"/>
      </w:pPr>
      <w:r>
        <w:rPr>
          <w:rFonts w:hint="eastAsia"/>
        </w:rPr>
        <w:t xml:space="preserve">持有人與股東之間的分紅機制於法規中並無定義。</w:t>
      </w:r>
    </w:p>
    <w:p>
      <w:pPr>
        <w:pStyle w:val="BodyText"/>
      </w:pPr>
      <w:r>
        <w:rPr>
          <w:rFonts w:hint="eastAsia"/>
        </w:rPr>
        <w:t xml:space="preserve">因正面收益淨額及債務證券的市值收益，總資產由2019年12月31日的2,841.32億美元增加419.89億美元至2020年</w:t>
      </w:r>
    </w:p>
    <w:p>
      <w:pPr>
        <w:pStyle w:val="BodyText"/>
      </w:pPr>
      <w:r>
        <w:rPr>
          <w:rFonts w:hint="eastAsia"/>
        </w:rPr>
        <w:t xml:space="preserve">12月31日的3,261.21億美元。</w:t>
      </w:r>
    </w:p>
    <w:p>
      <w:pPr>
        <w:pStyle w:val="BodyText"/>
      </w:pPr>
      <w:r>
        <w:rPr>
          <w:rFonts w:hint="eastAsia"/>
        </w:rPr>
        <w:t xml:space="preserve">總投資包括金融投資、投資物業、持作自用物業和現金及現金等價物，與2019年12月31日的2,441.98億美元相</w:t>
      </w:r>
    </w:p>
    <w:p>
      <w:pPr>
        <w:pStyle w:val="BodyText"/>
      </w:pPr>
      <w:r>
        <w:rPr>
          <w:rFonts w:hint="eastAsia"/>
        </w:rPr>
        <w:t xml:space="preserve">比，於2020年12月31日增加395.12億美元至2,837.10億美元。</w:t>
      </w:r>
    </w:p>
    <w:p>
      <w:pPr>
        <w:pStyle w:val="BodyText"/>
      </w:pPr>
      <w:r>
        <w:rPr>
          <w:rFonts w:hint="eastAsia"/>
        </w:rPr>
        <w:t xml:space="preserve">截至2020年12月31日合共2,837.10億美元的投資中，2,474.08億美元為就保單持有人及股東所持有的資產，而餘</w:t>
      </w:r>
    </w:p>
    <w:p>
      <w:pPr>
        <w:pStyle w:val="BodyText"/>
      </w:pPr>
      <w:r>
        <w:rPr>
          <w:rFonts w:hint="eastAsia"/>
        </w:rPr>
        <w:t xml:space="preserve">下363.02億美元為就單位連結式合約及合併投資基金所持有的資產。</w:t>
      </w:r>
    </w:p>
    <w:p>
      <w:pPr>
        <w:pStyle w:val="BodyText"/>
      </w:pPr>
      <w:r>
        <w:t xml:space="preserve">034</w:t>
      </w:r>
    </w:p>
    <w:p>
      <w:pPr>
        <w:pStyle w:val="BodyText"/>
      </w:pPr>
      <w:r>
        <w:rPr>
          <w:rFonts w:hint="eastAsia"/>
        </w:rPr>
        <w:t xml:space="preserve">財務及營運回顧友邦保險控股有限公司集團首席財務總監回顧</w:t>
      </w:r>
    </w:p>
    <w:p>
      <w:pPr>
        <w:pStyle w:val="BodyText"/>
      </w:pPr>
      <w:r>
        <w:rPr>
          <w:rFonts w:hint="eastAsia"/>
        </w:rPr>
        <w:t xml:space="preserve">截至2020年12月31日，就保單持有人及股東所持有的固定收入投資（包括債務證券、貸款及定期存款）總額達</w:t>
      </w:r>
    </w:p>
    <w:p>
      <w:pPr>
        <w:pStyle w:val="BodyText"/>
      </w:pPr>
      <w:r>
        <w:rPr>
          <w:rFonts w:hint="eastAsia"/>
        </w:rPr>
        <w:t xml:space="preserve">2,044.18億美元，而截至2019年</w:t>
      </w:r>
      <w:r>
        <w:t xml:space="preserve"> </w:t>
      </w:r>
      <w:r>
        <w:rPr>
          <w:rFonts w:hint="eastAsia"/>
        </w:rPr>
        <w:t xml:space="preserve">12月31日則為1,755.01億美元。</w:t>
      </w:r>
    </w:p>
    <w:p>
      <w:pPr>
        <w:pStyle w:val="BodyText"/>
      </w:pPr>
      <w:r>
        <w:rPr>
          <w:rFonts w:hint="eastAsia"/>
        </w:rPr>
        <w:t xml:space="preserve">截至2020年12月31日，政府債券、其他政府及政府機構債券佔固定收入投資的43%，而截至2019年12月31日則</w:t>
      </w:r>
    </w:p>
    <w:p>
      <w:pPr>
        <w:pStyle w:val="BodyText"/>
      </w:pPr>
      <w:r>
        <w:rPr>
          <w:rFonts w:hint="eastAsia"/>
        </w:rPr>
        <w:t xml:space="preserve">佔44%。截至2020年12月31日，公司債券及結構證券佔固定收入投資的53%，而截至2019年12月31日則佔50%。</w:t>
      </w:r>
    </w:p>
    <w:p>
      <w:pPr>
        <w:pStyle w:val="BodyText"/>
      </w:pPr>
      <w:r>
        <w:rPr>
          <w:rFonts w:hint="eastAsia"/>
        </w:rPr>
        <w:t xml:space="preserve">我們的固定收入投資組合（不包括政府債券）的平均信貸評級與2019年12月31日相比維持穩定，為A-。我們的公</w:t>
      </w:r>
    </w:p>
    <w:p>
      <w:pPr>
        <w:pStyle w:val="BodyText"/>
      </w:pPr>
      <w:r>
        <w:rPr>
          <w:rFonts w:hint="eastAsia"/>
        </w:rPr>
        <w:t xml:space="preserve">司債券組合多元化，有超過1,500名發行人及平均持有規模為6,700萬美元。截至2020年12月31日，我們持有投資</w:t>
      </w:r>
    </w:p>
    <w:p>
      <w:pPr>
        <w:pStyle w:val="BodyText"/>
      </w:pPr>
      <w:r>
        <w:rPr>
          <w:rFonts w:hint="eastAsia"/>
        </w:rPr>
        <w:t xml:space="preserve">級別以下或無評級的債券為37億美元，佔全部債券組合的2%。少於6.00億美元的債券（佔全部債券組合的0.3%）</w:t>
      </w:r>
    </w:p>
    <w:p>
      <w:pPr>
        <w:pStyle w:val="BodyText"/>
      </w:pPr>
      <w:r>
        <w:rPr>
          <w:rFonts w:hint="eastAsia"/>
        </w:rPr>
        <w:t xml:space="preserve">降級至投資級別以下，而我們於2020年並無任何減值，反映了我們投資組合的整體質素。</w:t>
      </w:r>
    </w:p>
    <w:p>
      <w:pPr>
        <w:pStyle w:val="BodyText"/>
      </w:pPr>
      <w:r>
        <w:rPr>
          <w:rFonts w:hint="eastAsia"/>
        </w:rPr>
        <w:t xml:space="preserve">截至2020年12月31日，就保單持有人及股東所持有的股本證券總額達309.50億美元，而截至2019年12月31日則</w:t>
      </w:r>
    </w:p>
    <w:p>
      <w:pPr>
        <w:pStyle w:val="BodyText"/>
      </w:pPr>
      <w:r>
        <w:rPr>
          <w:rFonts w:hint="eastAsia"/>
        </w:rPr>
        <w:t xml:space="preserve">為262.21億美元。股本證券賬面值上升47.29億美元，主要由於相關業務的增長推動新購買的股本證券增加。於</w:t>
      </w:r>
    </w:p>
    <w:p>
      <w:pPr>
        <w:pStyle w:val="BodyText"/>
      </w:pPr>
      <w:r>
        <w:rPr>
          <w:rFonts w:hint="eastAsia"/>
        </w:rPr>
        <w:t xml:space="preserve">此等股本證券中，238.92億美元為分紅基金及具特定資產組合的其他分紅業務所持有。</w:t>
      </w:r>
    </w:p>
    <w:p>
      <w:pPr>
        <w:pStyle w:val="BodyText"/>
      </w:pPr>
      <w:r>
        <w:rPr>
          <w:rFonts w:hint="eastAsia"/>
        </w:rPr>
        <w:t xml:space="preserve">現</w:t>
      </w:r>
      <w:r>
        <w:t xml:space="preserve"> </w:t>
      </w:r>
      <w:r>
        <w:rPr>
          <w:rFonts w:hint="eastAsia"/>
        </w:rPr>
        <w:t xml:space="preserve">金</w:t>
      </w:r>
      <w:r>
        <w:t xml:space="preserve"> </w:t>
      </w:r>
      <w:r>
        <w:rPr>
          <w:rFonts w:hint="eastAsia"/>
        </w:rPr>
        <w:t xml:space="preserve">及</w:t>
      </w:r>
      <w:r>
        <w:t xml:space="preserve"> </w:t>
      </w:r>
      <w:r>
        <w:rPr>
          <w:rFonts w:hint="eastAsia"/>
        </w:rPr>
        <w:t xml:space="preserve">現</w:t>
      </w:r>
      <w:r>
        <w:t xml:space="preserve"> </w:t>
      </w:r>
      <w:r>
        <w:rPr>
          <w:rFonts w:hint="eastAsia"/>
        </w:rPr>
        <w:t xml:space="preserve">金</w:t>
      </w:r>
      <w:r>
        <w:t xml:space="preserve"> </w:t>
      </w:r>
      <w:r>
        <w:rPr>
          <w:rFonts w:hint="eastAsia"/>
        </w:rPr>
        <w:t xml:space="preserve">等</w:t>
      </w:r>
      <w:r>
        <w:t xml:space="preserve"> </w:t>
      </w:r>
      <w:r>
        <w:rPr>
          <w:rFonts w:hint="eastAsia"/>
        </w:rPr>
        <w:t xml:space="preserve">價</w:t>
      </w:r>
      <w:r>
        <w:t xml:space="preserve"> </w:t>
      </w:r>
      <w:r>
        <w:rPr>
          <w:rFonts w:hint="eastAsia"/>
        </w:rPr>
        <w:t xml:space="preserve">物</w:t>
      </w:r>
      <w:r>
        <w:t xml:space="preserve"> </w:t>
      </w:r>
      <w:r>
        <w:rPr>
          <w:rFonts w:hint="eastAsia"/>
        </w:rPr>
        <w:t xml:space="preserve">增</w:t>
      </w:r>
      <w:r>
        <w:t xml:space="preserve"> </w:t>
      </w:r>
      <w:r>
        <w:rPr>
          <w:rFonts w:hint="eastAsia"/>
        </w:rPr>
        <w:t xml:space="preserve">加16.78億</w:t>
      </w:r>
      <w:r>
        <w:t xml:space="preserve"> </w:t>
      </w:r>
      <w:r>
        <w:rPr>
          <w:rFonts w:hint="eastAsia"/>
        </w:rPr>
        <w:t xml:space="preserve">美</w:t>
      </w:r>
      <w:r>
        <w:t xml:space="preserve"> </w:t>
      </w:r>
      <w:r>
        <w:rPr>
          <w:rFonts w:hint="eastAsia"/>
        </w:rPr>
        <w:t xml:space="preserve">元</w:t>
      </w:r>
      <w:r>
        <w:t xml:space="preserve"> </w:t>
      </w:r>
      <w:r>
        <w:rPr>
          <w:rFonts w:hint="eastAsia"/>
        </w:rPr>
        <w:t xml:space="preserve">至2020年12月31日</w:t>
      </w:r>
      <w:r>
        <w:t xml:space="preserve"> </w:t>
      </w:r>
      <w:r>
        <w:rPr>
          <w:rFonts w:hint="eastAsia"/>
        </w:rPr>
        <w:t xml:space="preserve">的56.19億</w:t>
      </w:r>
      <w:r>
        <w:t xml:space="preserve"> </w:t>
      </w:r>
      <w:r>
        <w:rPr>
          <w:rFonts w:hint="eastAsia"/>
        </w:rPr>
        <w:t xml:space="preserve">美</w:t>
      </w:r>
      <w:r>
        <w:t xml:space="preserve"> </w:t>
      </w:r>
      <w:r>
        <w:rPr>
          <w:rFonts w:hint="eastAsia"/>
        </w:rPr>
        <w:t xml:space="preserve">元，</w:t>
      </w:r>
      <w:r>
        <w:t xml:space="preserve"> </w:t>
      </w:r>
      <w:r>
        <w:rPr>
          <w:rFonts w:hint="eastAsia"/>
        </w:rPr>
        <w:t xml:space="preserve">而</w:t>
      </w:r>
      <w:r>
        <w:t xml:space="preserve"> </w:t>
      </w:r>
      <w:r>
        <w:rPr>
          <w:rFonts w:hint="eastAsia"/>
        </w:rPr>
        <w:t xml:space="preserve">截</w:t>
      </w:r>
      <w:r>
        <w:t xml:space="preserve"> </w:t>
      </w:r>
      <w:r>
        <w:rPr>
          <w:rFonts w:hint="eastAsia"/>
        </w:rPr>
        <w:t xml:space="preserve">至2019年12月31日</w:t>
      </w:r>
      <w:r>
        <w:t xml:space="preserve"> </w:t>
      </w:r>
      <w:r>
        <w:rPr>
          <w:rFonts w:hint="eastAsia"/>
        </w:rPr>
        <w:t xml:space="preserve">則</w:t>
      </w:r>
      <w:r>
        <w:t xml:space="preserve"> </w:t>
      </w:r>
      <w:r>
        <w:rPr>
          <w:rFonts w:hint="eastAsia"/>
        </w:rPr>
        <w:t xml:space="preserve">為39.41億</w:t>
      </w:r>
      <w:r>
        <w:t xml:space="preserve"> </w:t>
      </w:r>
      <w:r>
        <w:rPr>
          <w:rFonts w:hint="eastAsia"/>
        </w:rPr>
        <w:t xml:space="preserve">美</w:t>
      </w:r>
    </w:p>
    <w:p>
      <w:pPr>
        <w:pStyle w:val="BodyText"/>
      </w:pPr>
      <w:r>
        <w:rPr>
          <w:rFonts w:hint="eastAsia"/>
        </w:rPr>
        <w:t xml:space="preserve">元。該增加主要反映投資組合的平衡調配以及將定期存款優化為更具流動性的投資。</w:t>
      </w:r>
    </w:p>
    <w:p>
      <w:pPr>
        <w:pStyle w:val="BodyText"/>
      </w:pPr>
      <w:r>
        <w:rPr>
          <w:rFonts w:hint="eastAsia"/>
        </w:rPr>
        <w:t xml:space="preserve">截至2020年12月31日，保單持有人及股東的投資物業及持作自用物業合共為66.24億美元，而截至2019年12月31</w:t>
      </w:r>
    </w:p>
    <w:p>
      <w:pPr>
        <w:pStyle w:val="BodyText"/>
      </w:pPr>
      <w:r>
        <w:rPr>
          <w:rFonts w:hint="eastAsia"/>
        </w:rPr>
        <w:t xml:space="preserve">日則為68.94億美元。</w:t>
      </w:r>
    </w:p>
    <w:p>
      <w:pPr>
        <w:pStyle w:val="BodyText"/>
      </w:pPr>
      <w:r>
        <w:rPr>
          <w:rFonts w:hint="eastAsia"/>
        </w:rPr>
        <w:t xml:space="preserve">遞延承保及啟動成本由2019年12月31日的263.28億美元增加至2020年12月31日的279.15億美元，該增加主要來</w:t>
      </w:r>
    </w:p>
    <w:p>
      <w:pPr>
        <w:pStyle w:val="BodyText"/>
      </w:pPr>
      <w:r>
        <w:rPr>
          <w:rFonts w:hint="eastAsia"/>
        </w:rPr>
        <w:t xml:space="preserve">自於新銷售。</w:t>
      </w:r>
    </w:p>
    <w:p>
      <w:pPr>
        <w:pStyle w:val="BodyText"/>
      </w:pPr>
      <w:r>
        <w:rPr>
          <w:rFonts w:hint="eastAsia"/>
        </w:rPr>
        <w:t xml:space="preserve">其他資產由2019年12月31日的156.66億美元增加至2020年12月31日的164.81億美元，主要反映再保險可收回款</w:t>
      </w:r>
    </w:p>
    <w:p>
      <w:pPr>
        <w:pStyle w:val="BodyText"/>
      </w:pPr>
      <w:r>
        <w:rPr>
          <w:rFonts w:hint="eastAsia"/>
        </w:rPr>
        <w:t xml:space="preserve">項增加。</w:t>
      </w:r>
    </w:p>
    <w:p>
      <w:pPr>
        <w:pStyle w:val="BodyText"/>
      </w:pPr>
      <w:r>
        <w:rPr>
          <w:rFonts w:hint="eastAsia"/>
        </w:rPr>
        <w:t xml:space="preserve">負債</w:t>
      </w:r>
    </w:p>
    <w:p>
      <w:pPr>
        <w:pStyle w:val="BodyText"/>
      </w:pPr>
      <w:r>
        <w:rPr>
          <w:rFonts w:hint="eastAsia"/>
        </w:rPr>
        <w:t xml:space="preserve">總負債由2019年12月31日的2,287.37億美元增加至2020年</w:t>
      </w:r>
      <w:r>
        <w:t xml:space="preserve"> </w:t>
      </w:r>
      <w:r>
        <w:rPr>
          <w:rFonts w:hint="eastAsia"/>
        </w:rPr>
        <w:t xml:space="preserve">12月31日的2,624.53億美元。</w:t>
      </w:r>
    </w:p>
    <w:p>
      <w:pPr>
        <w:pStyle w:val="BodyText"/>
      </w:pPr>
      <w:r>
        <w:rPr>
          <w:rFonts w:hint="eastAsia"/>
        </w:rPr>
        <w:t xml:space="preserve">保險及投資合約負債由2019年12月31日的2,044.54億美元增長至2020年12月31日的2,359.52億美元，反映有效保</w:t>
      </w:r>
    </w:p>
    <w:p>
      <w:pPr>
        <w:pStyle w:val="BodyText"/>
      </w:pPr>
      <w:r>
        <w:rPr>
          <w:rFonts w:hint="eastAsia"/>
        </w:rPr>
        <w:t xml:space="preserve">單組合的相關增長及正面的匯率變動。</w:t>
      </w:r>
    </w:p>
    <w:p>
      <w:pPr>
        <w:pStyle w:val="BodyText"/>
      </w:pPr>
      <w:r>
        <w:rPr>
          <w:rFonts w:hint="eastAsia"/>
        </w:rPr>
        <w:t xml:space="preserve">由於年內發行中期票據及證券的所得款項淨額合共27.92億美元，借貸增加至2020年12月31日的85.59億美元。槓</w:t>
      </w:r>
    </w:p>
    <w:p>
      <w:pPr>
        <w:pStyle w:val="BodyText"/>
      </w:pPr>
      <w:r>
        <w:rPr>
          <w:rFonts w:hint="eastAsia"/>
        </w:rPr>
        <w:t xml:space="preserve">桿比率（定義為借貸，按借貸總額及權益的百分比列示）為11.9%，而於2019年</w:t>
      </w:r>
      <w:r>
        <w:t xml:space="preserve"> </w:t>
      </w:r>
      <w:r>
        <w:rPr>
          <w:rFonts w:hint="eastAsia"/>
        </w:rPr>
        <w:t xml:space="preserve">12月31日則為9.4%。</w:t>
      </w:r>
    </w:p>
    <w:p>
      <w:pPr>
        <w:pStyle w:val="BodyText"/>
      </w:pPr>
      <w:r>
        <w:rPr>
          <w:rFonts w:hint="eastAsia"/>
        </w:rPr>
        <w:t xml:space="preserve">其他負債於2020年12月31日為179.42億美元，而於2019年12月31日則為185.26億美元，反映就收購CMLA的部分</w:t>
      </w:r>
    </w:p>
    <w:p>
      <w:pPr>
        <w:pStyle w:val="BodyText"/>
      </w:pPr>
      <w:r>
        <w:rPr>
          <w:rFonts w:hint="eastAsia"/>
        </w:rPr>
        <w:t xml:space="preserve">結算8.39億美元，被遞延稅項負債增加所抵銷。</w:t>
      </w:r>
    </w:p>
    <w:p>
      <w:pPr>
        <w:pStyle w:val="BodyText"/>
      </w:pPr>
      <w:r>
        <w:rPr>
          <w:rFonts w:hint="eastAsia"/>
        </w:rPr>
        <w:t xml:space="preserve">承擔及或有事項的詳情載列於合併財務報表附註43。</w:t>
      </w:r>
    </w:p>
    <w:p>
      <w:pPr>
        <w:pStyle w:val="BodyText"/>
      </w:pPr>
      <w:r>
        <w:t xml:space="preserve">035</w:t>
      </w:r>
    </w:p>
    <w:p>
      <w:pPr>
        <w:pStyle w:val="BodyText"/>
      </w:pPr>
      <w:r>
        <w:rPr>
          <w:rFonts w:hint="eastAsia"/>
        </w:rPr>
        <w:t xml:space="preserve">概覽財務及營運回顧企業管治其他資料財務報表2020年報</w:t>
      </w:r>
    </w:p>
    <w:p>
      <w:pPr>
        <w:pStyle w:val="BodyText"/>
      </w:pPr>
      <w:r>
        <w:rPr>
          <w:rFonts w:hint="eastAsia"/>
        </w:rPr>
        <w:t xml:space="preserve">監管資本</w:t>
      </w:r>
    </w:p>
    <w:p>
      <w:pPr>
        <w:pStyle w:val="BodyText"/>
      </w:pPr>
      <w:r>
        <w:rPr>
          <w:rFonts w:hint="eastAsia"/>
        </w:rPr>
        <w:t xml:space="preserve">本集團的監管機構為香港保監局。本集團遵守香港保監局採用的償付能力及資本充足規定。本集團的主要營運公</w:t>
      </w:r>
    </w:p>
    <w:p>
      <w:pPr>
        <w:pStyle w:val="BodyText"/>
      </w:pPr>
      <w:r>
        <w:rPr>
          <w:rFonts w:hint="eastAsia"/>
        </w:rPr>
        <w:t xml:space="preserve">司為於香港註冊的保險公司AIA</w:t>
      </w:r>
      <w:r>
        <w:t xml:space="preserve"> </w:t>
      </w:r>
      <w:r>
        <w:rPr>
          <w:rFonts w:hint="eastAsia"/>
        </w:rPr>
        <w:t xml:space="preserve">Co.，香港保監局規定其須遵守香港保險業條例的償付能力規定。</w:t>
      </w:r>
    </w:p>
    <w:p>
      <w:pPr>
        <w:pStyle w:val="BodyText"/>
      </w:pPr>
      <w:r>
        <w:rPr>
          <w:rFonts w:hint="eastAsia"/>
        </w:rPr>
        <w:t xml:space="preserve">除AIA</w:t>
      </w:r>
      <w:r>
        <w:t xml:space="preserve"> </w:t>
      </w:r>
      <w:r>
        <w:rPr>
          <w:rFonts w:hint="eastAsia"/>
        </w:rPr>
        <w:t xml:space="preserve">Co.須遵守的當地香港保險業條例規定外，香港保監局亦正引入集團監管框架，其中包含對本集團資本狀</w:t>
      </w:r>
    </w:p>
    <w:p>
      <w:pPr>
        <w:pStyle w:val="BodyText"/>
      </w:pPr>
      <w:r>
        <w:rPr>
          <w:rFonts w:hint="eastAsia"/>
        </w:rPr>
        <w:t xml:space="preserve">況的評估（稱為當地資本總和法）。載有集團監管框架的法律已於2020年7月17日頒佈。於2020年12月31日，政府</w:t>
      </w:r>
    </w:p>
    <w:p>
      <w:pPr>
        <w:pStyle w:val="BodyText"/>
      </w:pPr>
      <w:r>
        <w:rPr>
          <w:rFonts w:hint="eastAsia"/>
        </w:rPr>
        <w:t xml:space="preserve">於憲報上刊登該法律的生效日期為2021年3月29日。此外，保險（集團資本）規則（集團資本規則）已於2021年1</w:t>
      </w:r>
    </w:p>
    <w:p>
      <w:pPr>
        <w:pStyle w:val="BodyText"/>
      </w:pPr>
      <w:r>
        <w:rPr>
          <w:rFonts w:hint="eastAsia"/>
        </w:rPr>
        <w:t xml:space="preserve">月6日提交立法會，並將於2021年3月29日開始實施。</w:t>
      </w:r>
    </w:p>
    <w:p>
      <w:pPr>
        <w:pStyle w:val="BodyText"/>
      </w:pPr>
      <w:r>
        <w:rPr>
          <w:rFonts w:hint="eastAsia"/>
        </w:rPr>
        <w:t xml:space="preserve">儘管集團資本規則將於2021年3月29日起實施，該等規則的確切應用性仍在與香港保監局商討，並將於本集團獲</w:t>
      </w:r>
    </w:p>
    <w:p>
      <w:pPr>
        <w:pStyle w:val="BodyText"/>
      </w:pPr>
      <w:r>
        <w:rPr>
          <w:rFonts w:hint="eastAsia"/>
        </w:rPr>
        <w:t xml:space="preserve">正式指定為適用對象時方可確定。因此，本集團選擇於2020年報沿用於2020年中期報告相同的披露基準，反映</w:t>
      </w:r>
    </w:p>
    <w:p>
      <w:pPr>
        <w:pStyle w:val="BodyText"/>
      </w:pPr>
      <w:r>
        <w:rPr>
          <w:rFonts w:hint="eastAsia"/>
        </w:rPr>
        <w:t xml:space="preserve">我們現時對集團資本規則將如何適用於本集團的理解。</w:t>
      </w:r>
    </w:p>
    <w:p>
      <w:pPr>
        <w:pStyle w:val="BodyText"/>
      </w:pPr>
      <w:r>
        <w:rPr>
          <w:rFonts w:hint="eastAsia"/>
        </w:rPr>
        <w:t xml:space="preserve">一旦獲正式指定，本集團將根據香港保監局認定適用於本集團的集團監管規定披露監管資本狀況，並將於本集團</w:t>
      </w:r>
    </w:p>
    <w:p>
      <w:pPr>
        <w:pStyle w:val="BodyText"/>
      </w:pPr>
      <w:r>
        <w:rPr>
          <w:rFonts w:hint="eastAsia"/>
        </w:rPr>
        <w:t xml:space="preserve">的業績公告終止披露AIA</w:t>
      </w:r>
      <w:r>
        <w:t xml:space="preserve"> </w:t>
      </w:r>
      <w:r>
        <w:rPr>
          <w:rFonts w:hint="eastAsia"/>
        </w:rPr>
        <w:t xml:space="preserve">Co.的償付能力充足率。AIA</w:t>
      </w:r>
      <w:r>
        <w:t xml:space="preserve"> </w:t>
      </w:r>
      <w:r>
        <w:rPr>
          <w:rFonts w:hint="eastAsia"/>
        </w:rPr>
        <w:t xml:space="preserve">Co.將繼續於其財務報表中報告其償付能力充足率，並將其</w:t>
      </w:r>
    </w:p>
    <w:p>
      <w:pPr>
        <w:pStyle w:val="BodyText"/>
      </w:pPr>
      <w:r>
        <w:rPr>
          <w:rFonts w:hint="eastAsia"/>
        </w:rPr>
        <w:t xml:space="preserve">根據年度已審計的財務報表編製的償付能力的狀況呈交香港保監局。</w:t>
      </w:r>
    </w:p>
    <w:p>
      <w:pPr>
        <w:pStyle w:val="BodyText"/>
      </w:pPr>
      <w:r>
        <w:t xml:space="preserve">AIA </w:t>
      </w:r>
      <w:r>
        <w:rPr>
          <w:rFonts w:hint="eastAsia"/>
        </w:rPr>
        <w:t xml:space="preserve">Co.及本集團的資本狀況如下：</w:t>
      </w:r>
    </w:p>
    <w:p>
      <w:pPr>
        <w:pStyle w:val="BodyText"/>
      </w:pPr>
      <w:r>
        <w:t xml:space="preserve">AIA </w:t>
      </w:r>
      <w:r>
        <w:rPr>
          <w:rFonts w:hint="eastAsia"/>
        </w:rPr>
        <w:t xml:space="preserve">CO.償付能力狀況</w:t>
      </w:r>
    </w:p>
    <w:p>
      <w:pPr>
        <w:pStyle w:val="BodyText"/>
      </w:pPr>
      <w:r>
        <w:rPr>
          <w:rFonts w:hint="eastAsia"/>
        </w:rPr>
        <w:t xml:space="preserve">於2020年12月31日，AIA</w:t>
      </w:r>
      <w:r>
        <w:t xml:space="preserve"> </w:t>
      </w:r>
      <w:r>
        <w:rPr>
          <w:rFonts w:hint="eastAsia"/>
        </w:rPr>
        <w:t xml:space="preserve">Co.根據香港保險業條例基準計算的可用資本總額增加至</w:t>
      </w:r>
      <w:r>
        <w:t xml:space="preserve"> </w:t>
      </w:r>
      <w:r>
        <w:rPr>
          <w:rFonts w:hint="eastAsia"/>
        </w:rPr>
        <w:t xml:space="preserve">97.80億美元及償付能力充足率</w:t>
      </w:r>
    </w:p>
    <w:p>
      <w:pPr>
        <w:pStyle w:val="BodyText"/>
      </w:pPr>
      <w:r>
        <w:rPr>
          <w:rFonts w:hint="eastAsia"/>
        </w:rPr>
        <w:t xml:space="preserve">保持非常強勁，為489%。償付能力充足率較2019年12月31日上升127個百分點，主要由於AIA中國轉為子公司，</w:t>
      </w:r>
    </w:p>
    <w:p>
      <w:pPr>
        <w:pStyle w:val="BodyText"/>
      </w:pPr>
      <w:r>
        <w:rPr>
          <w:rFonts w:hint="eastAsia"/>
        </w:rPr>
        <w:t xml:space="preserve">此乃由於AIA</w:t>
      </w:r>
      <w:r>
        <w:t xml:space="preserve"> </w:t>
      </w:r>
      <w:r>
        <w:rPr>
          <w:rFonts w:hint="eastAsia"/>
        </w:rPr>
        <w:t xml:space="preserve">Co.償付能力狀況不再包含於中國內地的業務可用或所需的資本，惟部分被政府債券收益率調低的</w:t>
      </w:r>
    </w:p>
    <w:p>
      <w:pPr>
        <w:pStyle w:val="BodyText"/>
      </w:pPr>
      <w:r>
        <w:rPr>
          <w:rFonts w:hint="eastAsia"/>
        </w:rPr>
        <w:t xml:space="preserve">影響所抵銷。</w:t>
      </w:r>
    </w:p>
    <w:p>
      <w:pPr>
        <w:pStyle w:val="BodyText"/>
      </w:pPr>
      <w:r>
        <w:t xml:space="preserve">AIA </w:t>
      </w:r>
      <w:r>
        <w:rPr>
          <w:rFonts w:hint="eastAsia"/>
        </w:rPr>
        <w:t xml:space="preserve">Co.的可用資本總額及償付能力充足率概述如下：</w:t>
      </w:r>
    </w:p>
    <w:p>
      <w:pPr>
        <w:pStyle w:val="BodyText"/>
      </w:pPr>
      <w:r>
        <w:rPr>
          <w:rFonts w:hint="eastAsia"/>
        </w:rPr>
        <w:t xml:space="preserve">百萬美元，除另有說明外</w:t>
      </w:r>
    </w:p>
    <w:p>
      <w:pPr>
        <w:pStyle w:val="BodyText"/>
      </w:pPr>
      <w:r>
        <w:rPr>
          <w:rFonts w:hint="eastAsia"/>
        </w:rPr>
        <w:t xml:space="preserve">可用資本總額</w:t>
      </w:r>
    </w:p>
    <w:p>
      <w:pPr>
        <w:pStyle w:val="BodyText"/>
      </w:pPr>
      <w:r>
        <w:rPr>
          <w:rFonts w:hint="eastAsia"/>
        </w:rPr>
        <w:t xml:space="preserve">最低監管資本(100%)</w:t>
      </w:r>
    </w:p>
    <w:p>
      <w:pPr>
        <w:pStyle w:val="BodyText"/>
      </w:pPr>
      <w:r>
        <w:t xml:space="preserve">AIA </w:t>
      </w:r>
      <w:r>
        <w:rPr>
          <w:rFonts w:hint="eastAsia"/>
        </w:rPr>
        <w:t xml:space="preserve">Co.償付能力充足率(%)</w:t>
      </w:r>
    </w:p>
    <w:p>
      <w:pPr>
        <w:pStyle w:val="BodyText"/>
      </w:pPr>
      <w:r>
        <w:rPr>
          <w:rFonts w:hint="eastAsia"/>
        </w:rPr>
        <w:t xml:space="preserve">於2020年12月31日</w:t>
      </w:r>
      <w:r>
        <w:t xml:space="preserve"> </w:t>
      </w:r>
      <w:r>
        <w:rPr>
          <w:rFonts w:hint="eastAsia"/>
        </w:rPr>
        <w:t xml:space="preserve">於2019年12月31日</w:t>
      </w:r>
    </w:p>
    <w:p>
      <w:pPr>
        <w:pStyle w:val="BodyText"/>
      </w:pPr>
      <w:r>
        <w:t xml:space="preserve">9,780</w:t>
      </w:r>
    </w:p>
    <w:p>
      <w:pPr>
        <w:pStyle w:val="BodyText"/>
      </w:pPr>
      <w:r>
        <w:t xml:space="preserve">2,000</w:t>
      </w:r>
    </w:p>
    <w:p>
      <w:pPr>
        <w:pStyle w:val="BodyText"/>
      </w:pPr>
      <w:r>
        <w:t xml:space="preserve">489%</w:t>
      </w:r>
    </w:p>
    <w:p>
      <w:pPr>
        <w:pStyle w:val="BodyText"/>
      </w:pPr>
      <w:r>
        <w:t xml:space="preserve">11,856</w:t>
      </w:r>
    </w:p>
    <w:p>
      <w:pPr>
        <w:pStyle w:val="BodyText"/>
      </w:pPr>
      <w:r>
        <w:t xml:space="preserve">3,272</w:t>
      </w:r>
    </w:p>
    <w:p>
      <w:pPr>
        <w:pStyle w:val="BodyText"/>
      </w:pPr>
      <w:r>
        <w:t xml:space="preserve">362%</w:t>
      </w:r>
    </w:p>
    <w:p>
      <w:pPr>
        <w:pStyle w:val="BodyText"/>
      </w:pPr>
      <w:r>
        <w:t xml:space="preserve">036</w:t>
      </w:r>
    </w:p>
    <w:p>
      <w:pPr>
        <w:pStyle w:val="BodyText"/>
      </w:pPr>
      <w:r>
        <w:rPr>
          <w:rFonts w:hint="eastAsia"/>
        </w:rPr>
        <w:t xml:space="preserve">財務及營運回顧友邦保險控股有限公司集團首席財務總監回顧</w:t>
      </w:r>
    </w:p>
    <w:p>
      <w:pPr>
        <w:pStyle w:val="BodyText"/>
      </w:pPr>
      <w:r>
        <w:rPr>
          <w:rFonts w:hint="eastAsia"/>
        </w:rPr>
        <w:t xml:space="preserve">集團當地資本總和法償付能力狀況</w:t>
      </w:r>
    </w:p>
    <w:p>
      <w:pPr>
        <w:pStyle w:val="BodyText"/>
      </w:pPr>
      <w:r>
        <w:rPr>
          <w:rFonts w:hint="eastAsia"/>
        </w:rPr>
        <w:t xml:space="preserve">根據2020年中期報告，友邦保險公佈的集團層面的可用資本總額及最低資本要求乃根據本集團各相關受監管的實</w:t>
      </w:r>
    </w:p>
    <w:p>
      <w:pPr>
        <w:pStyle w:val="BodyText"/>
      </w:pPr>
      <w:r>
        <w:rPr>
          <w:rFonts w:hint="eastAsia"/>
        </w:rPr>
        <w:t xml:space="preserve">體的監管規定下可用資本及所需資本的總和計算。集團當地資本總和法盈餘為集團可用資本與集團最低資本要求</w:t>
      </w:r>
    </w:p>
    <w:p>
      <w:pPr>
        <w:pStyle w:val="BodyText"/>
      </w:pPr>
      <w:r>
        <w:rPr>
          <w:rFonts w:hint="eastAsia"/>
        </w:rPr>
        <w:t xml:space="preserve">的差額。集團當地資本總和法覆蓋率為集團可用資本與集團最低資本要求的比率。</w:t>
      </w:r>
    </w:p>
    <w:p>
      <w:pPr>
        <w:pStyle w:val="BodyText"/>
      </w:pPr>
      <w:r>
        <w:rPr>
          <w:rFonts w:hint="eastAsia"/>
        </w:rPr>
        <w:t xml:space="preserve">據</w:t>
      </w:r>
      <w:r>
        <w:t xml:space="preserve"> </w:t>
      </w:r>
      <w:r>
        <w:rPr>
          <w:rFonts w:hint="eastAsia"/>
        </w:rPr>
        <w:t xml:space="preserve">此</w:t>
      </w:r>
      <w:r>
        <w:t xml:space="preserve"> </w:t>
      </w:r>
      <w:r>
        <w:rPr>
          <w:rFonts w:hint="eastAsia"/>
        </w:rPr>
        <w:t xml:space="preserve">基</w:t>
      </w:r>
      <w:r>
        <w:t xml:space="preserve"> </w:t>
      </w:r>
      <w:r>
        <w:rPr>
          <w:rFonts w:hint="eastAsia"/>
        </w:rPr>
        <w:t xml:space="preserve">準，</w:t>
      </w:r>
      <w:r>
        <w:t xml:space="preserve"> </w:t>
      </w:r>
      <w:r>
        <w:rPr>
          <w:rFonts w:hint="eastAsia"/>
        </w:rPr>
        <w:t xml:space="preserve">於2020年12月31日，</w:t>
      </w:r>
      <w:r>
        <w:t xml:space="preserve"> </w:t>
      </w:r>
      <w:r>
        <w:rPr>
          <w:rFonts w:hint="eastAsia"/>
        </w:rPr>
        <w:t xml:space="preserve">集</w:t>
      </w:r>
      <w:r>
        <w:t xml:space="preserve"> </w:t>
      </w:r>
      <w:r>
        <w:rPr>
          <w:rFonts w:hint="eastAsia"/>
        </w:rPr>
        <w:t xml:space="preserve">團</w:t>
      </w:r>
      <w:r>
        <w:t xml:space="preserve"> </w:t>
      </w:r>
      <w:r>
        <w:rPr>
          <w:rFonts w:hint="eastAsia"/>
        </w:rPr>
        <w:t xml:space="preserve">當</w:t>
      </w:r>
      <w:r>
        <w:t xml:space="preserve"> </w:t>
      </w:r>
      <w:r>
        <w:rPr>
          <w:rFonts w:hint="eastAsia"/>
        </w:rPr>
        <w:t xml:space="preserve">地</w:t>
      </w:r>
      <w:r>
        <w:t xml:space="preserve"> </w:t>
      </w:r>
      <w:r>
        <w:rPr>
          <w:rFonts w:hint="eastAsia"/>
        </w:rPr>
        <w:t xml:space="preserve">資</w:t>
      </w:r>
      <w:r>
        <w:t xml:space="preserve"> </w:t>
      </w:r>
      <w:r>
        <w:rPr>
          <w:rFonts w:hint="eastAsia"/>
        </w:rPr>
        <w:t xml:space="preserve">本</w:t>
      </w:r>
      <w:r>
        <w:t xml:space="preserve"> </w:t>
      </w:r>
      <w:r>
        <w:rPr>
          <w:rFonts w:hint="eastAsia"/>
        </w:rPr>
        <w:t xml:space="preserve">總</w:t>
      </w:r>
      <w:r>
        <w:t xml:space="preserve"> </w:t>
      </w:r>
      <w:r>
        <w:rPr>
          <w:rFonts w:hint="eastAsia"/>
        </w:rPr>
        <w:t xml:space="preserve">和</w:t>
      </w:r>
      <w:r>
        <w:t xml:space="preserve"> </w:t>
      </w:r>
      <w:r>
        <w:rPr>
          <w:rFonts w:hint="eastAsia"/>
        </w:rPr>
        <w:t xml:space="preserve">法</w:t>
      </w:r>
      <w:r>
        <w:t xml:space="preserve"> </w:t>
      </w:r>
      <w:r>
        <w:rPr>
          <w:rFonts w:hint="eastAsia"/>
        </w:rPr>
        <w:t xml:space="preserve">盈</w:t>
      </w:r>
      <w:r>
        <w:t xml:space="preserve"> </w:t>
      </w:r>
      <w:r>
        <w:rPr>
          <w:rFonts w:hint="eastAsia"/>
        </w:rPr>
        <w:t xml:space="preserve">餘</w:t>
      </w:r>
      <w:r>
        <w:t xml:space="preserve"> </w:t>
      </w:r>
      <w:r>
        <w:rPr>
          <w:rFonts w:hint="eastAsia"/>
        </w:rPr>
        <w:t xml:space="preserve">為438.17億</w:t>
      </w:r>
      <w:r>
        <w:t xml:space="preserve"> </w:t>
      </w:r>
      <w:r>
        <w:rPr>
          <w:rFonts w:hint="eastAsia"/>
        </w:rPr>
        <w:t xml:space="preserve">美</w:t>
      </w:r>
      <w:r>
        <w:t xml:space="preserve"> </w:t>
      </w:r>
      <w:r>
        <w:rPr>
          <w:rFonts w:hint="eastAsia"/>
        </w:rPr>
        <w:t xml:space="preserve">元，</w:t>
      </w:r>
      <w:r>
        <w:t xml:space="preserve"> </w:t>
      </w:r>
      <w:r>
        <w:rPr>
          <w:rFonts w:hint="eastAsia"/>
        </w:rPr>
        <w:t xml:space="preserve">集</w:t>
      </w:r>
      <w:r>
        <w:t xml:space="preserve"> </w:t>
      </w:r>
      <w:r>
        <w:rPr>
          <w:rFonts w:hint="eastAsia"/>
        </w:rPr>
        <w:t xml:space="preserve">團</w:t>
      </w:r>
      <w:r>
        <w:t xml:space="preserve"> </w:t>
      </w:r>
      <w:r>
        <w:rPr>
          <w:rFonts w:hint="eastAsia"/>
        </w:rPr>
        <w:t xml:space="preserve">當</w:t>
      </w:r>
      <w:r>
        <w:t xml:space="preserve"> </w:t>
      </w:r>
      <w:r>
        <w:rPr>
          <w:rFonts w:hint="eastAsia"/>
        </w:rPr>
        <w:t xml:space="preserve">地</w:t>
      </w:r>
      <w:r>
        <w:t xml:space="preserve"> </w:t>
      </w:r>
      <w:r>
        <w:rPr>
          <w:rFonts w:hint="eastAsia"/>
        </w:rPr>
        <w:t xml:space="preserve">資</w:t>
      </w:r>
      <w:r>
        <w:t xml:space="preserve"> </w:t>
      </w:r>
      <w:r>
        <w:rPr>
          <w:rFonts w:hint="eastAsia"/>
        </w:rPr>
        <w:t xml:space="preserve">本</w:t>
      </w:r>
      <w:r>
        <w:t xml:space="preserve"> </w:t>
      </w:r>
      <w:r>
        <w:rPr>
          <w:rFonts w:hint="eastAsia"/>
        </w:rPr>
        <w:t xml:space="preserve">總</w:t>
      </w:r>
      <w:r>
        <w:t xml:space="preserve"> </w:t>
      </w:r>
      <w:r>
        <w:rPr>
          <w:rFonts w:hint="eastAsia"/>
        </w:rPr>
        <w:t xml:space="preserve">和</w:t>
      </w:r>
      <w:r>
        <w:t xml:space="preserve"> </w:t>
      </w:r>
      <w:r>
        <w:rPr>
          <w:rFonts w:hint="eastAsia"/>
        </w:rPr>
        <w:t xml:space="preserve">法</w:t>
      </w:r>
      <w:r>
        <w:t xml:space="preserve"> </w:t>
      </w:r>
      <w:r>
        <w:rPr>
          <w:rFonts w:hint="eastAsia"/>
        </w:rPr>
        <w:t xml:space="preserve">覆</w:t>
      </w:r>
      <w:r>
        <w:t xml:space="preserve"> </w:t>
      </w:r>
      <w:r>
        <w:rPr>
          <w:rFonts w:hint="eastAsia"/>
        </w:rPr>
        <w:t xml:space="preserve">蓋</w:t>
      </w:r>
      <w:r>
        <w:t xml:space="preserve"> </w:t>
      </w:r>
      <w:r>
        <w:rPr>
          <w:rFonts w:hint="eastAsia"/>
        </w:rPr>
        <w:t xml:space="preserve">率</w:t>
      </w:r>
      <w:r>
        <w:t xml:space="preserve"> </w:t>
      </w:r>
      <w:r>
        <w:rPr>
          <w:rFonts w:hint="eastAsia"/>
        </w:rPr>
        <w:t xml:space="preserve">為</w:t>
      </w:r>
    </w:p>
    <w:p>
      <w:pPr>
        <w:pStyle w:val="BodyText"/>
      </w:pPr>
      <w:r>
        <w:rPr>
          <w:rFonts w:hint="eastAsia"/>
        </w:rPr>
        <w:t xml:space="preserve">374%。集團當地資本總和法盈餘的計算已計入於2020年9月在全球中期票據及證券計劃下發行的次級證券17.35</w:t>
      </w:r>
    </w:p>
    <w:p>
      <w:pPr>
        <w:pStyle w:val="BodyText"/>
      </w:pPr>
      <w:r>
        <w:rPr>
          <w:rFonts w:hint="eastAsia"/>
        </w:rPr>
        <w:t xml:space="preserve">億美元，而我們預期此等證券將為合資格二級債務資本。</w:t>
      </w:r>
    </w:p>
    <w:p>
      <w:pPr>
        <w:pStyle w:val="BodyText"/>
      </w:pPr>
      <w:r>
        <w:rPr>
          <w:rFonts w:hint="eastAsia"/>
        </w:rPr>
        <w:t xml:space="preserve">下表概述的狀況乃基於我們現時對適用於本集團的集團監管框架的理解：</w:t>
      </w:r>
    </w:p>
    <w:p>
      <w:pPr>
        <w:pStyle w:val="BodyText"/>
      </w:pPr>
      <w:r>
        <w:rPr>
          <w:rFonts w:hint="eastAsia"/>
        </w:rPr>
        <w:t xml:space="preserve">百萬美元，除另有說明外</w:t>
      </w:r>
    </w:p>
    <w:p>
      <w:pPr>
        <w:pStyle w:val="BodyText"/>
      </w:pPr>
      <w:r>
        <w:rPr>
          <w:rFonts w:hint="eastAsia"/>
        </w:rPr>
        <w:t xml:space="preserve">集團可用資本</w:t>
      </w:r>
    </w:p>
    <w:p>
      <w:pPr>
        <w:pStyle w:val="BodyText"/>
      </w:pPr>
      <w:r>
        <w:rPr>
          <w:rFonts w:hint="eastAsia"/>
        </w:rPr>
        <w:t xml:space="preserve">集團最低資本要求</w:t>
      </w:r>
    </w:p>
    <w:p>
      <w:pPr>
        <w:pStyle w:val="BodyText"/>
      </w:pPr>
      <w:r>
        <w:rPr>
          <w:rFonts w:hint="eastAsia"/>
        </w:rPr>
        <w:t xml:space="preserve">集團當地資本總和法盈餘</w:t>
      </w:r>
    </w:p>
    <w:p>
      <w:pPr>
        <w:pStyle w:val="BodyText"/>
      </w:pPr>
      <w:r>
        <w:rPr>
          <w:rFonts w:hint="eastAsia"/>
        </w:rPr>
        <w:t xml:space="preserve">集團當地資本總和法覆蓋率</w:t>
      </w:r>
    </w:p>
    <w:p>
      <w:pPr>
        <w:pStyle w:val="BodyText"/>
      </w:pPr>
      <w:r>
        <w:rPr>
          <w:rFonts w:hint="eastAsia"/>
        </w:rPr>
        <w:t xml:space="preserve">於2020年12月31日</w:t>
      </w:r>
      <w:r>
        <w:t xml:space="preserve"> </w:t>
      </w:r>
      <w:r>
        <w:rPr>
          <w:rFonts w:hint="eastAsia"/>
        </w:rPr>
        <w:t xml:space="preserve">於2019年12月31日</w:t>
      </w:r>
    </w:p>
    <w:p>
      <w:pPr>
        <w:pStyle w:val="BodyText"/>
      </w:pPr>
      <w:r>
        <w:t xml:space="preserve">59,830</w:t>
      </w:r>
    </w:p>
    <w:p>
      <w:pPr>
        <w:pStyle w:val="BodyText"/>
      </w:pPr>
      <w:r>
        <w:t xml:space="preserve">16,013</w:t>
      </w:r>
    </w:p>
    <w:p>
      <w:pPr>
        <w:pStyle w:val="BodyText"/>
      </w:pPr>
      <w:r>
        <w:t xml:space="preserve">43,817</w:t>
      </w:r>
    </w:p>
    <w:p>
      <w:pPr>
        <w:pStyle w:val="BodyText"/>
      </w:pPr>
      <w:r>
        <w:t xml:space="preserve">374%</w:t>
      </w:r>
    </w:p>
    <w:p>
      <w:pPr>
        <w:pStyle w:val="BodyText"/>
      </w:pPr>
      <w:r>
        <w:t xml:space="preserve">51,751</w:t>
      </w:r>
    </w:p>
    <w:p>
      <w:pPr>
        <w:pStyle w:val="BodyText"/>
      </w:pPr>
      <w:r>
        <w:t xml:space="preserve">14,139</w:t>
      </w:r>
    </w:p>
    <w:p>
      <w:pPr>
        <w:pStyle w:val="BodyText"/>
      </w:pPr>
      <w:r>
        <w:t xml:space="preserve">37,612</w:t>
      </w:r>
    </w:p>
    <w:p>
      <w:pPr>
        <w:pStyle w:val="BodyText"/>
      </w:pPr>
      <w:r>
        <w:t xml:space="preserve">366%</w:t>
      </w:r>
    </w:p>
    <w:p>
      <w:pPr>
        <w:pStyle w:val="BodyText"/>
      </w:pPr>
      <w:r>
        <w:rPr>
          <w:rFonts w:hint="eastAsia"/>
        </w:rPr>
        <w:t xml:space="preserve">集團當地資本總和法盈餘敏感度</w:t>
      </w:r>
    </w:p>
    <w:p>
      <w:pPr>
        <w:pStyle w:val="BodyText"/>
      </w:pPr>
      <w:r>
        <w:rPr>
          <w:rFonts w:hint="eastAsia"/>
        </w:rPr>
        <w:t xml:space="preserve">集團當地資本總和法盈餘對中間假設變動（源於股本價格及利率變動）的敏感度列示如下。利率敏感度採用對現</w:t>
      </w:r>
    </w:p>
    <w:p>
      <w:pPr>
        <w:pStyle w:val="BodyText"/>
      </w:pPr>
      <w:r>
        <w:rPr>
          <w:rFonts w:hint="eastAsia"/>
        </w:rPr>
        <w:t xml:space="preserve">時政府債券收益率作出50個基點調整及對負債貼現率的相應影響。</w:t>
      </w:r>
    </w:p>
    <w:p>
      <w:pPr>
        <w:pStyle w:val="BodyText"/>
      </w:pPr>
      <w:r>
        <w:rPr>
          <w:rFonts w:hint="eastAsia"/>
        </w:rPr>
        <w:t xml:space="preserve">百萬美元，除另有說明外</w:t>
      </w:r>
    </w:p>
    <w:p>
      <w:pPr>
        <w:pStyle w:val="BodyText"/>
      </w:pPr>
      <w:r>
        <w:rPr>
          <w:rFonts w:hint="eastAsia"/>
        </w:rPr>
        <w:t xml:space="preserve">中間價值</w:t>
      </w:r>
    </w:p>
    <w:p>
      <w:pPr>
        <w:pStyle w:val="BodyText"/>
      </w:pPr>
      <w:r>
        <w:rPr>
          <w:rFonts w:hint="eastAsia"/>
        </w:rPr>
        <w:t xml:space="preserve">股本價格變動的影響</w:t>
      </w:r>
    </w:p>
    <w:p>
      <w:pPr>
        <w:pStyle w:val="BodyText"/>
      </w:pPr>
      <w:r>
        <w:rPr>
          <w:rFonts w:hint="eastAsia"/>
        </w:rPr>
        <w:t xml:space="preserve">股本價格上升10%</w:t>
      </w:r>
    </w:p>
    <w:p>
      <w:pPr>
        <w:pStyle w:val="BodyText"/>
      </w:pPr>
      <w:r>
        <w:rPr>
          <w:rFonts w:hint="eastAsia"/>
        </w:rPr>
        <w:t xml:space="preserve">股本價格下降10%</w:t>
      </w:r>
    </w:p>
    <w:p>
      <w:pPr>
        <w:pStyle w:val="BodyText"/>
      </w:pPr>
      <w:r>
        <w:rPr>
          <w:rFonts w:hint="eastAsia"/>
        </w:rPr>
        <w:t xml:space="preserve">利率變動的影響</w:t>
      </w:r>
    </w:p>
    <w:p>
      <w:pPr>
        <w:pStyle w:val="BodyText"/>
      </w:pPr>
      <w:r>
        <w:rPr>
          <w:rFonts w:hint="eastAsia"/>
        </w:rPr>
        <w:t xml:space="preserve">利率上升50個基點</w:t>
      </w:r>
    </w:p>
    <w:p>
      <w:pPr>
        <w:pStyle w:val="BodyText"/>
      </w:pPr>
      <w:r>
        <w:rPr>
          <w:rFonts w:hint="eastAsia"/>
        </w:rPr>
        <w:t xml:space="preserve">利率下降50個基點</w:t>
      </w:r>
    </w:p>
    <w:p>
      <w:pPr>
        <w:pStyle w:val="BodyText"/>
      </w:pPr>
      <w:r>
        <w:rPr>
          <w:rFonts w:hint="eastAsia"/>
        </w:rPr>
        <w:t xml:space="preserve">於2020年12月31日</w:t>
      </w:r>
      <w:r>
        <w:br/>
      </w:r>
      <w:r>
        <w:rPr>
          <w:rFonts w:hint="eastAsia"/>
        </w:rPr>
        <w:t xml:space="preserve">集團當地資本</w:t>
      </w:r>
      <w:r>
        <w:br/>
      </w:r>
      <w:r>
        <w:rPr>
          <w:rFonts w:hint="eastAsia"/>
        </w:rPr>
        <w:t xml:space="preserve">總和法覆蓋率</w:t>
      </w:r>
    </w:p>
    <w:p>
      <w:pPr>
        <w:pStyle w:val="BodyText"/>
      </w:pPr>
      <w:r>
        <w:t xml:space="preserve">374%</w:t>
      </w:r>
    </w:p>
    <w:p>
      <w:pPr>
        <w:pStyle w:val="BodyText"/>
      </w:pPr>
      <w:r>
        <w:rPr>
          <w:rFonts w:hint="eastAsia"/>
        </w:rPr>
        <w:t xml:space="preserve">1個百分點</w:t>
      </w:r>
    </w:p>
    <w:p>
      <w:pPr>
        <w:pStyle w:val="BodyText"/>
      </w:pPr>
      <w:r>
        <w:rPr>
          <w:rFonts w:hint="eastAsia"/>
        </w:rPr>
        <w:t xml:space="preserve">(2)個百分點</w:t>
      </w:r>
    </w:p>
    <w:p>
      <w:pPr>
        <w:pStyle w:val="BodyText"/>
      </w:pPr>
      <w:r>
        <w:rPr>
          <w:rFonts w:hint="eastAsia"/>
        </w:rPr>
        <w:t xml:space="preserve">13個百分點</w:t>
      </w:r>
    </w:p>
    <w:p>
      <w:pPr>
        <w:pStyle w:val="BodyText"/>
      </w:pPr>
      <w:r>
        <w:rPr>
          <w:rFonts w:hint="eastAsia"/>
        </w:rPr>
        <w:t xml:space="preserve">(18)個百分點</w:t>
      </w:r>
    </w:p>
    <w:p>
      <w:pPr>
        <w:pStyle w:val="BodyText"/>
      </w:pPr>
      <w:r>
        <w:t xml:space="preserve">037</w:t>
      </w:r>
    </w:p>
    <w:p>
      <w:pPr>
        <w:pStyle w:val="BodyText"/>
      </w:pPr>
      <w:r>
        <w:rPr>
          <w:rFonts w:hint="eastAsia"/>
        </w:rPr>
        <w:t xml:space="preserve">概覽財務及營運回顧企業管治其他資料財務報表2020年報</w:t>
      </w:r>
    </w:p>
    <w:p>
      <w:pPr>
        <w:pStyle w:val="BodyText"/>
      </w:pPr>
      <w:r>
        <w:rPr>
          <w:rFonts w:hint="eastAsia"/>
        </w:rPr>
        <w:t xml:space="preserve">集團當地資本總和法盈餘與自由盈餘之間的對賬</w:t>
      </w:r>
    </w:p>
    <w:p>
      <w:pPr>
        <w:pStyle w:val="BodyText"/>
      </w:pPr>
      <w:r>
        <w:rPr>
          <w:rFonts w:hint="eastAsia"/>
        </w:rPr>
        <w:t xml:space="preserve">我們認為，按合併基準上的自由盈餘可從股東角度提供有關資本狀況更具代表性的觀點。下表載列集團當地資本</w:t>
      </w:r>
    </w:p>
    <w:p>
      <w:pPr>
        <w:pStyle w:val="BodyText"/>
      </w:pPr>
      <w:r>
        <w:rPr>
          <w:rFonts w:hint="eastAsia"/>
        </w:rPr>
        <w:t xml:space="preserve">總和法盈餘與自由盈餘之間的對賬。</w:t>
      </w:r>
    </w:p>
    <w:p>
      <w:pPr>
        <w:pStyle w:val="BodyText"/>
      </w:pPr>
      <w:r>
        <w:rPr>
          <w:rFonts w:hint="eastAsia"/>
        </w:rPr>
        <w:t xml:space="preserve">百萬美元，除另有說明外</w:t>
      </w:r>
    </w:p>
    <w:p>
      <w:pPr>
        <w:pStyle w:val="BodyText"/>
      </w:pPr>
      <w:r>
        <w:rPr>
          <w:rFonts w:hint="eastAsia"/>
        </w:rPr>
        <w:t xml:space="preserve">集團當地資本總和法盈餘</w:t>
      </w:r>
    </w:p>
    <w:p>
      <w:pPr>
        <w:pStyle w:val="BodyText"/>
      </w:pPr>
      <w:r>
        <w:rPr>
          <w:rFonts w:hint="eastAsia"/>
        </w:rPr>
        <w:t xml:space="preserve">調整：</w:t>
      </w:r>
    </w:p>
    <w:p>
      <w:pPr>
        <w:pStyle w:val="BodyText"/>
      </w:pPr>
      <w:r>
        <w:t xml:space="preserve">　</w:t>
      </w:r>
      <w:r>
        <w:rPr>
          <w:rFonts w:hint="eastAsia"/>
        </w:rPr>
        <w:t xml:space="preserve">合資格二級債務資本</w:t>
      </w:r>
    </w:p>
    <w:p>
      <w:pPr>
        <w:pStyle w:val="BodyText"/>
      </w:pPr>
      <w:r>
        <w:t xml:space="preserve">　</w:t>
      </w:r>
      <w:r>
        <w:rPr>
          <w:rFonts w:hint="eastAsia"/>
        </w:rPr>
        <w:t xml:space="preserve">友邦保險中國業務於內涵價值中資本規定的差異(1)</w:t>
      </w:r>
    </w:p>
    <w:p>
      <w:pPr>
        <w:pStyle w:val="BodyText"/>
      </w:pPr>
      <w:r>
        <w:t xml:space="preserve">　</w:t>
      </w:r>
      <w:r>
        <w:rPr>
          <w:rFonts w:hint="eastAsia"/>
        </w:rPr>
        <w:t xml:space="preserve">反映股東對資本的觀點(2)</w:t>
      </w:r>
    </w:p>
    <w:p>
      <w:pPr>
        <w:pStyle w:val="BodyText"/>
      </w:pPr>
      <w:r>
        <w:rPr>
          <w:rFonts w:hint="eastAsia"/>
        </w:rPr>
        <w:t xml:space="preserve">按業務單位基準的自由盈餘</w:t>
      </w:r>
    </w:p>
    <w:p>
      <w:pPr>
        <w:pStyle w:val="BodyText"/>
      </w:pPr>
      <w:r>
        <w:rPr>
          <w:rFonts w:hint="eastAsia"/>
        </w:rPr>
        <w:t xml:space="preserve">為反映合併準備金及資本要求作出的調整</w:t>
      </w:r>
    </w:p>
    <w:p>
      <w:pPr>
        <w:pStyle w:val="BodyText"/>
      </w:pPr>
      <w:r>
        <w:rPr>
          <w:rFonts w:hint="eastAsia"/>
        </w:rPr>
        <w:t xml:space="preserve">按合併基準的自由盈餘</w:t>
      </w:r>
    </w:p>
    <w:p>
      <w:pPr>
        <w:pStyle w:val="BodyText"/>
      </w:pPr>
      <w:r>
        <w:rPr>
          <w:rFonts w:hint="eastAsia"/>
        </w:rPr>
        <w:t xml:space="preserve">於2020年12月31日</w:t>
      </w:r>
      <w:r>
        <w:t xml:space="preserve"> </w:t>
      </w:r>
      <w:r>
        <w:rPr>
          <w:rFonts w:hint="eastAsia"/>
        </w:rPr>
        <w:t xml:space="preserve">於2019年12月31日</w:t>
      </w:r>
    </w:p>
    <w:p>
      <w:pPr>
        <w:pStyle w:val="BodyText"/>
      </w:pPr>
      <w:r>
        <w:t xml:space="preserve">43,817</w:t>
      </w:r>
    </w:p>
    <w:p>
      <w:pPr>
        <w:pStyle w:val="BodyText"/>
      </w:pPr>
      <w:r>
        <w:t xml:space="preserve">37,612</w:t>
      </w:r>
    </w:p>
    <w:p>
      <w:pPr>
        <w:pStyle w:val="BodyText"/>
      </w:pPr>
      <w:r>
        <w:t xml:space="preserve">(1,735)</w:t>
      </w:r>
    </w:p>
    <w:p>
      <w:pPr>
        <w:pStyle w:val="BodyText"/>
      </w:pPr>
      <w:r>
        <w:t xml:space="preserve">(7,675)</w:t>
      </w:r>
    </w:p>
    <w:p>
      <w:pPr>
        <w:pStyle w:val="BodyText"/>
      </w:pPr>
      <w:r>
        <w:t xml:space="preserve">(10,314)</w:t>
      </w:r>
    </w:p>
    <w:p>
      <w:pPr>
        <w:pStyle w:val="BodyText"/>
      </w:pPr>
      <w:r>
        <w:t xml:space="preserve">24,093</w:t>
      </w:r>
    </w:p>
    <w:p>
      <w:pPr>
        <w:pStyle w:val="BodyText"/>
      </w:pPr>
      <w:r>
        <w:t xml:space="preserve">(10,620)</w:t>
      </w:r>
    </w:p>
    <w:p>
      <w:pPr>
        <w:pStyle w:val="BodyText"/>
      </w:pPr>
      <w:r>
        <w:t xml:space="preserve">13,473</w:t>
      </w:r>
    </w:p>
    <w:p>
      <w:pPr>
        <w:pStyle w:val="BodyText"/>
      </w:pPr>
      <w:r>
        <w:t xml:space="preserve">–</w:t>
      </w:r>
    </w:p>
    <w:p>
      <w:pPr>
        <w:pStyle w:val="BodyText"/>
      </w:pPr>
      <w:r>
        <w:t xml:space="preserve">(5,928)</w:t>
      </w:r>
    </w:p>
    <w:p>
      <w:pPr>
        <w:pStyle w:val="BodyText"/>
      </w:pPr>
      <w:r>
        <w:t xml:space="preserve">(7,161)</w:t>
      </w:r>
    </w:p>
    <w:p>
      <w:pPr>
        <w:pStyle w:val="BodyText"/>
      </w:pPr>
      <w:r>
        <w:t xml:space="preserve">24,523</w:t>
      </w:r>
    </w:p>
    <w:p>
      <w:pPr>
        <w:pStyle w:val="BodyText"/>
      </w:pPr>
      <w:r>
        <w:t xml:space="preserve">(9,606)</w:t>
      </w:r>
    </w:p>
    <w:p>
      <w:pPr>
        <w:pStyle w:val="BodyText"/>
      </w:pPr>
      <w:r>
        <w:t xml:space="preserve">14,917</w:t>
      </w:r>
    </w:p>
    <w:p>
      <w:pPr>
        <w:pStyle w:val="BodyText"/>
      </w:pPr>
      <w:r>
        <w:rPr>
          <w:rFonts w:hint="eastAsia"/>
        </w:rPr>
        <w:t xml:space="preserve">附註：</w:t>
      </w:r>
      <w:r>
        <w:br/>
      </w:r>
      <w:r>
        <w:t xml:space="preserve">(1) </w:t>
      </w:r>
      <w:r>
        <w:rPr>
          <w:rFonts w:hint="eastAsia"/>
        </w:rPr>
        <w:t xml:space="preserve">根據當地規定中國風險導向的償付能力體系償付能力基準調整為中國精算師協會內涵價值基準。</w:t>
      </w:r>
    </w:p>
    <w:p>
      <w:pPr>
        <w:pStyle w:val="Compact"/>
        <w:numPr>
          <w:ilvl w:val="0"/>
          <w:numId w:val="1063"/>
        </w:numPr>
      </w:pPr>
      <w:r>
        <w:rPr>
          <w:rFonts w:hint="eastAsia"/>
        </w:rPr>
        <w:t xml:space="preserve">反映由集團最低資本要求變更為內涵價值所需資本，以及剔除分紅基金盈餘。</w:t>
      </w:r>
    </w:p>
    <w:p>
      <w:pPr>
        <w:pStyle w:val="FirstParagraph"/>
      </w:pPr>
      <w:r>
        <w:rPr>
          <w:rFonts w:hint="eastAsia"/>
        </w:rPr>
        <w:t xml:space="preserve">當地償付能力規定</w:t>
      </w:r>
    </w:p>
    <w:p>
      <w:pPr>
        <w:pStyle w:val="BodyText"/>
      </w:pPr>
      <w:r>
        <w:rPr>
          <w:rFonts w:hint="eastAsia"/>
        </w:rPr>
        <w:t xml:space="preserve">本集團的各分公司及附屬公司亦須接受有關公司及其母公司經營業務所在司法權區的監管（包括有關資本的規</w:t>
      </w:r>
    </w:p>
    <w:p>
      <w:pPr>
        <w:pStyle w:val="BodyText"/>
      </w:pPr>
      <w:r>
        <w:rPr>
          <w:rFonts w:hint="eastAsia"/>
        </w:rPr>
        <w:t xml:space="preserve">定）。於2020年12月31日，各地區市場營運單位均符合各實體及當地監管機構的資本規定。</w:t>
      </w:r>
    </w:p>
    <w:p>
      <w:pPr>
        <w:pStyle w:val="BodyText"/>
      </w:pPr>
      <w:r>
        <w:rPr>
          <w:rFonts w:hint="eastAsia"/>
        </w:rPr>
        <w:t xml:space="preserve">會計準則發展</w:t>
      </w:r>
    </w:p>
    <w:p>
      <w:pPr>
        <w:pStyle w:val="BodyText"/>
      </w:pPr>
      <w:r>
        <w:rPr>
          <w:rFonts w:hint="eastAsia"/>
        </w:rPr>
        <w:t xml:space="preserve">於2020年6月25日，國際財務報告準則第17號的生效日期已推遲至2023年1月1日，並採用國際財務報告準則的保</w:t>
      </w:r>
    </w:p>
    <w:p>
      <w:pPr>
        <w:pStyle w:val="BodyText"/>
      </w:pPr>
      <w:r>
        <w:rPr>
          <w:rFonts w:hint="eastAsia"/>
        </w:rPr>
        <w:t xml:space="preserve">險公司應用國際財務報告準則第9號的臨時豁免亦已延長至2023年1月1日。</w:t>
      </w:r>
    </w:p>
    <w:p>
      <w:pPr>
        <w:pStyle w:val="BodyText"/>
      </w:pPr>
      <w:r>
        <w:rPr>
          <w:rFonts w:hint="eastAsia"/>
        </w:rPr>
        <w:t xml:space="preserve">全球中期票據及證券計劃</w:t>
      </w:r>
    </w:p>
    <w:p>
      <w:pPr>
        <w:pStyle w:val="BodyText"/>
      </w:pPr>
      <w:r>
        <w:rPr>
          <w:rFonts w:hint="eastAsia"/>
        </w:rPr>
        <w:t xml:space="preserve">於2020年8月，我們將全球中期票據及證券計劃由80億美元增至100億美元。</w:t>
      </w:r>
    </w:p>
    <w:p>
      <w:pPr>
        <w:pStyle w:val="BodyText"/>
      </w:pPr>
      <w:r>
        <w:rPr>
          <w:rFonts w:hint="eastAsia"/>
        </w:rPr>
        <w:t xml:space="preserve">在此計劃下，本公司於2020年4月7日發行於香港聯合交易所有限公司上市的美元計值固定利率中期票據。該等票</w:t>
      </w:r>
    </w:p>
    <w:p>
      <w:pPr>
        <w:pStyle w:val="BodyText"/>
      </w:pPr>
      <w:r>
        <w:rPr>
          <w:rFonts w:hint="eastAsia"/>
        </w:rPr>
        <w:t xml:space="preserve">據為年利率3.375%的10.00億美元10年期票據。於2020年6月24日，本公司發行非上市的澳元計值固定利率中期</w:t>
      </w:r>
    </w:p>
    <w:p>
      <w:pPr>
        <w:pStyle w:val="BodyText"/>
      </w:pPr>
      <w:r>
        <w:rPr>
          <w:rFonts w:hint="eastAsia"/>
        </w:rPr>
        <w:t xml:space="preserve">票據，該等票據為年利率2.95%的9,000萬澳元10年期票據，其已發行等值美元約為6,200萬美元。本公司於2020</w:t>
      </w:r>
    </w:p>
    <w:p>
      <w:pPr>
        <w:pStyle w:val="BodyText"/>
      </w:pPr>
      <w:r>
        <w:rPr>
          <w:rFonts w:hint="eastAsia"/>
        </w:rPr>
        <w:t xml:space="preserve">年9月16日發行於香港聯合交易所有限公司上市的美元計值固定利率次級債務證券。該等證券為年利率3.2%的</w:t>
      </w:r>
    </w:p>
    <w:p>
      <w:pPr>
        <w:pStyle w:val="BodyText"/>
      </w:pPr>
      <w:r>
        <w:rPr>
          <w:rFonts w:hint="eastAsia"/>
        </w:rPr>
        <w:t xml:space="preserve">17.50億美元20年期次級債務證券。</w:t>
      </w:r>
    </w:p>
    <w:p>
      <w:pPr>
        <w:pStyle w:val="BodyText"/>
      </w:pPr>
      <w:r>
        <w:rPr>
          <w:rFonts w:hint="eastAsia"/>
        </w:rPr>
        <w:t xml:space="preserve">於2020年12月31日，全球中期票據及證券計劃下已向市場發行債務的賬面值合共為85.59億美元。</w:t>
      </w:r>
    </w:p>
    <w:p>
      <w:pPr>
        <w:pStyle w:val="BodyText"/>
      </w:pPr>
      <w:r>
        <w:t xml:space="preserve">038</w:t>
      </w:r>
    </w:p>
    <w:p>
      <w:pPr>
        <w:pStyle w:val="BodyText"/>
      </w:pPr>
      <w:r>
        <w:rPr>
          <w:rFonts w:hint="eastAsia"/>
        </w:rPr>
        <w:t xml:space="preserve">財務及營運回顧友邦保險控股有限公司集團首席財務總監回顧</w:t>
      </w:r>
    </w:p>
    <w:p>
      <w:pPr>
        <w:pStyle w:val="BodyText"/>
      </w:pPr>
      <w:r>
        <w:rPr>
          <w:rFonts w:hint="eastAsia"/>
        </w:rPr>
        <w:t xml:space="preserve">信貸評級</w:t>
      </w:r>
    </w:p>
    <w:p>
      <w:pPr>
        <w:pStyle w:val="BodyText"/>
      </w:pPr>
      <w:r>
        <w:rPr>
          <w:rFonts w:hint="eastAsia"/>
        </w:rPr>
        <w:t xml:space="preserve">於2020年12月31日，穆迪、惠譽及標準普爾分別授予AIA</w:t>
      </w:r>
      <w:r>
        <w:t xml:space="preserve"> </w:t>
      </w:r>
      <w:r>
        <w:rPr>
          <w:rFonts w:hint="eastAsia"/>
        </w:rPr>
        <w:t xml:space="preserve">Co.財務實力評級Aa2（很低的信貸風險）（前景展望穩</w:t>
      </w:r>
    </w:p>
    <w:p>
      <w:pPr>
        <w:pStyle w:val="BodyText"/>
      </w:pPr>
      <w:r>
        <w:rPr>
          <w:rFonts w:hint="eastAsia"/>
        </w:rPr>
        <w:t xml:space="preserve">定）、AA（很強）（前景展望穩定）及AA-（很強）（前景展望穩定）。</w:t>
      </w:r>
    </w:p>
    <w:p>
      <w:pPr>
        <w:pStyle w:val="BodyText"/>
      </w:pPr>
      <w:r>
        <w:rPr>
          <w:rFonts w:hint="eastAsia"/>
        </w:rPr>
        <w:t xml:space="preserve">於2020年12月31日，穆迪、惠譽及標準普爾分別授予友邦保險控股有限公司發行人信用評級A2（低信貸風險）</w:t>
      </w:r>
    </w:p>
    <w:p>
      <w:pPr>
        <w:pStyle w:val="BodyText"/>
      </w:pPr>
      <w:r>
        <w:rPr>
          <w:rFonts w:hint="eastAsia"/>
        </w:rPr>
        <w:t xml:space="preserve">（前景展望穩定）、AA-（很高的信貸質素）（前景展望穩定）及A（強）（前景展望正面）。</w:t>
      </w:r>
    </w:p>
    <w:p>
      <w:pPr>
        <w:pStyle w:val="BodyText"/>
      </w:pPr>
      <w:r>
        <w:rPr>
          <w:rFonts w:hint="eastAsia"/>
        </w:rPr>
        <w:t xml:space="preserve">股息</w:t>
      </w:r>
    </w:p>
    <w:p>
      <w:pPr>
        <w:pStyle w:val="BodyText"/>
      </w:pPr>
      <w:r>
        <w:rPr>
          <w:rFonts w:hint="eastAsia"/>
        </w:rPr>
        <w:t xml:space="preserve">董事會建議末期股息增加7.5%至每股100.30港仙，並須於本公司應屆股東週年大會上獲股東批准。這使2020年的</w:t>
      </w:r>
    </w:p>
    <w:p>
      <w:pPr>
        <w:pStyle w:val="BodyText"/>
      </w:pPr>
      <w:r>
        <w:rPr>
          <w:rFonts w:hint="eastAsia"/>
        </w:rPr>
        <w:t xml:space="preserve">全年股息總額為每股135.30港仙，較2019年的全年股息總額上升6.9%。這是秉承友邦保險行之已久的審慎、可持</w:t>
      </w:r>
    </w:p>
    <w:p>
      <w:pPr>
        <w:pStyle w:val="BodyText"/>
      </w:pPr>
      <w:r>
        <w:rPr>
          <w:rFonts w:hint="eastAsia"/>
        </w:rPr>
        <w:t xml:space="preserve">續及漸進的派息政策，讓集團可把握未來的增長機遇，並且保持財務靈活性。</w:t>
      </w:r>
    </w:p>
    <w:p>
      <w:pPr>
        <w:pStyle w:val="BodyText"/>
      </w:pPr>
      <w:r>
        <w:t xml:space="preserve">039</w:t>
      </w:r>
    </w:p>
    <w:p>
      <w:pPr>
        <w:pStyle w:val="BodyText"/>
      </w:pPr>
      <w:r>
        <w:rPr>
          <w:rFonts w:hint="eastAsia"/>
        </w:rPr>
        <w:t xml:space="preserve">概覽財務及營運回顧企業管治其他資料財務報表2020年報</w:t>
      </w:r>
    </w:p>
    <w:p>
      <w:pPr>
        <w:pStyle w:val="BodyText"/>
      </w:pPr>
      <w:r>
        <w:rPr>
          <w:rFonts w:hint="eastAsia"/>
        </w:rPr>
        <w:t xml:space="preserve">業務回顧</w:t>
      </w:r>
    </w:p>
    <w:p>
      <w:pPr>
        <w:pStyle w:val="BodyText"/>
      </w:pPr>
      <w:r>
        <w:rPr>
          <w:rFonts w:hint="eastAsia"/>
        </w:rPr>
        <w:t xml:space="preserve">概要及主要業務摘要</w:t>
      </w:r>
    </w:p>
    <w:p>
      <w:pPr>
        <w:pStyle w:val="BodyText"/>
      </w:pPr>
      <w:r>
        <w:rPr>
          <w:rFonts w:hint="eastAsia"/>
        </w:rPr>
        <w:t xml:space="preserve">在2020年，友邦保險成功駕馭2019冠狀病毒病大流行帶來的種種挑戰。期間，我們的首要優先任務是確保我們</w:t>
      </w:r>
    </w:p>
    <w:p>
      <w:pPr>
        <w:pStyle w:val="BodyText"/>
      </w:pPr>
      <w:r>
        <w:rPr>
          <w:rFonts w:hint="eastAsia"/>
        </w:rPr>
        <w:t xml:space="preserve">員工的安全，同時為客戶、代理和合作夥伴提供不間斷的服務。目前，我們的業務已重拾動力，在2021年首兩個</w:t>
      </w:r>
    </w:p>
    <w:p>
      <w:pPr>
        <w:pStyle w:val="BodyText"/>
      </w:pPr>
      <w:r>
        <w:rPr>
          <w:rFonts w:hint="eastAsia"/>
        </w:rPr>
        <w:t xml:space="preserve">月，集團的新業務價值與2020年同期相比增長15%。鑑於遏制傳播措施限制面對面的銷售活動，我們加速開發及</w:t>
      </w:r>
    </w:p>
    <w:p>
      <w:pPr>
        <w:pStyle w:val="BodyText"/>
      </w:pPr>
      <w:r>
        <w:rPr>
          <w:rFonts w:hint="eastAsia"/>
        </w:rPr>
        <w:t xml:space="preserve">採用網上和遙距銷售工具。現時，友邦保險的所有代理及銀行保險分銷渠道均可透過遙距方式銷售我們的產品。</w:t>
      </w:r>
    </w:p>
    <w:p>
      <w:pPr>
        <w:pStyle w:val="BodyText"/>
      </w:pPr>
      <w:r>
        <w:rPr>
          <w:rFonts w:hint="eastAsia"/>
        </w:rPr>
        <w:t xml:space="preserve">隨著外出限制措施放寬，這些工具為友邦保險各個業務市場的銷售重拾動力提供支持。</w:t>
      </w:r>
    </w:p>
    <w:p>
      <w:pPr>
        <w:pStyle w:val="BodyText"/>
      </w:pPr>
      <w:r>
        <w:rPr>
          <w:rFonts w:hint="eastAsia"/>
        </w:rPr>
        <w:t xml:space="preserve">分銷</w:t>
      </w:r>
    </w:p>
    <w:p>
      <w:pPr>
        <w:pStyle w:val="BodyText"/>
      </w:pPr>
      <w:r>
        <w:rPr>
          <w:rFonts w:hint="eastAsia"/>
        </w:rPr>
        <w:t xml:space="preserve">代理渠道方面，我們持續加強「最優秀代理」的實力，在轉向使用網上招聘和入職培訓的支持下，新入職代理</w:t>
      </w:r>
    </w:p>
    <w:p>
      <w:pPr>
        <w:pStyle w:val="BodyText"/>
      </w:pPr>
      <w:r>
        <w:rPr>
          <w:rFonts w:hint="eastAsia"/>
        </w:rPr>
        <w:t xml:space="preserve">及代理主管人數錄得雙位數字的增長。在大流行病期間，面對面會議受到限制，導致2020年的新業務價值下降</w:t>
      </w:r>
    </w:p>
    <w:p>
      <w:pPr>
        <w:pStyle w:val="BodyText"/>
      </w:pPr>
      <w:r>
        <w:rPr>
          <w:rFonts w:hint="eastAsia"/>
        </w:rPr>
        <w:t xml:space="preserve">28%。隨著限制放寬，加上我們採用新的數碼工具，銷售動力已見回升並延續至2021年。在首兩個月，代理渠道</w:t>
      </w:r>
    </w:p>
    <w:p>
      <w:pPr>
        <w:pStyle w:val="BodyText"/>
      </w:pPr>
      <w:r>
        <w:rPr>
          <w:rFonts w:hint="eastAsia"/>
        </w:rPr>
        <w:t xml:space="preserve">的新業務價值錄得非常強勁的按年增長。</w:t>
      </w:r>
    </w:p>
    <w:p>
      <w:pPr>
        <w:pStyle w:val="BodyText"/>
      </w:pPr>
      <w:r>
        <w:rPr>
          <w:rFonts w:hint="eastAsia"/>
        </w:rPr>
        <w:t xml:space="preserve">在2020年，夥伴分銷渠道的新業務價值下降41%，反映出旅遊限制的影響。自2020年2月起，有關限制導致來自</w:t>
      </w:r>
    </w:p>
    <w:p>
      <w:pPr>
        <w:pStyle w:val="BodyText"/>
      </w:pPr>
      <w:r>
        <w:rPr>
          <w:rFonts w:hint="eastAsia"/>
        </w:rPr>
        <w:t xml:space="preserve">中國內地訪港客戶的銷售實際上暫停。撇除來自中國內地訪港客戶的銷售，在2020年下半年，夥伴分銷業務的</w:t>
      </w:r>
    </w:p>
    <w:p>
      <w:pPr>
        <w:pStyle w:val="BodyText"/>
      </w:pPr>
      <w:r>
        <w:rPr>
          <w:rFonts w:hint="eastAsia"/>
        </w:rPr>
        <w:t xml:space="preserve">新業務價值與上半年比較增長5%。在2020年，我們的銀行保險夥伴取得了穩健佳績，其中泰國的Bangkok</w:t>
      </w:r>
      <w:r>
        <w:t xml:space="preserve"> Bank</w:t>
      </w:r>
    </w:p>
    <w:p>
      <w:pPr>
        <w:pStyle w:val="BodyText"/>
      </w:pPr>
      <w:r>
        <w:t xml:space="preserve">Public Company </w:t>
      </w:r>
      <w:r>
        <w:rPr>
          <w:rFonts w:hint="eastAsia"/>
        </w:rPr>
        <w:t xml:space="preserve">Limited（盤谷銀行）、印尼的Bank</w:t>
      </w:r>
      <w:r>
        <w:t xml:space="preserve"> Central Asia (BCA) </w:t>
      </w:r>
      <w:r>
        <w:rPr>
          <w:rFonts w:hint="eastAsia"/>
        </w:rPr>
        <w:t xml:space="preserve">及馬來西亞的Public</w:t>
      </w:r>
      <w:r>
        <w:t xml:space="preserve"> Bank </w:t>
      </w:r>
      <w:r>
        <w:rPr>
          <w:rFonts w:hint="eastAsia"/>
        </w:rPr>
        <w:t xml:space="preserve">Berhad（大眾</w:t>
      </w:r>
    </w:p>
    <w:p>
      <w:pPr>
        <w:pStyle w:val="BodyText"/>
      </w:pPr>
      <w:r>
        <w:rPr>
          <w:rFonts w:hint="eastAsia"/>
        </w:rPr>
        <w:t xml:space="preserve">銀行）的新業務價值均錄得按年增長。</w:t>
      </w:r>
    </w:p>
    <w:p>
      <w:pPr>
        <w:pStyle w:val="BodyText"/>
      </w:pPr>
      <w:r>
        <w:rPr>
          <w:rFonts w:hint="eastAsia"/>
        </w:rPr>
        <w:t xml:space="preserve">地區市場</w:t>
      </w:r>
    </w:p>
    <w:p>
      <w:pPr>
        <w:pStyle w:val="BodyText"/>
      </w:pPr>
      <w:r>
        <w:rPr>
          <w:rFonts w:hint="eastAsia"/>
        </w:rPr>
        <w:t xml:space="preserve">友邦保險中國業務在2021年錄得成功的勢頭，首兩個月的新業務價值與2020年同期比較，錄得非常強勁的增</w:t>
      </w:r>
    </w:p>
    <w:p>
      <w:pPr>
        <w:pStyle w:val="BodyText"/>
      </w:pPr>
      <w:r>
        <w:rPr>
          <w:rFonts w:hint="eastAsia"/>
        </w:rPr>
        <w:t xml:space="preserve">長。2020年新業務價值9.68億美元較2019年減少17%，主要由於2019冠狀病毒病在第一季爆發初期而導致銷售額</w:t>
      </w:r>
    </w:p>
    <w:p>
      <w:pPr>
        <w:pStyle w:val="BodyText"/>
      </w:pPr>
      <w:r>
        <w:rPr>
          <w:rFonts w:hint="eastAsia"/>
        </w:rPr>
        <w:t xml:space="preserve">有限。隨著外出限制放寬，新業務動力得以迅速改善。新業務價值重拾我們慣常的季節性規律，比重更側重於上</w:t>
      </w:r>
    </w:p>
    <w:p>
      <w:pPr>
        <w:pStyle w:val="BodyText"/>
      </w:pPr>
      <w:r>
        <w:rPr>
          <w:rFonts w:hint="eastAsia"/>
        </w:rPr>
        <w:t xml:space="preserve">半年。在2020年，友邦保險中國業務為集團的新業務價值帶來最大貢獻。</w:t>
      </w:r>
    </w:p>
    <w:p>
      <w:pPr>
        <w:pStyle w:val="BodyText"/>
      </w:pPr>
      <w:r>
        <w:rPr>
          <w:rFonts w:hint="eastAsia"/>
        </w:rPr>
        <w:t xml:space="preserve">在實施旅遊限制後，友邦保險香港業務來自中國內地訪港客戶的新業務銷售自</w:t>
      </w:r>
      <w:r>
        <w:t xml:space="preserve"> </w:t>
      </w:r>
      <w:r>
        <w:rPr>
          <w:rFonts w:hint="eastAsia"/>
        </w:rPr>
        <w:t xml:space="preserve">2020年2月初起實際上已暫停，導</w:t>
      </w:r>
    </w:p>
    <w:p>
      <w:pPr>
        <w:pStyle w:val="BodyText"/>
      </w:pPr>
      <w:r>
        <w:rPr>
          <w:rFonts w:hint="eastAsia"/>
        </w:rPr>
        <w:t xml:space="preserve">致其新業務價值大幅下降。新業務價值利潤率錄得跌幅，反映新業務量減少導致承保開支超支、產品組合變動及</w:t>
      </w:r>
    </w:p>
    <w:p>
      <w:pPr>
        <w:pStyle w:val="BodyText"/>
      </w:pPr>
      <w:r>
        <w:rPr>
          <w:rFonts w:hint="eastAsia"/>
        </w:rPr>
        <w:t xml:space="preserve">利率下降的影響所致。稅後營運溢利上升10%。澳門在2020年9月底恢復中國內地旅客個人遊計劃。這為澳門的</w:t>
      </w:r>
    </w:p>
    <w:p>
      <w:pPr>
        <w:pStyle w:val="BodyText"/>
      </w:pPr>
      <w:r>
        <w:rPr>
          <w:rFonts w:hint="eastAsia"/>
        </w:rPr>
        <w:t xml:space="preserve">中國內地訪澳客戶銷售回升提供支持，使其在第四季佔友邦保險澳門分公司的年化新保費總額超過三分之一。</w:t>
      </w:r>
    </w:p>
    <w:p>
      <w:pPr>
        <w:pStyle w:val="BodyText"/>
      </w:pPr>
      <w:r>
        <w:rPr>
          <w:rFonts w:hint="eastAsia"/>
        </w:rPr>
        <w:t xml:space="preserve">友邦保險泰國業務在下半年表現卓越，新業務價值較上半年增長33%。雖然新業務價值全年下降4%，但隨著外</w:t>
      </w:r>
    </w:p>
    <w:p>
      <w:pPr>
        <w:pStyle w:val="BodyText"/>
      </w:pPr>
      <w:r>
        <w:rPr>
          <w:rFonts w:hint="eastAsia"/>
        </w:rPr>
        <w:t xml:space="preserve">出限制在下半年放寬，新業務價值錄得正面按月增長。</w:t>
      </w:r>
    </w:p>
    <w:p>
      <w:pPr>
        <w:pStyle w:val="BodyText"/>
      </w:pPr>
      <w:r>
        <w:t xml:space="preserve">040</w:t>
      </w:r>
    </w:p>
    <w:p>
      <w:pPr>
        <w:pStyle w:val="BodyText"/>
      </w:pPr>
      <w:r>
        <w:rPr>
          <w:rFonts w:hint="eastAsia"/>
        </w:rPr>
        <w:t xml:space="preserve">財務及營運回顧友邦保險控股有限公司</w:t>
      </w:r>
    </w:p>
    <w:p>
      <w:pPr>
        <w:pStyle w:val="BodyText"/>
      </w:pPr>
      <w:r>
        <w:rPr>
          <w:rFonts w:hint="eastAsia"/>
        </w:rPr>
        <w:t xml:space="preserve">友邦保險新加坡業務在下半年實現卓越的復甦。與上半年比較，2020年下半年的新業務價值上升56%，按年則上</w:t>
      </w:r>
    </w:p>
    <w:p>
      <w:pPr>
        <w:pStyle w:val="BodyText"/>
      </w:pPr>
      <w:r>
        <w:rPr>
          <w:rFonts w:hint="eastAsia"/>
        </w:rPr>
        <w:t xml:space="preserve">升12%。新業務價值全年下降5%，原因是我們的代理渠道新業務的增長被夥伴分銷新業務的減少所抵銷，其中</w:t>
      </w:r>
    </w:p>
    <w:p>
      <w:pPr>
        <w:pStyle w:val="BodyText"/>
      </w:pPr>
      <w:r>
        <w:rPr>
          <w:rFonts w:hint="eastAsia"/>
        </w:rPr>
        <w:t xml:space="preserve">向離岸客戶群的銷售尤其受到邊境管制措施影響。產品組合改善，加上新業務量增加使承保開支超支的幅度減</w:t>
      </w:r>
    </w:p>
    <w:p>
      <w:pPr>
        <w:pStyle w:val="BodyText"/>
      </w:pPr>
      <w:r>
        <w:rPr>
          <w:rFonts w:hint="eastAsia"/>
        </w:rPr>
        <w:t xml:space="preserve">少，帶動新業務價值利潤率在下半年顯著回升。</w:t>
      </w:r>
    </w:p>
    <w:p>
      <w:pPr>
        <w:pStyle w:val="BodyText"/>
      </w:pPr>
      <w:r>
        <w:rPr>
          <w:rFonts w:hint="eastAsia"/>
        </w:rPr>
        <w:t xml:space="preserve">與上半年比較，友邦保險馬來西亞業務在下半年錄得72%的新業務價值增長，而與2019年下半年比較，則錄得雙</w:t>
      </w:r>
    </w:p>
    <w:p>
      <w:pPr>
        <w:pStyle w:val="BodyText"/>
      </w:pPr>
      <w:r>
        <w:rPr>
          <w:rFonts w:hint="eastAsia"/>
        </w:rPr>
        <w:t xml:space="preserve">位數字的新業務價值增長。新業務價值全年下降13%，反映上半年與2019冠狀病毒病相關的嚴格外出限制措施</w:t>
      </w:r>
    </w:p>
    <w:p>
      <w:pPr>
        <w:pStyle w:val="BodyText"/>
      </w:pPr>
      <w:r>
        <w:rPr>
          <w:rFonts w:hint="eastAsia"/>
        </w:rPr>
        <w:t xml:space="preserve">所致的影響。產品組合的正面轉變，加上承保開支超支幅度減少，使新業務價值利潤率在下半年回升16.6個百分</w:t>
      </w:r>
    </w:p>
    <w:p>
      <w:pPr>
        <w:pStyle w:val="BodyText"/>
      </w:pPr>
      <w:r>
        <w:rPr>
          <w:rFonts w:hint="eastAsia"/>
        </w:rPr>
        <w:t xml:space="preserve">點，而2020年整體利潤率為59.9%。</w:t>
      </w:r>
    </w:p>
    <w:p>
      <w:pPr>
        <w:pStyle w:val="BodyText"/>
      </w:pPr>
      <w:r>
        <w:rPr>
          <w:rFonts w:hint="eastAsia"/>
        </w:rPr>
        <w:t xml:space="preserve">其他市場方面，2020年下半年的新業務價值較上半年上升</w:t>
      </w:r>
      <w:r>
        <w:t xml:space="preserve"> </w:t>
      </w:r>
      <w:r>
        <w:rPr>
          <w:rFonts w:hint="eastAsia"/>
        </w:rPr>
        <w:t xml:space="preserve">10%，其中南韓和印尼錄得良好的復甦。整體來說，新</w:t>
      </w:r>
    </w:p>
    <w:p>
      <w:pPr>
        <w:pStyle w:val="BodyText"/>
      </w:pPr>
      <w:r>
        <w:rPr>
          <w:rFonts w:hint="eastAsia"/>
        </w:rPr>
        <w:t xml:space="preserve">西蘭、菲律賓及印尼錄得跌幅，導致整體新業務價值全年下降4%。其餘的市場均錄得正面新業務價值增長。與</w:t>
      </w:r>
    </w:p>
    <w:p>
      <w:pPr>
        <w:pStyle w:val="BodyText"/>
      </w:pPr>
      <w:r>
        <w:rPr>
          <w:rFonts w:hint="eastAsia"/>
        </w:rPr>
        <w:t xml:space="preserve">2019年比較，越南、中國台灣及印度的新業務價值在2020年錄得雙位數字的升幅。</w:t>
      </w:r>
    </w:p>
    <w:p>
      <w:pPr>
        <w:pStyle w:val="BodyText"/>
      </w:pPr>
      <w:r>
        <w:t xml:space="preserve">041</w:t>
      </w:r>
    </w:p>
    <w:p>
      <w:pPr>
        <w:pStyle w:val="BodyText"/>
      </w:pPr>
      <w:r>
        <w:rPr>
          <w:rFonts w:hint="eastAsia"/>
        </w:rPr>
        <w:t xml:space="preserve">概覽財務及營運回顧企業管治其他資料財務報表2020年報</w:t>
      </w:r>
    </w:p>
    <w:p>
      <w:pPr>
        <w:pStyle w:val="BodyText"/>
      </w:pPr>
      <w:r>
        <w:rPr>
          <w:rFonts w:hint="eastAsia"/>
        </w:rPr>
        <w:t xml:space="preserve">企業策略</w:t>
      </w:r>
    </w:p>
    <w:p>
      <w:pPr>
        <w:pStyle w:val="BodyText"/>
      </w:pPr>
      <w:r>
        <w:rPr>
          <w:rFonts w:hint="eastAsia"/>
        </w:rPr>
        <w:t xml:space="preserve">友邦保險在亞洲的歷史悠久，擁有區內無可比擬的平台，並於我們業務所在的大部分市場雄踞領導地位。我們對</w:t>
      </w:r>
    </w:p>
    <w:p>
      <w:pPr>
        <w:pStyle w:val="BodyText"/>
      </w:pPr>
      <w:r>
        <w:rPr>
          <w:rFonts w:hint="eastAsia"/>
        </w:rPr>
        <w:t xml:space="preserve">亞洲的專注以及我們的企業架構，讓友邦保險可以在全球壽險業最具吸引力的地區，為股東把握增長帶來的所有</w:t>
      </w:r>
    </w:p>
    <w:p>
      <w:pPr>
        <w:pStyle w:val="BodyText"/>
      </w:pPr>
      <w:r>
        <w:rPr>
          <w:rFonts w:hint="eastAsia"/>
        </w:rPr>
        <w:t xml:space="preserve">經濟效益。在2020年，我們以友邦保險幫助大眾實踐健康、長久、好生活的目標為基礎，推出全新的企業策略，</w:t>
      </w:r>
    </w:p>
    <w:p>
      <w:pPr>
        <w:pStyle w:val="BodyText"/>
      </w:pPr>
      <w:r>
        <w:rPr>
          <w:rFonts w:hint="eastAsia"/>
        </w:rPr>
        <w:t xml:space="preserve">正如下圖所示。</w:t>
      </w:r>
    </w:p>
    <w:p>
      <w:pPr>
        <w:pStyle w:val="BodyText"/>
      </w:pPr>
      <w:r>
        <w:rPr>
          <w:rFonts w:hint="eastAsia"/>
        </w:rPr>
        <w:t xml:space="preserve">我們的目標：幫助大眾實踐健康、長久、好生活</w:t>
      </w:r>
    </w:p>
    <w:p>
      <w:pPr>
        <w:pStyle w:val="BodyText"/>
      </w:pPr>
      <w:r>
        <w:rPr>
          <w:rFonts w:hint="eastAsia"/>
        </w:rPr>
        <w:t xml:space="preserve">策略性優先任務</w:t>
      </w:r>
    </w:p>
    <w:p>
      <w:pPr>
        <w:pStyle w:val="BodyText"/>
      </w:pPr>
      <w:r>
        <w:rPr>
          <w:rFonts w:hint="eastAsia"/>
        </w:rPr>
        <w:t xml:space="preserve">領先同儕的客戶體驗</w:t>
      </w:r>
    </w:p>
    <w:p>
      <w:pPr>
        <w:pStyle w:val="BodyText"/>
      </w:pPr>
      <w:r>
        <w:rPr>
          <w:rFonts w:hint="eastAsia"/>
        </w:rPr>
        <w:t xml:space="preserve">無可比擬的分銷平台</w:t>
      </w:r>
    </w:p>
    <w:p>
      <w:pPr>
        <w:pStyle w:val="BodyText"/>
      </w:pPr>
      <w:r>
        <w:rPr>
          <w:rFonts w:hint="eastAsia"/>
        </w:rPr>
        <w:t xml:space="preserve">具吸引力的主張</w:t>
      </w:r>
    </w:p>
    <w:p>
      <w:pPr>
        <w:pStyle w:val="BodyText"/>
      </w:pPr>
      <w:r>
        <w:rPr>
          <w:rFonts w:hint="eastAsia"/>
        </w:rPr>
        <w:t xml:space="preserve">無縫的全渠道客戶體驗，</w:t>
      </w:r>
      <w:r>
        <w:br/>
      </w:r>
      <w:r>
        <w:rPr>
          <w:rFonts w:hint="eastAsia"/>
        </w:rPr>
        <w:t xml:space="preserve">以及業內最佳的客戶聯繫</w:t>
      </w:r>
    </w:p>
    <w:p>
      <w:pPr>
        <w:pStyle w:val="BodyText"/>
      </w:pPr>
      <w:r>
        <w:rPr>
          <w:rFonts w:hint="eastAsia"/>
        </w:rPr>
        <w:t xml:space="preserve">透過數碼化及建議為本的模式，</w:t>
      </w:r>
      <w:r>
        <w:br/>
      </w:r>
      <w:r>
        <w:rPr>
          <w:rFonts w:hint="eastAsia"/>
        </w:rPr>
        <w:t xml:space="preserve">擴大規模和提高生產力</w:t>
      </w:r>
    </w:p>
    <w:p>
      <w:pPr>
        <w:pStyle w:val="BodyText"/>
      </w:pPr>
      <w:r>
        <w:rPr>
          <w:rFonts w:hint="eastAsia"/>
        </w:rPr>
        <w:t xml:space="preserve">成為領先同業的個人化建議</w:t>
      </w:r>
      <w:r>
        <w:br/>
      </w:r>
      <w:r>
        <w:rPr>
          <w:rFonts w:hint="eastAsia"/>
        </w:rPr>
        <w:t xml:space="preserve">及創新方案供應商</w:t>
      </w:r>
    </w:p>
    <w:p>
      <w:pPr>
        <w:pStyle w:val="BodyText"/>
      </w:pPr>
      <w:r>
        <w:rPr>
          <w:rFonts w:hint="eastAsia"/>
        </w:rPr>
        <w:t xml:space="preserve">技術、數碼及分析功能的跨越式轉變</w:t>
      </w:r>
    </w:p>
    <w:p>
      <w:pPr>
        <w:pStyle w:val="BodyText"/>
      </w:pPr>
      <w:r>
        <w:rPr>
          <w:rFonts w:hint="eastAsia"/>
        </w:rPr>
        <w:t xml:space="preserve">世界級技術</w:t>
      </w:r>
    </w:p>
    <w:p>
      <w:pPr>
        <w:pStyle w:val="BodyText"/>
      </w:pPr>
      <w:r>
        <w:rPr>
          <w:rFonts w:hint="eastAsia"/>
        </w:rPr>
        <w:t xml:space="preserve">量身訂制及數碼化的體驗過程</w:t>
      </w:r>
    </w:p>
    <w:p>
      <w:pPr>
        <w:pStyle w:val="BodyText"/>
      </w:pPr>
      <w:r>
        <w:rPr>
          <w:rFonts w:hint="eastAsia"/>
        </w:rPr>
        <w:t xml:space="preserve">數據及分析為我們所有工作注入動力</w:t>
      </w:r>
    </w:p>
    <w:p>
      <w:pPr>
        <w:pStyle w:val="BodyText"/>
      </w:pPr>
      <w:r>
        <w:rPr>
          <w:rFonts w:hint="eastAsia"/>
        </w:rPr>
        <w:t xml:space="preserve">未來的組織</w:t>
      </w:r>
      <w:r>
        <w:br/>
      </w:r>
      <w:r>
        <w:rPr>
          <w:rFonts w:hint="eastAsia"/>
        </w:rPr>
        <w:t xml:space="preserve">更簡單、更迅速、更緊密聯繫</w:t>
      </w:r>
    </w:p>
    <w:p>
      <w:pPr>
        <w:pStyle w:val="BodyText"/>
      </w:pPr>
      <w:r>
        <w:rPr>
          <w:rFonts w:hint="eastAsia"/>
        </w:rPr>
        <w:t xml:space="preserve">嚴謹的財務紀律</w:t>
      </w:r>
      <w:r>
        <w:br/>
      </w:r>
      <w:r>
        <w:rPr>
          <w:rFonts w:hint="eastAsia"/>
        </w:rPr>
        <w:t xml:space="preserve">清晰的關鍵績效指標推動可持續的長遠股東價值</w:t>
      </w:r>
    </w:p>
    <w:p>
      <w:pPr>
        <w:pStyle w:val="BodyText"/>
      </w:pPr>
      <w:r>
        <w:rPr>
          <w:rFonts w:hint="eastAsia"/>
        </w:rPr>
        <w:t xml:space="preserve">亞洲的結構性增長動力</w:t>
      </w:r>
    </w:p>
    <w:p>
      <w:pPr>
        <w:pStyle w:val="BodyText"/>
      </w:pPr>
      <w:r>
        <w:rPr>
          <w:rFonts w:hint="eastAsia"/>
        </w:rPr>
        <w:t xml:space="preserve">前所未見的</w:t>
      </w:r>
      <w:r>
        <w:br/>
      </w:r>
      <w:r>
        <w:rPr>
          <w:rFonts w:hint="eastAsia"/>
        </w:rPr>
        <w:t xml:space="preserve">創富動力</w:t>
      </w:r>
    </w:p>
    <w:p>
      <w:pPr>
        <w:pStyle w:val="BodyText"/>
      </w:pPr>
      <w:r>
        <w:rPr>
          <w:rFonts w:hint="eastAsia"/>
        </w:rPr>
        <w:t xml:space="preserve">私人保險保障的</w:t>
      </w:r>
      <w:r>
        <w:br/>
      </w:r>
      <w:r>
        <w:rPr>
          <w:rFonts w:hint="eastAsia"/>
        </w:rPr>
        <w:t xml:space="preserve">需求殷切</w:t>
      </w:r>
    </w:p>
    <w:p>
      <w:pPr>
        <w:pStyle w:val="BodyText"/>
      </w:pPr>
      <w:r>
        <w:rPr>
          <w:rFonts w:hint="eastAsia"/>
        </w:rPr>
        <w:t xml:space="preserve">消費者的心態</w:t>
      </w:r>
      <w:r>
        <w:br/>
      </w:r>
      <w:r>
        <w:rPr>
          <w:rFonts w:hint="eastAsia"/>
        </w:rPr>
        <w:t xml:space="preserve">迅速轉變</w:t>
      </w:r>
    </w:p>
    <w:p>
      <w:pPr>
        <w:pStyle w:val="BodyText"/>
      </w:pPr>
      <w:r>
        <w:rPr>
          <w:rFonts w:hint="eastAsia"/>
        </w:rPr>
        <w:t xml:space="preserve">新技術</w:t>
      </w:r>
      <w:r>
        <w:br/>
      </w:r>
      <w:r>
        <w:rPr>
          <w:rFonts w:hint="eastAsia"/>
        </w:rPr>
        <w:t xml:space="preserve">無處不在</w:t>
      </w:r>
    </w:p>
    <w:p>
      <w:pPr>
        <w:pStyle w:val="BodyText"/>
      </w:pPr>
      <w:r>
        <w:rPr>
          <w:rFonts w:hint="eastAsia"/>
        </w:rPr>
        <w:t xml:space="preserve">體現企業目標、</w:t>
      </w:r>
      <w:r>
        <w:br/>
      </w:r>
      <w:r>
        <w:rPr>
          <w:rFonts w:hint="eastAsia"/>
        </w:rPr>
        <w:t xml:space="preserve">可持續發展及堅韌力</w:t>
      </w:r>
    </w:p>
    <w:p>
      <w:pPr>
        <w:pStyle w:val="BodyText"/>
      </w:pPr>
      <w:r>
        <w:rPr>
          <w:rFonts w:hint="eastAsia"/>
        </w:rPr>
        <w:t xml:space="preserve">結構性增長動力</w:t>
      </w:r>
    </w:p>
    <w:p>
      <w:pPr>
        <w:pStyle w:val="BodyText"/>
      </w:pPr>
      <w:r>
        <w:rPr>
          <w:rFonts w:hint="eastAsia"/>
        </w:rPr>
        <w:t xml:space="preserve">我們最新的策略性優先任務乃建基於五個帶動亞洲增長的長期結構性動力：</w:t>
      </w:r>
    </w:p>
    <w:p>
      <w:pPr>
        <w:pStyle w:val="BodyText"/>
      </w:pPr>
      <w:r>
        <w:rPr>
          <w:rFonts w:hint="eastAsia"/>
        </w:rPr>
        <w:t xml:space="preserve">亞洲前所未見的創富動力</w:t>
      </w:r>
    </w:p>
    <w:p>
      <w:pPr>
        <w:pStyle w:val="BodyText"/>
      </w:pPr>
      <w:r>
        <w:rPr>
          <w:rFonts w:hint="eastAsia"/>
        </w:rPr>
        <w:t xml:space="preserve">創富的複合效應將帶動亞洲中產人口於2030年或以前增長近一倍，增幅達14億人，這較全球其他地區總計增長步</w:t>
      </w:r>
    </w:p>
    <w:p>
      <w:pPr>
        <w:pStyle w:val="BodyText"/>
      </w:pPr>
      <w:r>
        <w:rPr>
          <w:rFonts w:hint="eastAsia"/>
        </w:rPr>
        <w:t xml:space="preserve">伐更快。</w:t>
      </w:r>
    </w:p>
    <w:p>
      <w:pPr>
        <w:pStyle w:val="BodyText"/>
      </w:pPr>
      <w:r>
        <w:rPr>
          <w:rFonts w:hint="eastAsia"/>
        </w:rPr>
        <w:t xml:space="preserve">私人保險保障的需求殷切</w:t>
      </w:r>
    </w:p>
    <w:p>
      <w:pPr>
        <w:pStyle w:val="BodyText"/>
      </w:pPr>
      <w:r>
        <w:rPr>
          <w:rFonts w:hint="eastAsia"/>
        </w:rPr>
        <w:t xml:space="preserve">現時，亞洲的財務保障需要與已獲得的保障之間存在龐大的差距，促使人壽和醫療保險及長期儲蓄的需求持續上</w:t>
      </w:r>
    </w:p>
    <w:p>
      <w:pPr>
        <w:pStyle w:val="BodyText"/>
      </w:pPr>
      <w:r>
        <w:rPr>
          <w:rFonts w:hint="eastAsia"/>
        </w:rPr>
        <w:t xml:space="preserve">升。生活方式相關而可預防的疾病日漸普遍、人口老化、長壽，以及醫療成本迅速上漲，加速上述保障缺口持續</w:t>
      </w:r>
    </w:p>
    <w:p>
      <w:pPr>
        <w:pStyle w:val="BodyText"/>
      </w:pPr>
      <w:r>
        <w:rPr>
          <w:rFonts w:hint="eastAsia"/>
        </w:rPr>
        <w:t xml:space="preserve">擴大。</w:t>
      </w:r>
    </w:p>
    <w:p>
      <w:pPr>
        <w:pStyle w:val="BodyText"/>
      </w:pPr>
      <w:r>
        <w:rPr>
          <w:rFonts w:hint="eastAsia"/>
        </w:rPr>
        <w:t xml:space="preserve">消費者的心態迅速轉變</w:t>
      </w:r>
    </w:p>
    <w:p>
      <w:pPr>
        <w:pStyle w:val="BodyText"/>
      </w:pPr>
      <w:r>
        <w:rPr>
          <w:rFonts w:hint="eastAsia"/>
        </w:rPr>
        <w:t xml:space="preserve">消費者日益著重保健和醫療，並提高對老年生活質素的期望。面對眾多產品選擇，加上對需要多少保障毫無頭</w:t>
      </w:r>
    </w:p>
    <w:p>
      <w:pPr>
        <w:pStyle w:val="BodyText"/>
      </w:pPr>
      <w:r>
        <w:rPr>
          <w:rFonts w:hint="eastAsia"/>
        </w:rPr>
        <w:t xml:space="preserve">緒，消費者愈來愈依賴個人建議，並選擇可靠的公司提供適切和合時的意見，以及個人化的服務。</w:t>
      </w:r>
    </w:p>
    <w:p>
      <w:pPr>
        <w:pStyle w:val="BodyText"/>
      </w:pPr>
      <w:r>
        <w:t xml:space="preserve">042</w:t>
      </w:r>
    </w:p>
    <w:p>
      <w:pPr>
        <w:pStyle w:val="BodyText"/>
      </w:pPr>
      <w:r>
        <w:rPr>
          <w:rFonts w:hint="eastAsia"/>
        </w:rPr>
        <w:t xml:space="preserve">財務及營運回顧友邦保險控股有限公司業務回顧</w:t>
      </w:r>
    </w:p>
    <w:p>
      <w:pPr>
        <w:pStyle w:val="BodyText"/>
      </w:pPr>
      <w:r>
        <w:rPr>
          <w:rFonts w:hint="eastAsia"/>
        </w:rPr>
        <w:t xml:space="preserve">新技術無處不在</w:t>
      </w:r>
    </w:p>
    <w:p>
      <w:pPr>
        <w:pStyle w:val="BodyText"/>
      </w:pPr>
      <w:r>
        <w:rPr>
          <w:rFonts w:hint="eastAsia"/>
        </w:rPr>
        <w:t xml:space="preserve">在更深入的客戶瞭解和數據分析的推動下，技術及數碼化技術發展為提高聯繫、規模及效率開拓更多機會。</w:t>
      </w:r>
    </w:p>
    <w:p>
      <w:pPr>
        <w:pStyle w:val="BodyText"/>
      </w:pPr>
      <w:r>
        <w:rPr>
          <w:rFonts w:hint="eastAsia"/>
        </w:rPr>
        <w:t xml:space="preserve">體現企業目標、可持續發展及堅韌力</w:t>
      </w:r>
    </w:p>
    <w:p>
      <w:pPr>
        <w:pStyle w:val="BodyText"/>
      </w:pPr>
      <w:r>
        <w:rPr>
          <w:rFonts w:hint="eastAsia"/>
        </w:rPr>
        <w:t xml:space="preserve">在衝擊愈來愈頻繁並難以預測的世界裡，保持堅韌力至為重要。所有持分者均期望企業以對的方法，按照企業目</w:t>
      </w:r>
    </w:p>
    <w:p>
      <w:pPr>
        <w:pStyle w:val="BodyText"/>
      </w:pPr>
      <w:r>
        <w:rPr>
          <w:rFonts w:hint="eastAsia"/>
        </w:rPr>
        <w:t xml:space="preserve">標並符合長遠可持續發展，應對所有可能發生的情況。</w:t>
      </w:r>
    </w:p>
    <w:p>
      <w:pPr>
        <w:pStyle w:val="BodyText"/>
      </w:pPr>
      <w:r>
        <w:rPr>
          <w:rFonts w:hint="eastAsia"/>
        </w:rPr>
        <w:t xml:space="preserve">透過識別和應對這些機會，我們深信友邦保險將會繼續憑藉其龐大的競爭優勢和強勁的增長往績，為我們的社區</w:t>
      </w:r>
    </w:p>
    <w:p>
      <w:pPr>
        <w:pStyle w:val="BodyText"/>
      </w:pPr>
      <w:r>
        <w:rPr>
          <w:rFonts w:hint="eastAsia"/>
        </w:rPr>
        <w:t xml:space="preserve">構建更可持續的未來，並為所有持分者創造長遠價值。</w:t>
      </w:r>
    </w:p>
    <w:p>
      <w:pPr>
        <w:pStyle w:val="BodyText"/>
      </w:pPr>
      <w:r>
        <w:t xml:space="preserve">043</w:t>
      </w:r>
    </w:p>
    <w:p>
      <w:pPr>
        <w:pStyle w:val="BodyText"/>
      </w:pPr>
      <w:r>
        <w:rPr>
          <w:rFonts w:hint="eastAsia"/>
        </w:rPr>
        <w:t xml:space="preserve">概覽財務及營運回顧企業管治其他資料財務報表2020年報</w:t>
      </w:r>
    </w:p>
    <w:p>
      <w:pPr>
        <w:pStyle w:val="BodyText"/>
      </w:pPr>
      <w:r>
        <w:rPr>
          <w:rFonts w:hint="eastAsia"/>
        </w:rPr>
        <w:t xml:space="preserve">技術、數碼及分析</w:t>
      </w:r>
    </w:p>
    <w:p>
      <w:pPr>
        <w:pStyle w:val="BodyText"/>
      </w:pPr>
      <w:r>
        <w:rPr>
          <w:rFonts w:hint="eastAsia"/>
        </w:rPr>
        <w:t xml:space="preserve">在技術、數碼及分析方面作出跨越式轉變是友邦保險策略的核心。友邦保險轉型的基礎在於推動技術升級至世界</w:t>
      </w:r>
    </w:p>
    <w:p>
      <w:pPr>
        <w:pStyle w:val="BodyText"/>
      </w:pPr>
      <w:r>
        <w:rPr>
          <w:rFonts w:hint="eastAsia"/>
        </w:rPr>
        <w:t xml:space="preserve">級的現代化架構和系統，以支持我們有效及迅速地擴展策略性舉措，從而提升增長及效率。</w:t>
      </w:r>
    </w:p>
    <w:p>
      <w:pPr>
        <w:pStyle w:val="BodyText"/>
      </w:pPr>
      <w:r>
        <w:rPr>
          <w:rFonts w:hint="eastAsia"/>
        </w:rPr>
        <w:t xml:space="preserve">我們鎖定上述三個範疇的投資項目將會轉化客戶、分銷代理、合作夥伴及員工的體驗，並使我們的業務能滿足客</w:t>
      </w:r>
    </w:p>
    <w:p>
      <w:pPr>
        <w:pStyle w:val="BodyText"/>
      </w:pPr>
      <w:r>
        <w:rPr>
          <w:rFonts w:hint="eastAsia"/>
        </w:rPr>
        <w:t xml:space="preserve">戶的期望，無論在何時何地均可獲得高效和無縫的體驗。</w:t>
      </w:r>
    </w:p>
    <w:p>
      <w:pPr>
        <w:pStyle w:val="BodyText"/>
      </w:pPr>
      <w:r>
        <w:rPr>
          <w:rFonts w:hint="eastAsia"/>
        </w:rPr>
        <w:t xml:space="preserve">把數據分析融入業務流程，將會帶來優越的個人化體驗及更強的客戶聯繫，同時確保客戶私隱和數據安全。此</w:t>
      </w:r>
    </w:p>
    <w:p>
      <w:pPr>
        <w:pStyle w:val="BodyText"/>
      </w:pPr>
      <w:r>
        <w:rPr>
          <w:rFonts w:hint="eastAsia"/>
        </w:rPr>
        <w:t xml:space="preserve">外，我們亦將受惠於營運效率提升、加強風險評估，以及更快和更全面的管理資訊。我們的目標是使友邦保險在</w:t>
      </w:r>
    </w:p>
    <w:p>
      <w:pPr>
        <w:pStyle w:val="BodyText"/>
      </w:pPr>
      <w:r>
        <w:rPr>
          <w:rFonts w:hint="eastAsia"/>
        </w:rPr>
        <w:t xml:space="preserve">技術應用方面領先全球同業。</w:t>
      </w:r>
    </w:p>
    <w:p>
      <w:pPr>
        <w:pStyle w:val="BodyText"/>
      </w:pPr>
      <w:r>
        <w:rPr>
          <w:rFonts w:hint="eastAsia"/>
        </w:rPr>
        <w:t xml:space="preserve">世界級的技術</w:t>
      </w:r>
    </w:p>
    <w:p>
      <w:pPr>
        <w:pStyle w:val="BodyText"/>
      </w:pPr>
      <w:r>
        <w:rPr>
          <w:rFonts w:hint="eastAsia"/>
        </w:rPr>
        <w:t xml:space="preserve">我們加快採用雲端技術，於2020年12月超過35%的伺服器均以雲端技術為基礎，接近於2020年首季時使用水平</w:t>
      </w:r>
    </w:p>
    <w:p>
      <w:pPr>
        <w:pStyle w:val="BodyText"/>
      </w:pPr>
      <w:r>
        <w:rPr>
          <w:rFonts w:hint="eastAsia"/>
        </w:rPr>
        <w:t xml:space="preserve">的一倍。我們已遠遠超越全球金融服務及保險業16%的平均水平，並將繼續邁向我們訂下90%雲端技術應用的宏</w:t>
      </w:r>
    </w:p>
    <w:p>
      <w:pPr>
        <w:pStyle w:val="BodyText"/>
      </w:pPr>
      <w:r>
        <w:rPr>
          <w:rFonts w:hint="eastAsia"/>
        </w:rPr>
        <w:t xml:space="preserve">大目標。我們的目的是推動業務擴展性、穩定性和安全性各方面的顯著改善，同時減低營運成本。例如，友邦保</w:t>
      </w:r>
    </w:p>
    <w:p>
      <w:pPr>
        <w:pStyle w:val="BodyText"/>
      </w:pPr>
      <w:r>
        <w:rPr>
          <w:rFonts w:hint="eastAsia"/>
        </w:rPr>
        <w:t xml:space="preserve">險中國業務營運中使用雲端方案的高比率，支持業務的迅速擴展，並且相對於使用傳統有型基礎設施減省30%成</w:t>
      </w:r>
    </w:p>
    <w:p>
      <w:pPr>
        <w:pStyle w:val="BodyText"/>
      </w:pPr>
      <w:r>
        <w:rPr>
          <w:rFonts w:hint="eastAsia"/>
        </w:rPr>
        <w:t xml:space="preserve">本。</w:t>
      </w:r>
    </w:p>
    <w:p>
      <w:pPr>
        <w:pStyle w:val="BodyText"/>
      </w:pPr>
      <w:r>
        <w:rPr>
          <w:rFonts w:hint="eastAsia"/>
        </w:rPr>
        <w:t xml:space="preserve">我們透過加強數碼化、精簡流程、自動化和採用人工智能，增加購買、服務和理賠過程的端對端直通式處理。截</w:t>
      </w:r>
    </w:p>
    <w:p>
      <w:pPr>
        <w:pStyle w:val="BodyText"/>
      </w:pPr>
      <w:r>
        <w:rPr>
          <w:rFonts w:hint="eastAsia"/>
        </w:rPr>
        <w:t xml:space="preserve">至2020年12月，集團所有購買、服務和理賠的47%操作已全面端對端自動化，與2019年比較上升近50%。部分本</w:t>
      </w:r>
    </w:p>
    <w:p>
      <w:pPr>
        <w:pStyle w:val="BodyText"/>
      </w:pPr>
      <w:r>
        <w:rPr>
          <w:rFonts w:hint="eastAsia"/>
        </w:rPr>
        <w:t xml:space="preserve">地業務的自動化亦達可觀的水平。例如，菲律賓75%的新業務，馬來西亞50%的理賠，以及友邦保險中國業務超</w:t>
      </w:r>
    </w:p>
    <w:p>
      <w:pPr>
        <w:pStyle w:val="BodyText"/>
      </w:pPr>
      <w:r>
        <w:rPr>
          <w:rFonts w:hint="eastAsia"/>
        </w:rPr>
        <w:t xml:space="preserve">過80%的服務操作已全面自動化，完全無須人工參與。</w:t>
      </w:r>
    </w:p>
    <w:p>
      <w:pPr>
        <w:pStyle w:val="BodyText"/>
      </w:pPr>
      <w:r>
        <w:rPr>
          <w:rFonts w:hint="eastAsia"/>
        </w:rPr>
        <w:t xml:space="preserve">數碼支援</w:t>
      </w:r>
    </w:p>
    <w:p>
      <w:pPr>
        <w:pStyle w:val="BodyText"/>
      </w:pPr>
      <w:r>
        <w:rPr>
          <w:rFonts w:hint="eastAsia"/>
        </w:rPr>
        <w:t xml:space="preserve">在疫情初期，我們迅速發展並採用新的代理數碼工具，在所有業務市場以遙距方式安全地進行銷售。這些數碼工</w:t>
      </w:r>
    </w:p>
    <w:p>
      <w:pPr>
        <w:pStyle w:val="BodyText"/>
      </w:pPr>
      <w:r>
        <w:rPr>
          <w:rFonts w:hint="eastAsia"/>
        </w:rPr>
        <w:t xml:space="preserve">具獲代理廣泛採用。舉例來說，我們使用新加坡「智慧國家」(Smart</w:t>
      </w:r>
      <w:r>
        <w:t xml:space="preserve"> </w:t>
      </w:r>
      <w:r>
        <w:rPr>
          <w:rFonts w:hint="eastAsia"/>
        </w:rPr>
        <w:t xml:space="preserve">Nation)項目中的「Sign</w:t>
      </w:r>
      <w:r>
        <w:t xml:space="preserve"> with </w:t>
      </w:r>
      <w:r>
        <w:rPr>
          <w:rFonts w:hint="eastAsia"/>
        </w:rPr>
        <w:t xml:space="preserve">SingPass」，是</w:t>
      </w:r>
    </w:p>
    <w:p>
      <w:pPr>
        <w:pStyle w:val="BodyText"/>
      </w:pPr>
      <w:r>
        <w:rPr>
          <w:rFonts w:hint="eastAsia"/>
        </w:rPr>
        <w:t xml:space="preserve">當地首家利用該功能為客戶提供優化用戶驗證功能的保險公司。此外，我們亦推行代理線上招聘、管理及培訓的</w:t>
      </w:r>
    </w:p>
    <w:p>
      <w:pPr>
        <w:pStyle w:val="BodyText"/>
      </w:pPr>
      <w:r>
        <w:rPr>
          <w:rFonts w:hint="eastAsia"/>
        </w:rPr>
        <w:t xml:space="preserve">數碼工具，使我們在實施社交距離及外出受到限制期間，仍能繼續進行相關活動。</w:t>
      </w:r>
    </w:p>
    <w:p>
      <w:pPr>
        <w:pStyle w:val="BodyText"/>
      </w:pPr>
      <w:r>
        <w:rPr>
          <w:rFonts w:hint="eastAsia"/>
        </w:rPr>
        <w:t xml:space="preserve">銀行保險夥伴方面，我們轉而採用數碼主導策略，有助我們更容易物色分行客戶目標，並擴闊與之前並未開拓的</w:t>
      </w:r>
    </w:p>
    <w:p>
      <w:pPr>
        <w:pStyle w:val="BodyText"/>
      </w:pPr>
      <w:r>
        <w:rPr>
          <w:rFonts w:hint="eastAsia"/>
        </w:rPr>
        <w:t xml:space="preserve">網上銀行和信用卡客戶接觸的機會。例如，我們在香港和新加坡推出新的線上銷售能力，並於菲律賓及印尼提升</w:t>
      </w:r>
    </w:p>
    <w:p>
      <w:pPr>
        <w:pStyle w:val="BodyText"/>
      </w:pPr>
      <w:r>
        <w:rPr>
          <w:rFonts w:hint="eastAsia"/>
        </w:rPr>
        <w:t xml:space="preserve">管理新銷售對象的實力。我們已推出多項嶄新的線上銷售工具，例如產品配置軟件、數據主導核保及個人化產品</w:t>
      </w:r>
    </w:p>
    <w:p>
      <w:pPr>
        <w:pStyle w:val="BodyText"/>
      </w:pPr>
      <w:r>
        <w:rPr>
          <w:rFonts w:hint="eastAsia"/>
        </w:rPr>
        <w:t xml:space="preserve">搜尋等，可於2021年提供給合作夥伴使用。</w:t>
      </w:r>
    </w:p>
    <w:p>
      <w:pPr>
        <w:pStyle w:val="BodyText"/>
      </w:pPr>
      <w:r>
        <w:t xml:space="preserve">044</w:t>
      </w:r>
    </w:p>
    <w:p>
      <w:pPr>
        <w:pStyle w:val="BodyText"/>
      </w:pPr>
      <w:r>
        <w:rPr>
          <w:rFonts w:hint="eastAsia"/>
        </w:rPr>
        <w:t xml:space="preserve">財務及營運回顧友邦保險控股有限公司業務回顧</w:t>
      </w:r>
    </w:p>
    <w:p>
      <w:pPr>
        <w:pStyle w:val="BodyText"/>
      </w:pPr>
      <w:r>
        <w:rPr>
          <w:rFonts w:hint="eastAsia"/>
        </w:rPr>
        <w:t xml:space="preserve">我們採取數碼支援方針與非傳統的平台夥伴合作，可讓我們以新方式接觸數以百萬潛在客戶。舉例來說，我們與</w:t>
      </w:r>
    </w:p>
    <w:p>
      <w:pPr>
        <w:pStyle w:val="BodyText"/>
      </w:pPr>
      <w:r>
        <w:rPr>
          <w:rFonts w:hint="eastAsia"/>
        </w:rPr>
        <w:t xml:space="preserve">眾安科技國際有限公司(ZA</w:t>
      </w:r>
      <w:r>
        <w:t xml:space="preserve"> </w:t>
      </w:r>
      <w:r>
        <w:rPr>
          <w:rFonts w:hint="eastAsia"/>
        </w:rPr>
        <w:t xml:space="preserve">Tech)的夥伴合作關係，將有助友邦保險無縫聯繫所有業務市場（中國內地市場除外）</w:t>
      </w:r>
    </w:p>
    <w:p>
      <w:pPr>
        <w:pStyle w:val="BodyText"/>
      </w:pPr>
      <w:r>
        <w:rPr>
          <w:rFonts w:hint="eastAsia"/>
        </w:rPr>
        <w:t xml:space="preserve">中現有及新的數碼合作夥伴，幫助我們達到透過創新及個人化的產品吸引新客戶群的宏大目標。在馬來西亞，我</w:t>
      </w:r>
    </w:p>
    <w:p>
      <w:pPr>
        <w:pStyle w:val="BodyText"/>
      </w:pPr>
      <w:r>
        <w:rPr>
          <w:rFonts w:hint="eastAsia"/>
        </w:rPr>
        <w:t xml:space="preserve">們在產品銷售中使用ZA</w:t>
      </w:r>
      <w:r>
        <w:t xml:space="preserve"> </w:t>
      </w:r>
      <w:r>
        <w:rPr>
          <w:rFonts w:hint="eastAsia"/>
        </w:rPr>
        <w:t xml:space="preserve">Tech往績可證的軟件和專業支援，並透過購物平台Shopee推出首個合作產品。在2021</w:t>
      </w:r>
    </w:p>
    <w:p>
      <w:pPr>
        <w:pStyle w:val="BodyText"/>
      </w:pPr>
      <w:r>
        <w:rPr>
          <w:rFonts w:hint="eastAsia"/>
        </w:rPr>
        <w:t xml:space="preserve">年，我們將會與現有及新的數碼合作夥伴在其他市場推出合作計劃。</w:t>
      </w:r>
    </w:p>
    <w:p>
      <w:pPr>
        <w:pStyle w:val="BodyText"/>
      </w:pPr>
      <w:r>
        <w:rPr>
          <w:rFonts w:hint="eastAsia"/>
        </w:rPr>
        <w:t xml:space="preserve">我們加快數碼支援步伐，促使客戶及分銷夥伴以數碼方式提交文件的數量顯著增加，繼而促進友邦保險業務端</w:t>
      </w:r>
    </w:p>
    <w:p>
      <w:pPr>
        <w:pStyle w:val="BodyText"/>
      </w:pPr>
      <w:r>
        <w:rPr>
          <w:rFonts w:hint="eastAsia"/>
        </w:rPr>
        <w:t xml:space="preserve">對端的自動化發展。在2020年，集團所有購買、服務和理賠的72%操作均以數碼方式提交，而以數碼方式提交的</w:t>
      </w:r>
    </w:p>
    <w:p>
      <w:pPr>
        <w:pStyle w:val="BodyText"/>
      </w:pPr>
      <w:r>
        <w:rPr>
          <w:rFonts w:hint="eastAsia"/>
        </w:rPr>
        <w:t xml:space="preserve">新業務則達到95%。我們加強了與客戶之間的通訊，現時超過90%外撥通知以及給予客戶的回覆均以數碼方式提</w:t>
      </w:r>
    </w:p>
    <w:p>
      <w:pPr>
        <w:pStyle w:val="BodyText"/>
      </w:pPr>
      <w:r>
        <w:rPr>
          <w:rFonts w:hint="eastAsia"/>
        </w:rPr>
        <w:t xml:space="preserve">供。</w:t>
      </w:r>
    </w:p>
    <w:p>
      <w:pPr>
        <w:pStyle w:val="BodyText"/>
      </w:pPr>
      <w:r>
        <w:rPr>
          <w:rFonts w:hint="eastAsia"/>
        </w:rPr>
        <w:t xml:space="preserve">數據分析為我們所有工作注入動力</w:t>
      </w:r>
    </w:p>
    <w:p>
      <w:pPr>
        <w:pStyle w:val="BodyText"/>
      </w:pPr>
      <w:r>
        <w:rPr>
          <w:rFonts w:hint="eastAsia"/>
        </w:rPr>
        <w:t xml:space="preserve">使用數據分析可讓我們提高個人化服務、提升客戶體驗、作出更佳的決策，以及提升營運效率。我們在其中一個</w:t>
      </w:r>
    </w:p>
    <w:p>
      <w:pPr>
        <w:pStyle w:val="BodyText"/>
      </w:pPr>
      <w:r>
        <w:rPr>
          <w:rFonts w:hint="eastAsia"/>
        </w:rPr>
        <w:t xml:space="preserve">業務市場識別和測試高效用的案例，然後廣泛應用於集團的其他市場，以迅速複製成果。</w:t>
      </w:r>
    </w:p>
    <w:p>
      <w:pPr>
        <w:pStyle w:val="BodyText"/>
      </w:pPr>
      <w:r>
        <w:rPr>
          <w:rFonts w:hint="eastAsia"/>
        </w:rPr>
        <w:t xml:space="preserve">在菲律賓，我們推出人工智能核保方案，其核保準確度達99.9%，使我們能在短短20分鐘內完成客戶保單申請至</w:t>
      </w:r>
    </w:p>
    <w:p>
      <w:pPr>
        <w:pStyle w:val="BodyText"/>
      </w:pPr>
      <w:r>
        <w:rPr>
          <w:rFonts w:hint="eastAsia"/>
        </w:rPr>
        <w:t xml:space="preserve">電子保單繕發的端對端程序。此外，我們亦在泰國推出人工智能理賠方案，其門診醫療理賠的直通式處理率超過</w:t>
      </w:r>
    </w:p>
    <w:p>
      <w:pPr>
        <w:pStyle w:val="BodyText"/>
      </w:pPr>
      <w:r>
        <w:t xml:space="preserve">70%。</w:t>
      </w:r>
    </w:p>
    <w:p>
      <w:pPr>
        <w:pStyle w:val="BodyText"/>
      </w:pPr>
      <w:r>
        <w:rPr>
          <w:rFonts w:hint="eastAsia"/>
        </w:rPr>
        <w:t xml:space="preserve">在中國內地，我們研發了首個人工智能外撥電話機械人「小邦」，提供多項不同服務，包括收取續保保費。「小</w:t>
      </w:r>
    </w:p>
    <w:p>
      <w:pPr>
        <w:pStyle w:val="BodyText"/>
      </w:pPr>
      <w:r>
        <w:rPr>
          <w:rFonts w:hint="eastAsia"/>
        </w:rPr>
        <w:t xml:space="preserve">邦」是我們獲獎的綜合服務平台之其中一項服務。它能處理超過600個不同的客戶互動情境，自推出以來，已向</w:t>
      </w:r>
    </w:p>
    <w:p>
      <w:pPr>
        <w:pStyle w:val="BodyText"/>
      </w:pPr>
      <w:r>
        <w:rPr>
          <w:rFonts w:hint="eastAsia"/>
        </w:rPr>
        <w:t xml:space="preserve">客戶撥出接近50萬個電話。隨著友邦保險中國業務持續迅速增長，該平台為提升客戶體驗和改善財務表現提供支</w:t>
      </w:r>
    </w:p>
    <w:p>
      <w:pPr>
        <w:pStyle w:val="BodyText"/>
      </w:pPr>
      <w:r>
        <w:rPr>
          <w:rFonts w:hint="eastAsia"/>
        </w:rPr>
        <w:t xml:space="preserve">持，於2020年無須額外增加客戶服務工作員工的人數。</w:t>
      </w:r>
    </w:p>
    <w:p>
      <w:pPr>
        <w:pStyle w:val="BodyText"/>
      </w:pPr>
      <w:r>
        <w:t xml:space="preserve">045</w:t>
      </w:r>
    </w:p>
    <w:p>
      <w:pPr>
        <w:pStyle w:val="BodyText"/>
      </w:pPr>
      <w:r>
        <w:rPr>
          <w:rFonts w:hint="eastAsia"/>
        </w:rPr>
        <w:t xml:space="preserve">概覽財務及營運回顧企業管治其他資料財務報表2020年報</w:t>
      </w:r>
    </w:p>
    <w:p>
      <w:pPr>
        <w:pStyle w:val="BodyText"/>
      </w:pPr>
      <w:r>
        <w:rPr>
          <w:rFonts w:hint="eastAsia"/>
        </w:rPr>
        <w:t xml:space="preserve">無可比擬的分銷平台</w:t>
      </w:r>
    </w:p>
    <w:p>
      <w:pPr>
        <w:pStyle w:val="BodyText"/>
      </w:pPr>
      <w:r>
        <w:rPr>
          <w:rFonts w:hint="eastAsia"/>
        </w:rPr>
        <w:t xml:space="preserve">代理隊伍</w:t>
      </w:r>
    </w:p>
    <w:p>
      <w:pPr>
        <w:pStyle w:val="BodyText"/>
      </w:pPr>
      <w:r>
        <w:rPr>
          <w:rFonts w:hint="eastAsia"/>
        </w:rPr>
        <w:t xml:space="preserve">百萬美元，除另有說明外</w:t>
      </w:r>
    </w:p>
    <w:p>
      <w:pPr>
        <w:pStyle w:val="BodyText"/>
      </w:pPr>
      <w:r>
        <w:rPr>
          <w:rFonts w:hint="eastAsia"/>
        </w:rPr>
        <w:t xml:space="preserve">新業務價值</w:t>
      </w:r>
    </w:p>
    <w:p>
      <w:pPr>
        <w:pStyle w:val="BodyText"/>
      </w:pPr>
      <w:r>
        <w:rPr>
          <w:rFonts w:hint="eastAsia"/>
        </w:rPr>
        <w:t xml:space="preserve">新業務價值利潤率</w:t>
      </w:r>
    </w:p>
    <w:p>
      <w:pPr>
        <w:pStyle w:val="BodyText"/>
      </w:pPr>
      <w:r>
        <w:rPr>
          <w:rFonts w:hint="eastAsia"/>
        </w:rPr>
        <w:t xml:space="preserve">年化新保費</w:t>
      </w:r>
    </w:p>
    <w:p>
      <w:pPr>
        <w:pStyle w:val="BodyText"/>
      </w:pPr>
      <w:r>
        <w:rPr>
          <w:rFonts w:hint="eastAsia"/>
        </w:rPr>
        <w:t xml:space="preserve">2020年</w:t>
      </w:r>
    </w:p>
    <w:p>
      <w:pPr>
        <w:pStyle w:val="BodyText"/>
      </w:pPr>
      <w:r>
        <w:t xml:space="preserve">2,333</w:t>
      </w:r>
    </w:p>
    <w:p>
      <w:pPr>
        <w:pStyle w:val="BodyText"/>
      </w:pPr>
      <w:r>
        <w:t xml:space="preserve">67.5%</w:t>
      </w:r>
    </w:p>
    <w:p>
      <w:pPr>
        <w:pStyle w:val="BodyText"/>
      </w:pPr>
      <w:r>
        <w:t xml:space="preserve">3,455</w:t>
      </w:r>
    </w:p>
    <w:p>
      <w:pPr>
        <w:pStyle w:val="BodyText"/>
      </w:pPr>
      <w:r>
        <w:rPr>
          <w:rFonts w:hint="eastAsia"/>
        </w:rPr>
        <w:t xml:space="preserve">2019年</w:t>
      </w:r>
    </w:p>
    <w:p>
      <w:pPr>
        <w:pStyle w:val="BodyText"/>
      </w:pPr>
      <w:r>
        <w:t xml:space="preserve">3,242</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(28)%</w:t>
      </w:r>
    </w:p>
    <w:p>
      <w:pPr>
        <w:pStyle w:val="BodyText"/>
      </w:pPr>
      <w:r>
        <w:t xml:space="preserve">(28)%</w:t>
      </w:r>
    </w:p>
    <w:p>
      <w:pPr>
        <w:pStyle w:val="BodyText"/>
      </w:pPr>
      <w:r>
        <w:t xml:space="preserve">75.3% </w:t>
      </w:r>
      <w:r>
        <w:rPr>
          <w:rFonts w:hint="eastAsia"/>
        </w:rPr>
        <w:t xml:space="preserve">(7.8)個百分點</w:t>
      </w:r>
      <w:r>
        <w:t xml:space="preserve"> </w:t>
      </w:r>
      <w:r>
        <w:rPr>
          <w:rFonts w:hint="eastAsia"/>
        </w:rPr>
        <w:t xml:space="preserve">(7.8)個百分點</w:t>
      </w:r>
    </w:p>
    <w:p>
      <w:pPr>
        <w:pStyle w:val="BodyText"/>
      </w:pPr>
      <w:r>
        <w:t xml:space="preserve">4,306</w:t>
      </w:r>
    </w:p>
    <w:p>
      <w:pPr>
        <w:pStyle w:val="BodyText"/>
      </w:pPr>
      <w:r>
        <w:t xml:space="preserve">(19)%</w:t>
      </w:r>
    </w:p>
    <w:p>
      <w:pPr>
        <w:pStyle w:val="BodyText"/>
      </w:pPr>
      <w:r>
        <w:t xml:space="preserve">(20)%</w:t>
      </w:r>
    </w:p>
    <w:p>
      <w:pPr>
        <w:pStyle w:val="BodyText"/>
      </w:pPr>
      <w:r>
        <w:rPr>
          <w:rFonts w:hint="eastAsia"/>
        </w:rPr>
        <w:t xml:space="preserve">我們無可比擬的專屬「最優秀代理」平台，加上在亞洲大部分市場雄踞領導地位，是友邦保險的一項重要競爭優</w:t>
      </w:r>
    </w:p>
    <w:p>
      <w:pPr>
        <w:pStyle w:val="BodyText"/>
      </w:pPr>
      <w:r>
        <w:rPr>
          <w:rFonts w:hint="eastAsia"/>
        </w:rPr>
        <w:t xml:space="preserve">勢。我們的「最優秀代理」為新入職的高質素代理提供同業最佳的培訓，幫助他們在友邦保險發展全職、專業和</w:t>
      </w:r>
    </w:p>
    <w:p>
      <w:pPr>
        <w:pStyle w:val="BodyText"/>
      </w:pPr>
      <w:r>
        <w:rPr>
          <w:rFonts w:hint="eastAsia"/>
        </w:rPr>
        <w:t xml:space="preserve">高生產力的事業。在新科技及數碼工具支持下，我們為代理和新一代代理主管提供清晰的事業發展藍圖。過去六</w:t>
      </w:r>
    </w:p>
    <w:p>
      <w:pPr>
        <w:pStyle w:val="BodyText"/>
      </w:pPr>
      <w:r>
        <w:rPr>
          <w:rFonts w:hint="eastAsia"/>
        </w:rPr>
        <w:t xml:space="preserve">年，友邦保險持續位居全球百萬圓桌會榜首，反映「最優秀代理」策略的成效。</w:t>
      </w:r>
    </w:p>
    <w:p>
      <w:pPr>
        <w:pStyle w:val="BodyText"/>
      </w:pPr>
      <w:r>
        <w:rPr>
          <w:rFonts w:hint="eastAsia"/>
        </w:rPr>
        <w:t xml:space="preserve">在2020年，鑑於外出限制使面對面會議受限，導致代理分銷業務的新業務價值下降28%。隨著限制措施放寬，加</w:t>
      </w:r>
    </w:p>
    <w:p>
      <w:pPr>
        <w:pStyle w:val="BodyText"/>
      </w:pPr>
      <w:r>
        <w:rPr>
          <w:rFonts w:hint="eastAsia"/>
        </w:rPr>
        <w:t xml:space="preserve">上我們採用新的數碼工具，新業務價值錄得強勁回升。該動力延續至2021年，首兩個月的新業務價值按年錄得</w:t>
      </w:r>
    </w:p>
    <w:p>
      <w:pPr>
        <w:pStyle w:val="BodyText"/>
      </w:pPr>
      <w:r>
        <w:rPr>
          <w:rFonts w:hint="eastAsia"/>
        </w:rPr>
        <w:t xml:space="preserve">非常強勁的增長。產品組合轉變及承保開支超支使新業務價值利潤率錄得按年跌幅，惟仍維持在67.5%的可觀水</w:t>
      </w:r>
    </w:p>
    <w:p>
      <w:pPr>
        <w:pStyle w:val="BodyText"/>
      </w:pPr>
      <w:r>
        <w:rPr>
          <w:rFonts w:hint="eastAsia"/>
        </w:rPr>
        <w:t xml:space="preserve">平。整體而言，代理分銷業務佔2020年集團整體新業務價值的78%。</w:t>
      </w:r>
    </w:p>
    <w:p>
      <w:pPr>
        <w:pStyle w:val="BodyText"/>
      </w:pPr>
      <w:r>
        <w:rPr>
          <w:rFonts w:hint="eastAsia"/>
        </w:rPr>
        <w:t xml:space="preserve">我們繼續投放資源發展數碼工具，以助代理團隊提供同業最佳的客戶體驗。在上半年，我們在集團內迅速發展並</w:t>
      </w:r>
    </w:p>
    <w:p>
      <w:pPr>
        <w:pStyle w:val="BodyText"/>
      </w:pPr>
      <w:r>
        <w:rPr>
          <w:rFonts w:hint="eastAsia"/>
        </w:rPr>
        <w:t xml:space="preserve">全面採用新科技，使代理可以通過遙距方式完成銷售流程，而無須進行面對面會議。即使社交距離限制在大部分</w:t>
      </w:r>
    </w:p>
    <w:p>
      <w:pPr>
        <w:pStyle w:val="BodyText"/>
      </w:pPr>
      <w:r>
        <w:rPr>
          <w:rFonts w:hint="eastAsia"/>
        </w:rPr>
        <w:t xml:space="preserve">業務市場已放寬，但我們的代理在日常活動中已融入許多我們研發的新工具，為下半年的生產力帶來支持，並使</w:t>
      </w:r>
    </w:p>
    <w:p>
      <w:pPr>
        <w:pStyle w:val="BodyText"/>
      </w:pPr>
      <w:r>
        <w:rPr>
          <w:rFonts w:hint="eastAsia"/>
        </w:rPr>
        <w:t xml:space="preserve">我們整體每名活躍代理的新保單數目重返2019年疫情前的水平。</w:t>
      </w:r>
    </w:p>
    <w:p>
      <w:pPr>
        <w:pStyle w:val="BodyText"/>
      </w:pPr>
      <w:r>
        <w:rPr>
          <w:rFonts w:hint="eastAsia"/>
        </w:rPr>
        <w:t xml:space="preserve">我們的新一代代理主管是確保友邦保險代理業務持續取得佳績的關鍵。在2020年，我們的新代理主管的人數增加</w:t>
      </w:r>
    </w:p>
    <w:p>
      <w:pPr>
        <w:pStyle w:val="BodyText"/>
      </w:pPr>
      <w:r>
        <w:rPr>
          <w:rFonts w:hint="eastAsia"/>
        </w:rPr>
        <w:t xml:space="preserve">接近30%。我們為代理主管提供強勁的數碼工具，致力提升其效率。此外，我們亦在2020年優化中國內地、印度</w:t>
      </w:r>
    </w:p>
    <w:p>
      <w:pPr>
        <w:pStyle w:val="BodyText"/>
      </w:pPr>
      <w:r>
        <w:rPr>
          <w:rFonts w:hint="eastAsia"/>
        </w:rPr>
        <w:t xml:space="preserve">和馬來西亞的實時代理表現追蹤工具，從而有助適時參與、進行指導，並為代理提供反饋意見。隨著我們擁有新</w:t>
      </w:r>
    </w:p>
    <w:p>
      <w:pPr>
        <w:pStyle w:val="BodyText"/>
      </w:pPr>
      <w:r>
        <w:rPr>
          <w:rFonts w:hint="eastAsia"/>
        </w:rPr>
        <w:t xml:space="preserve">的網上代理招聘和培訓能力，我們已舉辦超過20,000個網上招聘講座，使2020年底的新代理招聘數量及代理團隊</w:t>
      </w:r>
    </w:p>
    <w:p>
      <w:pPr>
        <w:pStyle w:val="BodyText"/>
      </w:pPr>
      <w:r>
        <w:rPr>
          <w:rFonts w:hint="eastAsia"/>
        </w:rPr>
        <w:t xml:space="preserve">的實力較2019年錄得卓越的增長。</w:t>
      </w:r>
    </w:p>
    <w:p>
      <w:pPr>
        <w:pStyle w:val="BodyText"/>
      </w:pPr>
      <w:r>
        <w:rPr>
          <w:rFonts w:hint="eastAsia"/>
        </w:rPr>
        <w:t xml:space="preserve">夥伴分銷</w:t>
      </w:r>
    </w:p>
    <w:p>
      <w:pPr>
        <w:pStyle w:val="BodyText"/>
      </w:pPr>
      <w:r>
        <w:rPr>
          <w:rFonts w:hint="eastAsia"/>
        </w:rPr>
        <w:t xml:space="preserve">百萬美元，除另有說明外</w:t>
      </w:r>
    </w:p>
    <w:p>
      <w:pPr>
        <w:pStyle w:val="BodyText"/>
      </w:pPr>
      <w:r>
        <w:rPr>
          <w:rFonts w:hint="eastAsia"/>
        </w:rPr>
        <w:t xml:space="preserve">新業務價值</w:t>
      </w:r>
    </w:p>
    <w:p>
      <w:pPr>
        <w:pStyle w:val="BodyText"/>
      </w:pPr>
      <w:r>
        <w:rPr>
          <w:rFonts w:hint="eastAsia"/>
        </w:rPr>
        <w:t xml:space="preserve">新業務價值利潤率</w:t>
      </w:r>
    </w:p>
    <w:p>
      <w:pPr>
        <w:pStyle w:val="BodyText"/>
      </w:pPr>
      <w:r>
        <w:rPr>
          <w:rFonts w:hint="eastAsia"/>
        </w:rPr>
        <w:t xml:space="preserve">年化新保費</w:t>
      </w:r>
    </w:p>
    <w:p>
      <w:pPr>
        <w:pStyle w:val="BodyText"/>
      </w:pPr>
      <w:r>
        <w:rPr>
          <w:rFonts w:hint="eastAsia"/>
        </w:rPr>
        <w:t xml:space="preserve">2020年</w:t>
      </w:r>
    </w:p>
    <w:p>
      <w:pPr>
        <w:pStyle w:val="BodyText"/>
      </w:pPr>
      <w:r>
        <w:t xml:space="preserve">676</w:t>
      </w:r>
    </w:p>
    <w:p>
      <w:pPr>
        <w:pStyle w:val="BodyText"/>
      </w:pPr>
      <w:r>
        <w:t xml:space="preserve">38.4%</w:t>
      </w:r>
    </w:p>
    <w:p>
      <w:pPr>
        <w:pStyle w:val="BodyText"/>
      </w:pPr>
      <w:r>
        <w:t xml:space="preserve">1,764</w:t>
      </w:r>
    </w:p>
    <w:p>
      <w:pPr>
        <w:pStyle w:val="BodyText"/>
      </w:pPr>
      <w:r>
        <w:rPr>
          <w:rFonts w:hint="eastAsia"/>
        </w:rPr>
        <w:t xml:space="preserve">2019年</w:t>
      </w:r>
    </w:p>
    <w:p>
      <w:pPr>
        <w:pStyle w:val="BodyText"/>
      </w:pPr>
      <w:r>
        <w:t xml:space="preserve">1,143</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(41)%</w:t>
      </w:r>
    </w:p>
    <w:p>
      <w:pPr>
        <w:pStyle w:val="BodyText"/>
      </w:pPr>
      <w:r>
        <w:t xml:space="preserve">(41)%</w:t>
      </w:r>
    </w:p>
    <w:p>
      <w:pPr>
        <w:pStyle w:val="BodyText"/>
      </w:pPr>
      <w:r>
        <w:t xml:space="preserve">50.1% </w:t>
      </w:r>
      <w:r>
        <w:rPr>
          <w:rFonts w:hint="eastAsia"/>
        </w:rPr>
        <w:t xml:space="preserve">(11.9)個百分點</w:t>
      </w:r>
      <w:r>
        <w:t xml:space="preserve"> </w:t>
      </w:r>
      <w:r>
        <w:rPr>
          <w:rFonts w:hint="eastAsia"/>
        </w:rPr>
        <w:t xml:space="preserve">(11.8)個百分點</w:t>
      </w:r>
    </w:p>
    <w:p>
      <w:pPr>
        <w:pStyle w:val="BodyText"/>
      </w:pPr>
      <w:r>
        <w:t xml:space="preserve">2,279</w:t>
      </w:r>
    </w:p>
    <w:p>
      <w:pPr>
        <w:pStyle w:val="BodyText"/>
      </w:pPr>
      <w:r>
        <w:t xml:space="preserve">(22)%</w:t>
      </w:r>
    </w:p>
    <w:p>
      <w:pPr>
        <w:pStyle w:val="BodyText"/>
      </w:pPr>
      <w:r>
        <w:t xml:space="preserve">(23)%</w:t>
      </w:r>
    </w:p>
    <w:p>
      <w:pPr>
        <w:pStyle w:val="BodyText"/>
      </w:pPr>
      <w:r>
        <w:rPr>
          <w:rFonts w:hint="eastAsia"/>
        </w:rPr>
        <w:t xml:space="preserve">我們與多家領先市場的金融機構及其他企業夥伴建立長期分銷夥伴合作關係，讓友邦保險有機會接觸亞洲的超過</w:t>
      </w:r>
    </w:p>
    <w:p>
      <w:pPr>
        <w:pStyle w:val="BodyText"/>
      </w:pPr>
      <w:r>
        <w:rPr>
          <w:rFonts w:hint="eastAsia"/>
        </w:rPr>
        <w:t xml:space="preserve">一億名潛在客戶，並滿足其保障及長期儲蓄的需要。</w:t>
      </w:r>
    </w:p>
    <w:p>
      <w:pPr>
        <w:pStyle w:val="BodyText"/>
      </w:pPr>
      <w:r>
        <w:t xml:space="preserve">046</w:t>
      </w:r>
    </w:p>
    <w:p>
      <w:pPr>
        <w:pStyle w:val="BodyText"/>
      </w:pPr>
      <w:r>
        <w:rPr>
          <w:rFonts w:hint="eastAsia"/>
        </w:rPr>
        <w:t xml:space="preserve">財務及營運回顧友邦保險控股有限公司業務回顧</w:t>
      </w:r>
    </w:p>
    <w:p>
      <w:pPr>
        <w:pStyle w:val="BodyText"/>
      </w:pPr>
      <w:r>
        <w:rPr>
          <w:rFonts w:hint="eastAsia"/>
        </w:rPr>
        <w:t xml:space="preserve">我們的銀行保險渠道採取了數碼主導的方式為策略，透過量身訂製的方案物色分行客戶，並提供更廣泛的渠道以</w:t>
      </w:r>
    </w:p>
    <w:p>
      <w:pPr>
        <w:pStyle w:val="BodyText"/>
      </w:pPr>
      <w:r>
        <w:rPr>
          <w:rFonts w:hint="eastAsia"/>
        </w:rPr>
        <w:t xml:space="preserve">接觸之前並未發掘的網上銀行和信用卡客戶。在非傳統和數碼平台合作夥伴方面，我們採取靈活的方針，透過測</w:t>
      </w:r>
    </w:p>
    <w:p>
      <w:pPr>
        <w:pStyle w:val="BodyText"/>
      </w:pPr>
      <w:r>
        <w:rPr>
          <w:rFonts w:hint="eastAsia"/>
        </w:rPr>
        <w:t xml:space="preserve">試以汲取經驗，探索為友邦保險吸納新客戶的最佳方法。這種方法讓我們能接觸數以百萬計的潛在客戶。這些客</w:t>
      </w:r>
    </w:p>
    <w:p>
      <w:pPr>
        <w:pStyle w:val="BodyText"/>
      </w:pPr>
      <w:r>
        <w:rPr>
          <w:rFonts w:hint="eastAsia"/>
        </w:rPr>
        <w:t xml:space="preserve">戶是我們一般無法透過其他分銷渠道接觸或與我們一般客戶群擁有不同人口特徵的客戶。我們的全渠道銷售模型</w:t>
      </w:r>
    </w:p>
    <w:p>
      <w:pPr>
        <w:pStyle w:val="BodyText"/>
      </w:pPr>
      <w:r>
        <w:rPr>
          <w:rFonts w:hint="eastAsia"/>
        </w:rPr>
        <w:t xml:space="preserve">是友邦保險的一項競爭優勢。我們讓客戶選擇由完全在網上進行以至面對面提供建議的各種購買方式，從而提高</w:t>
      </w:r>
    </w:p>
    <w:p>
      <w:pPr>
        <w:pStyle w:val="BodyText"/>
      </w:pPr>
      <w:r>
        <w:rPr>
          <w:rFonts w:hint="eastAsia"/>
        </w:rPr>
        <w:t xml:space="preserve">銷售轉換率。</w:t>
      </w:r>
    </w:p>
    <w:p>
      <w:pPr>
        <w:pStyle w:val="BodyText"/>
      </w:pPr>
      <w:r>
        <w:rPr>
          <w:rFonts w:hint="eastAsia"/>
        </w:rPr>
        <w:t xml:space="preserve">在2020年上半年實施的旅遊限制至今仍大致維持不變，在香港向中國內地訪港客戶進行的銷售活動因而實際上已</w:t>
      </w:r>
    </w:p>
    <w:p>
      <w:pPr>
        <w:pStyle w:val="BodyText"/>
      </w:pPr>
      <w:r>
        <w:rPr>
          <w:rFonts w:hint="eastAsia"/>
        </w:rPr>
        <w:t xml:space="preserve">暫停，導致夥伴分銷業務的新業務價值下降41%。撇除向中國內地訪港客戶作出的銷售，隨著外出限制放寬，與</w:t>
      </w:r>
    </w:p>
    <w:p>
      <w:pPr>
        <w:pStyle w:val="BodyText"/>
      </w:pPr>
      <w:r>
        <w:rPr>
          <w:rFonts w:hint="eastAsia"/>
        </w:rPr>
        <w:t xml:space="preserve">上半年比較，夥伴分銷渠道的新業務價值在下半年增長5%。在2020年，新業務價值利潤率下降至38.4%，主要反</w:t>
      </w:r>
    </w:p>
    <w:p>
      <w:pPr>
        <w:pStyle w:val="BodyText"/>
      </w:pPr>
      <w:r>
        <w:rPr>
          <w:rFonts w:hint="eastAsia"/>
        </w:rPr>
        <w:t xml:space="preserve">映香港的銷售下降帶來的地區業務組合變動及承保開支超支。</w:t>
      </w:r>
    </w:p>
    <w:p>
      <w:pPr>
        <w:pStyle w:val="BodyText"/>
      </w:pPr>
      <w:r>
        <w:rPr>
          <w:rFonts w:hint="eastAsia"/>
        </w:rPr>
        <w:t xml:space="preserve">銀行保險</w:t>
      </w:r>
    </w:p>
    <w:p>
      <w:pPr>
        <w:pStyle w:val="BodyText"/>
      </w:pPr>
      <w:r>
        <w:rPr>
          <w:rFonts w:hint="eastAsia"/>
        </w:rPr>
        <w:t xml:space="preserve">我們與銀行建立的長期獨家及策略性合作夥伴關係是友邦保險的主要競爭優勢。這些合作夥伴於2020年的新業</w:t>
      </w:r>
    </w:p>
    <w:p>
      <w:pPr>
        <w:pStyle w:val="BodyText"/>
      </w:pPr>
      <w:r>
        <w:rPr>
          <w:rFonts w:hint="eastAsia"/>
        </w:rPr>
        <w:t xml:space="preserve">務價值僅有小幅雙位數字的下降，反映其穩健的表現。尤其是盤谷銀行、BCA及大眾銀行在年內均錄得新業務價</w:t>
      </w:r>
    </w:p>
    <w:p>
      <w:pPr>
        <w:pStyle w:val="BodyText"/>
      </w:pPr>
      <w:r>
        <w:rPr>
          <w:rFonts w:hint="eastAsia"/>
        </w:rPr>
        <w:t xml:space="preserve">值增長。此外，澳洲聯邦銀行在2020年2月通過替其現有房貸客戶購買人壽保障為新業務價值帶來一次性重大貢</w:t>
      </w:r>
    </w:p>
    <w:p>
      <w:pPr>
        <w:pStyle w:val="BodyText"/>
      </w:pPr>
      <w:r>
        <w:rPr>
          <w:rFonts w:hint="eastAsia"/>
        </w:rPr>
        <w:t xml:space="preserve">獻。在下半年，銀行保險渠道的新業務價值與上半年比較增長5%。</w:t>
      </w:r>
    </w:p>
    <w:p>
      <w:pPr>
        <w:pStyle w:val="BodyText"/>
      </w:pPr>
      <w:r>
        <w:rPr>
          <w:rFonts w:hint="eastAsia"/>
        </w:rPr>
        <w:t xml:space="preserve">在2020年期間，我們透過與合作夥伴進行更深入的系統整合，繼續推動業務模型轉型。鑑於友邦保險多個業務市</w:t>
      </w:r>
    </w:p>
    <w:p>
      <w:pPr>
        <w:pStyle w:val="BodyText"/>
      </w:pPr>
      <w:r>
        <w:rPr>
          <w:rFonts w:hint="eastAsia"/>
        </w:rPr>
        <w:t xml:space="preserve">場的面對面銷售能力均受到外出和旅遊限制的影響，尤其在上半年，我們亦與區內多家合作夥伴緊密協作，以加</w:t>
      </w:r>
    </w:p>
    <w:p>
      <w:pPr>
        <w:pStyle w:val="BodyText"/>
      </w:pPr>
      <w:r>
        <w:rPr>
          <w:rFonts w:hint="eastAsia"/>
        </w:rPr>
        <w:t xml:space="preserve">強我們的數碼實力。年內，我們在香港與Citibank,</w:t>
      </w:r>
      <w:r>
        <w:t xml:space="preserve"> </w:t>
      </w:r>
      <w:r>
        <w:rPr>
          <w:rFonts w:hint="eastAsia"/>
        </w:rPr>
        <w:t xml:space="preserve">N.A.（花旗銀行）合作，為保險銷售推出網上即時交談平台，</w:t>
      </w:r>
    </w:p>
    <w:p>
      <w:pPr>
        <w:pStyle w:val="BodyText"/>
      </w:pPr>
      <w:r>
        <w:rPr>
          <w:rFonts w:hint="eastAsia"/>
        </w:rPr>
        <w:t xml:space="preserve">作為該行客戶經理與客戶聯繫的另一個平台。這些促使夥伴分銷業務模型轉型和數碼化的措施繼續使友邦保險享</w:t>
      </w:r>
    </w:p>
    <w:p>
      <w:pPr>
        <w:pStyle w:val="BodyText"/>
      </w:pPr>
      <w:r>
        <w:rPr>
          <w:rFonts w:hint="eastAsia"/>
        </w:rPr>
        <w:t xml:space="preserve">有優勢，有助我們在未來實現可持續增長。</w:t>
      </w:r>
    </w:p>
    <w:p>
      <w:pPr>
        <w:pStyle w:val="BodyText"/>
      </w:pPr>
      <w:r>
        <w:rPr>
          <w:rFonts w:hint="eastAsia"/>
        </w:rPr>
        <w:t xml:space="preserve">數碼平台</w:t>
      </w:r>
    </w:p>
    <w:p>
      <w:pPr>
        <w:pStyle w:val="BodyText"/>
      </w:pPr>
      <w:r>
        <w:rPr>
          <w:rFonts w:hint="eastAsia"/>
        </w:rPr>
        <w:t xml:space="preserve">我們以數碼主導和靈活的方針，與策略性非傳統夥伴合作，實現利用更快捷的改善週期來建構及提供具吸引力的</w:t>
      </w:r>
    </w:p>
    <w:p>
      <w:pPr>
        <w:pStyle w:val="BodyText"/>
      </w:pPr>
      <w:r>
        <w:rPr>
          <w:rFonts w:hint="eastAsia"/>
        </w:rPr>
        <w:t xml:space="preserve">方案。例如，我們於11月在南韓與SK</w:t>
      </w:r>
      <w:r>
        <w:t xml:space="preserve"> Telecom, SK holdings </w:t>
      </w:r>
      <w:r>
        <w:rPr>
          <w:rFonts w:hint="eastAsia"/>
        </w:rPr>
        <w:t xml:space="preserve">C&amp;C及Samsung</w:t>
      </w:r>
      <w:r>
        <w:t xml:space="preserve"> </w:t>
      </w:r>
      <w:r>
        <w:rPr>
          <w:rFonts w:hint="eastAsia"/>
        </w:rPr>
        <w:t xml:space="preserve">Card推出全渠道分銷模型。在12</w:t>
      </w:r>
    </w:p>
    <w:p>
      <w:pPr>
        <w:pStyle w:val="BodyText"/>
      </w:pPr>
      <w:r>
        <w:rPr>
          <w:rFonts w:hint="eastAsia"/>
        </w:rPr>
        <w:t xml:space="preserve">月，我們宣佈與ZA</w:t>
      </w:r>
      <w:r>
        <w:t xml:space="preserve"> </w:t>
      </w:r>
      <w:r>
        <w:rPr>
          <w:rFonts w:hint="eastAsia"/>
        </w:rPr>
        <w:t xml:space="preserve">Tech建立新的區域數碼科技合作夥伴關係，其首個項目透過網上購物平台Shopee在馬來西亞</w:t>
      </w:r>
    </w:p>
    <w:p>
      <w:pPr>
        <w:pStyle w:val="BodyText"/>
      </w:pPr>
      <w:r>
        <w:rPr>
          <w:rFonts w:hint="eastAsia"/>
        </w:rPr>
        <w:t xml:space="preserve">推出。我們旨在透過網上購買簡單的友邦保險產品來吸引客戶，然後運用數據分析，識別合適的客戶，由我們的</w:t>
      </w:r>
    </w:p>
    <w:p>
      <w:pPr>
        <w:pStyle w:val="BodyText"/>
      </w:pPr>
      <w:r>
        <w:rPr>
          <w:rFonts w:hint="eastAsia"/>
        </w:rPr>
        <w:t xml:space="preserve">代理推介更全面的主張及提供相關建議。</w:t>
      </w:r>
    </w:p>
    <w:p>
      <w:pPr>
        <w:pStyle w:val="BodyText"/>
      </w:pPr>
      <w:r>
        <w:t xml:space="preserve">047</w:t>
      </w:r>
    </w:p>
    <w:p>
      <w:pPr>
        <w:pStyle w:val="BodyText"/>
      </w:pPr>
      <w:r>
        <w:rPr>
          <w:rFonts w:hint="eastAsia"/>
        </w:rPr>
        <w:t xml:space="preserve">概覽財務及營運回顧企業管治其他資料財務報表2020年報</w:t>
      </w:r>
    </w:p>
    <w:p>
      <w:pPr>
        <w:pStyle w:val="BodyText"/>
      </w:pPr>
      <w:r>
        <w:rPr>
          <w:rFonts w:hint="eastAsia"/>
        </w:rPr>
        <w:t xml:space="preserve">具吸引力的主張</w:t>
      </w:r>
    </w:p>
    <w:p>
      <w:pPr>
        <w:pStyle w:val="BodyText"/>
      </w:pPr>
      <w:r>
        <w:rPr>
          <w:rFonts w:hint="eastAsia"/>
        </w:rPr>
        <w:t xml:space="preserve">在2020年，我們決定將友邦保險的目標連繫至集團長期的品牌承諾「幫助大眾實踐健康、長久、好生活」。這個</w:t>
      </w:r>
    </w:p>
    <w:p>
      <w:pPr>
        <w:pStyle w:val="BodyText"/>
      </w:pPr>
      <w:r>
        <w:rPr>
          <w:rFonts w:hint="eastAsia"/>
        </w:rPr>
        <w:t xml:space="preserve">陳述不單是我們期望所有持分者對友邦保險的看法，它同時主導我們所做的一切。</w:t>
      </w:r>
    </w:p>
    <w:p>
      <w:pPr>
        <w:pStyle w:val="BodyText"/>
      </w:pPr>
      <w:r>
        <w:rPr>
          <w:rFonts w:hint="eastAsia"/>
        </w:rPr>
        <w:t xml:space="preserve">健康和保健的生態系統</w:t>
      </w:r>
    </w:p>
    <w:p>
      <w:pPr>
        <w:pStyle w:val="BodyText"/>
      </w:pPr>
      <w:r>
        <w:rPr>
          <w:rFonts w:hint="eastAsia"/>
        </w:rPr>
        <w:t xml:space="preserve">我們的策略為專注於新一代的人壽和醫療保障產品，與友邦保險的健康和保健生態系統完全整合，以應對亞洲日</w:t>
      </w:r>
    </w:p>
    <w:p>
      <w:pPr>
        <w:pStyle w:val="BodyText"/>
      </w:pPr>
      <w:r>
        <w:rPr>
          <w:rFonts w:hint="eastAsia"/>
        </w:rPr>
        <w:t xml:space="preserve">益擴大的保障缺口。</w:t>
      </w:r>
    </w:p>
    <w:p>
      <w:pPr>
        <w:pStyle w:val="BodyText"/>
      </w:pPr>
      <w:r>
        <w:rPr>
          <w:rFonts w:hint="eastAsia"/>
        </w:rPr>
        <w:t xml:space="preserve">友邦保險的健康和保健生態系統的四大元素包括：i)「AIA</w:t>
      </w:r>
      <w:r>
        <w:t xml:space="preserve"> </w:t>
      </w:r>
      <w:r>
        <w:rPr>
          <w:rFonts w:hint="eastAsia"/>
        </w:rPr>
        <w:t xml:space="preserve">Vitality」與我們在中國內地的健康計劃；ii)我們的遠距</w:t>
      </w:r>
    </w:p>
    <w:p>
      <w:pPr>
        <w:pStyle w:val="BodyText"/>
      </w:pPr>
      <w:r>
        <w:rPr>
          <w:rFonts w:hint="eastAsia"/>
        </w:rPr>
        <w:t xml:space="preserve">醫療和醫療服務機構網絡；iii)友邦保險區域醫療通行證；及iv)專業個人療程管理服務。我們透過這些支柱，致力</w:t>
      </w:r>
    </w:p>
    <w:p>
      <w:pPr>
        <w:pStyle w:val="BodyText"/>
      </w:pPr>
      <w:r>
        <w:rPr>
          <w:rFonts w:hint="eastAsia"/>
        </w:rPr>
        <w:t xml:space="preserve">為客戶提供更佳的健康成效，涵蓋風險預估、預防、診斷、治療和復康等範疇。</w:t>
      </w:r>
    </w:p>
    <w:p>
      <w:pPr>
        <w:pStyle w:val="BodyText"/>
      </w:pPr>
      <w:r>
        <w:t xml:space="preserve">「AIA </w:t>
      </w:r>
      <w:r>
        <w:rPr>
          <w:rFonts w:hint="eastAsia"/>
        </w:rPr>
        <w:t xml:space="preserve">Vitality」透過一個整合的價值共享主張，向客戶推廣改善健康成效，以降低保險成本來回饋客戶，從而擴</w:t>
      </w:r>
    </w:p>
    <w:p>
      <w:pPr>
        <w:pStyle w:val="BodyText"/>
      </w:pPr>
      <w:r>
        <w:rPr>
          <w:rFonts w:hint="eastAsia"/>
        </w:rPr>
        <w:t xml:space="preserve">大我們在健康和保健領域的領導地位。「AIA</w:t>
      </w:r>
      <w:r>
        <w:t xml:space="preserve"> </w:t>
      </w:r>
      <w:r>
        <w:rPr>
          <w:rFonts w:hint="eastAsia"/>
        </w:rPr>
        <w:t xml:space="preserve">Vitality」積極協助客戶應對亞洲日漸普遍的非傳染性疾病，我們在</w:t>
      </w:r>
    </w:p>
    <w:p>
      <w:pPr>
        <w:pStyle w:val="BodyText"/>
      </w:pPr>
      <w:r>
        <w:rPr>
          <w:rFonts w:hint="eastAsia"/>
        </w:rPr>
        <w:t xml:space="preserve">2020年為此平台進行優化，以提升服務、擴大客戶覆蓋和客戶參與。例如，我們與全球數據科學及醫療保健技術</w:t>
      </w:r>
    </w:p>
    <w:p>
      <w:pPr>
        <w:pStyle w:val="BodyText"/>
      </w:pPr>
      <w:r>
        <w:rPr>
          <w:rFonts w:hint="eastAsia"/>
        </w:rPr>
        <w:t xml:space="preserve">公司Holmusk開展獨家區域夥伴關係，以開發人工智能營養輔導服務，作為「AIA</w:t>
      </w:r>
      <w:r>
        <w:t xml:space="preserve"> </w:t>
      </w:r>
      <w:r>
        <w:rPr>
          <w:rFonts w:hint="eastAsia"/>
        </w:rPr>
        <w:t xml:space="preserve">Vitality」營養計劃的一部分。</w:t>
      </w:r>
    </w:p>
    <w:p>
      <w:pPr>
        <w:pStyle w:val="BodyText"/>
      </w:pPr>
      <w:r>
        <w:rPr>
          <w:rFonts w:hint="eastAsia"/>
        </w:rPr>
        <w:t xml:space="preserve">尤其是在疫情期間，精神健康亦成為一個首要重點。「AIA</w:t>
      </w:r>
      <w:r>
        <w:t xml:space="preserve"> </w:t>
      </w:r>
      <w:r>
        <w:rPr>
          <w:rFonts w:hint="eastAsia"/>
        </w:rPr>
        <w:t xml:space="preserve">Vitality」增設精神健康支援功能，並在2020年完成接近</w:t>
      </w:r>
    </w:p>
    <w:p>
      <w:pPr>
        <w:pStyle w:val="BodyText"/>
      </w:pPr>
      <w:r>
        <w:rPr>
          <w:rFonts w:hint="eastAsia"/>
        </w:rPr>
        <w:t xml:space="preserve">100萬份新評估。</w:t>
      </w:r>
    </w:p>
    <w:p>
      <w:pPr>
        <w:pStyle w:val="BodyText"/>
      </w:pPr>
      <w:r>
        <w:rPr>
          <w:rFonts w:hint="eastAsia"/>
        </w:rPr>
        <w:t xml:space="preserve">這次疫情帶動遠距醫療的使用量飆升，在社交距離限制下遠距醫療提供醫療支援，輔助傳統醫療機構的服務。</w:t>
      </w:r>
    </w:p>
    <w:p>
      <w:pPr>
        <w:pStyle w:val="BodyText"/>
      </w:pPr>
      <w:r>
        <w:rPr>
          <w:rFonts w:hint="eastAsia"/>
        </w:rPr>
        <w:t xml:space="preserve">「友邦保險遠距醫療」服務已經在六個市場投入運作，而且年內的使用率顯著上升。我們亦於2020年在馬來西</w:t>
      </w:r>
    </w:p>
    <w:p>
      <w:pPr>
        <w:pStyle w:val="BodyText"/>
      </w:pPr>
      <w:r>
        <w:rPr>
          <w:rFonts w:hint="eastAsia"/>
        </w:rPr>
        <w:t xml:space="preserve">亞、泰國、香港和澳門推出新服務，並計劃在2021年進一步擴展至六個其他市場。</w:t>
      </w:r>
    </w:p>
    <w:p>
      <w:pPr>
        <w:pStyle w:val="BodyText"/>
      </w:pPr>
      <w:r>
        <w:rPr>
          <w:rFonts w:hint="eastAsia"/>
        </w:rPr>
        <w:t xml:space="preserve">「友邦保險區域醫療通行證」利用我們在亞洲廣泛的業務覆蓋，讓客戶使用我們領先同儕的國際醫院網絡，提供</w:t>
      </w:r>
    </w:p>
    <w:p>
      <w:pPr>
        <w:pStyle w:val="BodyText"/>
      </w:pPr>
      <w:r>
        <w:rPr>
          <w:rFonts w:hint="eastAsia"/>
        </w:rPr>
        <w:t xml:space="preserve">方便的區內轉介和預約服務，不論客戶的保單在哪個市場發出，均可享用跨境免現金繳費的便利。目前這個通行</w:t>
      </w:r>
    </w:p>
    <w:p>
      <w:pPr>
        <w:pStyle w:val="BodyText"/>
      </w:pPr>
      <w:r>
        <w:rPr>
          <w:rFonts w:hint="eastAsia"/>
        </w:rPr>
        <w:t xml:space="preserve">證可在香港、澳門、新加坡、泰國和馬來西亞五個市場使用，我們計劃在2021年進一步擴展至另外七個市場。此</w:t>
      </w:r>
    </w:p>
    <w:p>
      <w:pPr>
        <w:pStyle w:val="BodyText"/>
      </w:pPr>
      <w:r>
        <w:rPr>
          <w:rFonts w:hint="eastAsia"/>
        </w:rPr>
        <w:t xml:space="preserve">外，我們的客戶也可以使用在美國和部分歐洲國家的醫院網絡。</w:t>
      </w:r>
    </w:p>
    <w:p>
      <w:pPr>
        <w:pStyle w:val="BodyText"/>
      </w:pPr>
      <w:r>
        <w:rPr>
          <w:rFonts w:hint="eastAsia"/>
        </w:rPr>
        <w:t xml:space="preserve">我們在八個市場提供「個人療程管理服務」。這項服務的核心是我們與Medix的獨家區域夥伴關係，確保友邦保險</w:t>
      </w:r>
    </w:p>
    <w:p>
      <w:pPr>
        <w:pStyle w:val="BodyText"/>
      </w:pPr>
      <w:r>
        <w:rPr>
          <w:rFonts w:hint="eastAsia"/>
        </w:rPr>
        <w:t xml:space="preserve">的客戶被診斷患上嚴重或複雜病症時獲得最適切有效的診斷和治療會診。今年，我們將Medix服務擴展至澳洲、</w:t>
      </w:r>
    </w:p>
    <w:p>
      <w:pPr>
        <w:pStyle w:val="BodyText"/>
      </w:pPr>
      <w:r>
        <w:rPr>
          <w:rFonts w:hint="eastAsia"/>
        </w:rPr>
        <w:t xml:space="preserve">印度和越南，為客戶帶來顯著裨益。在2020年，我們有23%客戶透過Medix獲得完善的診斷，62%初步治療計劃</w:t>
      </w:r>
    </w:p>
    <w:p>
      <w:pPr>
        <w:pStyle w:val="BodyText"/>
      </w:pPr>
      <w:r>
        <w:rPr>
          <w:rFonts w:hint="eastAsia"/>
        </w:rPr>
        <w:t xml:space="preserve">根據世界頂級臨床建議作出修訂調整。此外，27%客戶完全免除任何治療，而客戶滿意度達到93%。</w:t>
      </w:r>
    </w:p>
    <w:p>
      <w:pPr>
        <w:pStyle w:val="BodyText"/>
      </w:pPr>
      <w:r>
        <w:t xml:space="preserve">048</w:t>
      </w:r>
    </w:p>
    <w:p>
      <w:pPr>
        <w:pStyle w:val="BodyText"/>
      </w:pPr>
      <w:r>
        <w:rPr>
          <w:rFonts w:hint="eastAsia"/>
        </w:rPr>
        <w:t xml:space="preserve">財務及營運回顧友邦保險控股有限公司業務回顧</w:t>
      </w:r>
    </w:p>
    <w:p>
      <w:pPr>
        <w:pStyle w:val="BodyText"/>
      </w:pPr>
      <w:r>
        <w:rPr>
          <w:rFonts w:hint="eastAsia"/>
        </w:rPr>
        <w:t xml:space="preserve">新一代與健康和保健生態系統整合的產品包括我們在香港推出的「AIA唯一摯保</w:t>
      </w:r>
      <w:r>
        <w:t xml:space="preserve"> </w:t>
      </w:r>
      <w:r>
        <w:rPr>
          <w:rFonts w:hint="eastAsia"/>
        </w:rPr>
        <w:t xml:space="preserve">－</w:t>
      </w:r>
      <w:r>
        <w:t xml:space="preserve"> </w:t>
      </w:r>
      <w:r>
        <w:rPr>
          <w:rFonts w:hint="eastAsia"/>
        </w:rPr>
        <w:t xml:space="preserve">全面保障」及在中國內地推</w:t>
      </w:r>
    </w:p>
    <w:p>
      <w:pPr>
        <w:pStyle w:val="BodyText"/>
      </w:pPr>
      <w:r>
        <w:rPr>
          <w:rFonts w:hint="eastAsia"/>
        </w:rPr>
        <w:t xml:space="preserve">出的「友如意」。這個給香港客戶的主張是市場首創的理賠方案，因應客戶醫療狀況的嚴重性對所有疾病作出理</w:t>
      </w:r>
    </w:p>
    <w:p>
      <w:pPr>
        <w:pStyle w:val="BodyText"/>
      </w:pPr>
      <w:r>
        <w:rPr>
          <w:rFonts w:hint="eastAsia"/>
        </w:rPr>
        <w:t xml:space="preserve">賠。「友如意」是市場首創提供模塊化保障範圍選項的危疾保障產品，為客戶提供量身定制的保障。</w:t>
      </w:r>
    </w:p>
    <w:p>
      <w:pPr>
        <w:pStyle w:val="BodyText"/>
      </w:pPr>
      <w:r>
        <w:rPr>
          <w:rFonts w:hint="eastAsia"/>
        </w:rPr>
        <w:t xml:space="preserve">區域基金平台</w:t>
      </w:r>
    </w:p>
    <w:p>
      <w:pPr>
        <w:pStyle w:val="BodyText"/>
      </w:pPr>
      <w:r>
        <w:rPr>
          <w:rFonts w:hint="eastAsia"/>
        </w:rPr>
        <w:t xml:space="preserve">亞洲市場除保障需要日益增加外，區內退休人口上升的速度也是全球最快，我們旨在透過我們的長期儲蓄主張，</w:t>
      </w:r>
    </w:p>
    <w:p>
      <w:pPr>
        <w:pStyle w:val="BodyText"/>
      </w:pPr>
      <w:r>
        <w:rPr>
          <w:rFonts w:hint="eastAsia"/>
        </w:rPr>
        <w:t xml:space="preserve">協助大眾更有效積累財富。我們的區域基金平台利用我們的規模和分銷實力，與外部全球領先的基金經理建立合</w:t>
      </w:r>
    </w:p>
    <w:p>
      <w:pPr>
        <w:pStyle w:val="BodyText"/>
      </w:pPr>
      <w:r>
        <w:rPr>
          <w:rFonts w:hint="eastAsia"/>
        </w:rPr>
        <w:t xml:space="preserve">作關係，為客戶提供整合在創新儲蓄產品中，並且是友邦保險獨有的量身定制投資策略。友邦保險富經驗的團隊</w:t>
      </w:r>
    </w:p>
    <w:p>
      <w:pPr>
        <w:pStyle w:val="BodyText"/>
      </w:pPr>
      <w:r>
        <w:rPr>
          <w:rFonts w:hint="eastAsia"/>
        </w:rPr>
        <w:t xml:space="preserve">以其專業盡責管理的原則讓客戶安心無憂，包括採用可靠的經理挑選流程，並持續監察其投資表現。</w:t>
      </w:r>
    </w:p>
    <w:p>
      <w:pPr>
        <w:pStyle w:val="BodyText"/>
      </w:pPr>
      <w:r>
        <w:rPr>
          <w:rFonts w:hint="eastAsia"/>
        </w:rPr>
        <w:t xml:space="preserve">我們為滿足客戶的長期儲蓄需要，以為他們締造長期出色的表現為宗旨。在該平台上的AIA</w:t>
      </w:r>
      <w:r>
        <w:t xml:space="preserve"> </w:t>
      </w:r>
      <w:r>
        <w:rPr>
          <w:rFonts w:hint="eastAsia"/>
        </w:rPr>
        <w:t xml:space="preserve">Elite基金系列表現排</w:t>
      </w:r>
    </w:p>
    <w:p>
      <w:pPr>
        <w:pStyle w:val="BodyText"/>
      </w:pPr>
      <w:r>
        <w:rPr>
          <w:rFonts w:hint="eastAsia"/>
        </w:rPr>
        <w:t xml:space="preserve">名首四分位。在2020年，我們透過相關基金在我們多個市場擴展客戶主張。我們在新加坡增添以退休為重點的新</w:t>
      </w:r>
    </w:p>
    <w:p>
      <w:pPr>
        <w:pStyle w:val="BodyText"/>
      </w:pPr>
      <w:r>
        <w:rPr>
          <w:rFonts w:hint="eastAsia"/>
        </w:rPr>
        <w:t xml:space="preserve">產品，並在泰國和馬來西亞推出首個主張。</w:t>
      </w:r>
    </w:p>
    <w:p>
      <w:pPr>
        <w:pStyle w:val="BodyText"/>
      </w:pPr>
      <w:r>
        <w:t xml:space="preserve">049</w:t>
      </w:r>
    </w:p>
    <w:p>
      <w:pPr>
        <w:pStyle w:val="BodyText"/>
      </w:pPr>
      <w:r>
        <w:rPr>
          <w:rFonts w:hint="eastAsia"/>
        </w:rPr>
        <w:t xml:space="preserve">概覽財務及營運回顧企業管治其他資料財務報表2020年報</w:t>
      </w:r>
    </w:p>
    <w:p>
      <w:pPr>
        <w:pStyle w:val="BodyText"/>
      </w:pPr>
      <w:r>
        <w:rPr>
          <w:rFonts w:hint="eastAsia"/>
        </w:rPr>
        <w:t xml:space="preserve">領先同儕的客戶體驗</w:t>
      </w:r>
    </w:p>
    <w:p>
      <w:pPr>
        <w:pStyle w:val="BodyText"/>
      </w:pPr>
      <w:r>
        <w:rPr>
          <w:rFonts w:hint="eastAsia"/>
        </w:rPr>
        <w:t xml:space="preserve">我們的宏大目標是根據簡單、適時和可靠三個主要原則，為友邦保險的客戶提供業內最佳的體驗。為了實現這個</w:t>
      </w:r>
    </w:p>
    <w:p>
      <w:pPr>
        <w:pStyle w:val="BodyText"/>
      </w:pPr>
      <w:r>
        <w:rPr>
          <w:rFonts w:hint="eastAsia"/>
        </w:rPr>
        <w:t xml:space="preserve">目標，我們需要進行多項基本轉變，包括組織架構調整，由職能為本轉移至圍繞客戶體驗過程而設計，並將數碼</w:t>
      </w:r>
    </w:p>
    <w:p>
      <w:pPr>
        <w:pStyle w:val="BodyText"/>
      </w:pPr>
      <w:r>
        <w:rPr>
          <w:rFonts w:hint="eastAsia"/>
        </w:rPr>
        <w:t xml:space="preserve">和數據分析融入我們的所有工作。</w:t>
      </w:r>
    </w:p>
    <w:p>
      <w:pPr>
        <w:pStyle w:val="BodyText"/>
      </w:pPr>
      <w:r>
        <w:rPr>
          <w:rFonts w:hint="eastAsia"/>
        </w:rPr>
        <w:t xml:space="preserve">友邦保險在技術、數碼和分析層面作出跨越式轉變，是我們能讓客戶在學習、購買、服務和理賠過程中享受最佳</w:t>
      </w:r>
    </w:p>
    <w:p>
      <w:pPr>
        <w:pStyle w:val="BodyText"/>
      </w:pPr>
      <w:r>
        <w:rPr>
          <w:rFonts w:hint="eastAsia"/>
        </w:rPr>
        <w:t xml:space="preserve">體驗至關重要的一環。自動化和直通式處理流程在2020年取得重大進展；隨著眾多業務加強使用數據分析，相關</w:t>
      </w:r>
    </w:p>
    <w:p>
      <w:pPr>
        <w:pStyle w:val="BodyText"/>
      </w:pPr>
      <w:r>
        <w:rPr>
          <w:rFonts w:hint="eastAsia"/>
        </w:rPr>
        <w:t xml:space="preserve">進展速度將於2021年加快。</w:t>
      </w:r>
    </w:p>
    <w:p>
      <w:pPr>
        <w:pStyle w:val="BodyText"/>
      </w:pPr>
      <w:r>
        <w:rPr>
          <w:rFonts w:hint="eastAsia"/>
        </w:rPr>
        <w:t xml:space="preserve">在2020年，我們對客戶與分銷代理的端對端體驗過程進行廣泛評估，識別出可提升用戶體驗和提高客戶滿意度的</w:t>
      </w:r>
    </w:p>
    <w:p>
      <w:pPr>
        <w:pStyle w:val="BodyText"/>
      </w:pPr>
      <w:r>
        <w:rPr>
          <w:rFonts w:hint="eastAsia"/>
        </w:rPr>
        <w:t xml:space="preserve">重點領域。</w:t>
      </w:r>
    </w:p>
    <w:p>
      <w:pPr>
        <w:pStyle w:val="BodyText"/>
      </w:pPr>
      <w:r>
        <w:rPr>
          <w:rFonts w:hint="eastAsia"/>
        </w:rPr>
        <w:t xml:space="preserve">新客戶體驗的設計原則以數碼化和個人化為基礎，並以全球最佳做法為基準。我們的經驗顯示，提升客戶體驗可</w:t>
      </w:r>
    </w:p>
    <w:p>
      <w:pPr>
        <w:pStyle w:val="BodyText"/>
      </w:pPr>
      <w:r>
        <w:rPr>
          <w:rFonts w:hint="eastAsia"/>
        </w:rPr>
        <w:t xml:space="preserve">以顯著改善客戶的滿意度和留存率，增加新銷售對象，提高交叉銷售與轉換率，以及提升生產力。</w:t>
      </w:r>
    </w:p>
    <w:p>
      <w:pPr>
        <w:pStyle w:val="BodyText"/>
      </w:pPr>
      <w:r>
        <w:rPr>
          <w:rFonts w:hint="eastAsia"/>
        </w:rPr>
        <w:t xml:space="preserve">我們以現有定期客戶調查為基礎，開發優化的量度框架。實時回饋與我們提供服務的營運績效連繫，有助我們全</w:t>
      </w:r>
    </w:p>
    <w:p>
      <w:pPr>
        <w:pStyle w:val="BodyText"/>
      </w:pPr>
      <w:r>
        <w:rPr>
          <w:rFonts w:hint="eastAsia"/>
        </w:rPr>
        <w:t xml:space="preserve">方位瞭解客戶體驗和需求的變化。我們已在中國內地、馬來西亞、印度、澳洲和新西蘭採取這種方針，並計劃推</w:t>
      </w:r>
    </w:p>
    <w:p>
      <w:pPr>
        <w:pStyle w:val="BodyText"/>
      </w:pPr>
      <w:r>
        <w:rPr>
          <w:rFonts w:hint="eastAsia"/>
        </w:rPr>
        <w:t xml:space="preserve">廣至所有市場。</w:t>
      </w:r>
    </w:p>
    <w:p>
      <w:pPr>
        <w:pStyle w:val="BodyText"/>
      </w:pPr>
      <w:r>
        <w:rPr>
          <w:rFonts w:hint="eastAsia"/>
        </w:rPr>
        <w:t xml:space="preserve">例如，在印度的Tata</w:t>
      </w:r>
      <w:r>
        <w:t xml:space="preserve"> AIA </w:t>
      </w:r>
      <w:r>
        <w:rPr>
          <w:rFonts w:hint="eastAsia"/>
        </w:rPr>
        <w:t xml:space="preserve">Life從客戶購買、服務和理賠過程中的13個接觸點取得實時體驗反饋。這有助指引我們</w:t>
      </w:r>
    </w:p>
    <w:p>
      <w:pPr>
        <w:pStyle w:val="BodyText"/>
      </w:pPr>
      <w:r>
        <w:rPr>
          <w:rFonts w:hint="eastAsia"/>
        </w:rPr>
        <w:t xml:space="preserve">的數碼轉型過程，包括服務自動化，採用WhatsApp企業方案與客戶溝通，以及由人工智能支援的聊天機械人。</w:t>
      </w:r>
    </w:p>
    <w:p>
      <w:pPr>
        <w:pStyle w:val="BodyText"/>
      </w:pPr>
      <w:r>
        <w:rPr>
          <w:rFonts w:hint="eastAsia"/>
        </w:rPr>
        <w:t xml:space="preserve">年內，Tata</w:t>
      </w:r>
      <w:r>
        <w:t xml:space="preserve"> AIA </w:t>
      </w:r>
      <w:r>
        <w:rPr>
          <w:rFonts w:hint="eastAsia"/>
        </w:rPr>
        <w:t xml:space="preserve">Life的自助服務比率亦領先業界，達到86%，淨推薦值亦上升14個百分點。</w:t>
      </w:r>
    </w:p>
    <w:p>
      <w:pPr>
        <w:pStyle w:val="BodyText"/>
      </w:pPr>
      <w:r>
        <w:rPr>
          <w:rFonts w:hint="eastAsia"/>
        </w:rPr>
        <w:t xml:space="preserve">未來的組織</w:t>
      </w:r>
    </w:p>
    <w:p>
      <w:pPr>
        <w:pStyle w:val="BodyText"/>
      </w:pPr>
      <w:r>
        <w:rPr>
          <w:rFonts w:hint="eastAsia"/>
        </w:rPr>
        <w:t xml:space="preserve">我們的人才策略設計乃依照友邦保險獨特的本地賦能授權文化及相應的問責制度，以支持我們實現宏大的策略目</w:t>
      </w:r>
    </w:p>
    <w:p>
      <w:pPr>
        <w:pStyle w:val="BodyText"/>
      </w:pPr>
      <w:r>
        <w:rPr>
          <w:rFonts w:hint="eastAsia"/>
        </w:rPr>
        <w:t xml:space="preserve">標。「未來的組織」</w:t>
      </w:r>
      <w:r>
        <w:t xml:space="preserve"> (Organisation of the </w:t>
      </w:r>
      <w:r>
        <w:rPr>
          <w:rFonts w:hint="eastAsia"/>
        </w:rPr>
        <w:t xml:space="preserve">Future)之核心包括較簡單的組織結構，引進靈活的工作方式，以及提升</w:t>
      </w:r>
    </w:p>
    <w:p>
      <w:pPr>
        <w:pStyle w:val="BodyText"/>
      </w:pPr>
      <w:r>
        <w:rPr>
          <w:rFonts w:hint="eastAsia"/>
        </w:rPr>
        <w:t xml:space="preserve">人才和能力的框架。</w:t>
      </w:r>
    </w:p>
    <w:p>
      <w:pPr>
        <w:pStyle w:val="BodyText"/>
      </w:pPr>
      <w:r>
        <w:rPr>
          <w:rFonts w:hint="eastAsia"/>
        </w:rPr>
        <w:t xml:space="preserve">我們於2020年下半年起透過友邦保險在新加坡和越南的兩個試點業務單位，開展組織轉型的過程。我們計劃在這</w:t>
      </w:r>
    </w:p>
    <w:p>
      <w:pPr>
        <w:pStyle w:val="BodyText"/>
      </w:pPr>
      <w:r>
        <w:rPr>
          <w:rFonts w:hint="eastAsia"/>
        </w:rPr>
        <w:t xml:space="preserve">些試點業務單位進行試驗和學習，及後將「未來的組織」計劃擴展至其他業務市場。</w:t>
      </w:r>
    </w:p>
    <w:p>
      <w:pPr>
        <w:pStyle w:val="BodyText"/>
      </w:pPr>
      <w:r>
        <w:rPr>
          <w:rFonts w:hint="eastAsia"/>
        </w:rPr>
        <w:t xml:space="preserve">試點市場的初步成果顯示更簡單和更以客為本的營運模式已經形成，我們亦與多個跨職能的專家團隊推行靈活的</w:t>
      </w:r>
    </w:p>
    <w:p>
      <w:pPr>
        <w:pStyle w:val="BodyText"/>
      </w:pPr>
      <w:r>
        <w:rPr>
          <w:rFonts w:hint="eastAsia"/>
        </w:rPr>
        <w:t xml:space="preserve">工作方式。這些團隊具有獨立應對重要業務挑戰的自主權，以加快實現業績和提升業務成果。</w:t>
      </w:r>
    </w:p>
    <w:p>
      <w:pPr>
        <w:pStyle w:val="BodyText"/>
      </w:pPr>
      <w:r>
        <w:rPr>
          <w:rFonts w:hint="eastAsia"/>
        </w:rPr>
        <w:t xml:space="preserve">我們已為試點市場設計新的能力建設計劃，以進一步裝備員工為組織轉變作好準備。我們在2020年推出了組織轉</w:t>
      </w:r>
    </w:p>
    <w:p>
      <w:pPr>
        <w:pStyle w:val="BodyText"/>
      </w:pPr>
      <w:r>
        <w:rPr>
          <w:rFonts w:hint="eastAsia"/>
        </w:rPr>
        <w:t xml:space="preserve">型、卓越執行及靈活工作方式的培訓模塊，並計劃推出有關技術、數碼和分析的發展計劃。</w:t>
      </w:r>
    </w:p>
    <w:p>
      <w:pPr>
        <w:pStyle w:val="BodyText"/>
      </w:pPr>
      <w:r>
        <w:t xml:space="preserve">050</w:t>
      </w:r>
    </w:p>
    <w:p>
      <w:pPr>
        <w:pStyle w:val="BodyText"/>
      </w:pPr>
      <w:r>
        <w:rPr>
          <w:rFonts w:hint="eastAsia"/>
        </w:rPr>
        <w:t xml:space="preserve">財務及營運回顧友邦保險控股有限公司業務回顧</w:t>
      </w:r>
    </w:p>
    <w:p>
      <w:pPr>
        <w:pStyle w:val="BodyText"/>
      </w:pPr>
      <w:r>
        <w:rPr>
          <w:rFonts w:hint="eastAsia"/>
        </w:rPr>
        <w:t xml:space="preserve">地區市場摘要</w:t>
      </w:r>
    </w:p>
    <w:p>
      <w:pPr>
        <w:pStyle w:val="BodyText"/>
      </w:pPr>
      <w:r>
        <w:rPr>
          <w:rFonts w:hint="eastAsia"/>
        </w:rPr>
        <w:t xml:space="preserve">中國內地</w:t>
      </w:r>
    </w:p>
    <w:p>
      <w:pPr>
        <w:pStyle w:val="BodyText"/>
      </w:pPr>
      <w:r>
        <w:rPr>
          <w:rFonts w:hint="eastAsia"/>
        </w:rPr>
        <w:t xml:space="preserve">百萬美元，除另有說明外</w:t>
      </w:r>
    </w:p>
    <w:p>
      <w:pPr>
        <w:pStyle w:val="BodyText"/>
      </w:pPr>
      <w:r>
        <w:rPr>
          <w:rFonts w:hint="eastAsia"/>
        </w:rPr>
        <w:t xml:space="preserve">新業務價值</w:t>
      </w:r>
    </w:p>
    <w:p>
      <w:pPr>
        <w:pStyle w:val="BodyText"/>
      </w:pPr>
      <w:r>
        <w:rPr>
          <w:rFonts w:hint="eastAsia"/>
        </w:rPr>
        <w:t xml:space="preserve">新業務價值利潤率</w:t>
      </w:r>
    </w:p>
    <w:p>
      <w:pPr>
        <w:pStyle w:val="BodyText"/>
      </w:pPr>
      <w:r>
        <w:rPr>
          <w:rFonts w:hint="eastAsia"/>
        </w:rPr>
        <w:t xml:space="preserve">年化新保費</w:t>
      </w:r>
    </w:p>
    <w:p>
      <w:pPr>
        <w:pStyle w:val="BodyText"/>
      </w:pPr>
      <w:r>
        <w:rPr>
          <w:rFonts w:hint="eastAsia"/>
        </w:rPr>
        <w:t xml:space="preserve">總加權保費收入</w:t>
      </w:r>
    </w:p>
    <w:p>
      <w:pPr>
        <w:pStyle w:val="BodyText"/>
      </w:pPr>
      <w:r>
        <w:rPr>
          <w:rFonts w:hint="eastAsia"/>
        </w:rPr>
        <w:t xml:space="preserve">稅後營運溢利</w:t>
      </w:r>
    </w:p>
    <w:p>
      <w:pPr>
        <w:pStyle w:val="BodyText"/>
      </w:pPr>
      <w:r>
        <w:rPr>
          <w:rFonts w:hint="eastAsia"/>
        </w:rPr>
        <w:t xml:space="preserve">2020年</w:t>
      </w:r>
    </w:p>
    <w:p>
      <w:pPr>
        <w:pStyle w:val="BodyText"/>
      </w:pPr>
      <w:r>
        <w:t xml:space="preserve">968</w:t>
      </w:r>
    </w:p>
    <w:p>
      <w:pPr>
        <w:pStyle w:val="BodyText"/>
      </w:pPr>
      <w:r>
        <w:t xml:space="preserve">80.9%</w:t>
      </w:r>
    </w:p>
    <w:p>
      <w:pPr>
        <w:pStyle w:val="BodyText"/>
      </w:pPr>
      <w:r>
        <w:t xml:space="preserve">1,197</w:t>
      </w:r>
    </w:p>
    <w:p>
      <w:pPr>
        <w:pStyle w:val="BodyText"/>
      </w:pPr>
      <w:r>
        <w:t xml:space="preserve">5,622</w:t>
      </w:r>
    </w:p>
    <w:p>
      <w:pPr>
        <w:pStyle w:val="BodyText"/>
      </w:pPr>
      <w:r>
        <w:t xml:space="preserve">1,220</w:t>
      </w:r>
    </w:p>
    <w:p>
      <w:pPr>
        <w:pStyle w:val="BodyText"/>
      </w:pPr>
      <w:r>
        <w:rPr>
          <w:rFonts w:hint="eastAsia"/>
        </w:rPr>
        <w:t xml:space="preserve">2019年</w:t>
      </w:r>
    </w:p>
    <w:p>
      <w:pPr>
        <w:pStyle w:val="BodyText"/>
      </w:pPr>
      <w:r>
        <w:t xml:space="preserve">1,167</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(17)%</w:t>
      </w:r>
    </w:p>
    <w:p>
      <w:pPr>
        <w:pStyle w:val="BodyText"/>
      </w:pPr>
      <w:r>
        <w:t xml:space="preserve">(17)%</w:t>
      </w:r>
    </w:p>
    <w:p>
      <w:pPr>
        <w:pStyle w:val="BodyText"/>
      </w:pPr>
      <w:r>
        <w:t xml:space="preserve">93.5% </w:t>
      </w:r>
      <w:r>
        <w:rPr>
          <w:rFonts w:hint="eastAsia"/>
        </w:rPr>
        <w:t xml:space="preserve">(12.7)個百分點</w:t>
      </w:r>
      <w:r>
        <w:t xml:space="preserve"> </w:t>
      </w:r>
      <w:r>
        <w:rPr>
          <w:rFonts w:hint="eastAsia"/>
        </w:rPr>
        <w:t xml:space="preserve">(12.6)個百分點</w:t>
      </w:r>
    </w:p>
    <w:p>
      <w:pPr>
        <w:pStyle w:val="BodyText"/>
      </w:pPr>
      <w:r>
        <w:t xml:space="preserve">1,248</w:t>
      </w:r>
    </w:p>
    <w:p>
      <w:pPr>
        <w:pStyle w:val="BodyText"/>
      </w:pPr>
      <w:r>
        <w:t xml:space="preserve">4,804</w:t>
      </w:r>
    </w:p>
    <w:p>
      <w:pPr>
        <w:pStyle w:val="BodyText"/>
      </w:pPr>
      <w:r>
        <w:t xml:space="preserve">1,061</w:t>
      </w:r>
    </w:p>
    <w:p>
      <w:pPr>
        <w:pStyle w:val="BodyText"/>
      </w:pPr>
      <w:r>
        <w:t xml:space="preserve">(4)%</w:t>
      </w:r>
    </w:p>
    <w:p>
      <w:pPr>
        <w:pStyle w:val="BodyText"/>
      </w:pPr>
      <w:r>
        <w:t xml:space="preserve">17%</w:t>
      </w:r>
    </w:p>
    <w:p>
      <w:pPr>
        <w:pStyle w:val="BodyText"/>
      </w:pPr>
      <w:r>
        <w:t xml:space="preserve">14%</w:t>
      </w:r>
    </w:p>
    <w:p>
      <w:pPr>
        <w:pStyle w:val="BodyText"/>
      </w:pPr>
      <w:r>
        <w:t xml:space="preserve">(4)%</w:t>
      </w:r>
    </w:p>
    <w:p>
      <w:pPr>
        <w:pStyle w:val="BodyText"/>
      </w:pPr>
      <w:r>
        <w:t xml:space="preserve">17%</w:t>
      </w:r>
    </w:p>
    <w:p>
      <w:pPr>
        <w:pStyle w:val="BodyText"/>
      </w:pPr>
      <w:r>
        <w:t xml:space="preserve">15%</w:t>
      </w:r>
    </w:p>
    <w:p>
      <w:pPr>
        <w:pStyle w:val="BodyText"/>
      </w:pPr>
      <w:r>
        <w:rPr>
          <w:rFonts w:hint="eastAsia"/>
        </w:rPr>
        <w:t xml:space="preserve">在2020年，友邦保險中國業務為本集團的新業務價值帶來最大貢獻。在保持嚴格的甄選標準的同時，我們別樹一</w:t>
      </w:r>
    </w:p>
    <w:p>
      <w:pPr>
        <w:pStyle w:val="BodyText"/>
      </w:pPr>
      <w:r>
        <w:rPr>
          <w:rFonts w:hint="eastAsia"/>
        </w:rPr>
        <w:t xml:space="preserve">幟的「最優秀代理」策略實現代理主管和新入職代理雙位數字的增加。與2020年同期比較，2021年首兩個月錄得</w:t>
      </w:r>
    </w:p>
    <w:p>
      <w:pPr>
        <w:pStyle w:val="BodyText"/>
      </w:pPr>
      <w:r>
        <w:rPr>
          <w:rFonts w:hint="eastAsia"/>
        </w:rPr>
        <w:t xml:space="preserve">非常強勁的新業務價值增長。</w:t>
      </w:r>
    </w:p>
    <w:p>
      <w:pPr>
        <w:pStyle w:val="BodyText"/>
      </w:pPr>
      <w:r>
        <w:rPr>
          <w:rFonts w:hint="eastAsia"/>
        </w:rPr>
        <w:t xml:space="preserve">2020年新業務價值9.68億美元較2019年減少17%，主要由於2019冠狀病毒病在第一季爆發初期而導致銷售額有限</w:t>
      </w:r>
    </w:p>
    <w:p>
      <w:pPr>
        <w:pStyle w:val="BodyText"/>
      </w:pPr>
      <w:r>
        <w:rPr>
          <w:rFonts w:hint="eastAsia"/>
        </w:rPr>
        <w:t xml:space="preserve">所致。隨著外出限制在3月放寬，新業務動力得以迅速改善。新業務價值重拾我們慣常的季節性規律，比重更側</w:t>
      </w:r>
    </w:p>
    <w:p>
      <w:pPr>
        <w:pStyle w:val="BodyText"/>
      </w:pPr>
      <w:r>
        <w:rPr>
          <w:rFonts w:hint="eastAsia"/>
        </w:rPr>
        <w:t xml:space="preserve">重於上半年。新業務價值利潤率下降的原因主要由於我們成功向現有客戶進行交叉銷售，使產品組合轉向長期分</w:t>
      </w:r>
    </w:p>
    <w:p>
      <w:pPr>
        <w:pStyle w:val="BodyText"/>
      </w:pPr>
      <w:r>
        <w:rPr>
          <w:rFonts w:hint="eastAsia"/>
        </w:rPr>
        <w:t xml:space="preserve">紅儲蓄產品以及，如早前所披露，從2020年7月起所需繳納5%預扣稅所致。</w:t>
      </w:r>
    </w:p>
    <w:p>
      <w:pPr>
        <w:pStyle w:val="BodyText"/>
      </w:pPr>
      <w:r>
        <w:rPr>
          <w:rFonts w:hint="eastAsia"/>
        </w:rPr>
        <w:t xml:space="preserve">年內稅後營運溢利增長14%，主要由於有效保單組合的增長及有利的理賠經驗。</w:t>
      </w:r>
    </w:p>
    <w:p>
      <w:pPr>
        <w:pStyle w:val="BodyText"/>
      </w:pPr>
      <w:r>
        <w:rPr>
          <w:rFonts w:hint="eastAsia"/>
        </w:rPr>
        <w:t xml:space="preserve">在2020年，友邦保險中國業務獲得監管部門批准，將上海分公司改建為中國內地首家外資獨資人身保險子公司。</w:t>
      </w:r>
    </w:p>
    <w:p>
      <w:pPr>
        <w:pStyle w:val="BodyText"/>
      </w:pPr>
      <w:r>
        <w:rPr>
          <w:rFonts w:hint="eastAsia"/>
        </w:rPr>
        <w:t xml:space="preserve">於2021年3月，我們獲得監管機構批復，准予在四川省開業。四川省是中國以國內生產總值計的第六大省，以</w:t>
      </w:r>
    </w:p>
    <w:p>
      <w:pPr>
        <w:pStyle w:val="BodyText"/>
      </w:pPr>
      <w:r>
        <w:rPr>
          <w:rFonts w:hint="eastAsia"/>
        </w:rPr>
        <w:t xml:space="preserve">人口計的第四大省。這將為友邦保險中國業務締造重要的長期增長機遇。</w:t>
      </w:r>
    </w:p>
    <w:p>
      <w:pPr>
        <w:pStyle w:val="BodyText"/>
      </w:pPr>
      <w:r>
        <w:t xml:space="preserve">051</w:t>
      </w:r>
    </w:p>
    <w:p>
      <w:pPr>
        <w:pStyle w:val="BodyText"/>
      </w:pPr>
      <w:r>
        <w:rPr>
          <w:rFonts w:hint="eastAsia"/>
        </w:rPr>
        <w:t xml:space="preserve">概覽財務及營運回顧企業管治其他資料財務報表2020年報</w:t>
      </w:r>
    </w:p>
    <w:p>
      <w:pPr>
        <w:pStyle w:val="BodyText"/>
      </w:pPr>
      <w:r>
        <w:rPr>
          <w:rFonts w:hint="eastAsia"/>
        </w:rPr>
        <w:t xml:space="preserve">香港</w:t>
      </w:r>
    </w:p>
    <w:p>
      <w:pPr>
        <w:pStyle w:val="BodyText"/>
      </w:pPr>
      <w:r>
        <w:rPr>
          <w:rFonts w:hint="eastAsia"/>
        </w:rPr>
        <w:t xml:space="preserve">百萬美元，除另有說明外</w:t>
      </w:r>
    </w:p>
    <w:p>
      <w:pPr>
        <w:pStyle w:val="BodyText"/>
      </w:pPr>
      <w:r>
        <w:rPr>
          <w:rFonts w:hint="eastAsia"/>
        </w:rPr>
        <w:t xml:space="preserve">新業務價值</w:t>
      </w:r>
    </w:p>
    <w:p>
      <w:pPr>
        <w:pStyle w:val="BodyText"/>
      </w:pPr>
      <w:r>
        <w:rPr>
          <w:rFonts w:hint="eastAsia"/>
        </w:rPr>
        <w:t xml:space="preserve">新業務價值利潤率</w:t>
      </w:r>
    </w:p>
    <w:p>
      <w:pPr>
        <w:pStyle w:val="BodyText"/>
      </w:pPr>
      <w:r>
        <w:rPr>
          <w:rFonts w:hint="eastAsia"/>
        </w:rPr>
        <w:t xml:space="preserve">年化新保費</w:t>
      </w:r>
    </w:p>
    <w:p>
      <w:pPr>
        <w:pStyle w:val="BodyText"/>
      </w:pPr>
      <w:r>
        <w:rPr>
          <w:rFonts w:hint="eastAsia"/>
        </w:rPr>
        <w:t xml:space="preserve">總加權保費收入</w:t>
      </w:r>
    </w:p>
    <w:p>
      <w:pPr>
        <w:pStyle w:val="BodyText"/>
      </w:pPr>
      <w:r>
        <w:rPr>
          <w:rFonts w:hint="eastAsia"/>
        </w:rPr>
        <w:t xml:space="preserve">稅後營運溢利</w:t>
      </w:r>
    </w:p>
    <w:p>
      <w:pPr>
        <w:pStyle w:val="BodyText"/>
      </w:pPr>
      <w:r>
        <w:rPr>
          <w:rFonts w:hint="eastAsia"/>
        </w:rPr>
        <w:t xml:space="preserve">2020年</w:t>
      </w:r>
    </w:p>
    <w:p>
      <w:pPr>
        <w:pStyle w:val="BodyText"/>
      </w:pPr>
      <w:r>
        <w:t xml:space="preserve">550</w:t>
      </w:r>
    </w:p>
    <w:p>
      <w:pPr>
        <w:pStyle w:val="BodyText"/>
      </w:pPr>
      <w:r>
        <w:t xml:space="preserve">44.7%</w:t>
      </w:r>
    </w:p>
    <w:p>
      <w:pPr>
        <w:pStyle w:val="BodyText"/>
      </w:pPr>
      <w:r>
        <w:t xml:space="preserve">1,138</w:t>
      </w:r>
    </w:p>
    <w:p>
      <w:pPr>
        <w:pStyle w:val="BodyText"/>
      </w:pPr>
      <w:r>
        <w:t xml:space="preserve">13,042</w:t>
      </w:r>
    </w:p>
    <w:p>
      <w:pPr>
        <w:pStyle w:val="BodyText"/>
      </w:pPr>
      <w:r>
        <w:t xml:space="preserve">2,059</w:t>
      </w:r>
    </w:p>
    <w:p>
      <w:pPr>
        <w:pStyle w:val="BodyText"/>
      </w:pPr>
      <w:r>
        <w:rPr>
          <w:rFonts w:hint="eastAsia"/>
        </w:rPr>
        <w:t xml:space="preserve">2019年</w:t>
      </w:r>
    </w:p>
    <w:p>
      <w:pPr>
        <w:pStyle w:val="BodyText"/>
      </w:pPr>
      <w:r>
        <w:t xml:space="preserve">1,621</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(66)%</w:t>
      </w:r>
    </w:p>
    <w:p>
      <w:pPr>
        <w:pStyle w:val="BodyText"/>
      </w:pPr>
      <w:r>
        <w:t xml:space="preserve">(66)%</w:t>
      </w:r>
    </w:p>
    <w:p>
      <w:pPr>
        <w:pStyle w:val="BodyText"/>
      </w:pPr>
      <w:r>
        <w:t xml:space="preserve">66.1% </w:t>
      </w:r>
      <w:r>
        <w:rPr>
          <w:rFonts w:hint="eastAsia"/>
        </w:rPr>
        <w:t xml:space="preserve">(21.4)個百分點</w:t>
      </w:r>
      <w:r>
        <w:t xml:space="preserve"> </w:t>
      </w:r>
      <w:r>
        <w:rPr>
          <w:rFonts w:hint="eastAsia"/>
        </w:rPr>
        <w:t xml:space="preserve">(21.4)個百分點</w:t>
      </w:r>
    </w:p>
    <w:p>
      <w:pPr>
        <w:pStyle w:val="BodyText"/>
      </w:pPr>
      <w:r>
        <w:t xml:space="preserve">2,393</w:t>
      </w:r>
    </w:p>
    <w:p>
      <w:pPr>
        <w:pStyle w:val="BodyText"/>
      </w:pPr>
      <w:r>
        <w:t xml:space="preserve">13,107</w:t>
      </w:r>
    </w:p>
    <w:p>
      <w:pPr>
        <w:pStyle w:val="BodyText"/>
      </w:pPr>
      <w:r>
        <w:t xml:space="preserve">1,879</w:t>
      </w:r>
    </w:p>
    <w:p>
      <w:pPr>
        <w:pStyle w:val="BodyText"/>
      </w:pPr>
      <w:r>
        <w:t xml:space="preserve">(52)%</w:t>
      </w:r>
    </w:p>
    <w:p>
      <w:pPr>
        <w:pStyle w:val="BodyText"/>
      </w:pPr>
      <w:r>
        <w:t xml:space="preserve">0%</w:t>
      </w:r>
    </w:p>
    <w:p>
      <w:pPr>
        <w:pStyle w:val="BodyText"/>
      </w:pPr>
      <w:r>
        <w:t xml:space="preserve">10%</w:t>
      </w:r>
    </w:p>
    <w:p>
      <w:pPr>
        <w:pStyle w:val="BodyText"/>
      </w:pPr>
      <w:r>
        <w:t xml:space="preserve">(52)%</w:t>
      </w:r>
    </w:p>
    <w:p>
      <w:pPr>
        <w:pStyle w:val="BodyText"/>
      </w:pPr>
      <w:r>
        <w:t xml:space="preserve">0%</w:t>
      </w:r>
    </w:p>
    <w:p>
      <w:pPr>
        <w:pStyle w:val="BodyText"/>
      </w:pPr>
      <w:r>
        <w:t xml:space="preserve">10%</w:t>
      </w:r>
    </w:p>
    <w:p>
      <w:pPr>
        <w:pStyle w:val="BodyText"/>
      </w:pPr>
      <w:r>
        <w:rPr>
          <w:rFonts w:hint="eastAsia"/>
        </w:rPr>
        <w:t xml:space="preserve">友邦保險香港業務的新業務價值下降66%，此乃由於因應實施的強制隔離檢疫措施和暫停個人遊計劃而導致來自</w:t>
      </w:r>
    </w:p>
    <w:p>
      <w:pPr>
        <w:pStyle w:val="BodyText"/>
      </w:pPr>
      <w:r>
        <w:rPr>
          <w:rFonts w:hint="eastAsia"/>
        </w:rPr>
        <w:t xml:space="preserve">中國內地訪港客戶的銷售自2020年2月初起實際上已暫停。儘管這些措施在香港仍然生效，澳門在2020年9月底</w:t>
      </w:r>
    </w:p>
    <w:p>
      <w:pPr>
        <w:pStyle w:val="BodyText"/>
      </w:pPr>
      <w:r>
        <w:rPr>
          <w:rFonts w:hint="eastAsia"/>
        </w:rPr>
        <w:t xml:space="preserve">重啟中國內地旅客個人遊計劃。這為澳門的中國內地訪澳客戶銷售回升提供支持，使其在第四季佔友邦保險澳門</w:t>
      </w:r>
    </w:p>
    <w:p>
      <w:pPr>
        <w:pStyle w:val="BodyText"/>
      </w:pPr>
      <w:r>
        <w:rPr>
          <w:rFonts w:hint="eastAsia"/>
        </w:rPr>
        <w:t xml:space="preserve">分公司的年化新保費總額超過三分之一。</w:t>
      </w:r>
    </w:p>
    <w:p>
      <w:pPr>
        <w:pStyle w:val="BodyText"/>
      </w:pPr>
      <w:r>
        <w:rPr>
          <w:rFonts w:hint="eastAsia"/>
        </w:rPr>
        <w:t xml:space="preserve">儘管社交距離措施隨著2019冠狀病毒病感染數字上升而收緊為業務帶來干擾，但我們的「最優秀代理」仍佔香港</w:t>
      </w:r>
    </w:p>
    <w:p>
      <w:pPr>
        <w:pStyle w:val="BodyText"/>
      </w:pPr>
      <w:r>
        <w:rPr>
          <w:rFonts w:hint="eastAsia"/>
        </w:rPr>
        <w:t xml:space="preserve">代理分銷市場的主導地位。與上半年比較，本地客戶群在下半年帶動年化新保費錄得雙位數字的增長。下半年新</w:t>
      </w:r>
    </w:p>
    <w:p>
      <w:pPr>
        <w:pStyle w:val="BodyText"/>
      </w:pPr>
      <w:r>
        <w:rPr>
          <w:rFonts w:hint="eastAsia"/>
        </w:rPr>
        <w:t xml:space="preserve">入職代理人數較上半年錄得雙位數字的增長，而代理的個案生產力亦有所提升。夥伴分銷渠道的新業務價值較</w:t>
      </w:r>
    </w:p>
    <w:p>
      <w:pPr>
        <w:pStyle w:val="BodyText"/>
      </w:pPr>
      <w:r>
        <w:rPr>
          <w:rFonts w:hint="eastAsia"/>
        </w:rPr>
        <w:t xml:space="preserve">2019年顯著下降，乃由於零售獨立財務顧問渠道的中國內地客戶在過往擁有較高的銷售比重。新業務價值利潤率</w:t>
      </w:r>
    </w:p>
    <w:p>
      <w:pPr>
        <w:pStyle w:val="BodyText"/>
      </w:pPr>
      <w:r>
        <w:rPr>
          <w:rFonts w:hint="eastAsia"/>
        </w:rPr>
        <w:t xml:space="preserve">下降21.4個百分點，反映新業務量減少導致承保開支超支、產品組合變動及利率下降的影響所致。</w:t>
      </w:r>
    </w:p>
    <w:p>
      <w:pPr>
        <w:pStyle w:val="BodyText"/>
      </w:pPr>
      <w:r>
        <w:rPr>
          <w:rFonts w:hint="eastAsia"/>
        </w:rPr>
        <w:t xml:space="preserve">稅後營運溢利上升10%，主要受到我們高質素的有效保單組合增長的推動，續保保費亦增加11%。這也受惠於有</w:t>
      </w:r>
    </w:p>
    <w:p>
      <w:pPr>
        <w:pStyle w:val="BodyText"/>
      </w:pPr>
      <w:r>
        <w:rPr>
          <w:rFonts w:hint="eastAsia"/>
        </w:rPr>
        <w:t xml:space="preserve">利的理賠經驗大幅抵銷了債券收益率下跌造成的投資收入減少，及自2019年末起長期投資回報假設下降所造成的</w:t>
      </w:r>
    </w:p>
    <w:p>
      <w:pPr>
        <w:pStyle w:val="BodyText"/>
      </w:pPr>
      <w:r>
        <w:rPr>
          <w:rFonts w:hint="eastAsia"/>
        </w:rPr>
        <w:t xml:space="preserve">負面影響。</w:t>
      </w:r>
    </w:p>
    <w:p>
      <w:pPr>
        <w:pStyle w:val="BodyText"/>
      </w:pPr>
      <w:r>
        <w:rPr>
          <w:rFonts w:hint="eastAsia"/>
        </w:rPr>
        <w:t xml:space="preserve">泰國</w:t>
      </w:r>
    </w:p>
    <w:p>
      <w:pPr>
        <w:pStyle w:val="BodyText"/>
      </w:pPr>
      <w:r>
        <w:rPr>
          <w:rFonts w:hint="eastAsia"/>
        </w:rPr>
        <w:t xml:space="preserve">百萬美元，除另有說明外</w:t>
      </w:r>
    </w:p>
    <w:p>
      <w:pPr>
        <w:pStyle w:val="BodyText"/>
      </w:pPr>
      <w:r>
        <w:rPr>
          <w:rFonts w:hint="eastAsia"/>
        </w:rPr>
        <w:t xml:space="preserve">新業務價值</w:t>
      </w:r>
    </w:p>
    <w:p>
      <w:pPr>
        <w:pStyle w:val="BodyText"/>
      </w:pPr>
      <w:r>
        <w:rPr>
          <w:rFonts w:hint="eastAsia"/>
        </w:rPr>
        <w:t xml:space="preserve">新業務價值利潤率</w:t>
      </w:r>
    </w:p>
    <w:p>
      <w:pPr>
        <w:pStyle w:val="BodyText"/>
      </w:pPr>
      <w:r>
        <w:rPr>
          <w:rFonts w:hint="eastAsia"/>
        </w:rPr>
        <w:t xml:space="preserve">年化新保費</w:t>
      </w:r>
    </w:p>
    <w:p>
      <w:pPr>
        <w:pStyle w:val="BodyText"/>
      </w:pPr>
      <w:r>
        <w:rPr>
          <w:rFonts w:hint="eastAsia"/>
        </w:rPr>
        <w:t xml:space="preserve">總加權保費收入</w:t>
      </w:r>
    </w:p>
    <w:p>
      <w:pPr>
        <w:pStyle w:val="BodyText"/>
      </w:pPr>
      <w:r>
        <w:rPr>
          <w:rFonts w:hint="eastAsia"/>
        </w:rPr>
        <w:t xml:space="preserve">稅後營運溢利</w:t>
      </w:r>
    </w:p>
    <w:p>
      <w:pPr>
        <w:pStyle w:val="BodyText"/>
      </w:pPr>
      <w:r>
        <w:rPr>
          <w:rFonts w:hint="eastAsia"/>
        </w:rPr>
        <w:t xml:space="preserve">2020年</w:t>
      </w:r>
    </w:p>
    <w:p>
      <w:pPr>
        <w:pStyle w:val="BodyText"/>
      </w:pPr>
      <w:r>
        <w:t xml:space="preserve">469</w:t>
      </w:r>
    </w:p>
    <w:p>
      <w:pPr>
        <w:pStyle w:val="BodyText"/>
      </w:pPr>
      <w:r>
        <w:t xml:space="preserve">71.0%</w:t>
      </w:r>
    </w:p>
    <w:p>
      <w:pPr>
        <w:pStyle w:val="BodyText"/>
      </w:pPr>
      <w:r>
        <w:t xml:space="preserve">661</w:t>
      </w:r>
    </w:p>
    <w:p>
      <w:pPr>
        <w:pStyle w:val="BodyText"/>
      </w:pPr>
      <w:r>
        <w:t xml:space="preserve">4,462</w:t>
      </w:r>
    </w:p>
    <w:p>
      <w:pPr>
        <w:pStyle w:val="BodyText"/>
      </w:pPr>
      <w:r>
        <w:t xml:space="preserve">987</w:t>
      </w:r>
    </w:p>
    <w:p>
      <w:pPr>
        <w:pStyle w:val="BodyText"/>
      </w:pPr>
      <w:r>
        <w:rPr>
          <w:rFonts w:hint="eastAsia"/>
        </w:rPr>
        <w:t xml:space="preserve">2019年</w:t>
      </w:r>
    </w:p>
    <w:p>
      <w:pPr>
        <w:pStyle w:val="BodyText"/>
      </w:pPr>
      <w:r>
        <w:t xml:space="preserve">494</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(4)%</w:t>
      </w:r>
    </w:p>
    <w:p>
      <w:pPr>
        <w:pStyle w:val="BodyText"/>
      </w:pPr>
      <w:r>
        <w:t xml:space="preserve">(5)%</w:t>
      </w:r>
    </w:p>
    <w:p>
      <w:pPr>
        <w:pStyle w:val="BodyText"/>
      </w:pPr>
      <w:r>
        <w:t xml:space="preserve">67.7%</w:t>
      </w:r>
    </w:p>
    <w:p>
      <w:pPr>
        <w:pStyle w:val="BodyText"/>
      </w:pPr>
      <w:r>
        <w:rPr>
          <w:rFonts w:hint="eastAsia"/>
        </w:rPr>
        <w:t xml:space="preserve">3.2個百分點</w:t>
      </w:r>
      <w:r>
        <w:t xml:space="preserve"> </w:t>
      </w:r>
      <w:r>
        <w:rPr>
          <w:rFonts w:hint="eastAsia"/>
        </w:rPr>
        <w:t xml:space="preserve">3.3個百分點</w:t>
      </w:r>
    </w:p>
    <w:p>
      <w:pPr>
        <w:pStyle w:val="BodyText"/>
      </w:pPr>
      <w:r>
        <w:t xml:space="preserve">729</w:t>
      </w:r>
    </w:p>
    <w:p>
      <w:pPr>
        <w:pStyle w:val="BodyText"/>
      </w:pPr>
      <w:r>
        <w:t xml:space="preserve">4,352</w:t>
      </w:r>
    </w:p>
    <w:p>
      <w:pPr>
        <w:pStyle w:val="BodyText"/>
      </w:pPr>
      <w:r>
        <w:t xml:space="preserve">1,064</w:t>
      </w:r>
    </w:p>
    <w:p>
      <w:pPr>
        <w:pStyle w:val="BodyText"/>
      </w:pPr>
      <w:r>
        <w:t xml:space="preserve">(9)%</w:t>
      </w:r>
    </w:p>
    <w:p>
      <w:pPr>
        <w:pStyle w:val="BodyText"/>
      </w:pPr>
      <w:r>
        <w:t xml:space="preserve">3%</w:t>
      </w:r>
    </w:p>
    <w:p>
      <w:pPr>
        <w:pStyle w:val="BodyText"/>
      </w:pPr>
      <w:r>
        <w:t xml:space="preserve">(7)%</w:t>
      </w:r>
    </w:p>
    <w:p>
      <w:pPr>
        <w:pStyle w:val="BodyText"/>
      </w:pPr>
      <w:r>
        <w:t xml:space="preserve">(9)%</w:t>
      </w:r>
    </w:p>
    <w:p>
      <w:pPr>
        <w:pStyle w:val="BodyText"/>
      </w:pPr>
      <w:r>
        <w:t xml:space="preserve">3%</w:t>
      </w:r>
    </w:p>
    <w:p>
      <w:pPr>
        <w:pStyle w:val="BodyText"/>
      </w:pPr>
      <w:r>
        <w:t xml:space="preserve">(7)%</w:t>
      </w:r>
    </w:p>
    <w:p>
      <w:pPr>
        <w:pStyle w:val="BodyText"/>
      </w:pPr>
      <w:r>
        <w:rPr>
          <w:rFonts w:hint="eastAsia"/>
        </w:rPr>
        <w:t xml:space="preserve">友邦保險泰國業務在下半年締造卓越佳績，與上半年比較，新業務價值增長33%。雖然新業務價值全年下降</w:t>
      </w:r>
    </w:p>
    <w:p>
      <w:pPr>
        <w:pStyle w:val="BodyText"/>
      </w:pPr>
      <w:r>
        <w:rPr>
          <w:rFonts w:hint="eastAsia"/>
        </w:rPr>
        <w:t xml:space="preserve">4%，但隨著下半年外出限制放寬和商業活動開始回復正常，新業務價值錄得正面按月增長。</w:t>
      </w:r>
    </w:p>
    <w:p>
      <w:pPr>
        <w:pStyle w:val="BodyText"/>
      </w:pPr>
      <w:r>
        <w:rPr>
          <w:rFonts w:hint="eastAsia"/>
        </w:rPr>
        <w:t xml:space="preserve">代理分銷方面，我們持續專注執行別具優勢的「財務顧問」計劃，帶動2020年下半年的新入職代理人數較上半年</w:t>
      </w:r>
    </w:p>
    <w:p>
      <w:pPr>
        <w:pStyle w:val="BodyText"/>
      </w:pPr>
      <w:r>
        <w:rPr>
          <w:rFonts w:hint="eastAsia"/>
        </w:rPr>
        <w:t xml:space="preserve">超過兩倍。我們與盤谷銀行的策略性銀行保險夥伴關係亦在年內帶來正面的年化新保費增長。</w:t>
      </w:r>
    </w:p>
    <w:p>
      <w:pPr>
        <w:pStyle w:val="BodyText"/>
      </w:pPr>
      <w:r>
        <w:rPr>
          <w:rFonts w:hint="eastAsia"/>
        </w:rPr>
        <w:t xml:space="preserve">2019冠狀病毒病大流行使客戶對個人保障需求的意識提高，導致產品組合大幅轉移至長期保障產品和醫療附加保</w:t>
      </w:r>
    </w:p>
    <w:p>
      <w:pPr>
        <w:pStyle w:val="BodyText"/>
      </w:pPr>
      <w:r>
        <w:rPr>
          <w:rFonts w:hint="eastAsia"/>
        </w:rPr>
        <w:t xml:space="preserve">險，推動新業務價值利潤率上升至71.0%。稅後營運溢利減少7%，乃由於年內有效保單增長和下半年的正面營運</w:t>
      </w:r>
    </w:p>
    <w:p>
      <w:pPr>
        <w:pStyle w:val="BodyText"/>
      </w:pPr>
      <w:r>
        <w:rPr>
          <w:rFonts w:hint="eastAsia"/>
        </w:rPr>
        <w:t xml:space="preserve">經驗被早前披露的股市回報跌幅所抵銷。</w:t>
      </w:r>
    </w:p>
    <w:p>
      <w:pPr>
        <w:pStyle w:val="BodyText"/>
      </w:pPr>
      <w:r>
        <w:t xml:space="preserve">052</w:t>
      </w:r>
    </w:p>
    <w:p>
      <w:pPr>
        <w:pStyle w:val="BodyText"/>
      </w:pPr>
      <w:r>
        <w:rPr>
          <w:rFonts w:hint="eastAsia"/>
        </w:rPr>
        <w:t xml:space="preserve">財務及營運回顧友邦保險控股有限公司業務回顧</w:t>
      </w:r>
    </w:p>
    <w:p>
      <w:pPr>
        <w:pStyle w:val="BodyText"/>
      </w:pPr>
      <w:r>
        <w:rPr>
          <w:rFonts w:hint="eastAsia"/>
        </w:rPr>
        <w:t xml:space="preserve">新加坡</w:t>
      </w:r>
    </w:p>
    <w:p>
      <w:pPr>
        <w:pStyle w:val="BodyText"/>
      </w:pPr>
      <w:r>
        <w:rPr>
          <w:rFonts w:hint="eastAsia"/>
        </w:rPr>
        <w:t xml:space="preserve">百萬美元，除另有說明外</w:t>
      </w:r>
    </w:p>
    <w:p>
      <w:pPr>
        <w:pStyle w:val="BodyText"/>
      </w:pPr>
      <w:r>
        <w:rPr>
          <w:rFonts w:hint="eastAsia"/>
        </w:rPr>
        <w:t xml:space="preserve">新業務價值</w:t>
      </w:r>
    </w:p>
    <w:p>
      <w:pPr>
        <w:pStyle w:val="BodyText"/>
      </w:pPr>
      <w:r>
        <w:rPr>
          <w:rFonts w:hint="eastAsia"/>
        </w:rPr>
        <w:t xml:space="preserve">新業務價值利潤率</w:t>
      </w:r>
    </w:p>
    <w:p>
      <w:pPr>
        <w:pStyle w:val="BodyText"/>
      </w:pPr>
      <w:r>
        <w:rPr>
          <w:rFonts w:hint="eastAsia"/>
        </w:rPr>
        <w:t xml:space="preserve">年化新保費</w:t>
      </w:r>
    </w:p>
    <w:p>
      <w:pPr>
        <w:pStyle w:val="BodyText"/>
      </w:pPr>
      <w:r>
        <w:rPr>
          <w:rFonts w:hint="eastAsia"/>
        </w:rPr>
        <w:t xml:space="preserve">總加權保費收入</w:t>
      </w:r>
    </w:p>
    <w:p>
      <w:pPr>
        <w:pStyle w:val="BodyText"/>
      </w:pPr>
      <w:r>
        <w:rPr>
          <w:rFonts w:hint="eastAsia"/>
        </w:rPr>
        <w:t xml:space="preserve">稅後營運溢利</w:t>
      </w:r>
    </w:p>
    <w:p>
      <w:pPr>
        <w:pStyle w:val="BodyText"/>
      </w:pPr>
      <w:r>
        <w:rPr>
          <w:rFonts w:hint="eastAsia"/>
        </w:rPr>
        <w:t xml:space="preserve">2020年</w:t>
      </w:r>
    </w:p>
    <w:p>
      <w:pPr>
        <w:pStyle w:val="BodyText"/>
      </w:pPr>
      <w:r>
        <w:t xml:space="preserve">330</w:t>
      </w:r>
    </w:p>
    <w:p>
      <w:pPr>
        <w:pStyle w:val="BodyText"/>
      </w:pPr>
      <w:r>
        <w:t xml:space="preserve">63.4%</w:t>
      </w:r>
    </w:p>
    <w:p>
      <w:pPr>
        <w:pStyle w:val="BodyText"/>
      </w:pPr>
      <w:r>
        <w:t xml:space="preserve">520</w:t>
      </w:r>
    </w:p>
    <w:p>
      <w:pPr>
        <w:pStyle w:val="BodyText"/>
      </w:pPr>
      <w:r>
        <w:t xml:space="preserve">3,088</w:t>
      </w:r>
    </w:p>
    <w:p>
      <w:pPr>
        <w:pStyle w:val="BodyText"/>
      </w:pPr>
      <w:r>
        <w:t xml:space="preserve">621</w:t>
      </w:r>
    </w:p>
    <w:p>
      <w:pPr>
        <w:pStyle w:val="BodyText"/>
      </w:pPr>
      <w:r>
        <w:rPr>
          <w:rFonts w:hint="eastAsia"/>
        </w:rPr>
        <w:t xml:space="preserve">2019年</w:t>
      </w:r>
    </w:p>
    <w:p>
      <w:pPr>
        <w:pStyle w:val="BodyText"/>
      </w:pPr>
      <w:r>
        <w:t xml:space="preserve">352</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(5)%</w:t>
      </w:r>
    </w:p>
    <w:p>
      <w:pPr>
        <w:pStyle w:val="BodyText"/>
      </w:pPr>
      <w:r>
        <w:t xml:space="preserve">(6)%</w:t>
      </w:r>
    </w:p>
    <w:p>
      <w:pPr>
        <w:pStyle w:val="BodyText"/>
      </w:pPr>
      <w:r>
        <w:t xml:space="preserve">65.5% </w:t>
      </w:r>
      <w:r>
        <w:rPr>
          <w:rFonts w:hint="eastAsia"/>
        </w:rPr>
        <w:t xml:space="preserve">(2.2)個百分點</w:t>
      </w:r>
      <w:r>
        <w:t xml:space="preserve"> </w:t>
      </w:r>
      <w:r>
        <w:rPr>
          <w:rFonts w:hint="eastAsia"/>
        </w:rPr>
        <w:t xml:space="preserve">(2.1)個百分點</w:t>
      </w:r>
    </w:p>
    <w:p>
      <w:pPr>
        <w:pStyle w:val="BodyText"/>
      </w:pPr>
      <w:r>
        <w:t xml:space="preserve">538</w:t>
      </w:r>
    </w:p>
    <w:p>
      <w:pPr>
        <w:pStyle w:val="BodyText"/>
      </w:pPr>
      <w:r>
        <w:t xml:space="preserve">2,916</w:t>
      </w:r>
    </w:p>
    <w:p>
      <w:pPr>
        <w:pStyle w:val="BodyText"/>
      </w:pPr>
      <w:r>
        <w:t xml:space="preserve">583</w:t>
      </w:r>
    </w:p>
    <w:p>
      <w:pPr>
        <w:pStyle w:val="BodyText"/>
      </w:pPr>
      <w:r>
        <w:t xml:space="preserve">(2)%</w:t>
      </w:r>
    </w:p>
    <w:p>
      <w:pPr>
        <w:pStyle w:val="BodyText"/>
      </w:pPr>
      <w:r>
        <w:t xml:space="preserve">7%</w:t>
      </w:r>
    </w:p>
    <w:p>
      <w:pPr>
        <w:pStyle w:val="BodyText"/>
      </w:pPr>
      <w:r>
        <w:t xml:space="preserve">8%</w:t>
      </w:r>
    </w:p>
    <w:p>
      <w:pPr>
        <w:pStyle w:val="BodyText"/>
      </w:pPr>
      <w:r>
        <w:t xml:space="preserve">(3)%</w:t>
      </w:r>
    </w:p>
    <w:p>
      <w:pPr>
        <w:pStyle w:val="BodyText"/>
      </w:pPr>
      <w:r>
        <w:t xml:space="preserve">6%</w:t>
      </w:r>
    </w:p>
    <w:p>
      <w:pPr>
        <w:pStyle w:val="BodyText"/>
      </w:pPr>
      <w:r>
        <w:t xml:space="preserve">7%</w:t>
      </w:r>
    </w:p>
    <w:p>
      <w:pPr>
        <w:pStyle w:val="BodyText"/>
      </w:pPr>
      <w:r>
        <w:rPr>
          <w:rFonts w:hint="eastAsia"/>
        </w:rPr>
        <w:t xml:space="preserve">友邦保險新加坡業務在下半年實現卓越的復甦。與上半年比較，2020年下半年的新業務價值上升56%，按年則上</w:t>
      </w:r>
    </w:p>
    <w:p>
      <w:pPr>
        <w:pStyle w:val="BodyText"/>
      </w:pPr>
      <w:r>
        <w:rPr>
          <w:rFonts w:hint="eastAsia"/>
        </w:rPr>
        <w:t xml:space="preserve">升12%。新業務價值全年下降5%，原因是我們的代理渠道新業務的增長被夥伴分銷新業務的減少抵銷，其中向</w:t>
      </w:r>
    </w:p>
    <w:p>
      <w:pPr>
        <w:pStyle w:val="BodyText"/>
      </w:pPr>
      <w:r>
        <w:rPr>
          <w:rFonts w:hint="eastAsia"/>
        </w:rPr>
        <w:t xml:space="preserve">離岸客戶群的銷售尤其受到2019冠狀病毒病相關的邊境管制措施影響。</w:t>
      </w:r>
    </w:p>
    <w:p>
      <w:pPr>
        <w:pStyle w:val="BodyText"/>
      </w:pPr>
      <w:r>
        <w:rPr>
          <w:rFonts w:hint="eastAsia"/>
        </w:rPr>
        <w:t xml:space="preserve">我們廣泛採用新數碼銷售技術，即使在最嚴格的封鎖措施期間，代理亦可透過遙距方式銷售保單，此措施有助提</w:t>
      </w:r>
    </w:p>
    <w:p>
      <w:pPr>
        <w:pStyle w:val="BodyText"/>
      </w:pPr>
      <w:r>
        <w:rPr>
          <w:rFonts w:hint="eastAsia"/>
        </w:rPr>
        <w:t xml:space="preserve">高2020年的代理生產力。隨著遏制傳播措施放寬，大量銷售繼續在無面對面會議的情況下完成。</w:t>
      </w:r>
    </w:p>
    <w:p>
      <w:pPr>
        <w:pStyle w:val="BodyText"/>
      </w:pPr>
      <w:r>
        <w:rPr>
          <w:rFonts w:hint="eastAsia"/>
        </w:rPr>
        <w:t xml:space="preserve">雖然新業務價值利潤率全年下降2.2個百分點，下半年新業務價值利潤率較上半年上升7.0個百分點。這升幅大部</w:t>
      </w:r>
    </w:p>
    <w:p>
      <w:pPr>
        <w:pStyle w:val="BodyText"/>
      </w:pPr>
      <w:r>
        <w:rPr>
          <w:rFonts w:hint="eastAsia"/>
        </w:rPr>
        <w:t xml:space="preserve">分抵銷上半年的跌幅，反映產品組合的轉變，加上新業務量上升使承保開支超支的幅度減少。稅後營運溢利增長</w:t>
      </w:r>
    </w:p>
    <w:p>
      <w:pPr>
        <w:pStyle w:val="BodyText"/>
      </w:pPr>
      <w:r>
        <w:rPr>
          <w:rFonts w:hint="eastAsia"/>
        </w:rPr>
        <w:t xml:space="preserve">8%，受惠於我們的有效保單組合的增長及利好的營運經驗。</w:t>
      </w:r>
    </w:p>
    <w:p>
      <w:pPr>
        <w:pStyle w:val="BodyText"/>
      </w:pPr>
      <w:r>
        <w:rPr>
          <w:rFonts w:hint="eastAsia"/>
        </w:rPr>
        <w:t xml:space="preserve">馬來西亞</w:t>
      </w:r>
    </w:p>
    <w:p>
      <w:pPr>
        <w:pStyle w:val="BodyText"/>
      </w:pPr>
      <w:r>
        <w:rPr>
          <w:rFonts w:hint="eastAsia"/>
        </w:rPr>
        <w:t xml:space="preserve">百萬美元，除另有說明外</w:t>
      </w:r>
    </w:p>
    <w:p>
      <w:pPr>
        <w:pStyle w:val="BodyText"/>
      </w:pPr>
      <w:r>
        <w:rPr>
          <w:rFonts w:hint="eastAsia"/>
        </w:rPr>
        <w:t xml:space="preserve">新業務價值</w:t>
      </w:r>
    </w:p>
    <w:p>
      <w:pPr>
        <w:pStyle w:val="BodyText"/>
      </w:pPr>
      <w:r>
        <w:rPr>
          <w:rFonts w:hint="eastAsia"/>
        </w:rPr>
        <w:t xml:space="preserve">新業務價值利潤率</w:t>
      </w:r>
    </w:p>
    <w:p>
      <w:pPr>
        <w:pStyle w:val="BodyText"/>
      </w:pPr>
      <w:r>
        <w:rPr>
          <w:rFonts w:hint="eastAsia"/>
        </w:rPr>
        <w:t xml:space="preserve">年化新保費</w:t>
      </w:r>
    </w:p>
    <w:p>
      <w:pPr>
        <w:pStyle w:val="BodyText"/>
      </w:pPr>
      <w:r>
        <w:rPr>
          <w:rFonts w:hint="eastAsia"/>
        </w:rPr>
        <w:t xml:space="preserve">總加權保費收入</w:t>
      </w:r>
    </w:p>
    <w:p>
      <w:pPr>
        <w:pStyle w:val="BodyText"/>
      </w:pPr>
      <w:r>
        <w:rPr>
          <w:rFonts w:hint="eastAsia"/>
        </w:rPr>
        <w:t xml:space="preserve">稅後營運溢利</w:t>
      </w:r>
    </w:p>
    <w:p>
      <w:pPr>
        <w:pStyle w:val="BodyText"/>
      </w:pPr>
      <w:r>
        <w:rPr>
          <w:rFonts w:hint="eastAsia"/>
        </w:rPr>
        <w:t xml:space="preserve">2020年</w:t>
      </w:r>
    </w:p>
    <w:p>
      <w:pPr>
        <w:pStyle w:val="BodyText"/>
      </w:pPr>
      <w:r>
        <w:t xml:space="preserve">222</w:t>
      </w:r>
    </w:p>
    <w:p>
      <w:pPr>
        <w:pStyle w:val="BodyText"/>
      </w:pPr>
      <w:r>
        <w:t xml:space="preserve">59.9%</w:t>
      </w:r>
    </w:p>
    <w:p>
      <w:pPr>
        <w:pStyle w:val="BodyText"/>
      </w:pPr>
      <w:r>
        <w:t xml:space="preserve">369</w:t>
      </w:r>
    </w:p>
    <w:p>
      <w:pPr>
        <w:pStyle w:val="BodyText"/>
      </w:pPr>
      <w:r>
        <w:t xml:space="preserve">2,216</w:t>
      </w:r>
    </w:p>
    <w:p>
      <w:pPr>
        <w:pStyle w:val="BodyText"/>
      </w:pPr>
      <w:r>
        <w:t xml:space="preserve">326</w:t>
      </w:r>
    </w:p>
    <w:p>
      <w:pPr>
        <w:pStyle w:val="BodyText"/>
      </w:pPr>
      <w:r>
        <w:rPr>
          <w:rFonts w:hint="eastAsia"/>
        </w:rPr>
        <w:t xml:space="preserve">2019年</w:t>
      </w:r>
    </w:p>
    <w:p>
      <w:pPr>
        <w:pStyle w:val="BodyText"/>
      </w:pPr>
      <w:r>
        <w:t xml:space="preserve">258</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(13)%</w:t>
      </w:r>
    </w:p>
    <w:p>
      <w:pPr>
        <w:pStyle w:val="BodyText"/>
      </w:pPr>
      <w:r>
        <w:t xml:space="preserve">(14)%</w:t>
      </w:r>
    </w:p>
    <w:p>
      <w:pPr>
        <w:pStyle w:val="BodyText"/>
      </w:pPr>
      <w:r>
        <w:t xml:space="preserve">63.1% </w:t>
      </w:r>
      <w:r>
        <w:rPr>
          <w:rFonts w:hint="eastAsia"/>
        </w:rPr>
        <w:t xml:space="preserve">(3.1)個百分點</w:t>
      </w:r>
      <w:r>
        <w:t xml:space="preserve"> </w:t>
      </w:r>
      <w:r>
        <w:rPr>
          <w:rFonts w:hint="eastAsia"/>
        </w:rPr>
        <w:t xml:space="preserve">(3.2)個百分點</w:t>
      </w:r>
    </w:p>
    <w:p>
      <w:pPr>
        <w:pStyle w:val="BodyText"/>
      </w:pPr>
      <w:r>
        <w:t xml:space="preserve">406</w:t>
      </w:r>
    </w:p>
    <w:p>
      <w:pPr>
        <w:pStyle w:val="BodyText"/>
      </w:pPr>
      <w:r>
        <w:t xml:space="preserve">2,142</w:t>
      </w:r>
    </w:p>
    <w:p>
      <w:pPr>
        <w:pStyle w:val="BodyText"/>
      </w:pPr>
      <w:r>
        <w:t xml:space="preserve">333</w:t>
      </w:r>
    </w:p>
    <w:p>
      <w:pPr>
        <w:pStyle w:val="BodyText"/>
      </w:pPr>
      <w:r>
        <w:t xml:space="preserve">(8)%</w:t>
      </w:r>
    </w:p>
    <w:p>
      <w:pPr>
        <w:pStyle w:val="BodyText"/>
      </w:pPr>
      <w:r>
        <w:t xml:space="preserve">5%</w:t>
      </w:r>
    </w:p>
    <w:p>
      <w:pPr>
        <w:pStyle w:val="BodyText"/>
      </w:pPr>
      <w:r>
        <w:t xml:space="preserve">(2)%</w:t>
      </w:r>
    </w:p>
    <w:p>
      <w:pPr>
        <w:pStyle w:val="BodyText"/>
      </w:pPr>
      <w:r>
        <w:t xml:space="preserve">(9)%</w:t>
      </w:r>
    </w:p>
    <w:p>
      <w:pPr>
        <w:pStyle w:val="BodyText"/>
      </w:pPr>
      <w:r>
        <w:t xml:space="preserve">3%</w:t>
      </w:r>
    </w:p>
    <w:p>
      <w:pPr>
        <w:pStyle w:val="BodyText"/>
      </w:pPr>
      <w:r>
        <w:t xml:space="preserve">(2)%</w:t>
      </w:r>
    </w:p>
    <w:p>
      <w:pPr>
        <w:pStyle w:val="BodyText"/>
      </w:pPr>
      <w:r>
        <w:rPr>
          <w:rFonts w:hint="eastAsia"/>
        </w:rPr>
        <w:t xml:space="preserve">友邦保險馬來西亞業務在下半年表現強勁回升，部分抵消2019冠狀病毒病外出限制措施對業務的早期影響。雖然</w:t>
      </w:r>
    </w:p>
    <w:p>
      <w:pPr>
        <w:pStyle w:val="BodyText"/>
      </w:pPr>
      <w:r>
        <w:rPr>
          <w:rFonts w:hint="eastAsia"/>
        </w:rPr>
        <w:t xml:space="preserve">全年的新業務價值較2019年減少13%，但下半年的新業務價值錄得雙位數字的按年增長。</w:t>
      </w:r>
    </w:p>
    <w:p>
      <w:pPr>
        <w:pStyle w:val="BodyText"/>
      </w:pPr>
      <w:r>
        <w:rPr>
          <w:rFonts w:hint="eastAsia"/>
        </w:rPr>
        <w:t xml:space="preserve">代理分銷方面，我們仍然專注於優質招聘，帶動新入職代理人數錄得雙位數字的增長。下半年，在我們廣泛應用</w:t>
      </w:r>
    </w:p>
    <w:p>
      <w:pPr>
        <w:pStyle w:val="BodyText"/>
      </w:pPr>
      <w:r>
        <w:rPr>
          <w:rFonts w:hint="eastAsia"/>
        </w:rPr>
        <w:t xml:space="preserve">於上半年推出的嶄新流動數碼工具的幫助下，活躍代理人數及個案生產力超越2019年水平。夥伴分銷業務方面，</w:t>
      </w:r>
    </w:p>
    <w:p>
      <w:pPr>
        <w:pStyle w:val="BodyText"/>
      </w:pPr>
      <w:r>
        <w:rPr>
          <w:rFonts w:hint="eastAsia"/>
        </w:rPr>
        <w:t xml:space="preserve">我們與獨家銀行保險夥伴大眾銀行合作，以優化及精簡分行活動管理流程，帶動下半年新業務價值較上半年升近</w:t>
      </w:r>
    </w:p>
    <w:p>
      <w:pPr>
        <w:pStyle w:val="BodyText"/>
      </w:pPr>
      <w:r>
        <w:rPr>
          <w:rFonts w:hint="eastAsia"/>
        </w:rPr>
        <w:t xml:space="preserve">一倍。</w:t>
      </w:r>
    </w:p>
    <w:p>
      <w:pPr>
        <w:pStyle w:val="BodyText"/>
      </w:pPr>
      <w:r>
        <w:rPr>
          <w:rFonts w:hint="eastAsia"/>
        </w:rPr>
        <w:t xml:space="preserve">產品組合的正面轉變，加上承保開支超支幅度減少，支持新業務價值利潤率在下半年回升16.6個百分點，而2020</w:t>
      </w:r>
    </w:p>
    <w:p>
      <w:pPr>
        <w:pStyle w:val="BodyText"/>
      </w:pPr>
      <w:r>
        <w:rPr>
          <w:rFonts w:hint="eastAsia"/>
        </w:rPr>
        <w:t xml:space="preserve">年整體利潤率為59.9%。稅後營運溢利減少2%，主要由於早前所述就一項旨在識別及支付累計未報告死亡理賠的</w:t>
      </w:r>
    </w:p>
    <w:p>
      <w:pPr>
        <w:pStyle w:val="BodyText"/>
      </w:pPr>
      <w:r>
        <w:rPr>
          <w:rFonts w:hint="eastAsia"/>
        </w:rPr>
        <w:t xml:space="preserve">行業性舉措所準備的一筆一次性撥備所導致。撇除該撥備，稅後營運溢利增加8%。</w:t>
      </w:r>
    </w:p>
    <w:p>
      <w:pPr>
        <w:pStyle w:val="BodyText"/>
      </w:pPr>
      <w:r>
        <w:t xml:space="preserve">053</w:t>
      </w:r>
    </w:p>
    <w:p>
      <w:pPr>
        <w:pStyle w:val="BodyText"/>
      </w:pPr>
      <w:r>
        <w:rPr>
          <w:rFonts w:hint="eastAsia"/>
        </w:rPr>
        <w:t xml:space="preserve">概覽財務及營運回顧企業管治其他資料財務報表2020年報</w:t>
      </w:r>
    </w:p>
    <w:p>
      <w:pPr>
        <w:pStyle w:val="BodyText"/>
      </w:pPr>
      <w:r>
        <w:rPr>
          <w:rFonts w:hint="eastAsia"/>
        </w:rPr>
        <w:t xml:space="preserve">其他市場</w:t>
      </w:r>
    </w:p>
    <w:p>
      <w:pPr>
        <w:pStyle w:val="BodyText"/>
      </w:pPr>
      <w:r>
        <w:rPr>
          <w:rFonts w:hint="eastAsia"/>
        </w:rPr>
        <w:t xml:space="preserve">百萬美元，除另有說明外</w:t>
      </w:r>
    </w:p>
    <w:p>
      <w:pPr>
        <w:pStyle w:val="BodyText"/>
      </w:pPr>
      <w:r>
        <w:rPr>
          <w:rFonts w:hint="eastAsia"/>
        </w:rPr>
        <w:t xml:space="preserve">新業務價值</w:t>
      </w:r>
    </w:p>
    <w:p>
      <w:pPr>
        <w:pStyle w:val="BodyText"/>
      </w:pPr>
      <w:r>
        <w:rPr>
          <w:rFonts w:hint="eastAsia"/>
        </w:rPr>
        <w:t xml:space="preserve">新業務價值利潤率</w:t>
      </w:r>
    </w:p>
    <w:p>
      <w:pPr>
        <w:pStyle w:val="BodyText"/>
      </w:pPr>
      <w:r>
        <w:rPr>
          <w:rFonts w:hint="eastAsia"/>
        </w:rPr>
        <w:t xml:space="preserve">年化新保費</w:t>
      </w:r>
    </w:p>
    <w:p>
      <w:pPr>
        <w:pStyle w:val="BodyText"/>
      </w:pPr>
      <w:r>
        <w:rPr>
          <w:rFonts w:hint="eastAsia"/>
        </w:rPr>
        <w:t xml:space="preserve">總加權保費收入</w:t>
      </w:r>
    </w:p>
    <w:p>
      <w:pPr>
        <w:pStyle w:val="BodyText"/>
      </w:pPr>
      <w:r>
        <w:rPr>
          <w:rFonts w:hint="eastAsia"/>
        </w:rPr>
        <w:t xml:space="preserve">稅後營運溢利</w:t>
      </w:r>
    </w:p>
    <w:p>
      <w:pPr>
        <w:pStyle w:val="BodyText"/>
      </w:pPr>
      <w:r>
        <w:rPr>
          <w:rFonts w:hint="eastAsia"/>
        </w:rPr>
        <w:t xml:space="preserve">2020年</w:t>
      </w:r>
    </w:p>
    <w:p>
      <w:pPr>
        <w:pStyle w:val="BodyText"/>
      </w:pPr>
      <w:r>
        <w:t xml:space="preserve">514</w:t>
      </w:r>
    </w:p>
    <w:p>
      <w:pPr>
        <w:pStyle w:val="BodyText"/>
      </w:pPr>
      <w:r>
        <w:t xml:space="preserve">38.4%</w:t>
      </w:r>
    </w:p>
    <w:p>
      <w:pPr>
        <w:pStyle w:val="BodyText"/>
      </w:pPr>
      <w:r>
        <w:t xml:space="preserve">1,334</w:t>
      </w:r>
    </w:p>
    <w:p>
      <w:pPr>
        <w:pStyle w:val="BodyText"/>
      </w:pPr>
      <w:r>
        <w:t xml:space="preserve">6,978</w:t>
      </w:r>
    </w:p>
    <w:p>
      <w:pPr>
        <w:pStyle w:val="BodyText"/>
      </w:pPr>
      <w:r>
        <w:t xml:space="preserve">687</w:t>
      </w:r>
    </w:p>
    <w:p>
      <w:pPr>
        <w:pStyle w:val="BodyText"/>
      </w:pPr>
      <w:r>
        <w:rPr>
          <w:rFonts w:hint="eastAsia"/>
        </w:rPr>
        <w:t xml:space="preserve">2019年</w:t>
      </w:r>
    </w:p>
    <w:p>
      <w:pPr>
        <w:pStyle w:val="BodyText"/>
      </w:pPr>
      <w:r>
        <w:t xml:space="preserve">535</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(4)%</w:t>
      </w:r>
    </w:p>
    <w:p>
      <w:pPr>
        <w:pStyle w:val="BodyText"/>
      </w:pPr>
      <w:r>
        <w:t xml:space="preserve">(4)%</w:t>
      </w:r>
    </w:p>
    <w:p>
      <w:pPr>
        <w:pStyle w:val="BodyText"/>
      </w:pPr>
      <w:r>
        <w:t xml:space="preserve">41.9% </w:t>
      </w:r>
      <w:r>
        <w:rPr>
          <w:rFonts w:hint="eastAsia"/>
        </w:rPr>
        <w:t xml:space="preserve">(3.7)個百分點</w:t>
      </w:r>
      <w:r>
        <w:t xml:space="preserve"> </w:t>
      </w:r>
      <w:r>
        <w:rPr>
          <w:rFonts w:hint="eastAsia"/>
        </w:rPr>
        <w:t xml:space="preserve">(3.5)個百分點</w:t>
      </w:r>
    </w:p>
    <w:p>
      <w:pPr>
        <w:pStyle w:val="BodyText"/>
      </w:pPr>
      <w:r>
        <w:t xml:space="preserve">1,271</w:t>
      </w:r>
    </w:p>
    <w:p>
      <w:pPr>
        <w:pStyle w:val="BodyText"/>
      </w:pPr>
      <w:r>
        <w:t xml:space="preserve">6,681</w:t>
      </w:r>
    </w:p>
    <w:p>
      <w:pPr>
        <w:pStyle w:val="BodyText"/>
      </w:pPr>
      <w:r>
        <w:t xml:space="preserve">772</w:t>
      </w:r>
    </w:p>
    <w:p>
      <w:pPr>
        <w:pStyle w:val="BodyText"/>
      </w:pPr>
      <w:r>
        <w:t xml:space="preserve">5%</w:t>
      </w:r>
    </w:p>
    <w:p>
      <w:pPr>
        <w:pStyle w:val="BodyText"/>
      </w:pPr>
      <w:r>
        <w:t xml:space="preserve">5%</w:t>
      </w:r>
    </w:p>
    <w:p>
      <w:pPr>
        <w:pStyle w:val="BodyText"/>
      </w:pPr>
      <w:r>
        <w:t xml:space="preserve">5%</w:t>
      </w:r>
    </w:p>
    <w:p>
      <w:pPr>
        <w:pStyle w:val="BodyText"/>
      </w:pPr>
      <w:r>
        <w:t xml:space="preserve">4%</w:t>
      </w:r>
    </w:p>
    <w:p>
      <w:pPr>
        <w:pStyle w:val="BodyText"/>
      </w:pPr>
      <w:r>
        <w:t xml:space="preserve">(11)%</w:t>
      </w:r>
    </w:p>
    <w:p>
      <w:pPr>
        <w:pStyle w:val="BodyText"/>
      </w:pPr>
      <w:r>
        <w:t xml:space="preserve">(11)%</w:t>
      </w:r>
    </w:p>
    <w:p>
      <w:pPr>
        <w:pStyle w:val="BodyText"/>
      </w:pPr>
      <w:r>
        <w:rPr>
          <w:rFonts w:hint="eastAsia"/>
        </w:rPr>
        <w:t xml:space="preserve">友邦保險的其他市場包括澳洲（包括新西蘭）、柬埔寨、印度、印尼、緬甸、菲律賓、南韓、斯里蘭卡、中國台</w:t>
      </w:r>
    </w:p>
    <w:p>
      <w:pPr>
        <w:pStyle w:val="BodyText"/>
      </w:pPr>
      <w:r>
        <w:rPr>
          <w:rFonts w:hint="eastAsia"/>
        </w:rPr>
        <w:t xml:space="preserve">灣及越南。2020年及2019年的新業務價值及年化新保費業績包含來自我們持股49%的Tata</w:t>
      </w:r>
      <w:r>
        <w:t xml:space="preserve"> AIA </w:t>
      </w:r>
      <w:r>
        <w:rPr>
          <w:rFonts w:hint="eastAsia"/>
        </w:rPr>
        <w:t xml:space="preserve">Life的業績。Tata</w:t>
      </w:r>
    </w:p>
    <w:p>
      <w:pPr>
        <w:pStyle w:val="BodyText"/>
      </w:pPr>
      <w:r>
        <w:t xml:space="preserve">AIA </w:t>
      </w:r>
      <w:r>
        <w:rPr>
          <w:rFonts w:hint="eastAsia"/>
        </w:rPr>
        <w:t xml:space="preserve">Life的國際財務報告準則業績繼續採用權益會計法計算。</w:t>
      </w:r>
    </w:p>
    <w:p>
      <w:pPr>
        <w:pStyle w:val="BodyText"/>
      </w:pPr>
      <w:r>
        <w:rPr>
          <w:rFonts w:hint="eastAsia"/>
        </w:rPr>
        <w:t xml:space="preserve">概覽</w:t>
      </w:r>
    </w:p>
    <w:p>
      <w:pPr>
        <w:pStyle w:val="BodyText"/>
      </w:pPr>
      <w:r>
        <w:rPr>
          <w:rFonts w:hint="eastAsia"/>
        </w:rPr>
        <w:t xml:space="preserve">與上半年比較，其他市場的新業務價值在2020年下半年上升10%，其中南韓和印尼錄得良好的復甦。整體來說，</w:t>
      </w:r>
    </w:p>
    <w:p>
      <w:pPr>
        <w:pStyle w:val="BodyText"/>
      </w:pPr>
      <w:r>
        <w:rPr>
          <w:rFonts w:hint="eastAsia"/>
        </w:rPr>
        <w:t xml:space="preserve">新西蘭、菲律賓及印尼錄得跌幅，導致新業務價值全年下降4%。其餘的市場均錄得正面新業務價值增長。與</w:t>
      </w:r>
    </w:p>
    <w:p>
      <w:pPr>
        <w:pStyle w:val="BodyText"/>
      </w:pPr>
      <w:r>
        <w:rPr>
          <w:rFonts w:hint="eastAsia"/>
        </w:rPr>
        <w:t xml:space="preserve">2019年比較，越南、中國台灣及印度的新業務價值在2020年錄得雙位數字的增長。稅後營運溢利下降11%，此乃</w:t>
      </w:r>
    </w:p>
    <w:p>
      <w:pPr>
        <w:pStyle w:val="BodyText"/>
      </w:pPr>
      <w:r>
        <w:rPr>
          <w:rFonts w:hint="eastAsia"/>
        </w:rPr>
        <w:t xml:space="preserve">由於友邦保險澳洲業務的稅後營運溢利較2019年減少6,800萬美元，主要由於較低的傷殘保險保單的收益率。而</w:t>
      </w:r>
    </w:p>
    <w:p>
      <w:pPr>
        <w:pStyle w:val="BodyText"/>
      </w:pPr>
      <w:r>
        <w:rPr>
          <w:rFonts w:hint="eastAsia"/>
        </w:rPr>
        <w:t xml:space="preserve">中國台灣及越南的稅後營運溢利增長大致抵銷印尼、菲律賓和南韓的跌幅。</w:t>
      </w:r>
    </w:p>
    <w:p>
      <w:pPr>
        <w:pStyle w:val="BodyText"/>
      </w:pPr>
      <w:r>
        <w:rPr>
          <w:rFonts w:hint="eastAsia"/>
        </w:rPr>
        <w:t xml:space="preserve">地區市場摘要</w:t>
      </w:r>
    </w:p>
    <w:p>
      <w:pPr>
        <w:pStyle w:val="BodyText"/>
      </w:pPr>
      <w:r>
        <w:rPr>
          <w:rFonts w:hint="eastAsia"/>
        </w:rPr>
        <w:t xml:space="preserve">澳洲及新西蘭：我們的澳洲和新西蘭業務在年內締造正面的年化新保費增長。下半年新業務價值利潤率維持偏低</w:t>
      </w:r>
    </w:p>
    <w:p>
      <w:pPr>
        <w:pStyle w:val="BodyText"/>
      </w:pPr>
      <w:r>
        <w:rPr>
          <w:rFonts w:hint="eastAsia"/>
        </w:rPr>
        <w:t xml:space="preserve">水平，原因是我們成功獲得一宗新的大型團體保險計劃合約以及完成數宗續保，使團體保險業務佔總銷售的比重</w:t>
      </w:r>
    </w:p>
    <w:p>
      <w:pPr>
        <w:pStyle w:val="BodyText"/>
      </w:pPr>
      <w:r>
        <w:rPr>
          <w:rFonts w:hint="eastAsia"/>
        </w:rPr>
        <w:t xml:space="preserve">擴大。我們與澳洲聯邦銀行和ASB</w:t>
      </w:r>
      <w:r>
        <w:t xml:space="preserve"> Bank </w:t>
      </w:r>
      <w:r>
        <w:rPr>
          <w:rFonts w:hint="eastAsia"/>
        </w:rPr>
        <w:t xml:space="preserve">Limited的長期銀行保險夥伴關係為新業務價值帶來一次性重大貢獻，因</w:t>
      </w:r>
    </w:p>
    <w:p>
      <w:pPr>
        <w:pStyle w:val="BodyText"/>
      </w:pPr>
      <w:r>
        <w:rPr>
          <w:rFonts w:hint="eastAsia"/>
        </w:rPr>
        <w:t xml:space="preserve">為兩家銀行在2020年上半年替其現有房貸客戶購買人壽保障。</w:t>
      </w:r>
    </w:p>
    <w:p>
      <w:pPr>
        <w:pStyle w:val="BodyText"/>
      </w:pPr>
      <w:r>
        <w:rPr>
          <w:rFonts w:hint="eastAsia"/>
        </w:rPr>
        <w:t xml:space="preserve">柬埔寨：友邦保險柬埔寨業務繼續在金邊以外地區擴大其分銷範圍，設立多家新的代理辦公室，並與我們的策略</w:t>
      </w:r>
    </w:p>
    <w:p>
      <w:pPr>
        <w:pStyle w:val="BodyText"/>
      </w:pPr>
      <w:r>
        <w:rPr>
          <w:rFonts w:hint="eastAsia"/>
        </w:rPr>
        <w:t xml:space="preserve">性夥伴合作擴大分行覆蓋率。銷售動力在下半年回升，使年化新保費較上半年錄得卓越的增長。</w:t>
      </w:r>
    </w:p>
    <w:p>
      <w:pPr>
        <w:pStyle w:val="BodyText"/>
      </w:pPr>
      <w:r>
        <w:rPr>
          <w:rFonts w:hint="eastAsia"/>
        </w:rPr>
        <w:t xml:space="preserve">印度：Tata</w:t>
      </w:r>
      <w:r>
        <w:t xml:space="preserve"> AlA </w:t>
      </w:r>
      <w:r>
        <w:rPr>
          <w:rFonts w:hint="eastAsia"/>
        </w:rPr>
        <w:t xml:space="preserve">Life憑藉別樹一幟的多渠道分銷平台及專注於保障產品的策略，錄得強勁的新業務價值增長。隨</w:t>
      </w:r>
    </w:p>
    <w:p>
      <w:pPr>
        <w:pStyle w:val="BodyText"/>
      </w:pPr>
      <w:r>
        <w:rPr>
          <w:rFonts w:hint="eastAsia"/>
        </w:rPr>
        <w:t xml:space="preserve">著大流行病持續影響，我們的高度數碼化業務模式對確保營運持續和推動增長至為關鍵。Tata</w:t>
      </w:r>
      <w:r>
        <w:t xml:space="preserve"> AIA </w:t>
      </w:r>
      <w:r>
        <w:rPr>
          <w:rFonts w:hint="eastAsia"/>
        </w:rPr>
        <w:t xml:space="preserve">Life在純零售</w:t>
      </w:r>
    </w:p>
    <w:p>
      <w:pPr>
        <w:pStyle w:val="BodyText"/>
      </w:pPr>
      <w:r>
        <w:rPr>
          <w:rFonts w:hint="eastAsia"/>
        </w:rPr>
        <w:t xml:space="preserve">保障市場保持領導地位，而就代理生產力而言，我們卓越的「最優秀代理」繼續領先業界。我們與Indusind</w:t>
      </w:r>
      <w:r>
        <w:t xml:space="preserve"> Bank</w:t>
      </w:r>
    </w:p>
    <w:p>
      <w:pPr>
        <w:pStyle w:val="BodyText"/>
      </w:pPr>
      <w:r>
        <w:rPr>
          <w:rFonts w:hint="eastAsia"/>
        </w:rPr>
        <w:t xml:space="preserve">Ltd.續簽了分銷協議，並宣佈與Practo</w:t>
      </w:r>
      <w:r>
        <w:t xml:space="preserve"> Pte. Ltd. </w:t>
      </w:r>
      <w:r>
        <w:rPr>
          <w:rFonts w:hint="eastAsia"/>
        </w:rPr>
        <w:t xml:space="preserve">(Practo)建立長期策略性夥伴關係。Practo的數碼醫療平台擁有</w:t>
      </w:r>
    </w:p>
    <w:p>
      <w:pPr>
        <w:pStyle w:val="BodyText"/>
      </w:pPr>
      <w:r>
        <w:rPr>
          <w:rFonts w:hint="eastAsia"/>
        </w:rPr>
        <w:t xml:space="preserve">1.75億名獨立用戶。Tata</w:t>
      </w:r>
      <w:r>
        <w:t xml:space="preserve"> AIA </w:t>
      </w:r>
      <w:r>
        <w:rPr>
          <w:rFonts w:hint="eastAsia"/>
        </w:rPr>
        <w:t xml:space="preserve">Life透過上述夥伴關係將成為該平台的獨家人壽保險方案供應商，而Tata</w:t>
      </w:r>
      <w:r>
        <w:t xml:space="preserve"> AIA </w:t>
      </w:r>
      <w:r>
        <w:rPr>
          <w:rFonts w:hint="eastAsia"/>
        </w:rPr>
        <w:t xml:space="preserve">Life的</w:t>
      </w:r>
    </w:p>
    <w:p>
      <w:pPr>
        <w:pStyle w:val="BodyText"/>
      </w:pPr>
      <w:r>
        <w:rPr>
          <w:rFonts w:hint="eastAsia"/>
        </w:rPr>
        <w:t xml:space="preserve">客戶將可優先使用Practo的領先數碼醫療平台。</w:t>
      </w:r>
    </w:p>
    <w:p>
      <w:pPr>
        <w:pStyle w:val="BodyText"/>
      </w:pPr>
      <w:r>
        <w:rPr>
          <w:rFonts w:hint="eastAsia"/>
        </w:rPr>
        <w:t xml:space="preserve">印尼：我們的銀行保險業務在2020年錄得雙位數字的新業務價值增長，由我們與BCA建立的策略性夥伴關係所帶</w:t>
      </w:r>
    </w:p>
    <w:p>
      <w:pPr>
        <w:pStyle w:val="BodyText"/>
      </w:pPr>
      <w:r>
        <w:rPr>
          <w:rFonts w:hint="eastAsia"/>
        </w:rPr>
        <w:t xml:space="preserve">動。儘管新代理的活動和生產力在下半年有所提升，帶動代理的新業務價值得到改善，但銀行保險業務的增長依</w:t>
      </w:r>
    </w:p>
    <w:p>
      <w:pPr>
        <w:pStyle w:val="BodyText"/>
      </w:pPr>
      <w:r>
        <w:rPr>
          <w:rFonts w:hint="eastAsia"/>
        </w:rPr>
        <w:t xml:space="preserve">然被年內代理新業務價值的跌幅所抵銷有餘。</w:t>
      </w:r>
    </w:p>
    <w:p>
      <w:pPr>
        <w:pStyle w:val="BodyText"/>
      </w:pPr>
      <w:r>
        <w:t xml:space="preserve">054</w:t>
      </w:r>
    </w:p>
    <w:p>
      <w:pPr>
        <w:pStyle w:val="BodyText"/>
      </w:pPr>
      <w:r>
        <w:rPr>
          <w:rFonts w:hint="eastAsia"/>
        </w:rPr>
        <w:t xml:space="preserve">財務及營運回顧友邦保險控股有限公司業務回顧</w:t>
      </w:r>
    </w:p>
    <w:p>
      <w:pPr>
        <w:pStyle w:val="BodyText"/>
      </w:pPr>
      <w:r>
        <w:rPr>
          <w:rFonts w:hint="eastAsia"/>
        </w:rPr>
        <w:t xml:space="preserve">緬甸：我們繼2019年11月底正式在緬甸開展業務後，在2020年專注為多渠道分銷平台及友邦品牌知名度建立牢</w:t>
      </w:r>
    </w:p>
    <w:p>
      <w:pPr>
        <w:pStyle w:val="BodyText"/>
      </w:pPr>
      <w:r>
        <w:rPr>
          <w:rFonts w:hint="eastAsia"/>
        </w:rPr>
        <w:t xml:space="preserve">固基礎。此外，友邦保險緬甸業務建立了首個長期銀行保險夥伴關係。</w:t>
      </w:r>
    </w:p>
    <w:p>
      <w:pPr>
        <w:pStyle w:val="BodyText"/>
      </w:pPr>
      <w:r>
        <w:rPr>
          <w:rFonts w:hint="eastAsia"/>
        </w:rPr>
        <w:t xml:space="preserve">菲律賓：菲律賓在2020年3月中實行全國封鎖措施，導致友邦保險在當地業務錄得雙位數字的新業務價值跌幅。</w:t>
      </w:r>
    </w:p>
    <w:p>
      <w:pPr>
        <w:pStyle w:val="BodyText"/>
      </w:pPr>
      <w:r>
        <w:rPr>
          <w:rFonts w:hint="eastAsia"/>
        </w:rPr>
        <w:t xml:space="preserve">現時該國仍然實施不同級別的社區隔離限制，持續對於我們的代理和銀行保險業務帶來負面壓力。</w:t>
      </w:r>
    </w:p>
    <w:p>
      <w:pPr>
        <w:pStyle w:val="BodyText"/>
      </w:pPr>
      <w:r>
        <w:rPr>
          <w:rFonts w:hint="eastAsia"/>
        </w:rPr>
        <w:t xml:space="preserve">南韓：友邦保險南韓業務的新業務價值於2020年錄得增長，受惠於直接銷售渠道卓越的表現。在11月，我們與</w:t>
      </w:r>
    </w:p>
    <w:p>
      <w:pPr>
        <w:pStyle w:val="BodyText"/>
      </w:pPr>
      <w:r>
        <w:t xml:space="preserve">SK Telecom、SK holdings </w:t>
      </w:r>
      <w:r>
        <w:rPr>
          <w:rFonts w:hint="eastAsia"/>
        </w:rPr>
        <w:t xml:space="preserve">C&amp;C及新策略性分銷夥伴Samsung</w:t>
      </w:r>
      <w:r>
        <w:t xml:space="preserve"> </w:t>
      </w:r>
      <w:r>
        <w:rPr>
          <w:rFonts w:hint="eastAsia"/>
        </w:rPr>
        <w:t xml:space="preserve">Card推出全渠道分銷模式。根據這個模式，我們</w:t>
      </w:r>
    </w:p>
    <w:p>
      <w:pPr>
        <w:pStyle w:val="BodyText"/>
      </w:pPr>
      <w:r>
        <w:rPr>
          <w:rFonts w:hint="eastAsia"/>
        </w:rPr>
        <w:t xml:space="preserve">利用數據分析和數碼營銷，在合作夥伴網上和流動業務生態系統內客戶體驗的過程中，融入我們的共享價值保障</w:t>
      </w:r>
    </w:p>
    <w:p>
      <w:pPr>
        <w:pStyle w:val="BodyText"/>
      </w:pPr>
      <w:r>
        <w:rPr>
          <w:rFonts w:hint="eastAsia"/>
        </w:rPr>
        <w:t xml:space="preserve">主張。</w:t>
      </w:r>
    </w:p>
    <w:p>
      <w:pPr>
        <w:pStyle w:val="BodyText"/>
      </w:pPr>
      <w:r>
        <w:rPr>
          <w:rFonts w:hint="eastAsia"/>
        </w:rPr>
        <w:t xml:space="preserve">斯里蘭卡：友邦保險斯里蘭卡業務在2020年錄得卓越的新業務價值增長，因為我們推出多項嶄新數碼工具，以支</w:t>
      </w:r>
    </w:p>
    <w:p>
      <w:pPr>
        <w:pStyle w:val="BodyText"/>
      </w:pPr>
      <w:r>
        <w:rPr>
          <w:rFonts w:hint="eastAsia"/>
        </w:rPr>
        <w:t xml:space="preserve">援遙距代理招聘及培訓，幫助客戶在購買、服務和理賠時獲得更佳的體驗過程。這有助促進業務在下半年回升，</w:t>
      </w:r>
    </w:p>
    <w:p>
      <w:pPr>
        <w:pStyle w:val="BodyText"/>
      </w:pPr>
      <w:r>
        <w:rPr>
          <w:rFonts w:hint="eastAsia"/>
        </w:rPr>
        <w:t xml:space="preserve">而代理招聘活動和活躍代理人數均有所增加。</w:t>
      </w:r>
    </w:p>
    <w:p>
      <w:pPr>
        <w:pStyle w:val="BodyText"/>
      </w:pPr>
      <w:r>
        <w:rPr>
          <w:rFonts w:hint="eastAsia"/>
        </w:rPr>
        <w:t xml:space="preserve">中國台灣：友邦保險台灣業務在2020年錄得強勁的新業務價值增長，主要由經紀渠道的卓越銷售動力所推動。我</w:t>
      </w:r>
    </w:p>
    <w:p>
      <w:pPr>
        <w:pStyle w:val="BodyText"/>
      </w:pPr>
      <w:r>
        <w:rPr>
          <w:rFonts w:hint="eastAsia"/>
        </w:rPr>
        <w:t xml:space="preserve">們繼續專注提供滿足目標客戶退休需求和承傳規劃的保險方案，並加強我們與主要銀行保險和獨立財務顧問夥伴</w:t>
      </w:r>
    </w:p>
    <w:p>
      <w:pPr>
        <w:pStyle w:val="BodyText"/>
      </w:pPr>
      <w:r>
        <w:rPr>
          <w:rFonts w:hint="eastAsia"/>
        </w:rPr>
        <w:t xml:space="preserve">的關係。</w:t>
      </w:r>
    </w:p>
    <w:p>
      <w:pPr>
        <w:pStyle w:val="BodyText"/>
      </w:pPr>
      <w:r>
        <w:rPr>
          <w:rFonts w:hint="eastAsia"/>
        </w:rPr>
        <w:t xml:space="preserve">越南：友邦保險越南業務憑藉代理和夥伴分銷渠道帶動業績，在2020年錄得強勁的雙位數字的新業務價值增長。</w:t>
      </w:r>
    </w:p>
    <w:p>
      <w:pPr>
        <w:pStyle w:val="BodyText"/>
      </w:pPr>
      <w:r>
        <w:rPr>
          <w:rFonts w:hint="eastAsia"/>
        </w:rPr>
        <w:t xml:space="preserve">代理仍然是友邦保險越南業務的主要分銷渠道，而活躍代理人數的上升及良好的招聘動力支持我們「最優秀代</w:t>
      </w:r>
    </w:p>
    <w:p>
      <w:pPr>
        <w:pStyle w:val="BodyText"/>
      </w:pPr>
      <w:r>
        <w:rPr>
          <w:rFonts w:hint="eastAsia"/>
        </w:rPr>
        <w:t xml:space="preserve">理」的持續擴展。新業務價值受惠於新業務價值利潤率上升，原因是我們為健康及危疾產品推出一系列市場首創</w:t>
      </w:r>
    </w:p>
    <w:p>
      <w:pPr>
        <w:pStyle w:val="BodyText"/>
      </w:pPr>
      <w:r>
        <w:rPr>
          <w:rFonts w:hint="eastAsia"/>
        </w:rPr>
        <w:t xml:space="preserve">的特點，推動業務轉向利潤率較高的保障產品。</w:t>
      </w:r>
    </w:p>
    <w:p>
      <w:pPr>
        <w:pStyle w:val="BodyText"/>
      </w:pPr>
      <w:r>
        <w:rPr>
          <w:rFonts w:hint="eastAsia"/>
        </w:rPr>
        <w:t xml:space="preserve">附註：</w:t>
      </w:r>
      <w:r>
        <w:br/>
      </w:r>
      <w:r>
        <w:t xml:space="preserve">(1) </w:t>
      </w:r>
      <w:r>
        <w:rPr>
          <w:rFonts w:hint="eastAsia"/>
        </w:rPr>
        <w:t xml:space="preserve">在無可比擬的分銷平台一節內，按分銷渠道劃分的新業務價值及新業務價值利潤率乃根據當地法定的準備金和資本要求編製，並不包括退休</w:t>
      </w:r>
    </w:p>
    <w:p>
      <w:pPr>
        <w:pStyle w:val="BodyText"/>
      </w:pPr>
      <w:r>
        <w:rPr>
          <w:rFonts w:hint="eastAsia"/>
        </w:rPr>
        <w:t xml:space="preserve">業務。</w:t>
      </w:r>
    </w:p>
    <w:p>
      <w:pPr>
        <w:numPr>
          <w:ilvl w:val="0"/>
          <w:numId w:val="1064"/>
        </w:numPr>
      </w:pPr>
      <w:r>
        <w:t xml:space="preserve">AIA </w:t>
      </w:r>
      <w:r>
        <w:rPr>
          <w:rFonts w:hint="eastAsia"/>
        </w:rPr>
        <w:t xml:space="preserve">Co.上海分公司於改建為獨資子公司的程序完成後，該新子公司須就向本集團的任何未來匯款按中國內地適用的稅率（目前為5%）繳納預</w:t>
      </w:r>
      <w:r>
        <w:br/>
      </w:r>
      <w:r>
        <w:rPr>
          <w:rFonts w:hint="eastAsia"/>
        </w:rPr>
        <w:t xml:space="preserve">扣稅。自2020年10月起，友邦保險中國業務的稅後營運溢利和純利計入5%預扣稅。自2020年7月起，友邦保險中國業務內涵價值和新業務價</w:t>
      </w:r>
      <w:r>
        <w:br/>
      </w:r>
      <w:r>
        <w:rPr>
          <w:rFonts w:hint="eastAsia"/>
        </w:rPr>
        <w:t xml:space="preserve">值計入5%預扣稅。</w:t>
      </w:r>
    </w:p>
    <w:p>
      <w:pPr>
        <w:numPr>
          <w:ilvl w:val="0"/>
          <w:numId w:val="1064"/>
        </w:numPr>
      </w:pPr>
      <w:r>
        <w:rPr>
          <w:rFonts w:hint="eastAsia"/>
        </w:rPr>
        <w:t xml:space="preserve">友邦保險香港業務的稅後營運溢利已反映分紅業務會計政策的變更。比較資料已予調整，以與當前期間的呈列相符。</w:t>
      </w:r>
    </w:p>
    <w:p>
      <w:pPr>
        <w:numPr>
          <w:ilvl w:val="0"/>
          <w:numId w:val="1064"/>
        </w:numPr>
      </w:pPr>
      <w:r>
        <w:rPr>
          <w:rFonts w:hint="eastAsia"/>
        </w:rPr>
        <w:t xml:space="preserve">於2020年之前，本集團在集團企業中心呈列預扣稅支出。自2020年起，本集團加強分部資料披露，在發生預扣稅支出的經營分部中呈列預扣</w:t>
      </w:r>
    </w:p>
    <w:p>
      <w:pPr>
        <w:pStyle w:val="FirstParagraph"/>
      </w:pPr>
      <w:r>
        <w:rPr>
          <w:rFonts w:hint="eastAsia"/>
        </w:rPr>
        <w:t xml:space="preserve">稅支出。比較資料已予調整，以與當前期間的呈列相符。</w:t>
      </w:r>
    </w:p>
    <w:p>
      <w:pPr>
        <w:pStyle w:val="Compact"/>
        <w:numPr>
          <w:ilvl w:val="0"/>
          <w:numId w:val="1065"/>
        </w:numPr>
      </w:pPr>
      <w:r>
        <w:rPr>
          <w:rFonts w:hint="eastAsia"/>
        </w:rPr>
        <w:t xml:space="preserve">按固定匯率基準提供增長率及作出評述。</w:t>
      </w:r>
    </w:p>
    <w:p>
      <w:pPr>
        <w:pStyle w:val="FirstParagraph"/>
      </w:pPr>
      <w:r>
        <w:t xml:space="preserve">055</w:t>
      </w:r>
    </w:p>
    <w:p>
      <w:pPr>
        <w:pStyle w:val="BodyText"/>
      </w:pPr>
      <w:r>
        <w:rPr>
          <w:rFonts w:hint="eastAsia"/>
        </w:rPr>
        <w:t xml:space="preserve">概覽財務及營運回顧企業管治其他資料財務報表2020年報</w:t>
      </w:r>
    </w:p>
    <w:p>
      <w:pPr>
        <w:pStyle w:val="BodyText"/>
      </w:pPr>
      <w:r>
        <w:rPr>
          <w:rFonts w:hint="eastAsia"/>
        </w:rPr>
        <w:t xml:space="preserve">風險管理</w:t>
      </w:r>
    </w:p>
    <w:p>
      <w:pPr>
        <w:pStyle w:val="BodyText"/>
      </w:pPr>
      <w:r>
        <w:rPr>
          <w:rFonts w:hint="eastAsia"/>
        </w:rPr>
        <w:t xml:space="preserve">概覽</w:t>
      </w:r>
    </w:p>
    <w:p>
      <w:pPr>
        <w:pStyle w:val="BodyText"/>
      </w:pPr>
      <w:r>
        <w:rPr>
          <w:rFonts w:hint="eastAsia"/>
        </w:rPr>
        <w:t xml:space="preserve">本集團深明健全的風險管理對我們業務及持份者的重要性。就我們的客戶而言，這是我們將會一直守護的承諾。</w:t>
      </w:r>
    </w:p>
    <w:p>
      <w:pPr>
        <w:pStyle w:val="BodyText"/>
      </w:pPr>
      <w:r>
        <w:rPr>
          <w:rFonts w:hint="eastAsia"/>
        </w:rPr>
        <w:t xml:space="preserve">就投資者而言，這是保障及提升他們所投資的長期價值的關鍵；而就監管機構而言，健全的風險管理能夠支持</w:t>
      </w:r>
    </w:p>
    <w:p>
      <w:pPr>
        <w:pStyle w:val="BodyText"/>
      </w:pPr>
      <w:r>
        <w:rPr>
          <w:rFonts w:hint="eastAsia"/>
        </w:rPr>
        <w:t xml:space="preserve">保險業增長及增強業內公信力。</w:t>
      </w:r>
    </w:p>
    <w:p>
      <w:pPr>
        <w:pStyle w:val="BodyText"/>
      </w:pPr>
      <w:r>
        <w:rPr>
          <w:rFonts w:hint="eastAsia"/>
        </w:rPr>
        <w:t xml:space="preserve">有效的風險管理對任何機構固然重要，當它融入了人壽保險業務中，更成為驅動價值的基礎。本集團的風險管理</w:t>
      </w:r>
    </w:p>
    <w:p>
      <w:pPr>
        <w:pStyle w:val="BodyText"/>
      </w:pPr>
      <w:r>
        <w:rPr>
          <w:rFonts w:hint="eastAsia"/>
        </w:rPr>
        <w:t xml:space="preserve">架構並不尋求消除所有風險，而是透過識別及瞭解，將其控制於可接受的範圍內，以便創造長期價值。</w:t>
      </w:r>
    </w:p>
    <w:p>
      <w:pPr>
        <w:pStyle w:val="BodyText"/>
      </w:pPr>
      <w:r>
        <w:rPr>
          <w:rFonts w:hint="eastAsia"/>
        </w:rPr>
        <w:t xml:space="preserve">本集團的風險管理架構是建基於在機構內各級別發展適當而謹慎的風險管理文化，並支持我們的策略性目標。</w:t>
      </w:r>
    </w:p>
    <w:p>
      <w:pPr>
        <w:pStyle w:val="BodyText"/>
      </w:pPr>
      <w:r>
        <w:rPr>
          <w:rFonts w:hint="eastAsia"/>
        </w:rPr>
        <w:t xml:space="preserve">風險管理架構為業務單位提供適當的工具、程序及能力用作識別及評估重大風險，並於必要時向上級報告以便作</w:t>
      </w:r>
    </w:p>
    <w:p>
      <w:pPr>
        <w:pStyle w:val="BodyText"/>
      </w:pPr>
      <w:r>
        <w:rPr>
          <w:rFonts w:hint="eastAsia"/>
        </w:rPr>
        <w:t xml:space="preserve">進一步評核。</w:t>
      </w:r>
    </w:p>
    <w:p>
      <w:pPr>
        <w:pStyle w:val="BodyText"/>
      </w:pPr>
      <w:r>
        <w:rPr>
          <w:rFonts w:hint="eastAsia"/>
        </w:rPr>
        <w:t xml:space="preserve">本集團的風險管理架構包括以下主要組成部分：</w:t>
      </w:r>
    </w:p>
    <w:p>
      <w:pPr>
        <w:pStyle w:val="BodyText"/>
      </w:pPr>
      <w:r>
        <w:t xml:space="preserve">• </w:t>
      </w:r>
      <w:r>
        <w:rPr>
          <w:rFonts w:hint="eastAsia"/>
        </w:rPr>
        <w:t xml:space="preserve">風險治理；</w:t>
      </w:r>
    </w:p>
    <w:p>
      <w:pPr>
        <w:pStyle w:val="BodyText"/>
      </w:pPr>
      <w:r>
        <w:t xml:space="preserve">• </w:t>
      </w:r>
      <w:r>
        <w:rPr>
          <w:rFonts w:hint="eastAsia"/>
        </w:rPr>
        <w:t xml:space="preserve">風險管理文化；</w:t>
      </w:r>
    </w:p>
    <w:p>
      <w:pPr>
        <w:pStyle w:val="BodyText"/>
      </w:pPr>
      <w:r>
        <w:t xml:space="preserve">• </w:t>
      </w:r>
      <w:r>
        <w:rPr>
          <w:rFonts w:hint="eastAsia"/>
        </w:rPr>
        <w:t xml:space="preserve">風險管理策略；</w:t>
      </w:r>
    </w:p>
    <w:p>
      <w:pPr>
        <w:pStyle w:val="BodyText"/>
      </w:pPr>
      <w:r>
        <w:t xml:space="preserve">• </w:t>
      </w:r>
      <w:r>
        <w:rPr>
          <w:rFonts w:hint="eastAsia"/>
        </w:rPr>
        <w:t xml:space="preserve">風險核保；</w:t>
      </w:r>
    </w:p>
    <w:p>
      <w:pPr>
        <w:pStyle w:val="BodyText"/>
      </w:pPr>
      <w:r>
        <w:t xml:space="preserve">• </w:t>
      </w:r>
      <w:r>
        <w:rPr>
          <w:rFonts w:hint="eastAsia"/>
        </w:rPr>
        <w:t xml:space="preserve">風險控制；及</w:t>
      </w:r>
    </w:p>
    <w:p>
      <w:pPr>
        <w:pStyle w:val="BodyText"/>
      </w:pPr>
      <w:r>
        <w:t xml:space="preserve">• </w:t>
      </w:r>
      <w:r>
        <w:rPr>
          <w:rFonts w:hint="eastAsia"/>
        </w:rPr>
        <w:t xml:space="preserve">風險披露。</w:t>
      </w:r>
    </w:p>
    <w:p>
      <w:pPr>
        <w:pStyle w:val="BodyText"/>
      </w:pPr>
      <w:r>
        <w:rPr>
          <w:rFonts w:hint="eastAsia"/>
        </w:rPr>
        <w:t xml:space="preserve">風險治理</w:t>
      </w:r>
    </w:p>
    <w:p>
      <w:pPr>
        <w:pStyle w:val="BodyText"/>
      </w:pPr>
      <w:r>
        <w:rPr>
          <w:rFonts w:hint="eastAsia"/>
        </w:rPr>
        <w:t xml:space="preserve">三道防線</w:t>
      </w:r>
    </w:p>
    <w:p>
      <w:pPr>
        <w:pStyle w:val="BodyText"/>
      </w:pPr>
      <w:r>
        <w:rPr>
          <w:rFonts w:hint="eastAsia"/>
        </w:rPr>
        <w:t xml:space="preserve">本集團的風險管治架構是建基於「三道防線」模式之上。就風險管理而言，其目的是確保一個合適架構（包括</w:t>
      </w:r>
    </w:p>
    <w:p>
      <w:pPr>
        <w:pStyle w:val="BodyText"/>
      </w:pPr>
      <w:r>
        <w:rPr>
          <w:rFonts w:hint="eastAsia"/>
        </w:rPr>
        <w:t xml:space="preserve">獨立的制衡體系）的存在，以保證風險能適切地獲得識別、評估、管理及規管。此架構在行政管理層（第一道</w:t>
      </w:r>
    </w:p>
    <w:p>
      <w:pPr>
        <w:pStyle w:val="BodyText"/>
      </w:pPr>
      <w:r>
        <w:rPr>
          <w:rFonts w:hint="eastAsia"/>
        </w:rPr>
        <w:t xml:space="preserve">防線）、風險與合規（第二道防線）以及內部審核（第三道防線）職能部門之間明確界定了管理風險的角色及</w:t>
      </w:r>
    </w:p>
    <w:p>
      <w:pPr>
        <w:pStyle w:val="BodyText"/>
      </w:pPr>
      <w:r>
        <w:rPr>
          <w:rFonts w:hint="eastAsia"/>
        </w:rPr>
        <w:t xml:space="preserve">職責。雖然各道防線彼此獨立，但卻緊密合作以確保有效監督。</w:t>
      </w:r>
    </w:p>
    <w:p>
      <w:pPr>
        <w:pStyle w:val="BodyText"/>
      </w:pPr>
      <w:r>
        <w:rPr>
          <w:rFonts w:hint="eastAsia"/>
        </w:rPr>
        <w:t xml:space="preserve">第一道防線由業務決策者組成，該等決策者同時也是風險負責人，負責確保在任何時候均能實行有效及適當的</w:t>
      </w:r>
    </w:p>
    <w:p>
      <w:pPr>
        <w:pStyle w:val="BodyText"/>
      </w:pPr>
      <w:r>
        <w:rPr>
          <w:rFonts w:hint="eastAsia"/>
        </w:rPr>
        <w:t xml:space="preserve">程序，以符合風險管理架構的方式去有效地識別、評估及管理風險。其中，機構內各級別所承擔的風險額須符合</w:t>
      </w:r>
    </w:p>
    <w:p>
      <w:pPr>
        <w:pStyle w:val="BodyText"/>
      </w:pPr>
      <w:r>
        <w:rPr>
          <w:rFonts w:hint="eastAsia"/>
        </w:rPr>
        <w:t xml:space="preserve">本集團及有關業務單位的風險胃納。第一道防線還須負責維持健全的控制環境，包括通過實施控制措施來減輕</w:t>
      </w:r>
    </w:p>
    <w:p>
      <w:pPr>
        <w:pStyle w:val="BodyText"/>
      </w:pPr>
      <w:r>
        <w:rPr>
          <w:rFonts w:hint="eastAsia"/>
        </w:rPr>
        <w:t xml:space="preserve">風險。</w:t>
      </w:r>
    </w:p>
    <w:p>
      <w:pPr>
        <w:pStyle w:val="BodyText"/>
      </w:pPr>
      <w:r>
        <w:rPr>
          <w:rFonts w:hint="eastAsia"/>
        </w:rPr>
        <w:t xml:space="preserve">對風險進行初步識別、評估及管理是第一道防線行政人員的責任。至於任何被視為附帶重大風險或超出指定管理</w:t>
      </w:r>
    </w:p>
    <w:p>
      <w:pPr>
        <w:pStyle w:val="BodyText"/>
      </w:pPr>
      <w:r>
        <w:rPr>
          <w:rFonts w:hint="eastAsia"/>
        </w:rPr>
        <w:t xml:space="preserve">層權限之活動，其決策權將交予另一較高級別的集團行政人員，或適當時由集團首席執行官兼總裁交予董事會</w:t>
      </w:r>
    </w:p>
    <w:p>
      <w:pPr>
        <w:pStyle w:val="BodyText"/>
      </w:pPr>
      <w:r>
        <w:rPr>
          <w:rFonts w:hint="eastAsia"/>
        </w:rPr>
        <w:t xml:space="preserve">風險委員會，或適當時上呈董事會全體成員。</w:t>
      </w:r>
    </w:p>
    <w:p>
      <w:pPr>
        <w:pStyle w:val="BodyText"/>
      </w:pPr>
      <w:r>
        <w:t xml:space="preserve">056</w:t>
      </w:r>
    </w:p>
    <w:p>
      <w:pPr>
        <w:pStyle w:val="BodyText"/>
      </w:pPr>
      <w:r>
        <w:rPr>
          <w:rFonts w:hint="eastAsia"/>
        </w:rPr>
        <w:t xml:space="preserve">財務及營運回顧友邦保險控股有限公司</w:t>
      </w:r>
    </w:p>
    <w:p>
      <w:pPr>
        <w:pStyle w:val="BodyText"/>
      </w:pPr>
      <w:r>
        <w:rPr>
          <w:rFonts w:hint="eastAsia"/>
        </w:rPr>
        <w:t xml:space="preserve">第二道防線由集團首席風險總監、業務地區首席風險總監，以及風險與合規職能部門組成，負責因應集團的風險</w:t>
      </w:r>
    </w:p>
    <w:p>
      <w:pPr>
        <w:pStyle w:val="BodyText"/>
      </w:pPr>
      <w:r>
        <w:rPr>
          <w:rFonts w:hint="eastAsia"/>
        </w:rPr>
        <w:t xml:space="preserve">概況和業務運作，確保風險管理架構維持適當及有效運作。此職能部門獨立於第一道防線，但與之緊密合作，以</w:t>
      </w:r>
    </w:p>
    <w:p>
      <w:pPr>
        <w:pStyle w:val="BodyText"/>
      </w:pPr>
      <w:r>
        <w:rPr>
          <w:rFonts w:hint="eastAsia"/>
        </w:rPr>
        <w:t xml:space="preserve">確保所有風險符合本集團的風險胃納。雖然第一道防線擁有決策權，但第二道防線同時負責監督第一道防線的</w:t>
      </w:r>
    </w:p>
    <w:p>
      <w:pPr>
        <w:pStyle w:val="BodyText"/>
      </w:pPr>
      <w:r>
        <w:rPr>
          <w:rFonts w:hint="eastAsia"/>
        </w:rPr>
        <w:t xml:space="preserve">活動並確保對決策進行適當的管治，以及確保本集團秉持其固有之高標準。</w:t>
      </w:r>
    </w:p>
    <w:p>
      <w:pPr>
        <w:pStyle w:val="BodyText"/>
      </w:pPr>
      <w:r>
        <w:rPr>
          <w:rFonts w:hint="eastAsia"/>
        </w:rPr>
        <w:t xml:space="preserve">第三道防線為集團內部審核職能部門，該部門向董事會審核委員會報告。集團內部審核職能部門負責為風險管理</w:t>
      </w:r>
    </w:p>
    <w:p>
      <w:pPr>
        <w:pStyle w:val="BodyText"/>
      </w:pPr>
      <w:r>
        <w:rPr>
          <w:rFonts w:hint="eastAsia"/>
        </w:rPr>
        <w:t xml:space="preserve">架構（包括主要內部控制）的有效性提供獨立保證，並根據審核調查結果作出建議。</w:t>
      </w:r>
    </w:p>
    <w:p>
      <w:pPr>
        <w:pStyle w:val="BodyText"/>
      </w:pPr>
      <w:r>
        <w:rPr>
          <w:rFonts w:hint="eastAsia"/>
        </w:rPr>
        <w:t xml:space="preserve">三道防線於董事會匯集，由董事會對本集團的風險管理架構負上整體責任。</w:t>
      </w:r>
    </w:p>
    <w:p>
      <w:pPr>
        <w:pStyle w:val="BodyText"/>
      </w:pPr>
      <w:r>
        <w:rPr>
          <w:rFonts w:hint="eastAsia"/>
        </w:rPr>
        <w:t xml:space="preserve">風險委員會架構</w:t>
      </w:r>
    </w:p>
    <w:p>
      <w:pPr>
        <w:pStyle w:val="BodyText"/>
      </w:pPr>
      <w:r>
        <w:rPr>
          <w:rFonts w:hint="eastAsia"/>
        </w:rPr>
        <w:t xml:space="preserve">本集團的風險委員會架構旨在：</w:t>
      </w:r>
    </w:p>
    <w:p>
      <w:pPr>
        <w:pStyle w:val="BodyText"/>
      </w:pPr>
      <w:r>
        <w:t xml:space="preserve">• </w:t>
      </w:r>
      <w:r>
        <w:rPr>
          <w:rFonts w:hint="eastAsia"/>
        </w:rPr>
        <w:t xml:space="preserve">確保於本集團內一致地落實風險管理架構；</w:t>
      </w:r>
    </w:p>
    <w:p>
      <w:pPr>
        <w:pStyle w:val="BodyText"/>
      </w:pPr>
      <w:r>
        <w:t xml:space="preserve">• </w:t>
      </w:r>
      <w:r>
        <w:rPr>
          <w:rFonts w:hint="eastAsia"/>
        </w:rPr>
        <w:t xml:space="preserve">提供一套精簡的流程以適時識別、評估及呈報風險事宜；</w:t>
      </w:r>
    </w:p>
    <w:p>
      <w:pPr>
        <w:pStyle w:val="BodyText"/>
      </w:pPr>
      <w:r>
        <w:t xml:space="preserve">• </w:t>
      </w:r>
      <w:r>
        <w:rPr>
          <w:rFonts w:hint="eastAsia"/>
        </w:rPr>
        <w:t xml:space="preserve">提供對風險事宜的客觀分析，以助知情決策；及</w:t>
      </w:r>
    </w:p>
    <w:p>
      <w:pPr>
        <w:pStyle w:val="BodyText"/>
      </w:pPr>
      <w:r>
        <w:t xml:space="preserve">• </w:t>
      </w:r>
      <w:r>
        <w:rPr>
          <w:rFonts w:hint="eastAsia"/>
        </w:rPr>
        <w:t xml:space="preserve">確保於合適的平台上討論及質疑有關風險事宜，以獲得理想結果。</w:t>
      </w:r>
    </w:p>
    <w:p>
      <w:pPr>
        <w:pStyle w:val="BodyText"/>
      </w:pPr>
      <w:r>
        <w:rPr>
          <w:rFonts w:hint="eastAsia"/>
        </w:rPr>
        <w:t xml:space="preserve">友邦保險控股有限公司董事會</w:t>
      </w:r>
    </w:p>
    <w:p>
      <w:pPr>
        <w:pStyle w:val="BodyText"/>
      </w:pPr>
      <w:r>
        <w:rPr>
          <w:rFonts w:hint="eastAsia"/>
        </w:rPr>
        <w:t xml:space="preserve">審核委員會</w:t>
      </w:r>
    </w:p>
    <w:p>
      <w:pPr>
        <w:pStyle w:val="BodyText"/>
      </w:pPr>
      <w:r>
        <w:rPr>
          <w:rFonts w:hint="eastAsia"/>
        </w:rPr>
        <w:t xml:space="preserve">風險委員會</w:t>
      </w:r>
    </w:p>
    <w:p>
      <w:pPr>
        <w:pStyle w:val="BodyText"/>
      </w:pPr>
      <w:r>
        <w:rPr>
          <w:rFonts w:hint="eastAsia"/>
        </w:rPr>
        <w:t xml:space="preserve">薪酬委員會</w:t>
      </w:r>
    </w:p>
    <w:p>
      <w:pPr>
        <w:pStyle w:val="BodyText"/>
      </w:pPr>
      <w:r>
        <w:rPr>
          <w:rFonts w:hint="eastAsia"/>
        </w:rPr>
        <w:t xml:space="preserve">提名委員會</w:t>
      </w:r>
    </w:p>
    <w:p>
      <w:pPr>
        <w:pStyle w:val="BodyText"/>
      </w:pPr>
      <w:r>
        <w:rPr>
          <w:rFonts w:hint="eastAsia"/>
        </w:rPr>
        <w:t xml:space="preserve">營運風險委員會</w:t>
      </w:r>
    </w:p>
    <w:p>
      <w:pPr>
        <w:pStyle w:val="BodyText"/>
      </w:pPr>
      <w:r>
        <w:rPr>
          <w:rFonts w:hint="eastAsia"/>
        </w:rPr>
        <w:t xml:space="preserve">財務風險委員會</w:t>
      </w:r>
    </w:p>
    <w:p>
      <w:pPr>
        <w:pStyle w:val="BodyText"/>
      </w:pPr>
      <w:r>
        <w:rPr>
          <w:rFonts w:hint="eastAsia"/>
        </w:rPr>
        <w:t xml:space="preserve">董事會</w:t>
      </w:r>
    </w:p>
    <w:p>
      <w:pPr>
        <w:pStyle w:val="BodyText"/>
      </w:pPr>
      <w:r>
        <w:rPr>
          <w:rFonts w:hint="eastAsia"/>
        </w:rPr>
        <w:t xml:space="preserve">董事會對監督本集團風險管理活動負上整體責任。就此而言，董事會制定本集團的風險胃納，批准風險管理架構</w:t>
      </w:r>
    </w:p>
    <w:p>
      <w:pPr>
        <w:pStyle w:val="BodyText"/>
      </w:pPr>
      <w:r>
        <w:rPr>
          <w:rFonts w:hint="eastAsia"/>
        </w:rPr>
        <w:t xml:space="preserve">（包括不時修訂或優化）並監察集團整體重大風險。風險委員會在董事會履行有關職責時給予協助並提出建議。</w:t>
      </w:r>
    </w:p>
    <w:p>
      <w:pPr>
        <w:pStyle w:val="BodyText"/>
      </w:pPr>
      <w:r>
        <w:rPr>
          <w:rFonts w:hint="eastAsia"/>
        </w:rPr>
        <w:t xml:space="preserve">風險委員會</w:t>
      </w:r>
    </w:p>
    <w:p>
      <w:pPr>
        <w:pStyle w:val="BodyText"/>
      </w:pPr>
      <w:r>
        <w:rPr>
          <w:rFonts w:hint="eastAsia"/>
        </w:rPr>
        <w:t xml:space="preserve">風險委員會監督整個集團的風險管理，並就所有需要董事會審議的風險事宜向董事會提供建議。風險委員會的</w:t>
      </w:r>
    </w:p>
    <w:p>
      <w:pPr>
        <w:pStyle w:val="BodyText"/>
      </w:pPr>
      <w:r>
        <w:rPr>
          <w:rFonts w:hint="eastAsia"/>
        </w:rPr>
        <w:t xml:space="preserve">成員均為董事會董事，該委員會多數成員（包括委員會主席）為獨立非執行董事。風險委員會每年舉行至少四次</w:t>
      </w:r>
    </w:p>
    <w:p>
      <w:pPr>
        <w:pStyle w:val="BodyText"/>
      </w:pPr>
      <w:r>
        <w:rPr>
          <w:rFonts w:hint="eastAsia"/>
        </w:rPr>
        <w:t xml:space="preserve">會議。</w:t>
      </w:r>
    </w:p>
    <w:p>
      <w:pPr>
        <w:pStyle w:val="BodyText"/>
      </w:pPr>
      <w:r>
        <w:t xml:space="preserve">057</w:t>
      </w:r>
    </w:p>
    <w:p>
      <w:pPr>
        <w:pStyle w:val="BodyText"/>
      </w:pPr>
      <w:r>
        <w:rPr>
          <w:rFonts w:hint="eastAsia"/>
        </w:rPr>
        <w:t xml:space="preserve">概覽財務及營運回顧企業管治其他資料財務報表2020年報</w:t>
      </w:r>
    </w:p>
    <w:p>
      <w:pPr>
        <w:pStyle w:val="BodyText"/>
      </w:pPr>
      <w:r>
        <w:rPr>
          <w:rFonts w:hint="eastAsia"/>
        </w:rPr>
        <w:t xml:space="preserve">營運風險委員會及財務風險委員會</w:t>
      </w:r>
    </w:p>
    <w:p>
      <w:pPr>
        <w:pStyle w:val="BodyText"/>
      </w:pPr>
      <w:r>
        <w:rPr>
          <w:rFonts w:hint="eastAsia"/>
        </w:rPr>
        <w:t xml:space="preserve">風險委員會由兩個執行風險委員會提供支持，監督對所有風險的管理。營運風險委員會的主席由集團首席風險</w:t>
      </w:r>
    </w:p>
    <w:p>
      <w:pPr>
        <w:pStyle w:val="BodyText"/>
      </w:pPr>
      <w:r>
        <w:rPr>
          <w:rFonts w:hint="eastAsia"/>
        </w:rPr>
        <w:t xml:space="preserve">總監出任，監督因內部程序、人事及系統失效或外部事故而導致的風險。財務風險委員會的主席由集團首席執行</w:t>
      </w:r>
    </w:p>
    <w:p>
      <w:pPr>
        <w:pStyle w:val="BodyText"/>
      </w:pPr>
      <w:r>
        <w:rPr>
          <w:rFonts w:hint="eastAsia"/>
        </w:rPr>
        <w:t xml:space="preserve">官兼總裁出任，監督財務、保險及投資活動相關的風險。財務風險委員會及營運風險委員會各自每年舉行至少</w:t>
      </w:r>
    </w:p>
    <w:p>
      <w:pPr>
        <w:pStyle w:val="BodyText"/>
      </w:pPr>
      <w:r>
        <w:rPr>
          <w:rFonts w:hint="eastAsia"/>
        </w:rPr>
        <w:t xml:space="preserve">四次會議。</w:t>
      </w:r>
    </w:p>
    <w:p>
      <w:pPr>
        <w:pStyle w:val="BodyText"/>
      </w:pPr>
      <w:r>
        <w:rPr>
          <w:rFonts w:hint="eastAsia"/>
        </w:rPr>
        <w:t xml:space="preserve">如適用，上述委員會架構也於各業務單位執行。</w:t>
      </w:r>
    </w:p>
    <w:p>
      <w:pPr>
        <w:pStyle w:val="BodyText"/>
      </w:pPr>
      <w:r>
        <w:rPr>
          <w:rFonts w:hint="eastAsia"/>
        </w:rPr>
        <w:t xml:space="preserve">風險管理文化</w:t>
      </w:r>
    </w:p>
    <w:p>
      <w:pPr>
        <w:pStyle w:val="BodyText"/>
      </w:pPr>
      <w:r>
        <w:rPr>
          <w:rFonts w:hint="eastAsia"/>
        </w:rPr>
        <w:t xml:space="preserve">風險管理架構確認了風險管理文化對有效風險管理的重要性。風險管理文化定立了本集團面對各種風險的取態</w:t>
      </w:r>
    </w:p>
    <w:p>
      <w:pPr>
        <w:pStyle w:val="BodyText"/>
      </w:pPr>
      <w:r>
        <w:rPr>
          <w:rFonts w:hint="eastAsia"/>
        </w:rPr>
        <w:t xml:space="preserve">並確保其薪酬體制能倡導正當的行為。</w:t>
      </w:r>
    </w:p>
    <w:p>
      <w:pPr>
        <w:pStyle w:val="BodyText"/>
      </w:pPr>
      <w:r>
        <w:rPr>
          <w:rFonts w:hint="eastAsia"/>
        </w:rPr>
        <w:t xml:space="preserve">問責</w:t>
      </w:r>
    </w:p>
    <w:p>
      <w:pPr>
        <w:pStyle w:val="BodyText"/>
      </w:pPr>
      <w:r>
        <w:rPr>
          <w:rFonts w:hint="eastAsia"/>
        </w:rPr>
        <w:t xml:space="preserve">問責是本集團風險管理文化的重要元素。第一道防線通常由業務單位管理組成，負責管理與業務有關的風險。</w:t>
      </w:r>
    </w:p>
    <w:p>
      <w:pPr>
        <w:pStyle w:val="BodyText"/>
      </w:pPr>
      <w:r>
        <w:rPr>
          <w:rFonts w:hint="eastAsia"/>
        </w:rPr>
        <w:t xml:space="preserve">風險管理與合規職能部門組成第二道防線，由集團首席風險總監領導，其對本集團的風險與合規職能部門作整體</w:t>
      </w:r>
    </w:p>
    <w:p>
      <w:pPr>
        <w:pStyle w:val="BodyText"/>
      </w:pPr>
      <w:r>
        <w:rPr>
          <w:rFonts w:hint="eastAsia"/>
        </w:rPr>
        <w:t xml:space="preserve">負責。於各業務單位內，業務單位首席風險總監屬高級職務，需對集團首席風險總監作首要匯報，並向地區首席</w:t>
      </w:r>
    </w:p>
    <w:p>
      <w:pPr>
        <w:pStyle w:val="BodyText"/>
      </w:pPr>
      <w:r>
        <w:rPr>
          <w:rFonts w:hint="eastAsia"/>
        </w:rPr>
        <w:t xml:space="preserve">執行官作次要匯報。此架構於確保業務單位首席風險總監全面參與地區業務討論以提供風險管理觀點和見解的</w:t>
      </w:r>
    </w:p>
    <w:p>
      <w:pPr>
        <w:pStyle w:val="BodyText"/>
      </w:pPr>
      <w:r>
        <w:rPr>
          <w:rFonts w:hint="eastAsia"/>
        </w:rPr>
        <w:t xml:space="preserve">同時，亦確保第二道防線的獨立性。集團首席風險總監為本集團執行委員會的成員，而業務單位首席風險總監</w:t>
      </w:r>
    </w:p>
    <w:p>
      <w:pPr>
        <w:pStyle w:val="BodyText"/>
      </w:pPr>
      <w:r>
        <w:rPr>
          <w:rFonts w:hint="eastAsia"/>
        </w:rPr>
        <w:t xml:space="preserve">在大多數情況下亦為其地區執行委員會的成員。</w:t>
      </w:r>
    </w:p>
    <w:p>
      <w:pPr>
        <w:pStyle w:val="BodyText"/>
      </w:pPr>
      <w:r>
        <w:rPr>
          <w:rFonts w:hint="eastAsia"/>
        </w:rPr>
        <w:t xml:space="preserve">薪酬</w:t>
      </w:r>
    </w:p>
    <w:p>
      <w:pPr>
        <w:pStyle w:val="BodyText"/>
      </w:pPr>
      <w:r>
        <w:rPr>
          <w:rFonts w:hint="eastAsia"/>
        </w:rPr>
        <w:t xml:space="preserve">在以績效為本的文化中，本公司行政人員的薪酬體制確保風險管理架構得到適當考慮。此體制由績效管理系統</w:t>
      </w:r>
    </w:p>
    <w:p>
      <w:pPr>
        <w:pStyle w:val="BodyText"/>
      </w:pPr>
      <w:r>
        <w:rPr>
          <w:rFonts w:hint="eastAsia"/>
        </w:rPr>
        <w:t xml:space="preserve">支持，全體員工均按「方式」及「成果」進行評估。此架構著重於強調操守及績效，與我們的基本營運原則「用對</w:t>
      </w:r>
    </w:p>
    <w:p>
      <w:pPr>
        <w:pStyle w:val="BodyText"/>
      </w:pPr>
      <w:r>
        <w:rPr>
          <w:rFonts w:hint="eastAsia"/>
        </w:rPr>
        <w:t xml:space="preserve">的人，以對的方法，做對的事……成果將隨之而來」貫徹一致。</w:t>
      </w:r>
    </w:p>
    <w:p>
      <w:pPr>
        <w:pStyle w:val="BodyText"/>
      </w:pPr>
      <w:r>
        <w:rPr>
          <w:rFonts w:hint="eastAsia"/>
        </w:rPr>
        <w:t xml:space="preserve">風險管理策略</w:t>
      </w:r>
    </w:p>
    <w:p>
      <w:pPr>
        <w:pStyle w:val="BodyText"/>
      </w:pPr>
      <w:r>
        <w:rPr>
          <w:rFonts w:hint="eastAsia"/>
        </w:rPr>
        <w:t xml:space="preserve">風險管理策略描述了本集團在致力於實現其策略性目標過程中所需要面對的風險類型、承受風險的方式及程度。</w:t>
      </w:r>
    </w:p>
    <w:p>
      <w:pPr>
        <w:pStyle w:val="BodyText"/>
      </w:pPr>
      <w:r>
        <w:rPr>
          <w:rFonts w:hint="eastAsia"/>
        </w:rPr>
        <w:t xml:space="preserve">集團的風險胃納架構定立了在本集團追求策略性目標時預備承擔的風險額度及性質。</w:t>
      </w:r>
    </w:p>
    <w:p>
      <w:pPr>
        <w:numPr>
          <w:ilvl w:val="0"/>
          <w:numId w:val="1066"/>
        </w:numPr>
      </w:pPr>
      <w:r>
        <w:rPr>
          <w:rFonts w:hint="eastAsia"/>
        </w:rPr>
        <w:t xml:space="preserve">風險胃納聲明陳述了集團面對風險的取態之總體意見；</w:t>
      </w:r>
    </w:p>
    <w:p>
      <w:pPr>
        <w:numPr>
          <w:ilvl w:val="0"/>
          <w:numId w:val="1066"/>
        </w:numPr>
      </w:pPr>
      <w:r>
        <w:rPr>
          <w:rFonts w:hint="eastAsia"/>
        </w:rPr>
        <w:t xml:space="preserve">風險原則及風險承受水平分別是質化陳述和量化指標，用以擴展和驗證風險胃納聲明；及</w:t>
      </w:r>
    </w:p>
    <w:p>
      <w:pPr>
        <w:numPr>
          <w:ilvl w:val="0"/>
          <w:numId w:val="1066"/>
        </w:numPr>
      </w:pPr>
      <w:r>
        <w:rPr>
          <w:rFonts w:hint="eastAsia"/>
        </w:rPr>
        <w:t xml:space="preserve">風險控制及風險限額是用於管理特定的風險。</w:t>
      </w:r>
    </w:p>
    <w:p>
      <w:pPr>
        <w:pStyle w:val="FirstParagraph"/>
      </w:pPr>
      <w:r>
        <w:rPr>
          <w:rFonts w:hint="eastAsia"/>
        </w:rPr>
        <w:t xml:space="preserve">風險胃納聲明</w:t>
      </w:r>
    </w:p>
    <w:p>
      <w:pPr>
        <w:pStyle w:val="BodyText"/>
      </w:pPr>
      <w:r>
        <w:rPr>
          <w:rFonts w:hint="eastAsia"/>
        </w:rPr>
        <w:t xml:space="preserve">本集團採用以下風險胃納聲明：</w:t>
      </w:r>
    </w:p>
    <w:p>
      <w:pPr>
        <w:pStyle w:val="BodyText"/>
      </w:pPr>
      <w:r>
        <w:rPr>
          <w:rFonts w:hint="eastAsia"/>
        </w:rPr>
        <w:t xml:space="preserve">「友邦保險在其日常業務過程中承擔的風險將足以符合其客戶對保障及償付的合理要求，且同時確保股東回報的</w:t>
      </w:r>
    </w:p>
    <w:p>
      <w:pPr>
        <w:pStyle w:val="BodyText"/>
      </w:pPr>
      <w:r>
        <w:rPr>
          <w:rFonts w:hint="eastAsia"/>
        </w:rPr>
        <w:t xml:space="preserve">水平及波幅，與一家專注於亞太地區（日本除外）的壽險公司所應有兼具廣泛基礎的風險概況相符。」</w:t>
      </w:r>
    </w:p>
    <w:p>
      <w:pPr>
        <w:pStyle w:val="BodyText"/>
      </w:pPr>
      <w:r>
        <w:t xml:space="preserve">058</w:t>
      </w:r>
    </w:p>
    <w:p>
      <w:pPr>
        <w:pStyle w:val="BodyText"/>
      </w:pPr>
      <w:r>
        <w:rPr>
          <w:rFonts w:hint="eastAsia"/>
        </w:rPr>
        <w:t xml:space="preserve">財務及營運回顧友邦保險控股有限公司風險管理</w:t>
      </w:r>
    </w:p>
    <w:p>
      <w:pPr>
        <w:pStyle w:val="BodyText"/>
      </w:pPr>
      <w:r>
        <w:rPr>
          <w:rFonts w:hint="eastAsia"/>
        </w:rPr>
        <w:t xml:space="preserve">風險原則及風險承受水平</w:t>
      </w:r>
    </w:p>
    <w:p>
      <w:pPr>
        <w:pStyle w:val="BodyText"/>
      </w:pPr>
      <w:r>
        <w:rPr>
          <w:rFonts w:hint="eastAsia"/>
        </w:rPr>
        <w:t xml:space="preserve">友邦保險透過五項風險原則支持風險胃納聲明：</w:t>
      </w:r>
    </w:p>
    <w:p>
      <w:pPr>
        <w:pStyle w:val="BodyText"/>
      </w:pPr>
      <w:r>
        <w:rPr>
          <w:rFonts w:hint="eastAsia"/>
        </w:rPr>
        <w:t xml:space="preserve">風險原則</w:t>
      </w:r>
    </w:p>
    <w:p>
      <w:pPr>
        <w:pStyle w:val="BodyText"/>
      </w:pPr>
      <w:r>
        <w:rPr>
          <w:rFonts w:hint="eastAsia"/>
        </w:rPr>
        <w:t xml:space="preserve">監管資本</w:t>
      </w:r>
    </w:p>
    <w:p>
      <w:pPr>
        <w:pStyle w:val="BodyText"/>
      </w:pPr>
      <w:r>
        <w:rPr>
          <w:rFonts w:hint="eastAsia"/>
        </w:rPr>
        <w:t xml:space="preserve">財務實力</w:t>
      </w:r>
    </w:p>
    <w:p>
      <w:pPr>
        <w:pStyle w:val="BodyText"/>
      </w:pPr>
      <w:r>
        <w:rPr>
          <w:rFonts w:hint="eastAsia"/>
        </w:rPr>
        <w:t xml:space="preserve">「友邦保險不容許任何違反監管規定的行為，因此，除最極端的市場狀況外，我們會</w:t>
      </w:r>
      <w:r>
        <w:br/>
      </w:r>
      <w:r>
        <w:rPr>
          <w:rFonts w:hint="eastAsia"/>
        </w:rPr>
        <w:t xml:space="preserve">確保在其他所有情況下均持有足夠的資本，以滿足我們目前的法定最低償付能力。」</w:t>
      </w:r>
    </w:p>
    <w:p>
      <w:pPr>
        <w:pStyle w:val="BodyText"/>
      </w:pPr>
      <w:r>
        <w:rPr>
          <w:rFonts w:hint="eastAsia"/>
        </w:rPr>
        <w:t xml:space="preserve">「友邦保險將確保本集團能滿足對客戶在財務責任及業務保證所做的所有承諾。我們將</w:t>
      </w:r>
      <w:r>
        <w:br/>
      </w:r>
      <w:r>
        <w:rPr>
          <w:rFonts w:hint="eastAsia"/>
        </w:rPr>
        <w:t xml:space="preserve">維持足夠資本以滿足我們業務需求的財務實力評級。」</w:t>
      </w:r>
    </w:p>
    <w:p>
      <w:pPr>
        <w:pStyle w:val="BodyText"/>
      </w:pPr>
      <w:r>
        <w:rPr>
          <w:rFonts w:hint="eastAsia"/>
        </w:rPr>
        <w:t xml:space="preserve">流動性</w:t>
      </w:r>
    </w:p>
    <w:p>
      <w:pPr>
        <w:pStyle w:val="BodyText"/>
      </w:pPr>
      <w:r>
        <w:rPr>
          <w:rFonts w:hint="eastAsia"/>
        </w:rPr>
        <w:t xml:space="preserve">「友邦保險將維持足夠的流動性以便如期承擔財務償付需求。」</w:t>
      </w:r>
    </w:p>
    <w:p>
      <w:pPr>
        <w:pStyle w:val="BodyText"/>
      </w:pPr>
      <w:r>
        <w:rPr>
          <w:rFonts w:hint="eastAsia"/>
        </w:rPr>
        <w:t xml:space="preserve">盈利波動</w:t>
      </w:r>
    </w:p>
    <w:p>
      <w:pPr>
        <w:pStyle w:val="BodyText"/>
      </w:pPr>
      <w:r>
        <w:rPr>
          <w:rFonts w:hint="eastAsia"/>
        </w:rPr>
        <w:t xml:space="preserve">業務運作</w:t>
      </w:r>
    </w:p>
    <w:p>
      <w:pPr>
        <w:pStyle w:val="BodyText"/>
      </w:pPr>
      <w:r>
        <w:rPr>
          <w:rFonts w:hint="eastAsia"/>
        </w:rPr>
        <w:t xml:space="preserve">「友邦保險將致力締造合乎預期的營運盈利，並將推行相關政策、限制及控制措施，</w:t>
      </w:r>
      <w:r>
        <w:br/>
      </w:r>
      <w:r>
        <w:rPr>
          <w:rFonts w:hint="eastAsia"/>
        </w:rPr>
        <w:t xml:space="preserve">將營運風險、風險集中程度及保險風險控制在合理的承受水平內。」</w:t>
      </w:r>
    </w:p>
    <w:p>
      <w:pPr>
        <w:pStyle w:val="BodyText"/>
      </w:pPr>
      <w:r>
        <w:rPr>
          <w:rFonts w:hint="eastAsia"/>
        </w:rPr>
        <w:t xml:space="preserve">「友邦保險將維持高標準的道德規範並將實施健全的內部控制，在合理的承受水平內</w:t>
      </w:r>
      <w:r>
        <w:br/>
      </w:r>
      <w:r>
        <w:rPr>
          <w:rFonts w:hint="eastAsia"/>
        </w:rPr>
        <w:t xml:space="preserve">將因營運事故造成的下行風險降低到最低水平。」</w:t>
      </w:r>
    </w:p>
    <w:p>
      <w:pPr>
        <w:pStyle w:val="BodyText"/>
      </w:pPr>
      <w:r>
        <w:rPr>
          <w:rFonts w:hint="eastAsia"/>
        </w:rPr>
        <w:t xml:space="preserve">本集團採用其他更精細的衡量值、指標和風險承受水平，以監測和控制特定風險類別。</w:t>
      </w:r>
    </w:p>
    <w:p>
      <w:pPr>
        <w:pStyle w:val="BodyText"/>
      </w:pPr>
      <w:r>
        <w:rPr>
          <w:rFonts w:hint="eastAsia"/>
        </w:rPr>
        <w:t xml:space="preserve">風險格局</w:t>
      </w:r>
    </w:p>
    <w:p>
      <w:pPr>
        <w:pStyle w:val="BodyText"/>
      </w:pPr>
      <w:r>
        <w:rPr>
          <w:rFonts w:hint="eastAsia"/>
        </w:rPr>
        <w:t xml:space="preserve">本集團對風險進行詳細分類，以確保能識別並有系統地管理所有風險。這些風險根據以下的風險格局進行分類。</w:t>
      </w:r>
    </w:p>
    <w:p>
      <w:pPr>
        <w:pStyle w:val="BodyText"/>
      </w:pPr>
      <w:r>
        <w:rPr>
          <w:rFonts w:hint="eastAsia"/>
        </w:rPr>
        <w:t xml:space="preserve">險</w:t>
      </w:r>
      <w:r>
        <w:br/>
      </w:r>
      <w:r>
        <w:rPr>
          <w:rFonts w:hint="eastAsia"/>
        </w:rPr>
        <w:t xml:space="preserve">風</w:t>
      </w:r>
      <w:r>
        <w:br/>
      </w:r>
      <w:r>
        <w:rPr>
          <w:rFonts w:hint="eastAsia"/>
        </w:rPr>
        <w:t xml:space="preserve">要</w:t>
      </w:r>
      <w:r>
        <w:br/>
      </w:r>
      <w:r>
        <w:rPr>
          <w:rFonts w:hint="eastAsia"/>
        </w:rPr>
        <w:t xml:space="preserve">主</w:t>
      </w:r>
    </w:p>
    <w:p>
      <w:pPr>
        <w:pStyle w:val="BodyText"/>
      </w:pPr>
      <w:r>
        <w:rPr>
          <w:rFonts w:hint="eastAsia"/>
        </w:rPr>
        <w:t xml:space="preserve">險</w:t>
      </w:r>
      <w:r>
        <w:br/>
      </w:r>
      <w:r>
        <w:rPr>
          <w:rFonts w:hint="eastAsia"/>
        </w:rPr>
        <w:t xml:space="preserve">風</w:t>
      </w:r>
      <w:r>
        <w:br/>
      </w:r>
      <w:r>
        <w:rPr>
          <w:rFonts w:hint="eastAsia"/>
        </w:rPr>
        <w:t xml:space="preserve">關</w:t>
      </w:r>
      <w:r>
        <w:br/>
      </w:r>
      <w:r>
        <w:rPr>
          <w:rFonts w:hint="eastAsia"/>
        </w:rPr>
        <w:t xml:space="preserve">相</w:t>
      </w:r>
    </w:p>
    <w:p>
      <w:pPr>
        <w:pStyle w:val="BodyText"/>
      </w:pPr>
      <w:r>
        <w:rPr>
          <w:rFonts w:hint="eastAsia"/>
        </w:rPr>
        <w:t xml:space="preserve">營運風險</w:t>
      </w:r>
    </w:p>
    <w:p>
      <w:pPr>
        <w:pStyle w:val="BodyText"/>
      </w:pPr>
      <w:r>
        <w:rPr>
          <w:rFonts w:hint="eastAsia"/>
        </w:rPr>
        <w:t xml:space="preserve">財務風險</w:t>
      </w:r>
    </w:p>
    <w:p>
      <w:pPr>
        <w:pStyle w:val="BodyText"/>
      </w:pPr>
      <w:r>
        <w:rPr>
          <w:rFonts w:hint="eastAsia"/>
        </w:rPr>
        <w:t xml:space="preserve">責任風險</w:t>
      </w:r>
    </w:p>
    <w:p>
      <w:pPr>
        <w:pStyle w:val="BodyText"/>
      </w:pPr>
      <w:r>
        <w:rPr>
          <w:rFonts w:hint="eastAsia"/>
        </w:rPr>
        <w:t xml:space="preserve">營運風險</w:t>
      </w:r>
    </w:p>
    <w:p>
      <w:pPr>
        <w:pStyle w:val="BodyText"/>
      </w:pPr>
      <w:r>
        <w:rPr>
          <w:rFonts w:hint="eastAsia"/>
        </w:rPr>
        <w:t xml:space="preserve">業務風險</w:t>
      </w:r>
    </w:p>
    <w:p>
      <w:pPr>
        <w:pStyle w:val="BodyText"/>
      </w:pPr>
      <w:r>
        <w:rPr>
          <w:rFonts w:hint="eastAsia"/>
        </w:rPr>
        <w:t xml:space="preserve">結構風險</w:t>
      </w:r>
    </w:p>
    <w:p>
      <w:pPr>
        <w:pStyle w:val="BodyText"/>
      </w:pPr>
      <w:r>
        <w:rPr>
          <w:rFonts w:hint="eastAsia"/>
        </w:rPr>
        <w:t xml:space="preserve">投資風險</w:t>
      </w:r>
    </w:p>
    <w:p>
      <w:pPr>
        <w:pStyle w:val="BodyText"/>
      </w:pPr>
      <w:r>
        <w:rPr>
          <w:rFonts w:hint="eastAsia"/>
        </w:rPr>
        <w:t xml:space="preserve">保險風險</w:t>
      </w:r>
    </w:p>
    <w:p>
      <w:pPr>
        <w:pStyle w:val="BodyText"/>
      </w:pPr>
      <w:r>
        <w:rPr>
          <w:rFonts w:hint="eastAsia"/>
        </w:rPr>
        <w:t xml:space="preserve">行為風險</w:t>
      </w:r>
    </w:p>
    <w:p>
      <w:pPr>
        <w:pStyle w:val="BodyText"/>
      </w:pPr>
      <w:r>
        <w:rPr>
          <w:rFonts w:hint="eastAsia"/>
        </w:rPr>
        <w:t xml:space="preserve">策略風險</w:t>
      </w:r>
    </w:p>
    <w:p>
      <w:pPr>
        <w:pStyle w:val="BodyText"/>
      </w:pPr>
      <w:r>
        <w:rPr>
          <w:rFonts w:hint="eastAsia"/>
        </w:rPr>
        <w:t xml:space="preserve">執行、交付和流程管理</w:t>
      </w:r>
      <w:r>
        <w:br/>
      </w:r>
      <w:r>
        <w:rPr>
          <w:rFonts w:hint="eastAsia"/>
        </w:rPr>
        <w:t xml:space="preserve">風險</w:t>
      </w:r>
    </w:p>
    <w:p>
      <w:pPr>
        <w:pStyle w:val="BodyText"/>
      </w:pPr>
      <w:r>
        <w:rPr>
          <w:rFonts w:hint="eastAsia"/>
        </w:rPr>
        <w:t xml:space="preserve">商業環境</w:t>
      </w:r>
    </w:p>
    <w:p>
      <w:pPr>
        <w:pStyle w:val="BodyText"/>
      </w:pPr>
      <w:r>
        <w:rPr>
          <w:rFonts w:hint="eastAsia"/>
        </w:rPr>
        <w:t xml:space="preserve">物業風險*</w:t>
      </w:r>
    </w:p>
    <w:p>
      <w:pPr>
        <w:pStyle w:val="BodyText"/>
      </w:pPr>
      <w:r>
        <w:rPr>
          <w:rFonts w:hint="eastAsia"/>
        </w:rPr>
        <w:t xml:space="preserve">股權風險*</w:t>
      </w:r>
    </w:p>
    <w:p>
      <w:pPr>
        <w:pStyle w:val="BodyText"/>
      </w:pPr>
      <w:r>
        <w:rPr>
          <w:rFonts w:hint="eastAsia"/>
        </w:rPr>
        <w:t xml:space="preserve">死亡率風險</w:t>
      </w:r>
    </w:p>
    <w:p>
      <w:pPr>
        <w:pStyle w:val="BodyText"/>
      </w:pPr>
      <w:r>
        <w:rPr>
          <w:rFonts w:hint="eastAsia"/>
        </w:rPr>
        <w:t xml:space="preserve">殘疾∕傷病率風險</w:t>
      </w:r>
    </w:p>
    <w:p>
      <w:pPr>
        <w:pStyle w:val="BodyText"/>
      </w:pPr>
      <w:r>
        <w:rPr>
          <w:rFonts w:hint="eastAsia"/>
        </w:rPr>
        <w:t xml:space="preserve">外部事件風險</w:t>
      </w:r>
    </w:p>
    <w:p>
      <w:pPr>
        <w:pStyle w:val="BodyText"/>
      </w:pPr>
      <w:r>
        <w:rPr>
          <w:rFonts w:hint="eastAsia"/>
        </w:rPr>
        <w:t xml:space="preserve">保單失效風險</w:t>
      </w:r>
    </w:p>
    <w:p>
      <w:pPr>
        <w:pStyle w:val="BodyText"/>
      </w:pPr>
      <w:r>
        <w:rPr>
          <w:rFonts w:hint="eastAsia"/>
        </w:rPr>
        <w:t xml:space="preserve">信貸違約風險*</w:t>
      </w:r>
    </w:p>
    <w:p>
      <w:pPr>
        <w:pStyle w:val="BodyText"/>
      </w:pPr>
      <w:r>
        <w:rPr>
          <w:rFonts w:hint="eastAsia"/>
        </w:rPr>
        <w:t xml:space="preserve">流行疫症和巨災風險</w:t>
      </w:r>
    </w:p>
    <w:p>
      <w:pPr>
        <w:pStyle w:val="BodyText"/>
      </w:pPr>
      <w:r>
        <w:rPr>
          <w:rFonts w:hint="eastAsia"/>
        </w:rPr>
        <w:t xml:space="preserve">金融犯罪風險</w:t>
      </w:r>
    </w:p>
    <w:p>
      <w:pPr>
        <w:pStyle w:val="BodyText"/>
      </w:pPr>
      <w:r>
        <w:rPr>
          <w:rFonts w:hint="eastAsia"/>
        </w:rPr>
        <w:t xml:space="preserve">開支風險</w:t>
      </w:r>
    </w:p>
    <w:p>
      <w:pPr>
        <w:pStyle w:val="BodyText"/>
      </w:pPr>
      <w:r>
        <w:rPr>
          <w:rFonts w:hint="eastAsia"/>
        </w:rPr>
        <w:t xml:space="preserve">信貸息差風險*</w:t>
      </w:r>
    </w:p>
    <w:p>
      <w:pPr>
        <w:pStyle w:val="BodyText"/>
      </w:pPr>
      <w:r>
        <w:rPr>
          <w:rFonts w:hint="eastAsia"/>
        </w:rPr>
        <w:t xml:space="preserve">再保險的交易對手風險</w:t>
      </w:r>
    </w:p>
    <w:p>
      <w:pPr>
        <w:pStyle w:val="BodyText"/>
      </w:pPr>
      <w:r>
        <w:rPr>
          <w:rFonts w:hint="eastAsia"/>
        </w:rPr>
        <w:t xml:space="preserve">欺詐風險</w:t>
      </w:r>
    </w:p>
    <w:p>
      <w:pPr>
        <w:pStyle w:val="BodyText"/>
      </w:pPr>
      <w:r>
        <w:rPr>
          <w:rFonts w:hint="eastAsia"/>
        </w:rPr>
        <w:t xml:space="preserve">人員風險</w:t>
      </w:r>
    </w:p>
    <w:p>
      <w:pPr>
        <w:pStyle w:val="BodyText"/>
      </w:pPr>
      <w:r>
        <w:rPr>
          <w:rFonts w:hint="eastAsia"/>
        </w:rPr>
        <w:t xml:space="preserve">資訊風險</w:t>
      </w:r>
    </w:p>
    <w:p>
      <w:pPr>
        <w:pStyle w:val="BodyText"/>
      </w:pPr>
      <w:r>
        <w:rPr>
          <w:rFonts w:hint="eastAsia"/>
        </w:rPr>
        <w:t xml:space="preserve">科技風險</w:t>
      </w:r>
    </w:p>
    <w:p>
      <w:pPr>
        <w:pStyle w:val="BodyText"/>
      </w:pPr>
      <w:r>
        <w:rPr>
          <w:rFonts w:hint="eastAsia"/>
        </w:rPr>
        <w:t xml:space="preserve">法律及合規風險</w:t>
      </w:r>
    </w:p>
    <w:p>
      <w:pPr>
        <w:pStyle w:val="BodyText"/>
      </w:pPr>
      <w:r>
        <w:rPr>
          <w:rFonts w:hint="eastAsia"/>
        </w:rPr>
        <w:t xml:space="preserve">匯率風險</w:t>
      </w:r>
    </w:p>
    <w:p>
      <w:pPr>
        <w:pStyle w:val="BodyText"/>
      </w:pPr>
      <w:r>
        <w:rPr>
          <w:rFonts w:hint="eastAsia"/>
        </w:rPr>
        <w:t xml:space="preserve">投資交易對手風險</w:t>
      </w:r>
    </w:p>
    <w:p>
      <w:pPr>
        <w:pStyle w:val="BodyText"/>
      </w:pPr>
      <w:r>
        <w:rPr>
          <w:rFonts w:hint="eastAsia"/>
        </w:rPr>
        <w:t xml:space="preserve">利率風險</w:t>
      </w:r>
    </w:p>
    <w:p>
      <w:pPr>
        <w:pStyle w:val="BodyText"/>
      </w:pPr>
      <w:r>
        <w:rPr>
          <w:rFonts w:hint="eastAsia"/>
        </w:rPr>
        <w:t xml:space="preserve">流動性風險</w:t>
      </w:r>
    </w:p>
    <w:p>
      <w:pPr>
        <w:pStyle w:val="Compact"/>
        <w:numPr>
          <w:ilvl w:val="0"/>
          <w:numId w:val="1067"/>
        </w:numPr>
      </w:pPr>
      <w:r>
        <w:rPr>
          <w:rFonts w:hint="eastAsia"/>
        </w:rPr>
        <w:t xml:space="preserve">若有關資產用作擔保保單持有人的負債，有關</w:t>
      </w:r>
    </w:p>
    <w:p>
      <w:pPr>
        <w:pStyle w:val="FirstParagraph"/>
      </w:pPr>
      <w:r>
        <w:rPr>
          <w:rFonts w:hint="eastAsia"/>
        </w:rPr>
        <w:t xml:space="preserve">風險可能屬於結構風險；若涉及股東的投資頭寸，</w:t>
      </w:r>
      <w:r>
        <w:br/>
      </w:r>
      <w:r>
        <w:rPr>
          <w:rFonts w:hint="eastAsia"/>
        </w:rPr>
        <w:t xml:space="preserve">有關風險可能屬於投資風險。</w:t>
      </w:r>
    </w:p>
    <w:p>
      <w:pPr>
        <w:pStyle w:val="BodyText"/>
      </w:pPr>
      <w:r>
        <w:t xml:space="preserve">059</w:t>
      </w:r>
    </w:p>
    <w:p>
      <w:pPr>
        <w:pStyle w:val="BodyText"/>
      </w:pPr>
      <w:r>
        <w:rPr>
          <w:rFonts w:hint="eastAsia"/>
        </w:rPr>
        <w:t xml:space="preserve">概覽財務及營運回顧企業管治其他資料財務報表2020年報</w:t>
      </w:r>
    </w:p>
    <w:p>
      <w:pPr>
        <w:pStyle w:val="BodyText"/>
      </w:pPr>
      <w:r>
        <w:rPr>
          <w:rFonts w:hint="eastAsia"/>
        </w:rPr>
        <w:t xml:space="preserve">定義</w:t>
      </w:r>
    </w:p>
    <w:p>
      <w:pPr>
        <w:pStyle w:val="BodyText"/>
      </w:pPr>
      <w:r>
        <w:rPr>
          <w:rFonts w:hint="eastAsia"/>
        </w:rPr>
        <w:t xml:space="preserve">因內部程序、人事及系統或外部事故而可能直接或間接影響業務的風險。這包括本集團</w:t>
      </w:r>
      <w:r>
        <w:br/>
      </w:r>
      <w:r>
        <w:rPr>
          <w:rFonts w:hint="eastAsia"/>
        </w:rPr>
        <w:t xml:space="preserve">因未能（或被視為未能）遵守相關的法律法規或行業標準而可能導致的潛在法律或監管</w:t>
      </w:r>
      <w:r>
        <w:br/>
      </w:r>
      <w:r>
        <w:rPr>
          <w:rFonts w:hint="eastAsia"/>
        </w:rPr>
        <w:t xml:space="preserve">制裁、財務損失或聲譽受損的情況。</w:t>
      </w:r>
    </w:p>
    <w:p>
      <w:pPr>
        <w:pStyle w:val="BodyText"/>
      </w:pPr>
      <w:r>
        <w:rPr>
          <w:rFonts w:hint="eastAsia"/>
        </w:rPr>
        <w:t xml:space="preserve">因業務開支超出預期或收入基礎減少而導致出現損失、業務利潤較預期為低或損失業務</w:t>
      </w:r>
      <w:r>
        <w:br/>
      </w:r>
      <w:r>
        <w:rPr>
          <w:rFonts w:hint="eastAsia"/>
        </w:rPr>
        <w:t xml:space="preserve">利潤的風險。這可能是因業務策略等內部因素引起，也可能是由在規劃範圍內更廣泛的</w:t>
      </w:r>
      <w:r>
        <w:br/>
      </w:r>
      <w:r>
        <w:rPr>
          <w:rFonts w:hint="eastAsia"/>
        </w:rPr>
        <w:t xml:space="preserve">業務環境所產生的影響而導致的。</w:t>
      </w:r>
    </w:p>
    <w:p>
      <w:pPr>
        <w:pStyle w:val="BodyText"/>
      </w:pPr>
      <w:r>
        <w:rPr>
          <w:rFonts w:hint="eastAsia"/>
        </w:rPr>
        <w:t xml:space="preserve">因資產相對於負債的價值的價格或波動出現變化所產生的風險。這包括資產負債表對</w:t>
      </w:r>
      <w:r>
        <w:br/>
      </w:r>
      <w:r>
        <w:rPr>
          <w:rFonts w:hint="eastAsia"/>
        </w:rPr>
        <w:t xml:space="preserve">市場走勢的敏感度，例如匯率及利率，以及集團是否有能力按時履行理賠、償還債務或</w:t>
      </w:r>
      <w:r>
        <w:br/>
      </w:r>
      <w:r>
        <w:rPr>
          <w:rFonts w:hint="eastAsia"/>
        </w:rPr>
        <w:t xml:space="preserve">派息等財務責任。</w:t>
      </w:r>
    </w:p>
    <w:p>
      <w:pPr>
        <w:pStyle w:val="BodyText"/>
      </w:pPr>
      <w:r>
        <w:rPr>
          <w:rFonts w:hint="eastAsia"/>
        </w:rPr>
        <w:t xml:space="preserve">資產面對不利市場變動，以及間接由於交易對手違約，而導致盈餘減少的風險。</w:t>
      </w:r>
    </w:p>
    <w:p>
      <w:pPr>
        <w:pStyle w:val="BodyText"/>
      </w:pPr>
      <w:r>
        <w:rPr>
          <w:rFonts w:hint="eastAsia"/>
        </w:rPr>
        <w:t xml:space="preserve">因集團核保生物識別風險而導致保險負債的價值或分擔出現不利變動的風險。有關風險</w:t>
      </w:r>
      <w:r>
        <w:br/>
      </w:r>
      <w:r>
        <w:rPr>
          <w:rFonts w:hint="eastAsia"/>
        </w:rPr>
        <w:t xml:space="preserve">可能會隨時間逐漸顯現或在集團遭受衝擊或發生極端事件時突然顯現。保險風險包括</w:t>
      </w:r>
      <w:r>
        <w:br/>
      </w:r>
      <w:r>
        <w:rPr>
          <w:rFonts w:hint="eastAsia"/>
        </w:rPr>
        <w:t xml:space="preserve">因精算假設之變動而產生的風險。</w:t>
      </w:r>
    </w:p>
    <w:p>
      <w:pPr>
        <w:pStyle w:val="BodyText"/>
      </w:pPr>
      <w:r>
        <w:rPr>
          <w:rFonts w:hint="eastAsia"/>
        </w:rPr>
        <w:t xml:space="preserve">主要風險</w:t>
      </w:r>
    </w:p>
    <w:p>
      <w:pPr>
        <w:pStyle w:val="BodyText"/>
      </w:pPr>
      <w:r>
        <w:rPr>
          <w:rFonts w:hint="eastAsia"/>
        </w:rPr>
        <w:t xml:space="preserve">營運風險</w:t>
      </w:r>
    </w:p>
    <w:p>
      <w:pPr>
        <w:pStyle w:val="BodyText"/>
      </w:pPr>
      <w:r>
        <w:rPr>
          <w:rFonts w:hint="eastAsia"/>
        </w:rPr>
        <w:t xml:space="preserve">業務風險</w:t>
      </w:r>
    </w:p>
    <w:p>
      <w:pPr>
        <w:pStyle w:val="BodyText"/>
      </w:pPr>
      <w:r>
        <w:rPr>
          <w:rFonts w:hint="eastAsia"/>
        </w:rPr>
        <w:t xml:space="preserve">結構風險</w:t>
      </w:r>
    </w:p>
    <w:p>
      <w:pPr>
        <w:pStyle w:val="BodyText"/>
      </w:pPr>
      <w:r>
        <w:rPr>
          <w:rFonts w:hint="eastAsia"/>
        </w:rPr>
        <w:t xml:space="preserve">投資風險</w:t>
      </w:r>
    </w:p>
    <w:p>
      <w:pPr>
        <w:pStyle w:val="BodyText"/>
      </w:pPr>
      <w:r>
        <w:rPr>
          <w:rFonts w:hint="eastAsia"/>
        </w:rPr>
        <w:t xml:space="preserve">保險風險</w:t>
      </w:r>
    </w:p>
    <w:p>
      <w:pPr>
        <w:pStyle w:val="BodyText"/>
      </w:pPr>
      <w:r>
        <w:rPr>
          <w:rFonts w:hint="eastAsia"/>
        </w:rPr>
        <w:t xml:space="preserve">風險核保</w:t>
      </w:r>
    </w:p>
    <w:p>
      <w:pPr>
        <w:pStyle w:val="BodyText"/>
      </w:pPr>
      <w:r>
        <w:rPr>
          <w:rFonts w:hint="eastAsia"/>
        </w:rPr>
        <w:t xml:space="preserve">本集團設有穩健的流程以提供充足的資料、能力及工具來管理主要風險。對於本集團主動承受的風險，本集團</w:t>
      </w:r>
    </w:p>
    <w:p>
      <w:pPr>
        <w:pStyle w:val="BodyText"/>
      </w:pPr>
      <w:r>
        <w:rPr>
          <w:rFonts w:hint="eastAsia"/>
        </w:rPr>
        <w:t xml:space="preserve">會對其進行識別、量化和管理，以助創造長期價值。</w:t>
      </w:r>
    </w:p>
    <w:p>
      <w:pPr>
        <w:pStyle w:val="BodyText"/>
      </w:pPr>
      <w:r>
        <w:rPr>
          <w:rFonts w:hint="eastAsia"/>
        </w:rPr>
        <w:t xml:space="preserve">識別</w:t>
      </w:r>
    </w:p>
    <w:p>
      <w:pPr>
        <w:pStyle w:val="BodyText"/>
      </w:pPr>
      <w:r>
        <w:rPr>
          <w:rFonts w:hint="eastAsia"/>
        </w:rPr>
        <w:t xml:space="preserve">及時及全面地識別風險是風險管理流程的必要起點。風險與合規職能部門已制訂了系統性化流程以識別業務單位</w:t>
      </w:r>
    </w:p>
    <w:p>
      <w:pPr>
        <w:pStyle w:val="BodyText"/>
      </w:pPr>
      <w:r>
        <w:rPr>
          <w:rFonts w:hint="eastAsia"/>
        </w:rPr>
        <w:t xml:space="preserve">的現有及新興風險。風險格局讓我們可對業務活動中現有及新興風險進行一致的識別和分類。</w:t>
      </w:r>
    </w:p>
    <w:p>
      <w:pPr>
        <w:pStyle w:val="BodyText"/>
      </w:pPr>
      <w:r>
        <w:rPr>
          <w:rFonts w:hint="eastAsia"/>
        </w:rPr>
        <w:t xml:space="preserve">量化</w:t>
      </w:r>
    </w:p>
    <w:p>
      <w:pPr>
        <w:pStyle w:val="BodyText"/>
      </w:pPr>
      <w:r>
        <w:rPr>
          <w:rFonts w:hint="eastAsia"/>
        </w:rPr>
        <w:t xml:space="preserve">量化風險對建立風險級別以及在集團風險胃納內制定適當的管理措施甚為重要。本集團根據風險的性質而採用特</w:t>
      </w:r>
    </w:p>
    <w:p>
      <w:pPr>
        <w:pStyle w:val="BodyText"/>
      </w:pPr>
      <w:r>
        <w:rPr>
          <w:rFonts w:hint="eastAsia"/>
        </w:rPr>
        <w:t xml:space="preserve">定的風險量化方法，其中包括定期資本評估以及壓力和情景測試等。</w:t>
      </w:r>
    </w:p>
    <w:p>
      <w:pPr>
        <w:pStyle w:val="BodyText"/>
      </w:pPr>
      <w:r>
        <w:rPr>
          <w:rFonts w:hint="eastAsia"/>
        </w:rPr>
        <w:t xml:space="preserve">核保決策</w:t>
      </w:r>
    </w:p>
    <w:p>
      <w:pPr>
        <w:pStyle w:val="BodyText"/>
      </w:pPr>
      <w:r>
        <w:rPr>
          <w:rFonts w:hint="eastAsia"/>
        </w:rPr>
        <w:t xml:space="preserve">本集團根據經審批的風險承受水平對風險進行評估，以確保在核保決策時能確切了解和適當考慮該決策對集團</w:t>
      </w:r>
    </w:p>
    <w:p>
      <w:pPr>
        <w:pStyle w:val="BodyText"/>
      </w:pPr>
      <w:r>
        <w:rPr>
          <w:rFonts w:hint="eastAsia"/>
        </w:rPr>
        <w:t xml:space="preserve">風險概況的影響。</w:t>
      </w:r>
    </w:p>
    <w:p>
      <w:pPr>
        <w:pStyle w:val="BodyText"/>
      </w:pPr>
      <w:r>
        <w:rPr>
          <w:rFonts w:hint="eastAsia"/>
        </w:rPr>
        <w:t xml:space="preserve">審查和管理</w:t>
      </w:r>
    </w:p>
    <w:p>
      <w:pPr>
        <w:pStyle w:val="BodyText"/>
      </w:pPr>
      <w:r>
        <w:rPr>
          <w:rFonts w:hint="eastAsia"/>
        </w:rPr>
        <w:t xml:space="preserve">第一道防線的行政人員應負責執行適當措施及其他風險緩解策略，以轉移、緩解或消除超出風險承受水平的</w:t>
      </w:r>
    </w:p>
    <w:p>
      <w:pPr>
        <w:pStyle w:val="BodyText"/>
      </w:pPr>
      <w:r>
        <w:rPr>
          <w:rFonts w:hint="eastAsia"/>
        </w:rPr>
        <w:t xml:space="preserve">風險。他們亦須負責及時呈報重大風險的發展變化。</w:t>
      </w:r>
    </w:p>
    <w:p>
      <w:pPr>
        <w:pStyle w:val="BodyText"/>
      </w:pPr>
      <w:r>
        <w:t xml:space="preserve">060</w:t>
      </w:r>
    </w:p>
    <w:p>
      <w:pPr>
        <w:pStyle w:val="BodyText"/>
      </w:pPr>
      <w:r>
        <w:rPr>
          <w:rFonts w:hint="eastAsia"/>
        </w:rPr>
        <w:t xml:space="preserve">財務及營運回顧友邦保險控股有限公司風險管理</w:t>
      </w:r>
    </w:p>
    <w:p>
      <w:pPr>
        <w:pStyle w:val="BodyText"/>
      </w:pPr>
      <w:r>
        <w:rPr>
          <w:rFonts w:hint="eastAsia"/>
        </w:rPr>
        <w:t xml:space="preserve">風險控制</w:t>
      </w:r>
    </w:p>
    <w:p>
      <w:pPr>
        <w:pStyle w:val="BodyText"/>
      </w:pPr>
      <w:r>
        <w:rPr>
          <w:rFonts w:hint="eastAsia"/>
        </w:rPr>
        <w:t xml:space="preserve">本集團通過健全的內部控制系統將風險維持在可接受的剩餘水平內，從而管理需要妥善緩解的風險。本集團設立</w:t>
      </w:r>
    </w:p>
    <w:p>
      <w:pPr>
        <w:pStyle w:val="BodyText"/>
      </w:pPr>
      <w:r>
        <w:rPr>
          <w:rFonts w:hint="eastAsia"/>
        </w:rPr>
        <w:t xml:space="preserve">營運風險及控制架構，以確保集團運作符合各持份者的期望。該營運風險及控制架構的主要組成部分為風險與</w:t>
      </w:r>
    </w:p>
    <w:p>
      <w:pPr>
        <w:pStyle w:val="BodyText"/>
      </w:pPr>
      <w:r>
        <w:rPr>
          <w:rFonts w:hint="eastAsia"/>
        </w:rPr>
        <w:t xml:space="preserve">內部控制評估，該評估機制通過定期評估業務的營運風險和內部控制的有效性，以確保內部控制環境的信息和</w:t>
      </w:r>
    </w:p>
    <w:p>
      <w:pPr>
        <w:pStyle w:val="BodyText"/>
      </w:pPr>
      <w:r>
        <w:rPr>
          <w:rFonts w:hint="eastAsia"/>
        </w:rPr>
        <w:t xml:space="preserve">觀點均得到適當考慮。</w:t>
      </w:r>
    </w:p>
    <w:p>
      <w:pPr>
        <w:pStyle w:val="BodyText"/>
      </w:pPr>
      <w:r>
        <w:rPr>
          <w:rFonts w:hint="eastAsia"/>
        </w:rPr>
        <w:t xml:space="preserve">風險披露</w:t>
      </w:r>
    </w:p>
    <w:p>
      <w:pPr>
        <w:pStyle w:val="BodyText"/>
      </w:pPr>
      <w:r>
        <w:rPr>
          <w:rFonts w:hint="eastAsia"/>
        </w:rPr>
        <w:t xml:space="preserve">第二道防線負責監督第一道防線的活動，並根據風險胃納所設之風險指標和限制向相關的風險委員會報告第一道</w:t>
      </w:r>
    </w:p>
    <w:p>
      <w:pPr>
        <w:pStyle w:val="BodyText"/>
      </w:pPr>
      <w:r>
        <w:rPr>
          <w:rFonts w:hint="eastAsia"/>
        </w:rPr>
        <w:t xml:space="preserve">防線的表現。我們從基本系統收集資料，並將這些資料呈交董事會、相關的風險委員會和其他行政管理層以進行</w:t>
      </w:r>
    </w:p>
    <w:p>
      <w:pPr>
        <w:pStyle w:val="BodyText"/>
      </w:pPr>
      <w:r>
        <w:rPr>
          <w:rFonts w:hint="eastAsia"/>
        </w:rPr>
        <w:t xml:space="preserve">主要決策。</w:t>
      </w:r>
    </w:p>
    <w:p>
      <w:pPr>
        <w:pStyle w:val="BodyText"/>
      </w:pPr>
      <w:r>
        <w:rPr>
          <w:rFonts w:hint="eastAsia"/>
        </w:rPr>
        <w:t xml:space="preserve">本集團對風險管理架構進行持續監控，從而持續評估集團的風險狀況、合規狀況和風險管理架構的整體有效性。</w:t>
      </w:r>
    </w:p>
    <w:p>
      <w:pPr>
        <w:pStyle w:val="BodyText"/>
      </w:pPr>
      <w:r>
        <w:rPr>
          <w:rFonts w:hint="eastAsia"/>
        </w:rPr>
        <w:t xml:space="preserve">董事會每年對整體風險管理架構進行審查以確保其持續合適性。此外，為確保風險管理流程之有效性，自我風險</w:t>
      </w:r>
    </w:p>
    <w:p>
      <w:pPr>
        <w:pStyle w:val="BodyText"/>
      </w:pPr>
      <w:r>
        <w:rPr>
          <w:rFonts w:hint="eastAsia"/>
        </w:rPr>
        <w:t xml:space="preserve">及償付能力評估報告亦須給予風險委員會以供年度審閱。</w:t>
      </w:r>
    </w:p>
    <w:p>
      <w:pPr>
        <w:pStyle w:val="BodyText"/>
      </w:pPr>
      <w:r>
        <w:rPr>
          <w:rFonts w:hint="eastAsia"/>
        </w:rPr>
        <w:t xml:space="preserve">風險管理架構的執行</w:t>
      </w:r>
    </w:p>
    <w:p>
      <w:pPr>
        <w:pStyle w:val="BodyText"/>
      </w:pPr>
      <w:r>
        <w:rPr>
          <w:rFonts w:hint="eastAsia"/>
        </w:rPr>
        <w:t xml:space="preserve">友邦保險已將風險管理架構納入主要業務流程和決策當中，並設定了以下優先領域：</w:t>
      </w:r>
    </w:p>
    <w:p>
      <w:pPr>
        <w:pStyle w:val="Compact"/>
        <w:numPr>
          <w:ilvl w:val="0"/>
          <w:numId w:val="1068"/>
        </w:numPr>
      </w:pPr>
      <w:r>
        <w:rPr>
          <w:rFonts w:hint="eastAsia"/>
        </w:rPr>
        <w:t xml:space="preserve">產品生命週期與審批：在評估保險產品的發布、修訂和持續管理時，本集團會考慮其中所涉及的潛在財務</w:t>
      </w:r>
    </w:p>
    <w:p>
      <w:pPr>
        <w:pStyle w:val="FirstParagraph"/>
      </w:pPr>
      <w:r>
        <w:rPr>
          <w:rFonts w:hint="eastAsia"/>
        </w:rPr>
        <w:t xml:space="preserve">風險和營運風險；</w:t>
      </w:r>
    </w:p>
    <w:p>
      <w:pPr>
        <w:pStyle w:val="Compact"/>
        <w:numPr>
          <w:ilvl w:val="0"/>
          <w:numId w:val="1069"/>
        </w:numPr>
      </w:pPr>
      <w:r>
        <w:rPr>
          <w:rFonts w:hint="eastAsia"/>
        </w:rPr>
        <w:t xml:space="preserve">策略規劃：本集團進行年度規劃，以制定並訂立我們的策略和企業目標。風險與合規職能部門負責評估潛在</w:t>
      </w:r>
    </w:p>
    <w:p>
      <w:pPr>
        <w:pStyle w:val="FirstParagraph"/>
      </w:pPr>
      <w:r>
        <w:rPr>
          <w:rFonts w:hint="eastAsia"/>
        </w:rPr>
        <w:t xml:space="preserve">策略對本集團的風險概況的影響，並確保所選擇的策略符合我們的風險胃納；</w:t>
      </w:r>
    </w:p>
    <w:p>
      <w:pPr>
        <w:pStyle w:val="Compact"/>
        <w:numPr>
          <w:ilvl w:val="0"/>
          <w:numId w:val="1070"/>
        </w:numPr>
      </w:pPr>
      <w:r>
        <w:rPr>
          <w:rFonts w:hint="eastAsia"/>
        </w:rPr>
        <w:t xml:space="preserve">投資管理：本集團在致力實現正回報時，亦會審慎管理資產組合產生的風險，以確保友邦保險能夠維持所需</w:t>
      </w:r>
    </w:p>
    <w:p>
      <w:pPr>
        <w:pStyle w:val="FirstParagraph"/>
      </w:pPr>
      <w:r>
        <w:rPr>
          <w:rFonts w:hint="eastAsia"/>
        </w:rPr>
        <w:t xml:space="preserve">的財務靈活性以便為業務增長機遇提供資金、支持既定的派息政策、支付賠償並抵禦資本市場（或其他）帶來</w:t>
      </w:r>
    </w:p>
    <w:p>
      <w:pPr>
        <w:pStyle w:val="BodyText"/>
      </w:pPr>
      <w:r>
        <w:rPr>
          <w:rFonts w:hint="eastAsia"/>
        </w:rPr>
        <w:t xml:space="preserve">的壓力情況；</w:t>
      </w:r>
    </w:p>
    <w:p>
      <w:pPr>
        <w:pStyle w:val="Compact"/>
        <w:numPr>
          <w:ilvl w:val="0"/>
          <w:numId w:val="1071"/>
        </w:numPr>
      </w:pPr>
      <w:r>
        <w:rPr>
          <w:rFonts w:hint="eastAsia"/>
        </w:rPr>
        <w:t xml:space="preserve">結構管理：資產的期限和價值與相應的負債應相匹配，以確保有足夠資源來償還到期負債。我們的資產配置</w:t>
      </w:r>
    </w:p>
    <w:p>
      <w:pPr>
        <w:pStyle w:val="FirstParagraph"/>
      </w:pPr>
      <w:r>
        <w:rPr>
          <w:rFonts w:hint="eastAsia"/>
        </w:rPr>
        <w:t xml:space="preserve">策略由負債匹配方案所推動，旨在確保結構風險得到審慎管理；及</w:t>
      </w:r>
    </w:p>
    <w:p>
      <w:pPr>
        <w:pStyle w:val="Compact"/>
        <w:numPr>
          <w:ilvl w:val="0"/>
          <w:numId w:val="1072"/>
        </w:numPr>
      </w:pPr>
      <w:r>
        <w:rPr>
          <w:rFonts w:hint="eastAsia"/>
        </w:rPr>
        <w:t xml:space="preserve">內部控制：為確保日常業務活動中產生的潛在營運和合規風險能在我們的風險胃納範圍內得到適當的控制和</w:t>
      </w:r>
    </w:p>
    <w:p>
      <w:pPr>
        <w:pStyle w:val="FirstParagraph"/>
      </w:pPr>
      <w:r>
        <w:rPr>
          <w:rFonts w:hint="eastAsia"/>
        </w:rPr>
        <w:t xml:space="preserve">管理，本集團於營運風險及控制架構中融入了健全的內部控制措施。</w:t>
      </w:r>
    </w:p>
    <w:p>
      <w:pPr>
        <w:pStyle w:val="BodyText"/>
      </w:pPr>
      <w:r>
        <w:t xml:space="preserve">061</w:t>
      </w:r>
    </w:p>
    <w:p>
      <w:pPr>
        <w:pStyle w:val="BodyText"/>
      </w:pPr>
      <w:r>
        <w:rPr>
          <w:rFonts w:hint="eastAsia"/>
        </w:rPr>
        <w:t xml:space="preserve">概覽財務及營運回顧企業管治其他資料財務報表2020年報</w:t>
      </w:r>
    </w:p>
    <w:p>
      <w:pPr>
        <w:pStyle w:val="BodyText"/>
      </w:pPr>
      <w:r>
        <w:rPr>
          <w:rFonts w:hint="eastAsia"/>
        </w:rPr>
        <w:t xml:space="preserve">監管及國際發展</w:t>
      </w:r>
    </w:p>
    <w:p>
      <w:pPr>
        <w:pStyle w:val="BodyText"/>
      </w:pPr>
      <w:r>
        <w:rPr>
          <w:rFonts w:hint="eastAsia"/>
        </w:rPr>
        <w:t xml:space="preserve">國際保險監督聯會是保險公司的標準制定機構，該機構已於2019年11月14日舉行的週年大會上採納適用於監管</w:t>
      </w:r>
    </w:p>
    <w:p>
      <w:pPr>
        <w:pStyle w:val="BodyText"/>
      </w:pPr>
      <w:r>
        <w:rPr>
          <w:rFonts w:hint="eastAsia"/>
        </w:rPr>
        <w:t xml:space="preserve">國際活躍保險集團的共同框架。多個本集團業務單位的監管機構（包括香港保監局）均為國際保險監督聯會的成</w:t>
      </w:r>
    </w:p>
    <w:p>
      <w:pPr>
        <w:pStyle w:val="BodyText"/>
      </w:pPr>
      <w:r>
        <w:rPr>
          <w:rFonts w:hint="eastAsia"/>
        </w:rPr>
        <w:t xml:space="preserve">員。根據共同框架，符合其在全球運營的司法權區及就業務規模方面若干最低要求的保險集團將被定義為國際活</w:t>
      </w:r>
    </w:p>
    <w:p>
      <w:pPr>
        <w:pStyle w:val="BodyText"/>
      </w:pPr>
      <w:r>
        <w:rPr>
          <w:rFonts w:hint="eastAsia"/>
        </w:rPr>
        <w:t xml:space="preserve">躍保險集團。本集團已按照有關標準獲指定為國際活躍保險集團。</w:t>
      </w:r>
    </w:p>
    <w:p>
      <w:pPr>
        <w:pStyle w:val="BodyText"/>
      </w:pPr>
      <w:r>
        <w:rPr>
          <w:rFonts w:hint="eastAsia"/>
        </w:rPr>
        <w:t xml:space="preserve">此外，作為共同框架的一部分，於2020年，國際保險監督聯會開始制定及實施保險資本標準兩個階段的首階段。</w:t>
      </w:r>
    </w:p>
    <w:p>
      <w:pPr>
        <w:pStyle w:val="BodyText"/>
      </w:pPr>
      <w:r>
        <w:rPr>
          <w:rFonts w:hint="eastAsia"/>
        </w:rPr>
        <w:t xml:space="preserve">在首階段下，就向集團監管者作保密呈報的五年監測期內，若干「參考保險資本標準」將被評估。擬在2025年開</w:t>
      </w:r>
    </w:p>
    <w:p>
      <w:pPr>
        <w:pStyle w:val="BodyText"/>
      </w:pPr>
      <w:r>
        <w:rPr>
          <w:rFonts w:hint="eastAsia"/>
        </w:rPr>
        <w:t xml:space="preserve">始的第二階段將包括實施保險資本標準作為指定集團資本要求的一部分。</w:t>
      </w:r>
    </w:p>
    <w:p>
      <w:pPr>
        <w:pStyle w:val="BodyText"/>
      </w:pPr>
      <w:r>
        <w:rPr>
          <w:rFonts w:hint="eastAsia"/>
        </w:rPr>
        <w:t xml:space="preserve">除我們先前所披露的內容外，香港保監局正制定符合國際標準的集團監管框架，以監管於香港註冊的國際活躍保</w:t>
      </w:r>
    </w:p>
    <w:p>
      <w:pPr>
        <w:pStyle w:val="BodyText"/>
      </w:pPr>
      <w:r>
        <w:rPr>
          <w:rFonts w:hint="eastAsia"/>
        </w:rPr>
        <w:t xml:space="preserve">險集團。載有集團監管框架的法律已於2020年7月17日頒佈。</w:t>
      </w:r>
    </w:p>
    <w:p>
      <w:pPr>
        <w:pStyle w:val="BodyText"/>
      </w:pPr>
      <w:r>
        <w:rPr>
          <w:rFonts w:hint="eastAsia"/>
        </w:rPr>
        <w:t xml:space="preserve">於2020年12月31日，香港特別行政區政府於憲報上刊登該法律的生效日期為2021年3月29日。此外，集團資本規</w:t>
      </w:r>
    </w:p>
    <w:p>
      <w:pPr>
        <w:pStyle w:val="BodyText"/>
      </w:pPr>
      <w:r>
        <w:rPr>
          <w:rFonts w:hint="eastAsia"/>
        </w:rPr>
        <w:t xml:space="preserve">則已於2021年1月6日提交立法會，並將於2021年3月29日開始實施。集團監管框架反映共同框架的規定。</w:t>
      </w:r>
    </w:p>
    <w:p>
      <w:pPr>
        <w:pStyle w:val="BodyText"/>
      </w:pPr>
      <w:r>
        <w:rPr>
          <w:rFonts w:hint="eastAsia"/>
        </w:rPr>
        <w:t xml:space="preserve">在集團監管框架下，對於根據該法律被指定的保險集團於香港註冊成立的控股公司，香港保監局將擁有直接監管</w:t>
      </w:r>
    </w:p>
    <w:p>
      <w:pPr>
        <w:pStyle w:val="BodyText"/>
      </w:pPr>
      <w:r>
        <w:rPr>
          <w:rFonts w:hint="eastAsia"/>
        </w:rPr>
        <w:t xml:space="preserve">權力。對於香港境內或從香港開展保險業務的保險公司而言，香港保監局擁有多項監管權力，包括批准控制人、</w:t>
      </w:r>
    </w:p>
    <w:p>
      <w:pPr>
        <w:pStyle w:val="BodyText"/>
      </w:pPr>
      <w:r>
        <w:rPr>
          <w:rFonts w:hint="eastAsia"/>
        </w:rPr>
        <w:t xml:space="preserve">董事及主要人員的任命，以及作出干預、查察及調查的權力。該等權力亦可根據集團監管框架直接行使於保險集</w:t>
      </w:r>
    </w:p>
    <w:p>
      <w:pPr>
        <w:pStyle w:val="BodyText"/>
      </w:pPr>
      <w:r>
        <w:rPr>
          <w:rFonts w:hint="eastAsia"/>
        </w:rPr>
        <w:t xml:space="preserve">團於香港註冊成立的控股公司。</w:t>
      </w:r>
    </w:p>
    <w:p>
      <w:pPr>
        <w:pStyle w:val="BodyText"/>
      </w:pPr>
      <w:r>
        <w:rPr>
          <w:rFonts w:hint="eastAsia"/>
        </w:rPr>
        <w:t xml:space="preserve">集團資本規則將載列在集團監管框架下本集團的資本要求，並將以「總和法」作為基準。本集團公佈的可用資本</w:t>
      </w:r>
    </w:p>
    <w:p>
      <w:pPr>
        <w:pStyle w:val="BodyText"/>
      </w:pPr>
      <w:r>
        <w:rPr>
          <w:rFonts w:hint="eastAsia"/>
        </w:rPr>
        <w:t xml:space="preserve">總額及最低所需資本將根據本集團各相關受監管的實體的監管規定下可用資本及所需資本的總和計算（亦稱為</w:t>
      </w:r>
    </w:p>
    <w:p>
      <w:pPr>
        <w:pStyle w:val="BodyText"/>
      </w:pPr>
      <w:r>
        <w:rPr>
          <w:rFonts w:hint="eastAsia"/>
        </w:rPr>
        <w:t xml:space="preserve">「當地資本總和法」）。集團資本規則對合格次級債務作出規定。</w:t>
      </w:r>
    </w:p>
    <w:p>
      <w:pPr>
        <w:pStyle w:val="BodyText"/>
      </w:pPr>
      <w:r>
        <w:t xml:space="preserve">062</w:t>
      </w:r>
    </w:p>
    <w:p>
      <w:pPr>
        <w:pStyle w:val="BodyText"/>
      </w:pPr>
      <w:r>
        <w:rPr>
          <w:rFonts w:hint="eastAsia"/>
        </w:rPr>
        <w:t xml:space="preserve">財務及營運回顧友邦保險控股有限公司</w:t>
      </w:r>
    </w:p>
    <w:p>
      <w:pPr>
        <w:pStyle w:val="BodyText"/>
      </w:pPr>
      <w:r>
        <w:rPr>
          <w:rFonts w:hint="eastAsia"/>
        </w:rPr>
        <w:t xml:space="preserve">除上述者外，友邦保險積極參與就審慎、業內行為及其他相關事項進行的行業對話，有關事項包括：</w:t>
      </w:r>
    </w:p>
    <w:p>
      <w:pPr>
        <w:pStyle w:val="BodyText"/>
      </w:pPr>
      <w:r>
        <w:t xml:space="preserve">• </w:t>
      </w:r>
      <w:r>
        <w:rPr>
          <w:rFonts w:hint="eastAsia"/>
        </w:rPr>
        <w:t xml:space="preserve">香港以風險為基礎的資本制度：友邦保險繼續與香港保監局就於香港制定以風險為基礎的資本制度開展跨年</w:t>
      </w:r>
    </w:p>
    <w:p>
      <w:pPr>
        <w:pStyle w:val="BodyText"/>
      </w:pPr>
      <w:r>
        <w:rPr>
          <w:rFonts w:hint="eastAsia"/>
        </w:rPr>
        <w:t xml:space="preserve">度諮詢程序作出密切及具建設性的合作，該制度適用於香港持牌保險公司（有別於適用於集團層面的集團監</w:t>
      </w:r>
    </w:p>
    <w:p>
      <w:pPr>
        <w:pStyle w:val="BodyText"/>
      </w:pPr>
      <w:r>
        <w:rPr>
          <w:rFonts w:hint="eastAsia"/>
        </w:rPr>
        <w:t xml:space="preserve">管框架）。該以風險為基礎的資本制度將取代當前的償付能力標準1制度。根據最近期可獲得的資料，我們預</w:t>
      </w:r>
    </w:p>
    <w:p>
      <w:pPr>
        <w:pStyle w:val="BodyText"/>
      </w:pPr>
      <w:r>
        <w:rPr>
          <w:rFonts w:hint="eastAsia"/>
        </w:rPr>
        <w:t xml:space="preserve">期該制度將自2024年1月1日起生效。</w:t>
      </w:r>
    </w:p>
    <w:p>
      <w:pPr>
        <w:pStyle w:val="BodyText"/>
      </w:pPr>
      <w:r>
        <w:t xml:space="preserve">• </w:t>
      </w:r>
      <w:r>
        <w:rPr>
          <w:rFonts w:hint="eastAsia"/>
        </w:rPr>
        <w:t xml:space="preserve">放寬對中國內地壽險公司的外資所有權的限制：繼2017年首次宣佈放寬對金融服務行業外資所有權的限制，</w:t>
      </w:r>
    </w:p>
    <w:p>
      <w:pPr>
        <w:pStyle w:val="BodyText"/>
      </w:pPr>
      <w:r>
        <w:rPr>
          <w:rFonts w:hint="eastAsia"/>
        </w:rPr>
        <w:t xml:space="preserve">中國內地政府已於2019年12月6日正式解除該等所有權限制，自2020年1月1日起，允許外資持有中國內地的</w:t>
      </w:r>
    </w:p>
    <w:p>
      <w:pPr>
        <w:pStyle w:val="BodyText"/>
      </w:pPr>
      <w:r>
        <w:rPr>
          <w:rFonts w:hint="eastAsia"/>
        </w:rPr>
        <w:t xml:space="preserve">持牌壽險公司100%</w:t>
      </w:r>
      <w:r>
        <w:t xml:space="preserve"> </w:t>
      </w:r>
      <w:r>
        <w:rPr>
          <w:rFonts w:hint="eastAsia"/>
        </w:rPr>
        <w:t xml:space="preserve">所有權。於2020年6月19日，AIA</w:t>
      </w:r>
      <w:r>
        <w:t xml:space="preserve"> Co. </w:t>
      </w:r>
      <w:r>
        <w:rPr>
          <w:rFonts w:hint="eastAsia"/>
        </w:rPr>
        <w:t xml:space="preserve">已獲得由中國銀行保險監督管理委員會發出的批准，</w:t>
      </w:r>
    </w:p>
    <w:p>
      <w:pPr>
        <w:pStyle w:val="BodyText"/>
      </w:pPr>
      <w:r>
        <w:rPr>
          <w:rFonts w:hint="eastAsia"/>
        </w:rPr>
        <w:t xml:space="preserve">將其現有上海分公司改建為全資附屬公司，以管理及經營於中國內地的現有及未來業務。於2021年3月，</w:t>
      </w:r>
    </w:p>
    <w:p>
      <w:pPr>
        <w:pStyle w:val="BodyText"/>
      </w:pPr>
      <w:r>
        <w:rPr>
          <w:rFonts w:hint="eastAsia"/>
        </w:rPr>
        <w:t xml:space="preserve">友邦中國獲得中國銀保監會批復，准予在四川開業。</w:t>
      </w:r>
    </w:p>
    <w:p>
      <w:pPr>
        <w:pStyle w:val="BodyText"/>
      </w:pPr>
      <w:r>
        <w:t xml:space="preserve">• </w:t>
      </w:r>
      <w:r>
        <w:rPr>
          <w:rFonts w:hint="eastAsia"/>
        </w:rPr>
        <w:t xml:space="preserve">經濟合作與發展組織（經合組織）正在開展有關稅收政策工作的新階段，通常稱為「稅基侵蝕和利潤轉移</w:t>
      </w:r>
    </w:p>
    <w:p>
      <w:pPr>
        <w:pStyle w:val="BodyText"/>
      </w:pPr>
      <w:r>
        <w:rPr>
          <w:rFonts w:hint="eastAsia"/>
        </w:rPr>
        <w:t xml:space="preserve">2.0」，其具有兩大核心。第一核心旨在更改消費者業務及自動化數碼服務的相關國際稅收制度。其旨在分配</w:t>
      </w:r>
    </w:p>
    <w:p>
      <w:pPr>
        <w:pStyle w:val="BodyText"/>
      </w:pPr>
      <w:r>
        <w:rPr>
          <w:rFonts w:hint="eastAsia"/>
        </w:rPr>
        <w:t xml:space="preserve">更多徵稅權利予銷售及營銷司法權區，及確保可在企業並無業務實體身處該地，但仍具有重大經濟活動的司</w:t>
      </w:r>
    </w:p>
    <w:p>
      <w:pPr>
        <w:pStyle w:val="BodyText"/>
      </w:pPr>
      <w:r>
        <w:rPr>
          <w:rFonts w:hint="eastAsia"/>
        </w:rPr>
        <w:t xml:space="preserve">法權區徵稅。第二核心旨在為跨國企業及其跨境交易建立全球最低稅率的規則。金融服務業擬建議被剔除於</w:t>
      </w:r>
    </w:p>
    <w:p>
      <w:pPr>
        <w:pStyle w:val="BodyText"/>
      </w:pPr>
      <w:r>
        <w:rPr>
          <w:rFonts w:hint="eastAsia"/>
        </w:rPr>
        <w:t xml:space="preserve">第一核心適用範圍之外。然而，根據涵蓋第二核心設計方案的藍圖，經合組織建議的規則可能會提高友邦保</w:t>
      </w:r>
    </w:p>
    <w:p>
      <w:pPr>
        <w:pStyle w:val="BodyText"/>
      </w:pPr>
      <w:r>
        <w:rPr>
          <w:rFonts w:hint="eastAsia"/>
        </w:rPr>
        <w:t xml:space="preserve">險的實際稅率。於現階段，所建議的規則仍須待屬稅基侵蝕和利潤轉移2.0的「包容性框架」各司法權區成員</w:t>
      </w:r>
    </w:p>
    <w:p>
      <w:pPr>
        <w:pStyle w:val="BodyText"/>
      </w:pPr>
      <w:r>
        <w:rPr>
          <w:rFonts w:hint="eastAsia"/>
        </w:rPr>
        <w:t xml:space="preserve">協定後方可作實。</w:t>
      </w:r>
    </w:p>
    <w:p>
      <w:pPr>
        <w:pStyle w:val="BodyText"/>
      </w:pPr>
      <w:r>
        <w:t xml:space="preserve">063</w:t>
      </w:r>
    </w:p>
    <w:p>
      <w:pPr>
        <w:pStyle w:val="BodyText"/>
      </w:pPr>
      <w:r>
        <w:rPr>
          <w:rFonts w:hint="eastAsia"/>
        </w:rPr>
        <w:t xml:space="preserve">概覽財務及營運回顧企業管治其他資料財務報表2020年報</w:t>
      </w:r>
    </w:p>
    <w:p>
      <w:pPr>
        <w:pStyle w:val="BodyText"/>
      </w:pPr>
      <w:r>
        <w:rPr>
          <w:rFonts w:hint="eastAsia"/>
        </w:rPr>
        <w:t xml:space="preserve">我們的團隊</w:t>
      </w:r>
    </w:p>
    <w:p>
      <w:pPr>
        <w:pStyle w:val="BodyText"/>
      </w:pPr>
      <w:r>
        <w:rPr>
          <w:rFonts w:hint="eastAsia"/>
        </w:rPr>
        <w:t xml:space="preserve">友邦保險匯聚多元文化和不同社區的人才。我們專注培育和凝聚人才，並協助他們在友邦保險踏上專業和個人</w:t>
      </w:r>
    </w:p>
    <w:p>
      <w:pPr>
        <w:pStyle w:val="BodyText"/>
      </w:pPr>
      <w:r>
        <w:rPr>
          <w:rFonts w:hint="eastAsia"/>
        </w:rPr>
        <w:t xml:space="preserve">成長之路。我們深信協助員工達致成功，能讓他們發揮潛能，為客戶及社區提供更佳的服務和支持。</w:t>
      </w:r>
    </w:p>
    <w:p>
      <w:pPr>
        <w:pStyle w:val="BodyText"/>
      </w:pPr>
      <w:r>
        <w:rPr>
          <w:rFonts w:hint="eastAsia"/>
        </w:rPr>
        <w:t xml:space="preserve">截至2020年12月31日，友邦保險合共聘用23,397名員工，包括全職、兼職和合約員工</w:t>
      </w:r>
      <w:r>
        <w:t xml:space="preserve"> (1)。</w:t>
      </w:r>
    </w:p>
    <w:p>
      <w:pPr>
        <w:pStyle w:val="BodyText"/>
      </w:pPr>
      <w:r>
        <w:rPr>
          <w:rFonts w:hint="eastAsia"/>
        </w:rPr>
        <w:t xml:space="preserve">在2020年，我們繼續專注培育人才，因而獲得多項地區、區域以至全球殊榮及獎項。</w:t>
      </w:r>
    </w:p>
    <w:p>
      <w:pPr>
        <w:pStyle w:val="BodyText"/>
      </w:pPr>
      <w:r>
        <w:t xml:space="preserve">• </w:t>
      </w:r>
      <w:r>
        <w:rPr>
          <w:rFonts w:hint="eastAsia"/>
        </w:rPr>
        <w:t xml:space="preserve">友邦保險集團連續第二年獲列入《福布斯》「全球最佳僱主名單」。</w:t>
      </w:r>
    </w:p>
    <w:p>
      <w:pPr>
        <w:pStyle w:val="BodyText"/>
      </w:pPr>
      <w:r>
        <w:t xml:space="preserve">• </w:t>
      </w:r>
      <w:r>
        <w:rPr>
          <w:rFonts w:hint="eastAsia"/>
        </w:rPr>
        <w:t xml:space="preserve">友邦保險中國獲</w:t>
      </w:r>
      <w:r>
        <w:t xml:space="preserve"> Top Employers Institute </w:t>
      </w:r>
      <w:r>
        <w:rPr>
          <w:rFonts w:hint="eastAsia"/>
        </w:rPr>
        <w:t xml:space="preserve">頒發「2020年中國傑出僱主」獎項。</w:t>
      </w:r>
    </w:p>
    <w:p>
      <w:pPr>
        <w:pStyle w:val="BodyText"/>
      </w:pPr>
      <w:r>
        <w:t xml:space="preserve">• </w:t>
      </w:r>
      <w:r>
        <w:rPr>
          <w:rFonts w:hint="eastAsia"/>
        </w:rPr>
        <w:t xml:space="preserve">友邦保險越南獲</w:t>
      </w:r>
      <w:r>
        <w:t xml:space="preserve"> Great Place to Work </w:t>
      </w:r>
      <w:r>
        <w:rPr>
          <w:rFonts w:hint="eastAsia"/>
        </w:rPr>
        <w:t xml:space="preserve">頒發「最佳職場」獎項，並獲</w:t>
      </w:r>
      <w:r>
        <w:t xml:space="preserve"> HR Asia </w:t>
      </w:r>
      <w:r>
        <w:rPr>
          <w:rFonts w:hint="eastAsia"/>
        </w:rPr>
        <w:t xml:space="preserve">評選為「亞洲最佳企業僱主」。</w:t>
      </w:r>
    </w:p>
    <w:p>
      <w:pPr>
        <w:pStyle w:val="BodyText"/>
      </w:pPr>
      <w:r>
        <w:t xml:space="preserve">• </w:t>
      </w:r>
      <w:r>
        <w:rPr>
          <w:rFonts w:hint="eastAsia"/>
        </w:rPr>
        <w:t xml:space="preserve">友</w:t>
      </w:r>
      <w:r>
        <w:t xml:space="preserve"> </w:t>
      </w:r>
      <w:r>
        <w:rPr>
          <w:rFonts w:hint="eastAsia"/>
        </w:rPr>
        <w:t xml:space="preserve">邦</w:t>
      </w:r>
      <w:r>
        <w:t xml:space="preserve"> </w:t>
      </w:r>
      <w:r>
        <w:rPr>
          <w:rFonts w:hint="eastAsia"/>
        </w:rPr>
        <w:t xml:space="preserve">保</w:t>
      </w:r>
      <w:r>
        <w:t xml:space="preserve"> </w:t>
      </w:r>
      <w:r>
        <w:rPr>
          <w:rFonts w:hint="eastAsia"/>
        </w:rPr>
        <w:t xml:space="preserve">險</w:t>
      </w:r>
      <w:r>
        <w:t xml:space="preserve"> </w:t>
      </w:r>
      <w:r>
        <w:rPr>
          <w:rFonts w:hint="eastAsia"/>
        </w:rPr>
        <w:t xml:space="preserve">馬</w:t>
      </w:r>
      <w:r>
        <w:t xml:space="preserve"> </w:t>
      </w:r>
      <w:r>
        <w:rPr>
          <w:rFonts w:hint="eastAsia"/>
        </w:rPr>
        <w:t xml:space="preserve">來</w:t>
      </w:r>
      <w:r>
        <w:t xml:space="preserve"> </w:t>
      </w:r>
      <w:r>
        <w:rPr>
          <w:rFonts w:hint="eastAsia"/>
        </w:rPr>
        <w:t xml:space="preserve">西</w:t>
      </w:r>
      <w:r>
        <w:t xml:space="preserve"> </w:t>
      </w:r>
      <w:r>
        <w:rPr>
          <w:rFonts w:hint="eastAsia"/>
        </w:rPr>
        <w:t xml:space="preserve">亞</w:t>
      </w:r>
      <w:r>
        <w:t xml:space="preserve"> </w:t>
      </w:r>
      <w:r>
        <w:rPr>
          <w:rFonts w:hint="eastAsia"/>
        </w:rPr>
        <w:t xml:space="preserve">獲</w:t>
      </w:r>
      <w:r>
        <w:t xml:space="preserve"> Graduates Choice Award </w:t>
      </w:r>
      <w:r>
        <w:rPr>
          <w:rFonts w:hint="eastAsia"/>
        </w:rPr>
        <w:t xml:space="preserve">表</w:t>
      </w:r>
      <w:r>
        <w:t xml:space="preserve"> </w:t>
      </w:r>
      <w:r>
        <w:rPr>
          <w:rFonts w:hint="eastAsia"/>
        </w:rPr>
        <w:t xml:space="preserve">揚</w:t>
      </w:r>
      <w:r>
        <w:t xml:space="preserve"> </w:t>
      </w:r>
      <w:r>
        <w:rPr>
          <w:rFonts w:hint="eastAsia"/>
        </w:rPr>
        <w:t xml:space="preserve">為「最</w:t>
      </w:r>
      <w:r>
        <w:t xml:space="preserve"> </w:t>
      </w:r>
      <w:r>
        <w:rPr>
          <w:rFonts w:hint="eastAsia"/>
        </w:rPr>
        <w:t xml:space="preserve">吸</w:t>
      </w:r>
      <w:r>
        <w:t xml:space="preserve"> </w:t>
      </w:r>
      <w:r>
        <w:rPr>
          <w:rFonts w:hint="eastAsia"/>
        </w:rPr>
        <w:t xml:space="preserve">引</w:t>
      </w:r>
      <w:r>
        <w:t xml:space="preserve"> </w:t>
      </w:r>
      <w:r>
        <w:rPr>
          <w:rFonts w:hint="eastAsia"/>
        </w:rPr>
        <w:t xml:space="preserve">畢</w:t>
      </w:r>
      <w:r>
        <w:t xml:space="preserve"> </w:t>
      </w:r>
      <w:r>
        <w:rPr>
          <w:rFonts w:hint="eastAsia"/>
        </w:rPr>
        <w:t xml:space="preserve">業</w:t>
      </w:r>
      <w:r>
        <w:t xml:space="preserve"> </w:t>
      </w:r>
      <w:r>
        <w:rPr>
          <w:rFonts w:hint="eastAsia"/>
        </w:rPr>
        <w:t xml:space="preserve">生</w:t>
      </w:r>
      <w:r>
        <w:t xml:space="preserve"> </w:t>
      </w:r>
      <w:r>
        <w:rPr>
          <w:rFonts w:hint="eastAsia"/>
        </w:rPr>
        <w:t xml:space="preserve">的</w:t>
      </w:r>
      <w:r>
        <w:t xml:space="preserve"> </w:t>
      </w:r>
      <w:r>
        <w:rPr>
          <w:rFonts w:hint="eastAsia"/>
        </w:rPr>
        <w:t xml:space="preserve">僱</w:t>
      </w:r>
      <w:r>
        <w:t xml:space="preserve"> </w:t>
      </w:r>
      <w:r>
        <w:rPr>
          <w:rFonts w:hint="eastAsia"/>
        </w:rPr>
        <w:t xml:space="preserve">主」（Most</w:t>
      </w:r>
      <w:r>
        <w:t xml:space="preserve"> Attractive Graduate</w:t>
      </w:r>
    </w:p>
    <w:p>
      <w:pPr>
        <w:pStyle w:val="BodyText"/>
      </w:pPr>
      <w:r>
        <w:t xml:space="preserve">Employers to Work </w:t>
      </w:r>
      <w:r>
        <w:rPr>
          <w:rFonts w:hint="eastAsia"/>
        </w:rPr>
        <w:t xml:space="preserve">For）。</w:t>
      </w:r>
    </w:p>
    <w:p>
      <w:pPr>
        <w:pStyle w:val="BodyText"/>
      </w:pPr>
      <w:r>
        <w:t xml:space="preserve">• </w:t>
      </w:r>
      <w:r>
        <w:rPr>
          <w:rFonts w:hint="eastAsia"/>
        </w:rPr>
        <w:t xml:space="preserve">友邦保險新加坡獲</w:t>
      </w:r>
      <w:r>
        <w:t xml:space="preserve"> GTI Media </w:t>
      </w:r>
      <w:r>
        <w:rPr>
          <w:rFonts w:hint="eastAsia"/>
        </w:rPr>
        <w:t xml:space="preserve">評選為「新加坡100家最佳畢業生僱主」的保險和風險管理業優勝者。</w:t>
      </w:r>
    </w:p>
    <w:p>
      <w:pPr>
        <w:pStyle w:val="BodyText"/>
      </w:pPr>
      <w:r>
        <w:t xml:space="preserve">• </w:t>
      </w:r>
      <w:r>
        <w:rPr>
          <w:rFonts w:hint="eastAsia"/>
        </w:rPr>
        <w:t xml:space="preserve">友邦保險印尼獲</w:t>
      </w:r>
      <w:r>
        <w:t xml:space="preserve"> HR Asia </w:t>
      </w:r>
      <w:r>
        <w:rPr>
          <w:rFonts w:hint="eastAsia"/>
        </w:rPr>
        <w:t xml:space="preserve">評選為「亞洲最佳企業僱主」，並獲頒發「最佳員工關懷」獎。</w:t>
      </w:r>
    </w:p>
    <w:p>
      <w:pPr>
        <w:pStyle w:val="BodyText"/>
      </w:pPr>
      <w:r>
        <w:t xml:space="preserve">• </w:t>
      </w:r>
      <w:r>
        <w:rPr>
          <w:rFonts w:hint="eastAsia"/>
        </w:rPr>
        <w:t xml:space="preserve">友邦保險台灣獲</w:t>
      </w:r>
      <w:r>
        <w:t xml:space="preserve"> HR Asia </w:t>
      </w:r>
      <w:r>
        <w:rPr>
          <w:rFonts w:hint="eastAsia"/>
        </w:rPr>
        <w:t xml:space="preserve">評選為「亞洲最佳企業僱主」。</w:t>
      </w:r>
    </w:p>
    <w:p>
      <w:pPr>
        <w:pStyle w:val="BodyText"/>
      </w:pPr>
      <w:r>
        <w:t xml:space="preserve">• Philam Life </w:t>
      </w:r>
      <w:r>
        <w:rPr>
          <w:rFonts w:hint="eastAsia"/>
        </w:rPr>
        <w:t xml:space="preserve">獲</w:t>
      </w:r>
      <w:r>
        <w:t xml:space="preserve"> HR Asia </w:t>
      </w:r>
      <w:r>
        <w:rPr>
          <w:rFonts w:hint="eastAsia"/>
        </w:rPr>
        <w:t xml:space="preserve">表揚為「亞洲最佳企業僱主」。</w:t>
      </w:r>
    </w:p>
    <w:p>
      <w:pPr>
        <w:pStyle w:val="BodyText"/>
      </w:pPr>
      <w:r>
        <w:t xml:space="preserve">• </w:t>
      </w:r>
      <w:r>
        <w:rPr>
          <w:rFonts w:hint="eastAsia"/>
        </w:rPr>
        <w:t xml:space="preserve">在2020年，友邦保險新西蘭獲頒發</w:t>
      </w:r>
      <w:r>
        <w:t xml:space="preserve"> YWCA GenderTick™ </w:t>
      </w:r>
      <w:r>
        <w:rPr>
          <w:rFonts w:hint="eastAsia"/>
        </w:rPr>
        <w:t xml:space="preserve">殊榮，並榮獲多個獎項：</w:t>
      </w:r>
    </w:p>
    <w:p>
      <w:pPr>
        <w:pStyle w:val="BodyText"/>
      </w:pPr>
      <w:r>
        <w:t xml:space="preserve">– </w:t>
      </w:r>
      <w:r>
        <w:rPr>
          <w:rFonts w:hint="eastAsia"/>
        </w:rPr>
        <w:t xml:space="preserve">獲《Insurance</w:t>
      </w:r>
      <w:r>
        <w:t xml:space="preserve"> Business </w:t>
      </w:r>
      <w:r>
        <w:rPr>
          <w:rFonts w:hint="eastAsia"/>
        </w:rPr>
        <w:t xml:space="preserve">Magazine》評選為「Top</w:t>
      </w:r>
      <w:r>
        <w:t xml:space="preserve"> Insurance Workplaces </w:t>
      </w:r>
      <w:r>
        <w:rPr>
          <w:rFonts w:hint="eastAsia"/>
        </w:rPr>
        <w:t xml:space="preserve">2020」；</w:t>
      </w:r>
    </w:p>
    <w:p>
      <w:pPr>
        <w:pStyle w:val="BodyText"/>
      </w:pPr>
      <w:r>
        <w:t xml:space="preserve">– </w:t>
      </w:r>
      <w:r>
        <w:rPr>
          <w:rFonts w:hint="eastAsia"/>
        </w:rPr>
        <w:t xml:space="preserve">獲《HRD</w:t>
      </w:r>
      <w:r>
        <w:t xml:space="preserve"> </w:t>
      </w:r>
      <w:r>
        <w:rPr>
          <w:rFonts w:hint="eastAsia"/>
        </w:rPr>
        <w:t xml:space="preserve">Magazine》頒發「Employer</w:t>
      </w:r>
      <w:r>
        <w:t xml:space="preserve"> of </w:t>
      </w:r>
      <w:r>
        <w:rPr>
          <w:rFonts w:hint="eastAsia"/>
        </w:rPr>
        <w:t xml:space="preserve">Choice」獎項；以及</w:t>
      </w:r>
    </w:p>
    <w:p>
      <w:pPr>
        <w:pStyle w:val="BodyText"/>
      </w:pPr>
      <w:r>
        <w:t xml:space="preserve">– </w:t>
      </w:r>
      <w:r>
        <w:rPr>
          <w:rFonts w:hint="eastAsia"/>
        </w:rPr>
        <w:t xml:space="preserve">獲《Insurance</w:t>
      </w:r>
      <w:r>
        <w:t xml:space="preserve"> Business </w:t>
      </w:r>
      <w:r>
        <w:rPr>
          <w:rFonts w:hint="eastAsia"/>
        </w:rPr>
        <w:t xml:space="preserve">Magazine》評選為</w:t>
      </w:r>
      <w:r>
        <w:t xml:space="preserve"> Women in Insurance </w:t>
      </w:r>
      <w:r>
        <w:rPr>
          <w:rFonts w:hint="eastAsia"/>
        </w:rPr>
        <w:t xml:space="preserve">獎項的「年度最佳保險業僱主」。</w:t>
      </w:r>
    </w:p>
    <w:p>
      <w:pPr>
        <w:pStyle w:val="BodyText"/>
      </w:pPr>
      <w:r>
        <w:rPr>
          <w:rFonts w:hint="eastAsia"/>
        </w:rPr>
        <w:t xml:space="preserve">迎接轉變，優化業務</w:t>
      </w:r>
    </w:p>
    <w:p>
      <w:pPr>
        <w:pStyle w:val="BodyText"/>
      </w:pPr>
      <w:r>
        <w:rPr>
          <w:rFonts w:hint="eastAsia"/>
        </w:rPr>
        <w:t xml:space="preserve">現代化工作方式</w:t>
      </w:r>
    </w:p>
    <w:p>
      <w:pPr>
        <w:pStyle w:val="BodyText"/>
      </w:pPr>
      <w:r>
        <w:rPr>
          <w:rFonts w:hint="eastAsia"/>
        </w:rPr>
        <w:t xml:space="preserve">在2020年，我們透過以全球服務傳遞模式運作的嶄新人力資源資訊系統，為友邦保險各個業務單位的所有主管</w:t>
      </w:r>
    </w:p>
    <w:p>
      <w:pPr>
        <w:pStyle w:val="BodyText"/>
      </w:pPr>
      <w:r>
        <w:rPr>
          <w:rFonts w:hint="eastAsia"/>
        </w:rPr>
        <w:t xml:space="preserve">人員及員工帶來新的工作體驗。</w:t>
      </w:r>
    </w:p>
    <w:p>
      <w:pPr>
        <w:pStyle w:val="BodyText"/>
      </w:pPr>
      <w:r>
        <w:rPr>
          <w:rFonts w:hint="eastAsia"/>
        </w:rPr>
        <w:t xml:space="preserve">除了提高營運效率外，這項措施亦有助主管人員深入了解其團隊，並可讓主管人員及員工因應需要「隨時隨地」</w:t>
      </w:r>
    </w:p>
    <w:p>
      <w:pPr>
        <w:pStyle w:val="BodyText"/>
      </w:pPr>
      <w:r>
        <w:rPr>
          <w:rFonts w:hint="eastAsia"/>
        </w:rPr>
        <w:t xml:space="preserve">以自助形式處理相關事務。員工積極融入新的工作方式，例如經常提供反饋意見和給予認許，以促進更佳表現及</w:t>
      </w:r>
    </w:p>
    <w:p>
      <w:pPr>
        <w:pStyle w:val="BodyText"/>
      </w:pPr>
      <w:r>
        <w:rPr>
          <w:rFonts w:hint="eastAsia"/>
        </w:rPr>
        <w:t xml:space="preserve">敬業度。員工可因應需要，適時報讀並完成更多自定步伐的網上課程。</w:t>
      </w:r>
    </w:p>
    <w:p>
      <w:pPr>
        <w:pStyle w:val="BodyText"/>
      </w:pPr>
      <w:r>
        <w:rPr>
          <w:rFonts w:hint="eastAsia"/>
        </w:rPr>
        <w:t xml:space="preserve">友邦保險著重聆聽員工的需要。我們制定新的機制以及時聆聽和評估員工體驗之回饋，並採取相應行動，使主管</w:t>
      </w:r>
    </w:p>
    <w:p>
      <w:pPr>
        <w:pStyle w:val="BodyText"/>
      </w:pPr>
      <w:r>
        <w:rPr>
          <w:rFonts w:hint="eastAsia"/>
        </w:rPr>
        <w:t xml:space="preserve">人員及員工的滿意度進一步上升，獲得好評。</w:t>
      </w:r>
    </w:p>
    <w:p>
      <w:pPr>
        <w:pStyle w:val="BodyText"/>
      </w:pPr>
      <w:r>
        <w:rPr>
          <w:rFonts w:hint="eastAsia"/>
        </w:rPr>
        <w:t xml:space="preserve">企業文化和員工</w:t>
      </w:r>
    </w:p>
    <w:p>
      <w:pPr>
        <w:pStyle w:val="BodyText"/>
      </w:pPr>
      <w:r>
        <w:rPr>
          <w:rFonts w:hint="eastAsia"/>
        </w:rPr>
        <w:t xml:space="preserve">互信是友邦保險向亞太區客戶提供產品和服務不可或缺的元素，亦是我們在工作場所與客戶及所有其他外部持份</w:t>
      </w:r>
    </w:p>
    <w:p>
      <w:pPr>
        <w:pStyle w:val="BodyText"/>
      </w:pPr>
      <w:r>
        <w:rPr>
          <w:rFonts w:hint="eastAsia"/>
        </w:rPr>
        <w:t xml:space="preserve">者互動的基礎。我們秉持友邦保險行為守則釐定的最高專業標準，該守則概述維持互信原則的方法，並反映友邦</w:t>
      </w:r>
    </w:p>
    <w:p>
      <w:pPr>
        <w:pStyle w:val="BodyText"/>
      </w:pPr>
      <w:r>
        <w:rPr>
          <w:rFonts w:hint="eastAsia"/>
        </w:rPr>
        <w:t xml:space="preserve">保險「用對的人，以對的方法，做對的事</w:t>
      </w:r>
      <w:r>
        <w:t xml:space="preserve"> …… </w:t>
      </w:r>
      <w:r>
        <w:rPr>
          <w:rFonts w:hint="eastAsia"/>
        </w:rPr>
        <w:t xml:space="preserve">成果將隨之而來」的營運理念。</w:t>
      </w:r>
    </w:p>
    <w:p>
      <w:pPr>
        <w:pStyle w:val="BodyText"/>
      </w:pPr>
      <w:r>
        <w:rPr>
          <w:rFonts w:hint="eastAsia"/>
        </w:rPr>
        <w:t xml:space="preserve">附註：</w:t>
      </w:r>
      <w:r>
        <w:br/>
      </w:r>
      <w:r>
        <w:t xml:space="preserve">(1) </w:t>
      </w:r>
      <w:r>
        <w:rPr>
          <w:rFonts w:hint="eastAsia"/>
        </w:rPr>
        <w:t xml:space="preserve">包括以合約形式聘用的員工，但不包括實習生、集團旗下代理，以及合資公司Tata</w:t>
      </w:r>
      <w:r>
        <w:t xml:space="preserve"> AIA </w:t>
      </w:r>
      <w:r>
        <w:rPr>
          <w:rFonts w:hint="eastAsia"/>
        </w:rPr>
        <w:t xml:space="preserve">Life的員工。</w:t>
      </w:r>
    </w:p>
    <w:p>
      <w:pPr>
        <w:pStyle w:val="BodyText"/>
      </w:pPr>
      <w:r>
        <w:t xml:space="preserve">064</w:t>
      </w:r>
    </w:p>
    <w:p>
      <w:pPr>
        <w:pStyle w:val="BodyText"/>
      </w:pPr>
      <w:r>
        <w:rPr>
          <w:rFonts w:hint="eastAsia"/>
        </w:rPr>
        <w:t xml:space="preserve">財務及營運回顧友邦保險控股有限公司</w:t>
      </w:r>
    </w:p>
    <w:p>
      <w:pPr>
        <w:pStyle w:val="BodyText"/>
      </w:pPr>
      <w:r>
        <w:rPr>
          <w:rFonts w:hint="eastAsia"/>
        </w:rPr>
        <w:t xml:space="preserve">此外，該行為守則提供清晰的業務指引</w:t>
      </w:r>
      <w:r>
        <w:t xml:space="preserve"> — </w:t>
      </w:r>
      <w:r>
        <w:rPr>
          <w:rFonts w:hint="eastAsia"/>
        </w:rPr>
        <w:t xml:space="preserve">友邦保險員工在作出任何決定時，必須考慮道德操守和進行嚴謹的</w:t>
      </w:r>
    </w:p>
    <w:p>
      <w:pPr>
        <w:pStyle w:val="BodyText"/>
      </w:pPr>
      <w:r>
        <w:rPr>
          <w:rFonts w:hint="eastAsia"/>
        </w:rPr>
        <w:t xml:space="preserve">風險管理。所有新員工必須接受入職培訓，並完成一系列以行為守則為重點的電子學習課程。我們到位的集團</w:t>
      </w:r>
    </w:p>
    <w:p>
      <w:pPr>
        <w:pStyle w:val="BodyText"/>
      </w:pPr>
      <w:r>
        <w:rPr>
          <w:rFonts w:hint="eastAsia"/>
        </w:rPr>
        <w:t xml:space="preserve">學習與發展框架，使各個業務部門的人才發展方針貫徹一致，並有助鞏固和培育區內業務的企業文化。</w:t>
      </w:r>
    </w:p>
    <w:p>
      <w:pPr>
        <w:pStyle w:val="BodyText"/>
      </w:pPr>
      <w:r>
        <w:rPr>
          <w:rFonts w:hint="eastAsia"/>
        </w:rPr>
        <w:t xml:space="preserve">友邦保險致力營造和維持正面的工作環境，讓員工在沒有欺凌、不受歧視和騷擾的環境下工作。我們鼓勵員工</w:t>
      </w:r>
    </w:p>
    <w:p>
      <w:pPr>
        <w:pStyle w:val="BodyText"/>
      </w:pPr>
      <w:r>
        <w:rPr>
          <w:rFonts w:hint="eastAsia"/>
        </w:rPr>
        <w:t xml:space="preserve">與直屬管理層和人力資源團隊討論及共同解決其面對的難題。此外，我們鼓勵員工發表意見、提出疑問和憂慮，</w:t>
      </w:r>
    </w:p>
    <w:p>
      <w:pPr>
        <w:pStyle w:val="BodyText"/>
      </w:pPr>
      <w:r>
        <w:rPr>
          <w:rFonts w:hint="eastAsia"/>
        </w:rPr>
        <w:t xml:space="preserve">或與當地或集團合規部門聯絡，或致電集團的道德操守熱線，以舉報不當行為。</w:t>
      </w:r>
    </w:p>
    <w:p>
      <w:pPr>
        <w:pStyle w:val="BodyText"/>
      </w:pPr>
      <w:r>
        <w:rPr>
          <w:rFonts w:hint="eastAsia"/>
        </w:rPr>
        <w:t xml:space="preserve">凝聚我們的團隊</w:t>
      </w:r>
    </w:p>
    <w:p>
      <w:pPr>
        <w:pStyle w:val="BodyText"/>
      </w:pPr>
      <w:r>
        <w:rPr>
          <w:rFonts w:hint="eastAsia"/>
        </w:rPr>
        <w:t xml:space="preserve">友邦保險的首要優先任務之一，是確保我們提供一個協作和共融的工作環境，著重員工積極參與。我們每年都會</w:t>
      </w:r>
    </w:p>
    <w:p>
      <w:pPr>
        <w:pStyle w:val="BodyText"/>
      </w:pPr>
      <w:r>
        <w:rPr>
          <w:rFonts w:hint="eastAsia"/>
        </w:rPr>
        <w:t xml:space="preserve">進行《蓋洛普</w:t>
      </w:r>
      <w:r>
        <w:t xml:space="preserve"> </w:t>
      </w:r>
      <w:r>
        <w:rPr>
          <w:rFonts w:hint="eastAsia"/>
        </w:rPr>
        <w:t xml:space="preserve">Q12》（Gallup</w:t>
      </w:r>
      <w:r>
        <w:t xml:space="preserve"> </w:t>
      </w:r>
      <w:r>
        <w:rPr>
          <w:rFonts w:hint="eastAsia"/>
        </w:rPr>
        <w:t xml:space="preserve">Q12）員工敬業度指標調查，以助我們監察各個業務單位和職能部門的員工參與水平。</w:t>
      </w:r>
    </w:p>
    <w:p>
      <w:pPr>
        <w:pStyle w:val="BodyText"/>
      </w:pPr>
      <w:r>
        <w:rPr>
          <w:rFonts w:hint="eastAsia"/>
        </w:rPr>
        <w:t xml:space="preserve">該調查提供具體的資料，針對需要加以改善的領域制定策略，目標是保持強勁的參與水平。</w:t>
      </w:r>
    </w:p>
    <w:p>
      <w:pPr>
        <w:pStyle w:val="BodyText"/>
      </w:pPr>
      <w:r>
        <w:rPr>
          <w:rFonts w:hint="eastAsia"/>
        </w:rPr>
        <w:t xml:space="preserve">在2020年，97%的員工參與調查，集團所得的員工參與率評分上升12個百分位數值，使我們在蓋洛普環球金融</w:t>
      </w:r>
    </w:p>
    <w:p>
      <w:pPr>
        <w:pStyle w:val="BodyText"/>
      </w:pPr>
      <w:r>
        <w:rPr>
          <w:rFonts w:hint="eastAsia"/>
        </w:rPr>
        <w:t xml:space="preserve">服務及保險業基準中，連續第四年排名首四分位。</w:t>
      </w:r>
    </w:p>
    <w:p>
      <w:pPr>
        <w:pStyle w:val="BodyText"/>
      </w:pPr>
      <w:r>
        <w:rPr>
          <w:rFonts w:hint="eastAsia"/>
        </w:rPr>
        <w:t xml:space="preserve">亞</w:t>
      </w:r>
      <w:r>
        <w:t xml:space="preserve"> </w:t>
      </w:r>
      <w:r>
        <w:rPr>
          <w:rFonts w:hint="eastAsia"/>
        </w:rPr>
        <w:t xml:space="preserve">太</w:t>
      </w:r>
      <w:r>
        <w:t xml:space="preserve"> </w:t>
      </w:r>
      <w:r>
        <w:rPr>
          <w:rFonts w:hint="eastAsia"/>
        </w:rPr>
        <w:t xml:space="preserve">區</w:t>
      </w:r>
      <w:r>
        <w:t xml:space="preserve"> </w:t>
      </w:r>
      <w:r>
        <w:rPr>
          <w:rFonts w:hint="eastAsia"/>
        </w:rPr>
        <w:t xml:space="preserve">提</w:t>
      </w:r>
      <w:r>
        <w:t xml:space="preserve"> </w:t>
      </w:r>
      <w:r>
        <w:rPr>
          <w:rFonts w:hint="eastAsia"/>
        </w:rPr>
        <w:t xml:space="preserve">供</w:t>
      </w:r>
      <w:r>
        <w:t xml:space="preserve"> </w:t>
      </w:r>
      <w:r>
        <w:rPr>
          <w:rFonts w:hint="eastAsia"/>
        </w:rPr>
        <w:t xml:space="preserve">眾</w:t>
      </w:r>
      <w:r>
        <w:t xml:space="preserve"> </w:t>
      </w:r>
      <w:r>
        <w:rPr>
          <w:rFonts w:hint="eastAsia"/>
        </w:rPr>
        <w:t xml:space="preserve">多</w:t>
      </w:r>
      <w:r>
        <w:t xml:space="preserve"> </w:t>
      </w:r>
      <w:r>
        <w:rPr>
          <w:rFonts w:hint="eastAsia"/>
        </w:rPr>
        <w:t xml:space="preserve">事</w:t>
      </w:r>
      <w:r>
        <w:t xml:space="preserve"> </w:t>
      </w:r>
      <w:r>
        <w:rPr>
          <w:rFonts w:hint="eastAsia"/>
        </w:rPr>
        <w:t xml:space="preserve">業</w:t>
      </w:r>
      <w:r>
        <w:t xml:space="preserve"> </w:t>
      </w:r>
      <w:r>
        <w:rPr>
          <w:rFonts w:hint="eastAsia"/>
        </w:rPr>
        <w:t xml:space="preserve">發</w:t>
      </w:r>
      <w:r>
        <w:t xml:space="preserve"> </w:t>
      </w:r>
      <w:r>
        <w:rPr>
          <w:rFonts w:hint="eastAsia"/>
        </w:rPr>
        <w:t xml:space="preserve">展</w:t>
      </w:r>
      <w:r>
        <w:t xml:space="preserve"> </w:t>
      </w:r>
      <w:r>
        <w:rPr>
          <w:rFonts w:hint="eastAsia"/>
        </w:rPr>
        <w:t xml:space="preserve">機</w:t>
      </w:r>
      <w:r>
        <w:t xml:space="preserve"> </w:t>
      </w:r>
      <w:r>
        <w:rPr>
          <w:rFonts w:hint="eastAsia"/>
        </w:rPr>
        <w:t xml:space="preserve">會，</w:t>
      </w:r>
      <w:r>
        <w:t xml:space="preserve"> </w:t>
      </w:r>
      <w:r>
        <w:rPr>
          <w:rFonts w:hint="eastAsia"/>
        </w:rPr>
        <w:t xml:space="preserve">對</w:t>
      </w:r>
      <w:r>
        <w:t xml:space="preserve"> </w:t>
      </w:r>
      <w:r>
        <w:rPr>
          <w:rFonts w:hint="eastAsia"/>
        </w:rPr>
        <w:t xml:space="preserve">卓</w:t>
      </w:r>
      <w:r>
        <w:t xml:space="preserve"> </w:t>
      </w:r>
      <w:r>
        <w:rPr>
          <w:rFonts w:hint="eastAsia"/>
        </w:rPr>
        <w:t xml:space="preserve">越</w:t>
      </w:r>
      <w:r>
        <w:t xml:space="preserve"> </w:t>
      </w:r>
      <w:r>
        <w:rPr>
          <w:rFonts w:hint="eastAsia"/>
        </w:rPr>
        <w:t xml:space="preserve">人</w:t>
      </w:r>
      <w:r>
        <w:t xml:space="preserve"> </w:t>
      </w:r>
      <w:r>
        <w:rPr>
          <w:rFonts w:hint="eastAsia"/>
        </w:rPr>
        <w:t xml:space="preserve">才</w:t>
      </w:r>
      <w:r>
        <w:t xml:space="preserve"> </w:t>
      </w:r>
      <w:r>
        <w:rPr>
          <w:rFonts w:hint="eastAsia"/>
        </w:rPr>
        <w:t xml:space="preserve">的</w:t>
      </w:r>
      <w:r>
        <w:t xml:space="preserve"> </w:t>
      </w:r>
      <w:r>
        <w:rPr>
          <w:rFonts w:hint="eastAsia"/>
        </w:rPr>
        <w:t xml:space="preserve">需</w:t>
      </w:r>
      <w:r>
        <w:t xml:space="preserve"> </w:t>
      </w:r>
      <w:r>
        <w:rPr>
          <w:rFonts w:hint="eastAsia"/>
        </w:rPr>
        <w:t xml:space="preserve">求</w:t>
      </w:r>
      <w:r>
        <w:t xml:space="preserve"> </w:t>
      </w:r>
      <w:r>
        <w:rPr>
          <w:rFonts w:hint="eastAsia"/>
        </w:rPr>
        <w:t xml:space="preserve">上</w:t>
      </w:r>
      <w:r>
        <w:t xml:space="preserve"> </w:t>
      </w:r>
      <w:r>
        <w:rPr>
          <w:rFonts w:hint="eastAsia"/>
        </w:rPr>
        <w:t xml:space="preserve">升，</w:t>
      </w:r>
      <w:r>
        <w:t xml:space="preserve"> </w:t>
      </w:r>
      <w:r>
        <w:rPr>
          <w:rFonts w:hint="eastAsia"/>
        </w:rPr>
        <w:t xml:space="preserve">競</w:t>
      </w:r>
      <w:r>
        <w:t xml:space="preserve"> </w:t>
      </w:r>
      <w:r>
        <w:rPr>
          <w:rFonts w:hint="eastAsia"/>
        </w:rPr>
        <w:t xml:space="preserve">爭</w:t>
      </w:r>
      <w:r>
        <w:t xml:space="preserve"> </w:t>
      </w:r>
      <w:r>
        <w:rPr>
          <w:rFonts w:hint="eastAsia"/>
        </w:rPr>
        <w:t xml:space="preserve">亦</w:t>
      </w:r>
      <w:r>
        <w:t xml:space="preserve"> </w:t>
      </w:r>
      <w:r>
        <w:rPr>
          <w:rFonts w:hint="eastAsia"/>
        </w:rPr>
        <w:t xml:space="preserve">日</w:t>
      </w:r>
      <w:r>
        <w:t xml:space="preserve"> </w:t>
      </w:r>
      <w:r>
        <w:rPr>
          <w:rFonts w:hint="eastAsia"/>
        </w:rPr>
        <w:t xml:space="preserve">形</w:t>
      </w:r>
      <w:r>
        <w:t xml:space="preserve"> </w:t>
      </w:r>
      <w:r>
        <w:rPr>
          <w:rFonts w:hint="eastAsia"/>
        </w:rPr>
        <w:t xml:space="preserve">激</w:t>
      </w:r>
      <w:r>
        <w:t xml:space="preserve"> </w:t>
      </w:r>
      <w:r>
        <w:rPr>
          <w:rFonts w:hint="eastAsia"/>
        </w:rPr>
        <w:t xml:space="preserve">烈。</w:t>
      </w:r>
      <w:r>
        <w:t xml:space="preserve"> </w:t>
      </w:r>
      <w:r>
        <w:rPr>
          <w:rFonts w:hint="eastAsia"/>
        </w:rPr>
        <w:t xml:space="preserve">我</w:t>
      </w:r>
      <w:r>
        <w:t xml:space="preserve"> </w:t>
      </w:r>
      <w:r>
        <w:rPr>
          <w:rFonts w:hint="eastAsia"/>
        </w:rPr>
        <w:t xml:space="preserve">們</w:t>
      </w:r>
      <w:r>
        <w:t xml:space="preserve"> </w:t>
      </w:r>
      <w:r>
        <w:rPr>
          <w:rFonts w:hint="eastAsia"/>
        </w:rPr>
        <w:t xml:space="preserve">密</w:t>
      </w:r>
      <w:r>
        <w:t xml:space="preserve"> </w:t>
      </w:r>
      <w:r>
        <w:rPr>
          <w:rFonts w:hint="eastAsia"/>
        </w:rPr>
        <w:t xml:space="preserve">切</w:t>
      </w:r>
      <w:r>
        <w:t xml:space="preserve"> </w:t>
      </w:r>
      <w:r>
        <w:rPr>
          <w:rFonts w:hint="eastAsia"/>
        </w:rPr>
        <w:t xml:space="preserve">監</w:t>
      </w:r>
      <w:r>
        <w:t xml:space="preserve"> </w:t>
      </w:r>
      <w:r>
        <w:rPr>
          <w:rFonts w:hint="eastAsia"/>
        </w:rPr>
        <w:t xml:space="preserve">察</w:t>
      </w:r>
      <w:r>
        <w:t xml:space="preserve"> </w:t>
      </w:r>
      <w:r>
        <w:rPr>
          <w:rFonts w:hint="eastAsia"/>
        </w:rPr>
        <w:t xml:space="preserve">相</w:t>
      </w:r>
      <w:r>
        <w:t xml:space="preserve"> </w:t>
      </w:r>
      <w:r>
        <w:rPr>
          <w:rFonts w:hint="eastAsia"/>
        </w:rPr>
        <w:t xml:space="preserve">對</w:t>
      </w:r>
      <w:r>
        <w:t xml:space="preserve"> </w:t>
      </w:r>
      <w:r>
        <w:rPr>
          <w:rFonts w:hint="eastAsia"/>
        </w:rPr>
        <w:t xml:space="preserve">行</w:t>
      </w:r>
      <w:r>
        <w:t xml:space="preserve"> </w:t>
      </w:r>
      <w:r>
        <w:rPr>
          <w:rFonts w:hint="eastAsia"/>
        </w:rPr>
        <w:t xml:space="preserve">業</w:t>
      </w:r>
      <w:r>
        <w:t xml:space="preserve"> </w:t>
      </w:r>
      <w:r>
        <w:rPr>
          <w:rFonts w:hint="eastAsia"/>
        </w:rPr>
        <w:t xml:space="preserve">基</w:t>
      </w:r>
      <w:r>
        <w:t xml:space="preserve"> </w:t>
      </w:r>
      <w:r>
        <w:rPr>
          <w:rFonts w:hint="eastAsia"/>
        </w:rPr>
        <w:t xml:space="preserve">準</w:t>
      </w:r>
      <w:r>
        <w:t xml:space="preserve"> </w:t>
      </w:r>
      <w:r>
        <w:rPr>
          <w:rFonts w:hint="eastAsia"/>
        </w:rPr>
        <w:t xml:space="preserve">的</w:t>
      </w:r>
    </w:p>
    <w:p>
      <w:pPr>
        <w:pStyle w:val="BodyText"/>
      </w:pPr>
      <w:r>
        <w:rPr>
          <w:rFonts w:hint="eastAsia"/>
        </w:rPr>
        <w:t xml:space="preserve">離職率，以幫助我們了解員工的參與水平，從而確保我們提供的計劃和機會，為員工締造讓他們發揮所長及與</w:t>
      </w:r>
    </w:p>
    <w:p>
      <w:pPr>
        <w:pStyle w:val="BodyText"/>
      </w:pPr>
      <w:r>
        <w:rPr>
          <w:rFonts w:hint="eastAsia"/>
        </w:rPr>
        <w:t xml:space="preserve">友邦保險共同成長的環境。</w:t>
      </w:r>
    </w:p>
    <w:p>
      <w:pPr>
        <w:pStyle w:val="BodyText"/>
      </w:pPr>
      <w:r>
        <w:rPr>
          <w:rFonts w:hint="eastAsia"/>
        </w:rPr>
        <w:t xml:space="preserve">在2020年，集團整體員工離職率(2)為9.5%，比較起在2019年的13.5%，我們相信疫情影響了整體員工離職率的</w:t>
      </w:r>
    </w:p>
    <w:p>
      <w:pPr>
        <w:pStyle w:val="BodyText"/>
      </w:pPr>
      <w:r>
        <w:rPr>
          <w:rFonts w:hint="eastAsia"/>
        </w:rPr>
        <w:t xml:space="preserve">下降。</w:t>
      </w:r>
    </w:p>
    <w:p>
      <w:pPr>
        <w:pStyle w:val="BodyText"/>
      </w:pPr>
      <w:r>
        <w:rPr>
          <w:rFonts w:hint="eastAsia"/>
        </w:rPr>
        <w:t xml:space="preserve">發展人才</w:t>
      </w:r>
    </w:p>
    <w:p>
      <w:pPr>
        <w:pStyle w:val="BodyText"/>
      </w:pPr>
      <w:r>
        <w:rPr>
          <w:rFonts w:hint="eastAsia"/>
        </w:rPr>
        <w:t xml:space="preserve">培育員工使其盡展所長，是友邦保險的一項策略性優先任務。</w:t>
      </w:r>
    </w:p>
    <w:p>
      <w:pPr>
        <w:pStyle w:val="BodyText"/>
      </w:pPr>
      <w:r>
        <w:rPr>
          <w:rFonts w:hint="eastAsia"/>
        </w:rPr>
        <w:t xml:space="preserve">我們的學習文化積極鼓勵員工發展所需的重要職業技能，不但有助員工妥善履行現有職務，同時亦協助他們在</w:t>
      </w:r>
    </w:p>
    <w:p>
      <w:pPr>
        <w:pStyle w:val="BodyText"/>
      </w:pPr>
      <w:r>
        <w:rPr>
          <w:rFonts w:hint="eastAsia"/>
        </w:rPr>
        <w:t xml:space="preserve">友邦保險發展卓越的事業抱負。我們的全面學習與發展策略包括讓員工透過在職培訓、協作項目與數碼學習，</w:t>
      </w:r>
    </w:p>
    <w:p>
      <w:pPr>
        <w:pStyle w:val="BodyText"/>
      </w:pPr>
      <w:r>
        <w:rPr>
          <w:rFonts w:hint="eastAsia"/>
        </w:rPr>
        <w:t xml:space="preserve">配合指導和輔導等活動，從中累積各種知識和技能。</w:t>
      </w:r>
    </w:p>
    <w:p>
      <w:pPr>
        <w:pStyle w:val="BodyText"/>
      </w:pPr>
      <w:r>
        <w:rPr>
          <w:rFonts w:hint="eastAsia"/>
        </w:rPr>
        <w:t xml:space="preserve">在2020年，我們修改了領袖培訓與學習框架，以配合集團的新策略。我們繼續投資於領袖發展，優化三項主要的</w:t>
      </w:r>
    </w:p>
    <w:p>
      <w:pPr>
        <w:pStyle w:val="BodyText"/>
      </w:pPr>
      <w:r>
        <w:rPr>
          <w:rFonts w:hint="eastAsia"/>
        </w:rPr>
        <w:t xml:space="preserve">領袖發展計劃，以培育集團最高級的領導人才。</w:t>
      </w:r>
    </w:p>
    <w:p>
      <w:pPr>
        <w:pStyle w:val="BodyText"/>
      </w:pPr>
      <w:r>
        <w:rPr>
          <w:rFonts w:hint="eastAsia"/>
        </w:rPr>
        <w:t xml:space="preserve">為確保我們的學習框架能培育未來人才，我們持續研究保險行業的技能和知識需求，審視員工的反饋意見，並</w:t>
      </w:r>
    </w:p>
    <w:p>
      <w:pPr>
        <w:pStyle w:val="BodyText"/>
      </w:pPr>
      <w:r>
        <w:rPr>
          <w:rFonts w:hint="eastAsia"/>
        </w:rPr>
        <w:t xml:space="preserve">設計各種課程以滿足相關需求。透過混合式學習方針，員工發展方案更具針對性和效益，支持集團的策略性優先</w:t>
      </w:r>
    </w:p>
    <w:p>
      <w:pPr>
        <w:pStyle w:val="BodyText"/>
      </w:pPr>
      <w:r>
        <w:rPr>
          <w:rFonts w:hint="eastAsia"/>
        </w:rPr>
        <w:t xml:space="preserve">任務。此外，員工需要定期完成有關公司業務主要範疇的強制性培訓。</w:t>
      </w:r>
    </w:p>
    <w:p>
      <w:pPr>
        <w:pStyle w:val="BodyText"/>
      </w:pPr>
      <w:r>
        <w:rPr>
          <w:rFonts w:hint="eastAsia"/>
        </w:rPr>
        <w:t xml:space="preserve">附註：</w:t>
      </w:r>
      <w:r>
        <w:br/>
      </w:r>
      <w:r>
        <w:t xml:space="preserve">(2) </w:t>
      </w:r>
      <w:r>
        <w:rPr>
          <w:rFonts w:hint="eastAsia"/>
        </w:rPr>
        <w:t xml:space="preserve">不包括本集團以定期合約形式聘用的員工、非自願離職員工，以及合資公司Tata</w:t>
      </w:r>
      <w:r>
        <w:t xml:space="preserve"> AIA </w:t>
      </w:r>
      <w:r>
        <w:rPr>
          <w:rFonts w:hint="eastAsia"/>
        </w:rPr>
        <w:t xml:space="preserve">Life的員工。</w:t>
      </w:r>
    </w:p>
    <w:p>
      <w:pPr>
        <w:pStyle w:val="BodyText"/>
      </w:pPr>
      <w:r>
        <w:t xml:space="preserve">065</w:t>
      </w:r>
    </w:p>
    <w:p>
      <w:pPr>
        <w:pStyle w:val="BodyText"/>
      </w:pPr>
      <w:r>
        <w:rPr>
          <w:rFonts w:hint="eastAsia"/>
        </w:rPr>
        <w:t xml:space="preserve">概覽財務及營運回顧企業管治其他資料財務報表2020年報</w:t>
      </w:r>
    </w:p>
    <w:p>
      <w:pPr>
        <w:pStyle w:val="BodyText"/>
      </w:pPr>
      <w:r>
        <w:rPr>
          <w:rFonts w:hint="eastAsia"/>
        </w:rPr>
        <w:t xml:space="preserve">我們的團隊</w:t>
      </w:r>
    </w:p>
    <w:p>
      <w:pPr>
        <w:pStyle w:val="BodyText"/>
      </w:pPr>
      <w:r>
        <w:rPr>
          <w:rFonts w:hint="eastAsia"/>
        </w:rPr>
        <w:t xml:space="preserve">學習內容和授課方式數碼化，繼續在培育人才方面發揮重要作用。在2020年，我們在網上平台推出AIA</w:t>
      </w:r>
      <w:r>
        <w:t xml:space="preserve"> Learning</w:t>
      </w:r>
    </w:p>
    <w:p>
      <w:pPr>
        <w:pStyle w:val="BodyText"/>
      </w:pPr>
      <w:r>
        <w:rPr>
          <w:rFonts w:hint="eastAsia"/>
        </w:rPr>
        <w:t xml:space="preserve">Hub，提供數以千計的數碼學習課程，讓員工能夠創建、管理和共享內容。</w:t>
      </w:r>
    </w:p>
    <w:p>
      <w:pPr>
        <w:pStyle w:val="BodyText"/>
      </w:pPr>
      <w:r>
        <w:rPr>
          <w:rFonts w:hint="eastAsia"/>
        </w:rPr>
        <w:t xml:space="preserve">我們繼續在AIA</w:t>
      </w:r>
      <w:r>
        <w:t xml:space="preserve"> Leadership Centre </w:t>
      </w:r>
      <w:r>
        <w:rPr>
          <w:rFonts w:hint="eastAsia"/>
        </w:rPr>
        <w:t xml:space="preserve">(ALC)提供業內最佳的人才發展課程。ALC位於泰國曼谷，是一所先進的世界</w:t>
      </w:r>
    </w:p>
    <w:p>
      <w:pPr>
        <w:pStyle w:val="BodyText"/>
      </w:pPr>
      <w:r>
        <w:rPr>
          <w:rFonts w:hint="eastAsia"/>
        </w:rPr>
        <w:t xml:space="preserve">級領袖發展培訓中心。ALC啟用至今已踏入第五年，為我們的高級領導人員、頂級代理主管及重要合作夥伴行政</w:t>
      </w:r>
    </w:p>
    <w:p>
      <w:pPr>
        <w:pStyle w:val="BodyText"/>
      </w:pPr>
      <w:r>
        <w:rPr>
          <w:rFonts w:hint="eastAsia"/>
        </w:rPr>
        <w:t xml:space="preserve">人員量身定制課程計劃，以友邦保險的策略性及管治優先任務為重點。</w:t>
      </w:r>
    </w:p>
    <w:p>
      <w:pPr>
        <w:pStyle w:val="BodyText"/>
      </w:pPr>
      <w:r>
        <w:rPr>
          <w:rFonts w:hint="eastAsia"/>
        </w:rPr>
        <w:t xml:space="preserve">繼任和組織安排</w:t>
      </w:r>
    </w:p>
    <w:p>
      <w:pPr>
        <w:pStyle w:val="BodyText"/>
      </w:pPr>
      <w:r>
        <w:rPr>
          <w:rFonts w:hint="eastAsia"/>
        </w:rPr>
        <w:t xml:space="preserve">友邦保險致力發展強勁的人才管道，以維持業務穩健增長。我們每年都會為整個集團進行全面的組織及人員評核</w:t>
      </w:r>
    </w:p>
    <w:p>
      <w:pPr>
        <w:pStyle w:val="BodyText"/>
      </w:pPr>
      <w:r>
        <w:rPr>
          <w:rFonts w:hint="eastAsia"/>
        </w:rPr>
        <w:t xml:space="preserve">程序，從中物色不同類別的人才，協助主管人員作出重要職位的繼任安排。我們的人才發展策略和集團繼任安排</w:t>
      </w:r>
    </w:p>
    <w:p>
      <w:pPr>
        <w:pStyle w:val="BodyText"/>
      </w:pPr>
      <w:r>
        <w:rPr>
          <w:rFonts w:hint="eastAsia"/>
        </w:rPr>
        <w:t xml:space="preserve">行之有效，這從集團在2020年內部晉升多個重要領導職位的例子中可見一斑，包括集團的最高領導層級。</w:t>
      </w:r>
    </w:p>
    <w:p>
      <w:pPr>
        <w:pStyle w:val="BodyText"/>
      </w:pPr>
      <w:r>
        <w:rPr>
          <w:rFonts w:hint="eastAsia"/>
        </w:rPr>
        <w:t xml:space="preserve">員工輔導與實習</w:t>
      </w:r>
    </w:p>
    <w:p>
      <w:pPr>
        <w:pStyle w:val="BodyText"/>
      </w:pPr>
      <w:r>
        <w:rPr>
          <w:rFonts w:hint="eastAsia"/>
        </w:rPr>
        <w:t xml:space="preserve">我們鼓勵員工擴展網絡，從而得到不同部門和資歷的同事指導，促進彼此溝通。目前，我們眾多業務單位和集團</w:t>
      </w:r>
    </w:p>
    <w:p>
      <w:pPr>
        <w:pStyle w:val="BodyText"/>
      </w:pPr>
      <w:r>
        <w:rPr>
          <w:rFonts w:hint="eastAsia"/>
        </w:rPr>
        <w:t xml:space="preserve">總部均設有員工輔導支援。</w:t>
      </w:r>
    </w:p>
    <w:p>
      <w:pPr>
        <w:pStyle w:val="BodyText"/>
      </w:pPr>
      <w:r>
        <w:rPr>
          <w:rFonts w:hint="eastAsia"/>
        </w:rPr>
        <w:t xml:space="preserve">我們亦為各業務單位轄下數百名實習生提供發展機會。我們的培訓計劃為實習生提供在友邦保險發展事業的親身</w:t>
      </w:r>
    </w:p>
    <w:p>
      <w:pPr>
        <w:pStyle w:val="BodyText"/>
      </w:pPr>
      <w:r>
        <w:rPr>
          <w:rFonts w:hint="eastAsia"/>
        </w:rPr>
        <w:t xml:space="preserve">經驗，讓他們有機會在瞬息萬變和以客為本的環境下學習重要職業技能。此外，計劃為我們提供發掘未來業務</w:t>
      </w:r>
    </w:p>
    <w:p>
      <w:pPr>
        <w:pStyle w:val="BodyText"/>
      </w:pPr>
      <w:r>
        <w:rPr>
          <w:rFonts w:hint="eastAsia"/>
        </w:rPr>
        <w:t xml:space="preserve">人才的良機。</w:t>
      </w:r>
    </w:p>
    <w:p>
      <w:pPr>
        <w:pStyle w:val="BodyText"/>
      </w:pPr>
      <w:r>
        <w:rPr>
          <w:rFonts w:hint="eastAsia"/>
        </w:rPr>
        <w:t xml:space="preserve">表揚和獎勵員工表現</w:t>
      </w:r>
    </w:p>
    <w:p>
      <w:pPr>
        <w:pStyle w:val="BodyText"/>
      </w:pPr>
      <w:r>
        <w:rPr>
          <w:rFonts w:hint="eastAsia"/>
        </w:rPr>
        <w:t xml:space="preserve">我們的員工獎勵計劃結合具市場競爭力的財務及非財務獎勵，旨在吸引、凝聚和留住員工，並激勵他們協助友邦</w:t>
      </w:r>
    </w:p>
    <w:p>
      <w:pPr>
        <w:pStyle w:val="BodyText"/>
      </w:pPr>
      <w:r>
        <w:rPr>
          <w:rFonts w:hint="eastAsia"/>
        </w:rPr>
        <w:t xml:space="preserve">保險實現各種業務目標。</w:t>
      </w:r>
    </w:p>
    <w:p>
      <w:pPr>
        <w:pStyle w:val="BodyText"/>
      </w:pPr>
      <w:r>
        <w:rPr>
          <w:rFonts w:hint="eastAsia"/>
        </w:rPr>
        <w:t xml:space="preserve">我們與員工就個人工作表現進行積極交流，是員工表現發展的一環。我們與員工每年最少兩次就其表現進行深入</w:t>
      </w:r>
    </w:p>
    <w:p>
      <w:pPr>
        <w:pStyle w:val="BodyText"/>
      </w:pPr>
      <w:r>
        <w:rPr>
          <w:rFonts w:hint="eastAsia"/>
        </w:rPr>
        <w:t xml:space="preserve">討論，分別在年中和年底。「Performance</w:t>
      </w:r>
      <w:r>
        <w:t xml:space="preserve"> Development </w:t>
      </w:r>
      <w:r>
        <w:rPr>
          <w:rFonts w:hint="eastAsia"/>
        </w:rPr>
        <w:t xml:space="preserve">Dialogue」計劃旨在協助主管人員持續評估其團隊的</w:t>
      </w:r>
    </w:p>
    <w:p>
      <w:pPr>
        <w:pStyle w:val="BodyText"/>
      </w:pPr>
      <w:r>
        <w:rPr>
          <w:rFonts w:hint="eastAsia"/>
        </w:rPr>
        <w:t xml:space="preserve">表現和行為，並作出適切的培訓活動建議，以助其實現預定的事業目標。「Performance</w:t>
      </w:r>
      <w:r>
        <w:t xml:space="preserve"> Development Dialogue」</w:t>
      </w:r>
    </w:p>
    <w:p>
      <w:pPr>
        <w:pStyle w:val="BodyText"/>
      </w:pPr>
      <w:r>
        <w:rPr>
          <w:rFonts w:hint="eastAsia"/>
        </w:rPr>
        <w:t xml:space="preserve">不但關注員工的成就，同時亦關注員工如何實現目標。</w:t>
      </w:r>
    </w:p>
    <w:p>
      <w:pPr>
        <w:pStyle w:val="BodyText"/>
      </w:pPr>
      <w:r>
        <w:rPr>
          <w:rFonts w:hint="eastAsia"/>
        </w:rPr>
        <w:t xml:space="preserve">我們亦欣然透過僱員購股計劃，讓員工有機會成為友邦保險的股東，員工可以在任職一段時間後參與並獲得</w:t>
      </w:r>
    </w:p>
    <w:p>
      <w:pPr>
        <w:pStyle w:val="BodyText"/>
      </w:pPr>
      <w:r>
        <w:rPr>
          <w:rFonts w:hint="eastAsia"/>
        </w:rPr>
        <w:t xml:space="preserve">「配送股份」。</w:t>
      </w:r>
    </w:p>
    <w:p>
      <w:pPr>
        <w:pStyle w:val="BodyText"/>
      </w:pPr>
      <w:r>
        <w:rPr>
          <w:rFonts w:hint="eastAsia"/>
        </w:rPr>
        <w:t xml:space="preserve">員工健康</w:t>
      </w:r>
    </w:p>
    <w:p>
      <w:pPr>
        <w:pStyle w:val="BodyText"/>
      </w:pPr>
      <w:r>
        <w:rPr>
          <w:rFonts w:hint="eastAsia"/>
        </w:rPr>
        <w:t xml:space="preserve">我們的福利和員工健康計劃幫助員工及其家庭成員活出健康長久好生活。我們繼續根據當地情況和員工需要，</w:t>
      </w:r>
    </w:p>
    <w:p>
      <w:pPr>
        <w:pStyle w:val="BodyText"/>
      </w:pPr>
      <w:r>
        <w:rPr>
          <w:rFonts w:hint="eastAsia"/>
        </w:rPr>
        <w:t xml:space="preserve">制定靈活的福利政策。在集團總部的層面，員工健康計劃聚焦身心健康。我們亦透過各項計劃支持員工，例如</w:t>
      </w:r>
    </w:p>
    <w:p>
      <w:pPr>
        <w:pStyle w:val="BodyText"/>
      </w:pPr>
      <w:r>
        <w:t xml:space="preserve">「AIA </w:t>
      </w:r>
      <w:r>
        <w:rPr>
          <w:rFonts w:hint="eastAsia"/>
        </w:rPr>
        <w:t xml:space="preserve">Vitality」會籍、團隊挑戰和健康檢查。</w:t>
      </w:r>
    </w:p>
    <w:p>
      <w:pPr>
        <w:pStyle w:val="BodyText"/>
      </w:pPr>
      <w:r>
        <w:t xml:space="preserve">066</w:t>
      </w:r>
    </w:p>
    <w:p>
      <w:pPr>
        <w:pStyle w:val="BodyText"/>
      </w:pPr>
      <w:r>
        <w:rPr>
          <w:rFonts w:hint="eastAsia"/>
        </w:rPr>
        <w:t xml:space="preserve">財務及營運回顧友邦保險控股有限公司</w:t>
      </w:r>
    </w:p>
    <w:p>
      <w:pPr>
        <w:pStyle w:val="BodyText"/>
      </w:pPr>
      <w:r>
        <w:rPr>
          <w:rFonts w:hint="eastAsia"/>
        </w:rPr>
        <w:t xml:space="preserve">我們鼓勵員工保持活躍，了解自己的身體狀況，並坐言起行保持身心健康。集團業務單位提供各種適合當地需要</w:t>
      </w:r>
    </w:p>
    <w:p>
      <w:pPr>
        <w:pStyle w:val="BodyText"/>
      </w:pPr>
      <w:r>
        <w:rPr>
          <w:rFonts w:hint="eastAsia"/>
        </w:rPr>
        <w:t xml:space="preserve">的福利，包括彈性工作時間、公司健身室、優惠健身會籍、其他體育和休閒設施，以及育嬰室。</w:t>
      </w:r>
    </w:p>
    <w:p>
      <w:pPr>
        <w:pStyle w:val="BodyText"/>
      </w:pPr>
      <w:r>
        <w:rPr>
          <w:rFonts w:hint="eastAsia"/>
        </w:rPr>
        <w:t xml:space="preserve">我們在2020年採取額外措施，確保員工在疫情期間擁有安全無虞的工作環境。許多業務單位改為遙距或靈活工作</w:t>
      </w:r>
    </w:p>
    <w:p>
      <w:pPr>
        <w:pStyle w:val="BodyText"/>
      </w:pPr>
      <w:r>
        <w:rPr>
          <w:rFonts w:hint="eastAsia"/>
        </w:rPr>
        <w:t xml:space="preserve">安排，以保障員工及其家人以至社區的健康。我們透過一個核心平台推出虛擬學習、資源和課程，讓員工裝備</w:t>
      </w:r>
    </w:p>
    <w:p>
      <w:pPr>
        <w:pStyle w:val="BodyText"/>
      </w:pPr>
      <w:r>
        <w:rPr>
          <w:rFonts w:hint="eastAsia"/>
        </w:rPr>
        <w:t xml:space="preserve">自己，以應對疫情和在家辦公所帶來的影響。</w:t>
      </w:r>
    </w:p>
    <w:p>
      <w:pPr>
        <w:pStyle w:val="BodyText"/>
      </w:pPr>
      <w:r>
        <w:rPr>
          <w:rFonts w:hint="eastAsia"/>
        </w:rPr>
        <w:t xml:space="preserve">多元共融</w:t>
      </w:r>
    </w:p>
    <w:p>
      <w:pPr>
        <w:pStyle w:val="BodyText"/>
      </w:pPr>
      <w:r>
        <w:rPr>
          <w:rFonts w:hint="eastAsia"/>
        </w:rPr>
        <w:t xml:space="preserve">我們相信具有多元背景和有才幹的人員可以創造價值，助集團實現客戶和股東的期望。友邦保險在18個市場營運</w:t>
      </w:r>
    </w:p>
    <w:p>
      <w:pPr>
        <w:pStyle w:val="BodyText"/>
      </w:pPr>
      <w:r>
        <w:rPr>
          <w:rFonts w:hint="eastAsia"/>
        </w:rPr>
        <w:t xml:space="preserve">業務，匯聚不同觀點，創建一個共融的工作環境，從而提升創新、決策、適應和解決問題的能力。</w:t>
      </w:r>
    </w:p>
    <w:p>
      <w:pPr>
        <w:pStyle w:val="BodyText"/>
      </w:pPr>
      <w:r>
        <w:rPr>
          <w:rFonts w:hint="eastAsia"/>
        </w:rPr>
        <w:t xml:space="preserve">友邦保險絕不容忍任何形式的歧視或騷擾，包括種族、膚色、宗教、性別、國籍、年齡、殘疾、兵役狀況、婚姻</w:t>
      </w:r>
    </w:p>
    <w:p>
      <w:pPr>
        <w:pStyle w:val="BodyText"/>
      </w:pPr>
      <w:r>
        <w:rPr>
          <w:rFonts w:hint="eastAsia"/>
        </w:rPr>
        <w:t xml:space="preserve">狀況和性取向。</w:t>
      </w:r>
    </w:p>
    <w:p>
      <w:pPr>
        <w:pStyle w:val="BodyText"/>
      </w:pPr>
      <w:r>
        <w:rPr>
          <w:rFonts w:hint="eastAsia"/>
        </w:rPr>
        <w:t xml:space="preserve">我們的招聘過程會評估應徵者的才能和經驗。我們實行公平公正的招聘、薪酬、晉升和解僱程序，只會根據員工</w:t>
      </w:r>
    </w:p>
    <w:p>
      <w:pPr>
        <w:pStyle w:val="BodyText"/>
      </w:pPr>
      <w:r>
        <w:rPr>
          <w:rFonts w:hint="eastAsia"/>
        </w:rPr>
        <w:t xml:space="preserve">表現作出決定。</w:t>
      </w:r>
    </w:p>
    <w:p>
      <w:pPr>
        <w:pStyle w:val="BodyText"/>
      </w:pPr>
      <w:r>
        <w:rPr>
          <w:rFonts w:hint="eastAsia"/>
        </w:rPr>
        <w:t xml:space="preserve">所有員工在加入友邦保險時，需要完成關於行為守則的強制性培訓，包括共融和禁止歧視方針。此外，我們為</w:t>
      </w:r>
    </w:p>
    <w:p>
      <w:pPr>
        <w:pStyle w:val="BodyText"/>
      </w:pPr>
      <w:r>
        <w:rPr>
          <w:rFonts w:hint="eastAsia"/>
        </w:rPr>
        <w:t xml:space="preserve">所有員工制定反騷擾政策和電子學習課程，闡明公司期望的職場行為和專業水平，包括呈報渠道。</w:t>
      </w:r>
    </w:p>
    <w:p>
      <w:pPr>
        <w:pStyle w:val="BodyText"/>
      </w:pPr>
      <w:r>
        <w:rPr>
          <w:rFonts w:hint="eastAsia"/>
        </w:rPr>
        <w:t xml:space="preserve">截至2020年12月31日，女性佔本集團員工總數的59%(3)。我們致力提供一個共融的工作環境，並很榮幸成為區內</w:t>
      </w:r>
    </w:p>
    <w:p>
      <w:pPr>
        <w:pStyle w:val="BodyText"/>
      </w:pPr>
      <w:r>
        <w:rPr>
          <w:rFonts w:hint="eastAsia"/>
        </w:rPr>
        <w:t xml:space="preserve">女性首選的僱主，公司的39%高級管理層均由女性擔任。</w:t>
      </w:r>
    </w:p>
    <w:p>
      <w:pPr>
        <w:pStyle w:val="BodyText"/>
      </w:pPr>
      <w:r>
        <w:rPr>
          <w:rFonts w:hint="eastAsia"/>
        </w:rPr>
        <w:t xml:space="preserve">我們深明在制定政策和實務守則時須理解不同世代的需要，因此致力為所有年齡層創建一個共融的工作環境。</w:t>
      </w:r>
    </w:p>
    <w:p>
      <w:pPr>
        <w:pStyle w:val="BodyText"/>
      </w:pPr>
      <w:r>
        <w:rPr>
          <w:rFonts w:hint="eastAsia"/>
        </w:rPr>
        <w:t xml:space="preserve">截至2020年12月31日，我們有62%員工屬於Y</w:t>
      </w:r>
      <w:r>
        <w:t xml:space="preserve"> </w:t>
      </w:r>
      <w:r>
        <w:rPr>
          <w:rFonts w:hint="eastAsia"/>
        </w:rPr>
        <w:t xml:space="preserve">世代和Z世代(4)。</w:t>
      </w:r>
    </w:p>
    <w:p>
      <w:pPr>
        <w:pStyle w:val="BodyText"/>
      </w:pPr>
      <w:r>
        <w:rPr>
          <w:rFonts w:hint="eastAsia"/>
        </w:rPr>
        <w:t xml:space="preserve">友邦保險亦重視多元的觀點，從而實踐有效管治和決策，本公司的董事會成員包涵不同國籍和種族，其教育</w:t>
      </w:r>
    </w:p>
    <w:p>
      <w:pPr>
        <w:pStyle w:val="BodyText"/>
      </w:pPr>
      <w:r>
        <w:rPr>
          <w:rFonts w:hint="eastAsia"/>
        </w:rPr>
        <w:t xml:space="preserve">背景、年齡和經驗也各不相同。</w:t>
      </w:r>
    </w:p>
    <w:p>
      <w:pPr>
        <w:pStyle w:val="BodyText"/>
      </w:pPr>
      <w:r>
        <w:rPr>
          <w:rFonts w:hint="eastAsia"/>
        </w:rPr>
        <w:t xml:space="preserve">附註：</w:t>
      </w:r>
      <w:r>
        <w:br/>
      </w:r>
      <w:r>
        <w:t xml:space="preserve">(3) </w:t>
      </w:r>
      <w:r>
        <w:rPr>
          <w:rFonts w:hint="eastAsia"/>
        </w:rPr>
        <w:t xml:space="preserve">指本集團以長期和定期合約形式聘用的員工，不包括合資公司TATA</w:t>
      </w:r>
      <w:r>
        <w:t xml:space="preserve"> AIA </w:t>
      </w:r>
      <w:r>
        <w:rPr>
          <w:rFonts w:hint="eastAsia"/>
        </w:rPr>
        <w:t xml:space="preserve">Life的員工。</w:t>
      </w:r>
    </w:p>
    <w:p>
      <w:pPr>
        <w:pStyle w:val="Compact"/>
        <w:numPr>
          <w:ilvl w:val="0"/>
          <w:numId w:val="1073"/>
        </w:numPr>
      </w:pPr>
      <w:r>
        <w:rPr>
          <w:rFonts w:hint="eastAsia"/>
        </w:rPr>
        <w:t xml:space="preserve">Y世代：生於1980年至1996年；Z</w:t>
      </w:r>
      <w:r>
        <w:t xml:space="preserve"> </w:t>
      </w:r>
      <w:r>
        <w:rPr>
          <w:rFonts w:hint="eastAsia"/>
        </w:rPr>
        <w:t xml:space="preserve">世代：生於1997年或以後。</w:t>
      </w:r>
    </w:p>
    <w:p>
      <w:pPr>
        <w:pStyle w:val="FirstParagraph"/>
      </w:pPr>
      <w:r>
        <w:t xml:space="preserve">067</w:t>
      </w:r>
    </w:p>
    <w:p>
      <w:pPr>
        <w:pStyle w:val="BodyText"/>
      </w:pPr>
      <w:r>
        <w:rPr>
          <w:rFonts w:hint="eastAsia"/>
        </w:rPr>
        <w:t xml:space="preserve">概覽財務及營運回顧企業管治其他資料財務報表2020年報</w:t>
      </w:r>
    </w:p>
    <w:p>
      <w:pPr>
        <w:pStyle w:val="BodyText"/>
      </w:pPr>
      <w:r>
        <w:rPr>
          <w:rFonts w:hint="eastAsia"/>
        </w:rPr>
        <w:t xml:space="preserve">企業管治</w:t>
      </w:r>
    </w:p>
    <w:p>
      <w:pPr>
        <w:pStyle w:val="BodyText"/>
      </w:pPr>
      <w:r>
        <w:t xml:space="preserve">069 </w:t>
      </w:r>
      <w:r>
        <w:rPr>
          <w:rFonts w:hint="eastAsia"/>
        </w:rPr>
        <w:t xml:space="preserve">董事責任聲明</w:t>
      </w:r>
    </w:p>
    <w:p>
      <w:pPr>
        <w:pStyle w:val="BodyText"/>
      </w:pPr>
      <w:r>
        <w:t xml:space="preserve">070 </w:t>
      </w:r>
      <w:r>
        <w:rPr>
          <w:rFonts w:hint="eastAsia"/>
        </w:rPr>
        <w:t xml:space="preserve">董事會</w:t>
      </w:r>
    </w:p>
    <w:p>
      <w:pPr>
        <w:pStyle w:val="BodyText"/>
      </w:pPr>
      <w:r>
        <w:t xml:space="preserve">078 </w:t>
      </w:r>
      <w:r>
        <w:rPr>
          <w:rFonts w:hint="eastAsia"/>
        </w:rPr>
        <w:t xml:space="preserve">執行委員會</w:t>
      </w:r>
    </w:p>
    <w:p>
      <w:pPr>
        <w:pStyle w:val="BodyText"/>
      </w:pPr>
      <w:r>
        <w:t xml:space="preserve">083 </w:t>
      </w:r>
      <w:r>
        <w:rPr>
          <w:rFonts w:hint="eastAsia"/>
        </w:rPr>
        <w:t xml:space="preserve">董事會報告</w:t>
      </w:r>
    </w:p>
    <w:p>
      <w:pPr>
        <w:pStyle w:val="BodyText"/>
      </w:pPr>
      <w:r>
        <w:t xml:space="preserve">096 </w:t>
      </w:r>
      <w:r>
        <w:rPr>
          <w:rFonts w:hint="eastAsia"/>
        </w:rPr>
        <w:t xml:space="preserve">企業管治報告</w:t>
      </w:r>
    </w:p>
    <w:p>
      <w:pPr>
        <w:pStyle w:val="BodyText"/>
      </w:pPr>
      <w:r>
        <w:t xml:space="preserve">110 </w:t>
      </w:r>
      <w:r>
        <w:rPr>
          <w:rFonts w:hint="eastAsia"/>
        </w:rPr>
        <w:t xml:space="preserve">薪酬報告</w:t>
      </w:r>
    </w:p>
    <w:p>
      <w:pPr>
        <w:pStyle w:val="BodyText"/>
      </w:pPr>
      <w:r>
        <w:t xml:space="preserve">068</w:t>
      </w:r>
    </w:p>
    <w:p>
      <w:pPr>
        <w:pStyle w:val="BodyText"/>
      </w:pPr>
      <w:r>
        <w:rPr>
          <w:rFonts w:hint="eastAsia"/>
        </w:rPr>
        <w:t xml:space="preserve">友邦保險控股有限公司</w:t>
      </w:r>
    </w:p>
    <w:p>
      <w:pPr>
        <w:pStyle w:val="BodyText"/>
      </w:pPr>
      <w:r>
        <w:rPr>
          <w:rFonts w:hint="eastAsia"/>
        </w:rPr>
        <w:t xml:space="preserve">企業管治</w:t>
      </w:r>
    </w:p>
    <w:p>
      <w:pPr>
        <w:pStyle w:val="BodyText"/>
      </w:pPr>
      <w:r>
        <w:rPr>
          <w:rFonts w:hint="eastAsia"/>
        </w:rPr>
        <w:t xml:space="preserve">董事責任聲明</w:t>
      </w:r>
    </w:p>
    <w:p>
      <w:pPr>
        <w:pStyle w:val="BodyText"/>
      </w:pPr>
      <w:r>
        <w:rPr>
          <w:rFonts w:hint="eastAsia"/>
        </w:rPr>
        <w:t xml:space="preserve">董事負責根據適用法例及規例編製本公司的合併財務報表。</w:t>
      </w:r>
    </w:p>
    <w:p>
      <w:pPr>
        <w:pStyle w:val="BodyText"/>
      </w:pPr>
      <w:r>
        <w:rPr>
          <w:rFonts w:hint="eastAsia"/>
        </w:rPr>
        <w:t xml:space="preserve">在編製本公司的合併財務報表時，董事須：</w:t>
      </w:r>
    </w:p>
    <w:p>
      <w:pPr>
        <w:pStyle w:val="BodyText"/>
      </w:pPr>
      <w:r>
        <w:t xml:space="preserve">• </w:t>
      </w:r>
      <w:r>
        <w:rPr>
          <w:rFonts w:hint="eastAsia"/>
        </w:rPr>
        <w:t xml:space="preserve">選用合適的會計政策然後貫徹採用；</w:t>
      </w:r>
    </w:p>
    <w:p>
      <w:pPr>
        <w:pStyle w:val="BodyText"/>
      </w:pPr>
      <w:r>
        <w:t xml:space="preserve">• </w:t>
      </w:r>
      <w:r>
        <w:rPr>
          <w:rFonts w:hint="eastAsia"/>
        </w:rPr>
        <w:t xml:space="preserve">作出合理及審慎的判斷及估計；</w:t>
      </w:r>
    </w:p>
    <w:p>
      <w:pPr>
        <w:pStyle w:val="BodyText"/>
      </w:pPr>
      <w:r>
        <w:t xml:space="preserve">• </w:t>
      </w:r>
      <w:r>
        <w:rPr>
          <w:rFonts w:hint="eastAsia"/>
        </w:rPr>
        <w:t xml:space="preserve">說明合併財務報表是否根據香港財務報告準則及國際財務報告準則編製；及</w:t>
      </w:r>
    </w:p>
    <w:p>
      <w:pPr>
        <w:pStyle w:val="BodyText"/>
      </w:pPr>
      <w:r>
        <w:t xml:space="preserve">• </w:t>
      </w:r>
      <w:r>
        <w:rPr>
          <w:rFonts w:hint="eastAsia"/>
        </w:rPr>
        <w:t xml:space="preserve">按持續經營基準編製合併財務報表，除非假定本集團將持續經營業務乃屬不當。</w:t>
      </w:r>
    </w:p>
    <w:p>
      <w:pPr>
        <w:pStyle w:val="BodyText"/>
      </w:pPr>
      <w:r>
        <w:rPr>
          <w:rFonts w:hint="eastAsia"/>
        </w:rPr>
        <w:t xml:space="preserve">董事負責保存正確的會計紀錄，而該等紀錄須真實及公平地反映本公司的狀況，並須說明其所作的交易。</w:t>
      </w:r>
    </w:p>
    <w:p>
      <w:pPr>
        <w:pStyle w:val="BodyText"/>
      </w:pPr>
      <w:r>
        <w:rPr>
          <w:rFonts w:hint="eastAsia"/>
        </w:rPr>
        <w:t xml:space="preserve">董事有責任採取合理可行的步驟，以保護本集團資產，並且防止及偵察欺詐及其他不正常情況。董事亦有責任編</w:t>
      </w:r>
    </w:p>
    <w:p>
      <w:pPr>
        <w:pStyle w:val="BodyText"/>
      </w:pPr>
      <w:r>
        <w:rPr>
          <w:rFonts w:hint="eastAsia"/>
        </w:rPr>
        <w:t xml:space="preserve">製載於本年報第83至109頁的董事會報告及企業管治報告。</w:t>
      </w:r>
    </w:p>
    <w:p>
      <w:pPr>
        <w:pStyle w:val="BodyText"/>
      </w:pPr>
      <w:r>
        <w:rPr>
          <w:rFonts w:hint="eastAsia"/>
        </w:rPr>
        <w:t xml:space="preserve">董事確認，盡彼等所知：</w:t>
      </w:r>
    </w:p>
    <w:p>
      <w:pPr>
        <w:pStyle w:val="Compact"/>
        <w:numPr>
          <w:ilvl w:val="0"/>
          <w:numId w:val="1074"/>
        </w:numPr>
      </w:pPr>
      <w:r>
        <w:rPr>
          <w:rFonts w:hint="eastAsia"/>
        </w:rPr>
        <w:t xml:space="preserve">根據香港財務報告準則及國際財務報告準則編製的本公司合併財務報表，真實及公平地反映本公司的資產、</w:t>
      </w:r>
    </w:p>
    <w:p>
      <w:pPr>
        <w:pStyle w:val="FirstParagraph"/>
      </w:pPr>
      <w:r>
        <w:rPr>
          <w:rFonts w:hint="eastAsia"/>
        </w:rPr>
        <w:t xml:space="preserve">負債、財務狀況、現金流量及業績以及合併財務報表所包含的各企業的整體情況；及</w:t>
      </w:r>
    </w:p>
    <w:p>
      <w:pPr>
        <w:pStyle w:val="Compact"/>
        <w:numPr>
          <w:ilvl w:val="0"/>
          <w:numId w:val="1075"/>
        </w:numPr>
      </w:pPr>
      <w:r>
        <w:rPr>
          <w:rFonts w:hint="eastAsia"/>
        </w:rPr>
        <w:t xml:space="preserve">本年報內「財務及營運回顧」一節，中肯檢討了本公司的業務發展和表現及其狀況、合併財務報表所包含的各</w:t>
      </w:r>
    </w:p>
    <w:p>
      <w:pPr>
        <w:pStyle w:val="FirstParagraph"/>
      </w:pPr>
      <w:r>
        <w:rPr>
          <w:rFonts w:hint="eastAsia"/>
        </w:rPr>
        <w:t xml:space="preserve">企業的整體情況，以及敘述了本集團所面對的主要風險及不明朗因素。</w:t>
      </w:r>
    </w:p>
    <w:p>
      <w:pPr>
        <w:pStyle w:val="BodyText"/>
      </w:pPr>
      <w:r>
        <w:t xml:space="preserve">069</w:t>
      </w:r>
    </w:p>
    <w:p>
      <w:pPr>
        <w:pStyle w:val="BodyText"/>
      </w:pPr>
      <w:r>
        <w:rPr>
          <w:rFonts w:hint="eastAsia"/>
        </w:rPr>
        <w:t xml:space="preserve">概覽財務及營運回顧企業管治其他資料財務報表2020年報</w:t>
      </w:r>
    </w:p>
    <w:p>
      <w:pPr>
        <w:pStyle w:val="BodyText"/>
      </w:pPr>
      <w:r>
        <w:rPr>
          <w:rFonts w:hint="eastAsia"/>
        </w:rPr>
        <w:t xml:space="preserve">企業管治</w:t>
      </w:r>
    </w:p>
    <w:p>
      <w:pPr>
        <w:pStyle w:val="BodyText"/>
      </w:pPr>
      <w:r>
        <w:rPr>
          <w:rFonts w:hint="eastAsia"/>
        </w:rPr>
        <w:t xml:space="preserve">董事會</w:t>
      </w:r>
    </w:p>
    <w:p>
      <w:pPr>
        <w:pStyle w:val="BodyText"/>
      </w:pPr>
      <w:r>
        <w:t xml:space="preserve">John Barrie</w:t>
      </w:r>
      <w:r>
        <w:br/>
      </w:r>
      <w:r>
        <w:t xml:space="preserve">HARRISON </w:t>
      </w:r>
      <w:r>
        <w:rPr>
          <w:rFonts w:hint="eastAsia"/>
        </w:rPr>
        <w:t xml:space="preserve">先生</w:t>
      </w:r>
    </w:p>
    <w:p>
      <w:pPr>
        <w:pStyle w:val="BodyText"/>
      </w:pPr>
      <w:r>
        <w:t xml:space="preserve">Narongchai</w:t>
      </w:r>
      <w:r>
        <w:br/>
      </w:r>
      <w:r>
        <w:t xml:space="preserve">AKRASANEE </w:t>
      </w:r>
      <w:r>
        <w:rPr>
          <w:rFonts w:hint="eastAsia"/>
        </w:rPr>
        <w:t xml:space="preserve">博士</w:t>
      </w:r>
    </w:p>
    <w:p>
      <w:pPr>
        <w:pStyle w:val="BodyText"/>
      </w:pPr>
      <w:r>
        <w:rPr>
          <w:rFonts w:hint="eastAsia"/>
        </w:rPr>
        <w:t xml:space="preserve">蘇澤光先生</w:t>
      </w:r>
    </w:p>
    <w:p>
      <w:pPr>
        <w:pStyle w:val="BodyText"/>
      </w:pPr>
      <w:r>
        <w:rPr>
          <w:rFonts w:hint="eastAsia"/>
        </w:rPr>
        <w:t xml:space="preserve">謝仕榮先生</w:t>
      </w:r>
    </w:p>
    <w:p>
      <w:pPr>
        <w:pStyle w:val="BodyText"/>
      </w:pPr>
      <w:r>
        <w:rPr>
          <w:rFonts w:hint="eastAsia"/>
        </w:rPr>
        <w:t xml:space="preserve">李源祥先生</w:t>
      </w:r>
    </w:p>
    <w:p>
      <w:pPr>
        <w:pStyle w:val="BodyText"/>
      </w:pPr>
      <w:r>
        <w:t xml:space="preserve">070</w:t>
      </w:r>
    </w:p>
    <w:p>
      <w:pPr>
        <w:pStyle w:val="BodyText"/>
      </w:pPr>
      <w:r>
        <w:rPr>
          <w:rFonts w:hint="eastAsia"/>
        </w:rPr>
        <w:t xml:space="preserve">友邦保險控股有限公司</w:t>
      </w:r>
    </w:p>
    <w:p>
      <w:pPr>
        <w:pStyle w:val="BodyText"/>
      </w:pPr>
      <w:r>
        <w:rPr>
          <w:rFonts w:hint="eastAsia"/>
        </w:rPr>
        <w:t xml:space="preserve">企業管治</w:t>
      </w:r>
    </w:p>
    <w:p>
      <w:pPr>
        <w:pStyle w:val="BodyText"/>
      </w:pPr>
      <w:r>
        <w:rPr>
          <w:rFonts w:hint="eastAsia"/>
        </w:rPr>
        <w:t xml:space="preserve">周松崗先生</w:t>
      </w:r>
    </w:p>
    <w:p>
      <w:pPr>
        <w:pStyle w:val="BodyText"/>
      </w:pPr>
      <w:r>
        <w:t xml:space="preserve">Swee-Lian TEO </w:t>
      </w:r>
      <w:r>
        <w:rPr>
          <w:rFonts w:hint="eastAsia"/>
        </w:rPr>
        <w:t xml:space="preserve">女士</w:t>
      </w:r>
    </w:p>
    <w:p>
      <w:pPr>
        <w:pStyle w:val="BodyText"/>
      </w:pPr>
      <w:r>
        <w:rPr>
          <w:rFonts w:hint="eastAsia"/>
        </w:rPr>
        <w:t xml:space="preserve">劉遵義教授</w:t>
      </w:r>
    </w:p>
    <w:p>
      <w:pPr>
        <w:pStyle w:val="BodyText"/>
      </w:pPr>
      <w:r>
        <w:t xml:space="preserve">Cesar Velasquez</w:t>
      </w:r>
      <w:r>
        <w:br/>
      </w:r>
      <w:r>
        <w:t xml:space="preserve">PURISIMA </w:t>
      </w:r>
      <w:r>
        <w:rPr>
          <w:rFonts w:hint="eastAsia"/>
        </w:rPr>
        <w:t xml:space="preserve">先生</w:t>
      </w:r>
    </w:p>
    <w:p>
      <w:pPr>
        <w:pStyle w:val="BodyText"/>
      </w:pPr>
      <w:r>
        <w:rPr>
          <w:rFonts w:hint="eastAsia"/>
        </w:rPr>
        <w:t xml:space="preserve">楊榮文先生</w:t>
      </w:r>
    </w:p>
    <w:p>
      <w:pPr>
        <w:pStyle w:val="BodyText"/>
      </w:pPr>
      <w:r>
        <w:t xml:space="preserve">2020 </w:t>
      </w:r>
      <w:r>
        <w:rPr>
          <w:rFonts w:hint="eastAsia"/>
        </w:rPr>
        <w:t xml:space="preserve">年報</w:t>
      </w:r>
    </w:p>
    <w:p>
      <w:pPr>
        <w:pStyle w:val="BodyText"/>
      </w:pPr>
      <w:r>
        <w:t xml:space="preserve">071</w:t>
      </w:r>
    </w:p>
    <w:p>
      <w:pPr>
        <w:pStyle w:val="BodyText"/>
      </w:pPr>
      <w:r>
        <w:rPr>
          <w:rFonts w:hint="eastAsia"/>
        </w:rPr>
        <w:t xml:space="preserve">獨立非執行主席及獨立非執行董事</w:t>
      </w:r>
    </w:p>
    <w:p>
      <w:pPr>
        <w:pStyle w:val="BodyText"/>
      </w:pPr>
      <w:r>
        <w:rPr>
          <w:rFonts w:hint="eastAsia"/>
        </w:rPr>
        <w:t xml:space="preserve">謝仕榮先生</w:t>
      </w:r>
    </w:p>
    <w:p>
      <w:pPr>
        <w:pStyle w:val="BodyText"/>
      </w:pPr>
      <w:r>
        <w:rPr>
          <w:rFonts w:hint="eastAsia"/>
        </w:rPr>
        <w:t xml:space="preserve">83歲，本公司獨立非執行主席及獨立非執行董事。彼於2010年9月27日獲委任為本公司非執行董事，於2011年</w:t>
      </w:r>
    </w:p>
    <w:p>
      <w:pPr>
        <w:pStyle w:val="BodyText"/>
      </w:pPr>
      <w:r>
        <w:rPr>
          <w:rFonts w:hint="eastAsia"/>
        </w:rPr>
        <w:t xml:space="preserve">1月1日獲選為非執行主席，並於2017年3月23日調任為本公司獨立非執行主席及獨立非執行董事。謝先生現亦</w:t>
      </w:r>
    </w:p>
    <w:p>
      <w:pPr>
        <w:pStyle w:val="BodyText"/>
      </w:pPr>
      <w:r>
        <w:rPr>
          <w:rFonts w:hint="eastAsia"/>
        </w:rPr>
        <w:t xml:space="preserve">擔任本公司提名委員會主席以及薪酬委員會及風險委員會成員。彼現擔任友邦慈善基金的董事。在為本集團及</w:t>
      </w:r>
    </w:p>
    <w:p>
      <w:pPr>
        <w:pStyle w:val="BodyText"/>
      </w:pPr>
      <w:r>
        <w:rPr>
          <w:rFonts w:hint="eastAsia"/>
        </w:rPr>
        <w:t xml:space="preserve">其前身AIG集團效力的近60年中，謝先生於2009年7月至2010年12月擔任AIA</w:t>
      </w:r>
      <w:r>
        <w:t xml:space="preserve"> </w:t>
      </w:r>
      <w:r>
        <w:rPr>
          <w:rFonts w:hint="eastAsia"/>
        </w:rPr>
        <w:t xml:space="preserve">Co.的名譽主席，於2000年至2009年</w:t>
      </w:r>
    </w:p>
    <w:p>
      <w:pPr>
        <w:pStyle w:val="BodyText"/>
      </w:pPr>
      <w:r>
        <w:rPr>
          <w:rFonts w:hint="eastAsia"/>
        </w:rPr>
        <w:t xml:space="preserve">6月</w:t>
      </w:r>
      <w:r>
        <w:t xml:space="preserve"> </w:t>
      </w:r>
      <w:r>
        <w:rPr>
          <w:rFonts w:hint="eastAsia"/>
        </w:rPr>
        <w:t xml:space="preserve">擔</w:t>
      </w:r>
      <w:r>
        <w:t xml:space="preserve"> </w:t>
      </w:r>
      <w:r>
        <w:rPr>
          <w:rFonts w:hint="eastAsia"/>
        </w:rPr>
        <w:t xml:space="preserve">任</w:t>
      </w:r>
      <w:r>
        <w:t xml:space="preserve"> </w:t>
      </w:r>
      <w:r>
        <w:rPr>
          <w:rFonts w:hint="eastAsia"/>
        </w:rPr>
        <w:t xml:space="preserve">主</w:t>
      </w:r>
      <w:r>
        <w:t xml:space="preserve"> </w:t>
      </w:r>
      <w:r>
        <w:rPr>
          <w:rFonts w:hint="eastAsia"/>
        </w:rPr>
        <w:t xml:space="preserve">席</w:t>
      </w:r>
      <w:r>
        <w:t xml:space="preserve"> </w:t>
      </w:r>
      <w:r>
        <w:rPr>
          <w:rFonts w:hint="eastAsia"/>
        </w:rPr>
        <w:t xml:space="preserve">兼</w:t>
      </w:r>
      <w:r>
        <w:t xml:space="preserve"> </w:t>
      </w:r>
      <w:r>
        <w:rPr>
          <w:rFonts w:hint="eastAsia"/>
        </w:rPr>
        <w:t xml:space="preserve">首</w:t>
      </w:r>
      <w:r>
        <w:t xml:space="preserve"> </w:t>
      </w:r>
      <w:r>
        <w:rPr>
          <w:rFonts w:hint="eastAsia"/>
        </w:rPr>
        <w:t xml:space="preserve">席</w:t>
      </w:r>
      <w:r>
        <w:t xml:space="preserve"> </w:t>
      </w:r>
      <w:r>
        <w:rPr>
          <w:rFonts w:hint="eastAsia"/>
        </w:rPr>
        <w:t xml:space="preserve">執</w:t>
      </w:r>
      <w:r>
        <w:t xml:space="preserve"> </w:t>
      </w:r>
      <w:r>
        <w:rPr>
          <w:rFonts w:hint="eastAsia"/>
        </w:rPr>
        <w:t xml:space="preserve">行</w:t>
      </w:r>
      <w:r>
        <w:t xml:space="preserve"> </w:t>
      </w:r>
      <w:r>
        <w:rPr>
          <w:rFonts w:hint="eastAsia"/>
        </w:rPr>
        <w:t xml:space="preserve">官，</w:t>
      </w:r>
      <w:r>
        <w:t xml:space="preserve"> </w:t>
      </w:r>
      <w:r>
        <w:rPr>
          <w:rFonts w:hint="eastAsia"/>
        </w:rPr>
        <w:t xml:space="preserve">並</w:t>
      </w:r>
      <w:r>
        <w:t xml:space="preserve"> </w:t>
      </w:r>
      <w:r>
        <w:rPr>
          <w:rFonts w:hint="eastAsia"/>
        </w:rPr>
        <w:t xml:space="preserve">於1983年</w:t>
      </w:r>
      <w:r>
        <w:t xml:space="preserve"> </w:t>
      </w:r>
      <w:r>
        <w:rPr>
          <w:rFonts w:hint="eastAsia"/>
        </w:rPr>
        <w:t xml:space="preserve">至2000年</w:t>
      </w:r>
      <w:r>
        <w:t xml:space="preserve"> </w:t>
      </w:r>
      <w:r>
        <w:rPr>
          <w:rFonts w:hint="eastAsia"/>
        </w:rPr>
        <w:t xml:space="preserve">擔</w:t>
      </w:r>
      <w:r>
        <w:t xml:space="preserve"> </w:t>
      </w:r>
      <w:r>
        <w:rPr>
          <w:rFonts w:hint="eastAsia"/>
        </w:rPr>
        <w:t xml:space="preserve">任</w:t>
      </w:r>
      <w:r>
        <w:t xml:space="preserve"> </w:t>
      </w:r>
      <w:r>
        <w:rPr>
          <w:rFonts w:hint="eastAsia"/>
        </w:rPr>
        <w:t xml:space="preserve">總</w:t>
      </w:r>
      <w:r>
        <w:t xml:space="preserve"> </w:t>
      </w:r>
      <w:r>
        <w:rPr>
          <w:rFonts w:hint="eastAsia"/>
        </w:rPr>
        <w:t xml:space="preserve">裁</w:t>
      </w:r>
      <w:r>
        <w:t xml:space="preserve"> </w:t>
      </w:r>
      <w:r>
        <w:rPr>
          <w:rFonts w:hint="eastAsia"/>
        </w:rPr>
        <w:t xml:space="preserve">兼</w:t>
      </w:r>
      <w:r>
        <w:t xml:space="preserve"> </w:t>
      </w:r>
      <w:r>
        <w:rPr>
          <w:rFonts w:hint="eastAsia"/>
        </w:rPr>
        <w:t xml:space="preserve">首</w:t>
      </w:r>
      <w:r>
        <w:t xml:space="preserve"> </w:t>
      </w:r>
      <w:r>
        <w:rPr>
          <w:rFonts w:hint="eastAsia"/>
        </w:rPr>
        <w:t xml:space="preserve">席</w:t>
      </w:r>
      <w:r>
        <w:t xml:space="preserve"> </w:t>
      </w:r>
      <w:r>
        <w:rPr>
          <w:rFonts w:hint="eastAsia"/>
        </w:rPr>
        <w:t xml:space="preserve">執</w:t>
      </w:r>
      <w:r>
        <w:t xml:space="preserve"> </w:t>
      </w:r>
      <w:r>
        <w:rPr>
          <w:rFonts w:hint="eastAsia"/>
        </w:rPr>
        <w:t xml:space="preserve">行</w:t>
      </w:r>
      <w:r>
        <w:t xml:space="preserve"> </w:t>
      </w:r>
      <w:r>
        <w:rPr>
          <w:rFonts w:hint="eastAsia"/>
        </w:rPr>
        <w:t xml:space="preserve">官。</w:t>
      </w:r>
      <w:r>
        <w:t xml:space="preserve"> </w:t>
      </w:r>
      <w:r>
        <w:rPr>
          <w:rFonts w:hint="eastAsia"/>
        </w:rPr>
        <w:t xml:space="preserve">彼</w:t>
      </w:r>
      <w:r>
        <w:t xml:space="preserve"> </w:t>
      </w:r>
      <w:r>
        <w:rPr>
          <w:rFonts w:hint="eastAsia"/>
        </w:rPr>
        <w:t xml:space="preserve">亦</w:t>
      </w:r>
      <w:r>
        <w:t xml:space="preserve"> </w:t>
      </w:r>
      <w:r>
        <w:rPr>
          <w:rFonts w:hint="eastAsia"/>
        </w:rPr>
        <w:t xml:space="preserve">於2005年</w:t>
      </w:r>
      <w:r>
        <w:t xml:space="preserve"> </w:t>
      </w:r>
      <w:r>
        <w:rPr>
          <w:rFonts w:hint="eastAsia"/>
        </w:rPr>
        <w:t xml:space="preserve">至2015年</w:t>
      </w:r>
      <w:r>
        <w:t xml:space="preserve"> </w:t>
      </w:r>
      <w:r>
        <w:rPr>
          <w:rFonts w:hint="eastAsia"/>
        </w:rPr>
        <w:t xml:space="preserve">擔</w:t>
      </w:r>
      <w:r>
        <w:t xml:space="preserve"> </w:t>
      </w:r>
      <w:r>
        <w:rPr>
          <w:rFonts w:hint="eastAsia"/>
        </w:rPr>
        <w:t xml:space="preserve">任</w:t>
      </w:r>
    </w:p>
    <w:p>
      <w:pPr>
        <w:pStyle w:val="BodyText"/>
      </w:pPr>
      <w:r>
        <w:t xml:space="preserve">The Philippine American Life and General Insurance (PHILAM LIFE) </w:t>
      </w:r>
      <w:r>
        <w:rPr>
          <w:rFonts w:hint="eastAsia"/>
        </w:rPr>
        <w:t xml:space="preserve">Company的主席。謝先生為電訊盈科有限</w:t>
      </w:r>
    </w:p>
    <w:p>
      <w:pPr>
        <w:pStyle w:val="BodyText"/>
      </w:pPr>
      <w:r>
        <w:rPr>
          <w:rFonts w:hint="eastAsia"/>
        </w:rPr>
        <w:t xml:space="preserve">公司（於香港聯交所上市）的非執行董事，Bridge</w:t>
      </w:r>
      <w:r>
        <w:t xml:space="preserve"> Holdings Company </w:t>
      </w:r>
      <w:r>
        <w:rPr>
          <w:rFonts w:hint="eastAsia"/>
        </w:rPr>
        <w:t xml:space="preserve">Limited（前身為PineBridge</w:t>
      </w:r>
      <w:r>
        <w:t xml:space="preserve"> Investments</w:t>
      </w:r>
    </w:p>
    <w:p>
      <w:pPr>
        <w:pStyle w:val="BodyText"/>
      </w:pPr>
      <w:r>
        <w:rPr>
          <w:rFonts w:hint="eastAsia"/>
        </w:rPr>
        <w:t xml:space="preserve">Limited）的董事及PineBridge</w:t>
      </w:r>
      <w:r>
        <w:t xml:space="preserve"> Investments Asia </w:t>
      </w:r>
      <w:r>
        <w:rPr>
          <w:rFonts w:hint="eastAsia"/>
        </w:rPr>
        <w:t xml:space="preserve">Limited的非執行主席。謝先生亦為香港金融學院會員事務委員會</w:t>
      </w:r>
    </w:p>
    <w:p>
      <w:pPr>
        <w:pStyle w:val="BodyText"/>
      </w:pPr>
      <w:r>
        <w:rPr>
          <w:rFonts w:hint="eastAsia"/>
        </w:rPr>
        <w:t xml:space="preserve">委員及院士。彼於2004年至2014年7月擔任中國人民財產保險股份有限公司（於香港聯交所上市）的非執行董事。</w:t>
      </w:r>
    </w:p>
    <w:p>
      <w:pPr>
        <w:pStyle w:val="BodyText"/>
      </w:pPr>
      <w:r>
        <w:rPr>
          <w:rFonts w:hint="eastAsia"/>
        </w:rPr>
        <w:t xml:space="preserve">謝先生於2001年獲香港特區政府頒授金紫荊星章，以表彰其對香港保險業發展作出的傑出貢獻。謝先生分別於</w:t>
      </w:r>
    </w:p>
    <w:p>
      <w:pPr>
        <w:pStyle w:val="BodyText"/>
      </w:pPr>
      <w:r>
        <w:rPr>
          <w:rFonts w:hint="eastAsia"/>
        </w:rPr>
        <w:t xml:space="preserve">1998年及2002年獲香港大學頒授名譽大學院士銜及社會科學名譽博士學位。彼亦於2018年獲嶺南大學頒授工商</w:t>
      </w:r>
    </w:p>
    <w:p>
      <w:pPr>
        <w:pStyle w:val="BodyText"/>
      </w:pPr>
      <w:r>
        <w:rPr>
          <w:rFonts w:hint="eastAsia"/>
        </w:rPr>
        <w:t xml:space="preserve">管理名譽博士學位。彼於2003年獲選為享譽盛名的「全球保險名人堂」成員，並於2017年獲Pacific</w:t>
      </w:r>
      <w:r>
        <w:t xml:space="preserve"> Insurance</w:t>
      </w:r>
    </w:p>
    <w:p>
      <w:pPr>
        <w:pStyle w:val="BodyText"/>
      </w:pPr>
      <w:r>
        <w:rPr>
          <w:rFonts w:hint="eastAsia"/>
        </w:rPr>
        <w:t xml:space="preserve">Conference頒發大會有史以來首個終身成就獎，表彰其對保險業的傑出貢獻。</w:t>
      </w:r>
    </w:p>
    <w:p>
      <w:pPr>
        <w:pStyle w:val="BodyText"/>
      </w:pPr>
      <w:r>
        <w:rPr>
          <w:rFonts w:hint="eastAsia"/>
        </w:rPr>
        <w:t xml:space="preserve">執行董事、集團首席執行官兼總裁</w:t>
      </w:r>
    </w:p>
    <w:p>
      <w:pPr>
        <w:pStyle w:val="BodyText"/>
      </w:pPr>
      <w:r>
        <w:rPr>
          <w:rFonts w:hint="eastAsia"/>
        </w:rPr>
        <w:t xml:space="preserve">李源祥先生</w:t>
      </w:r>
    </w:p>
    <w:p>
      <w:pPr>
        <w:pStyle w:val="BodyText"/>
      </w:pPr>
      <w:r>
        <w:rPr>
          <w:rFonts w:hint="eastAsia"/>
        </w:rPr>
        <w:t xml:space="preserve">55歲，於2020年6月1日獲委任為本公司執行董事、集團首席執行官兼總裁。李先生現亦擔任本公司風險委員會</w:t>
      </w:r>
    </w:p>
    <w:p>
      <w:pPr>
        <w:pStyle w:val="BodyText"/>
      </w:pPr>
      <w:r>
        <w:rPr>
          <w:rFonts w:hint="eastAsia"/>
        </w:rPr>
        <w:t xml:space="preserve">成</w:t>
      </w:r>
      <w:r>
        <w:t xml:space="preserve"> </w:t>
      </w:r>
      <w:r>
        <w:rPr>
          <w:rFonts w:hint="eastAsia"/>
        </w:rPr>
        <w:t xml:space="preserve">員。</w:t>
      </w:r>
      <w:r>
        <w:t xml:space="preserve"> </w:t>
      </w:r>
      <w:r>
        <w:rPr>
          <w:rFonts w:hint="eastAsia"/>
        </w:rPr>
        <w:t xml:space="preserve">彼</w:t>
      </w:r>
      <w:r>
        <w:t xml:space="preserve"> </w:t>
      </w:r>
      <w:r>
        <w:rPr>
          <w:rFonts w:hint="eastAsia"/>
        </w:rPr>
        <w:t xml:space="preserve">於2020年3月</w:t>
      </w:r>
      <w:r>
        <w:t xml:space="preserve"> </w:t>
      </w:r>
      <w:r>
        <w:rPr>
          <w:rFonts w:hint="eastAsia"/>
        </w:rPr>
        <w:t xml:space="preserve">加</w:t>
      </w:r>
      <w:r>
        <w:t xml:space="preserve"> </w:t>
      </w:r>
      <w:r>
        <w:rPr>
          <w:rFonts w:hint="eastAsia"/>
        </w:rPr>
        <w:t xml:space="preserve">入</w:t>
      </w:r>
      <w:r>
        <w:t xml:space="preserve"> </w:t>
      </w:r>
      <w:r>
        <w:rPr>
          <w:rFonts w:hint="eastAsia"/>
        </w:rPr>
        <w:t xml:space="preserve">本</w:t>
      </w:r>
      <w:r>
        <w:t xml:space="preserve"> </w:t>
      </w:r>
      <w:r>
        <w:rPr>
          <w:rFonts w:hint="eastAsia"/>
        </w:rPr>
        <w:t xml:space="preserve">集</w:t>
      </w:r>
      <w:r>
        <w:t xml:space="preserve"> </w:t>
      </w:r>
      <w:r>
        <w:rPr>
          <w:rFonts w:hint="eastAsia"/>
        </w:rPr>
        <w:t xml:space="preserve">團</w:t>
      </w:r>
      <w:r>
        <w:t xml:space="preserve"> </w:t>
      </w:r>
      <w:r>
        <w:rPr>
          <w:rFonts w:hint="eastAsia"/>
        </w:rPr>
        <w:t xml:space="preserve">並</w:t>
      </w:r>
      <w:r>
        <w:t xml:space="preserve"> </w:t>
      </w:r>
      <w:r>
        <w:rPr>
          <w:rFonts w:hint="eastAsia"/>
        </w:rPr>
        <w:t xml:space="preserve">擁</w:t>
      </w:r>
      <w:r>
        <w:t xml:space="preserve"> </w:t>
      </w:r>
      <w:r>
        <w:rPr>
          <w:rFonts w:hint="eastAsia"/>
        </w:rPr>
        <w:t xml:space="preserve">有</w:t>
      </w:r>
      <w:r>
        <w:t xml:space="preserve"> </w:t>
      </w:r>
      <w:r>
        <w:rPr>
          <w:rFonts w:hint="eastAsia"/>
        </w:rPr>
        <w:t xml:space="preserve">逾30年</w:t>
      </w:r>
      <w:r>
        <w:t xml:space="preserve"> </w:t>
      </w:r>
      <w:r>
        <w:rPr>
          <w:rFonts w:hint="eastAsia"/>
        </w:rPr>
        <w:t xml:space="preserve">保</w:t>
      </w:r>
      <w:r>
        <w:t xml:space="preserve"> </w:t>
      </w:r>
      <w:r>
        <w:rPr>
          <w:rFonts w:hint="eastAsia"/>
        </w:rPr>
        <w:t xml:space="preserve">險</w:t>
      </w:r>
      <w:r>
        <w:t xml:space="preserve"> </w:t>
      </w:r>
      <w:r>
        <w:rPr>
          <w:rFonts w:hint="eastAsia"/>
        </w:rPr>
        <w:t xml:space="preserve">業</w:t>
      </w:r>
      <w:r>
        <w:t xml:space="preserve"> </w:t>
      </w:r>
      <w:r>
        <w:rPr>
          <w:rFonts w:hint="eastAsia"/>
        </w:rPr>
        <w:t xml:space="preserve">的</w:t>
      </w:r>
      <w:r>
        <w:t xml:space="preserve"> </w:t>
      </w:r>
      <w:r>
        <w:rPr>
          <w:rFonts w:hint="eastAsia"/>
        </w:rPr>
        <w:t xml:space="preserve">經</w:t>
      </w:r>
      <w:r>
        <w:t xml:space="preserve"> </w:t>
      </w:r>
      <w:r>
        <w:rPr>
          <w:rFonts w:hint="eastAsia"/>
        </w:rPr>
        <w:t xml:space="preserve">驗。</w:t>
      </w:r>
      <w:r>
        <w:t xml:space="preserve"> </w:t>
      </w:r>
      <w:r>
        <w:rPr>
          <w:rFonts w:hint="eastAsia"/>
        </w:rPr>
        <w:t xml:space="preserve">彼</w:t>
      </w:r>
      <w:r>
        <w:t xml:space="preserve"> </w:t>
      </w:r>
      <w:r>
        <w:rPr>
          <w:rFonts w:hint="eastAsia"/>
        </w:rPr>
        <w:t xml:space="preserve">為</w:t>
      </w:r>
      <w:r>
        <w:t xml:space="preserve"> </w:t>
      </w:r>
      <w:r>
        <w:rPr>
          <w:rFonts w:hint="eastAsia"/>
        </w:rPr>
        <w:t xml:space="preserve">本</w:t>
      </w:r>
      <w:r>
        <w:t xml:space="preserve"> </w:t>
      </w:r>
      <w:r>
        <w:rPr>
          <w:rFonts w:hint="eastAsia"/>
        </w:rPr>
        <w:t xml:space="preserve">集</w:t>
      </w:r>
      <w:r>
        <w:t xml:space="preserve"> </w:t>
      </w:r>
      <w:r>
        <w:rPr>
          <w:rFonts w:hint="eastAsia"/>
        </w:rPr>
        <w:t xml:space="preserve">團</w:t>
      </w:r>
      <w:r>
        <w:t xml:space="preserve"> </w:t>
      </w:r>
      <w:r>
        <w:rPr>
          <w:rFonts w:hint="eastAsia"/>
        </w:rPr>
        <w:t xml:space="preserve">內</w:t>
      </w:r>
      <w:r>
        <w:t xml:space="preserve"> </w:t>
      </w:r>
      <w:r>
        <w:rPr>
          <w:rFonts w:hint="eastAsia"/>
        </w:rPr>
        <w:t xml:space="preserve">多</w:t>
      </w:r>
      <w:r>
        <w:t xml:space="preserve"> </w:t>
      </w:r>
      <w:r>
        <w:rPr>
          <w:rFonts w:hint="eastAsia"/>
        </w:rPr>
        <w:t xml:space="preserve">家</w:t>
      </w:r>
      <w:r>
        <w:t xml:space="preserve"> </w:t>
      </w:r>
      <w:r>
        <w:rPr>
          <w:rFonts w:hint="eastAsia"/>
        </w:rPr>
        <w:t xml:space="preserve">公</w:t>
      </w:r>
      <w:r>
        <w:t xml:space="preserve"> </w:t>
      </w:r>
      <w:r>
        <w:rPr>
          <w:rFonts w:hint="eastAsia"/>
        </w:rPr>
        <w:t xml:space="preserve">司</w:t>
      </w:r>
      <w:r>
        <w:t xml:space="preserve"> </w:t>
      </w:r>
      <w:r>
        <w:rPr>
          <w:rFonts w:hint="eastAsia"/>
        </w:rPr>
        <w:t xml:space="preserve">的</w:t>
      </w:r>
      <w:r>
        <w:t xml:space="preserve"> </w:t>
      </w:r>
      <w:r>
        <w:rPr>
          <w:rFonts w:hint="eastAsia"/>
        </w:rPr>
        <w:t xml:space="preserve">董</w:t>
      </w:r>
      <w:r>
        <w:t xml:space="preserve"> </w:t>
      </w:r>
      <w:r>
        <w:rPr>
          <w:rFonts w:hint="eastAsia"/>
        </w:rPr>
        <w:t xml:space="preserve">事，</w:t>
      </w:r>
      <w:r>
        <w:t xml:space="preserve"> </w:t>
      </w:r>
      <w:r>
        <w:rPr>
          <w:rFonts w:hint="eastAsia"/>
        </w:rPr>
        <w:t xml:space="preserve">包</w:t>
      </w:r>
      <w:r>
        <w:t xml:space="preserve"> </w:t>
      </w:r>
      <w:r>
        <w:rPr>
          <w:rFonts w:hint="eastAsia"/>
        </w:rPr>
        <w:t xml:space="preserve">括</w:t>
      </w:r>
      <w:r>
        <w:t xml:space="preserve"> </w:t>
      </w:r>
      <w:r>
        <w:rPr>
          <w:rFonts w:hint="eastAsia"/>
        </w:rPr>
        <w:t xml:space="preserve">擔</w:t>
      </w:r>
      <w:r>
        <w:t xml:space="preserve"> </w:t>
      </w:r>
      <w:r>
        <w:rPr>
          <w:rFonts w:hint="eastAsia"/>
        </w:rPr>
        <w:t xml:space="preserve">任</w:t>
      </w:r>
    </w:p>
    <w:p>
      <w:pPr>
        <w:pStyle w:val="BodyText"/>
      </w:pPr>
      <w:r>
        <w:t xml:space="preserve">AIA </w:t>
      </w:r>
      <w:r>
        <w:rPr>
          <w:rFonts w:hint="eastAsia"/>
        </w:rPr>
        <w:t xml:space="preserve">Co.的主席兼首席執行官。於擔任現有職位前，李先生自2013年6月起擔任中國平安保險（集團）股份有限</w:t>
      </w:r>
    </w:p>
    <w:p>
      <w:pPr>
        <w:pStyle w:val="BodyText"/>
      </w:pPr>
      <w:r>
        <w:rPr>
          <w:rFonts w:hint="eastAsia"/>
        </w:rPr>
        <w:t xml:space="preserve">公司的執行董事，並曾任該公司聯席首席執行官及首席保險業務執行官。在加入平安集團前，李先生曾於英國的</w:t>
      </w:r>
    </w:p>
    <w:p>
      <w:pPr>
        <w:pStyle w:val="BodyText"/>
      </w:pPr>
      <w:r>
        <w:t xml:space="preserve">Prudential </w:t>
      </w:r>
      <w:r>
        <w:rPr>
          <w:rFonts w:hint="eastAsia"/>
        </w:rPr>
        <w:t xml:space="preserve">plc擔任多個高級職位，包括中信保誠人壽保險有限公司（一家於中國內地的人壽保險合營企業）的</w:t>
      </w:r>
    </w:p>
    <w:p>
      <w:pPr>
        <w:pStyle w:val="BodyText"/>
      </w:pPr>
      <w:r>
        <w:rPr>
          <w:rFonts w:hint="eastAsia"/>
        </w:rPr>
        <w:t xml:space="preserve">總經理。彼於香港特別行政區、印度、印尼、中國台灣、泰國及越南等多個亞洲市場均擁有豐富經驗。李先生於</w:t>
      </w:r>
    </w:p>
    <w:p>
      <w:pPr>
        <w:pStyle w:val="BodyText"/>
      </w:pPr>
      <w:r>
        <w:rPr>
          <w:rFonts w:hint="eastAsia"/>
        </w:rPr>
        <w:t xml:space="preserve">新加坡金融管理局（「新加坡金管局」）開展其事業生涯。彼自2020年以來為香港金融學院會員。李先生於劍橋</w:t>
      </w:r>
    </w:p>
    <w:p>
      <w:pPr>
        <w:pStyle w:val="BodyText"/>
      </w:pPr>
      <w:r>
        <w:rPr>
          <w:rFonts w:hint="eastAsia"/>
        </w:rPr>
        <w:t xml:space="preserve">大學取得財政金融哲學碩士學位，亦為北美精算協會的資深會員。</w:t>
      </w:r>
    </w:p>
    <w:p>
      <w:pPr>
        <w:pStyle w:val="BodyText"/>
      </w:pPr>
      <w:r>
        <w:t xml:space="preserve">072</w:t>
      </w:r>
    </w:p>
    <w:p>
      <w:pPr>
        <w:pStyle w:val="BodyText"/>
      </w:pPr>
      <w:r>
        <w:rPr>
          <w:rFonts w:hint="eastAsia"/>
        </w:rPr>
        <w:t xml:space="preserve">企業管治友邦保險控股有限公司董事會</w:t>
      </w:r>
    </w:p>
    <w:p>
      <w:pPr>
        <w:pStyle w:val="BodyText"/>
      </w:pPr>
      <w:r>
        <w:rPr>
          <w:rFonts w:hint="eastAsia"/>
        </w:rPr>
        <w:t xml:space="preserve">獨立非執行董事</w:t>
      </w:r>
    </w:p>
    <w:p>
      <w:pPr>
        <w:pStyle w:val="BodyText"/>
      </w:pPr>
      <w:r>
        <w:rPr>
          <w:rFonts w:hint="eastAsia"/>
        </w:rPr>
        <w:t xml:space="preserve">蘇澤光先生</w:t>
      </w:r>
    </w:p>
    <w:p>
      <w:pPr>
        <w:pStyle w:val="BodyText"/>
      </w:pPr>
      <w:r>
        <w:rPr>
          <w:rFonts w:hint="eastAsia"/>
        </w:rPr>
        <w:t xml:space="preserve">76歲，本公司獨立非執行董事。彼於2010年9月28日獲委任為本公司非執行董事，並自2012年9月26日起調任為</w:t>
      </w:r>
    </w:p>
    <w:p>
      <w:pPr>
        <w:pStyle w:val="BodyText"/>
      </w:pPr>
      <w:r>
        <w:rPr>
          <w:rFonts w:hint="eastAsia"/>
        </w:rPr>
        <w:t xml:space="preserve">本公司獨立非執行董事。彼現亦擔任本公司薪酬委員會主席以及審核委員會及提名委員會成員。於2007年8月至</w:t>
      </w:r>
    </w:p>
    <w:p>
      <w:pPr>
        <w:pStyle w:val="BodyText"/>
      </w:pPr>
      <w:r>
        <w:rPr>
          <w:rFonts w:hint="eastAsia"/>
        </w:rPr>
        <w:t xml:space="preserve">2010年9月期間，蘇先生曾擔任AIA</w:t>
      </w:r>
      <w:r>
        <w:t xml:space="preserve"> </w:t>
      </w:r>
      <w:r>
        <w:rPr>
          <w:rFonts w:hint="eastAsia"/>
        </w:rPr>
        <w:t xml:space="preserve">Co.的獨立非執行董事。彼現任華潤電力控股有限公司（於香港聯交所上市）</w:t>
      </w:r>
    </w:p>
    <w:p>
      <w:pPr>
        <w:pStyle w:val="BodyText"/>
      </w:pPr>
      <w:r>
        <w:rPr>
          <w:rFonts w:hint="eastAsia"/>
        </w:rPr>
        <w:t xml:space="preserve">獨立非執行董事，並擔任香港機場管理局主席。彼亦為瑞信大中華區獨立高級顧問及行政長官創新及策略發展</w:t>
      </w:r>
    </w:p>
    <w:p>
      <w:pPr>
        <w:pStyle w:val="BodyText"/>
      </w:pPr>
      <w:r>
        <w:rPr>
          <w:rFonts w:hint="eastAsia"/>
        </w:rPr>
        <w:t xml:space="preserve">顧問團非官方成員。蘇先生自2013年10月至2015年12月擔任香港與內地經貿合作諮詢委員會主席。蘇先生分別於</w:t>
      </w:r>
    </w:p>
    <w:p>
      <w:pPr>
        <w:pStyle w:val="BodyText"/>
      </w:pPr>
      <w:r>
        <w:rPr>
          <w:rFonts w:hint="eastAsia"/>
        </w:rPr>
        <w:t xml:space="preserve">2011年及2017年獲香港特區政府頒授金紫荊星章及大紫荊勳章。蘇先生於1985年至1992年出任香港貿易發展局</w:t>
      </w:r>
    </w:p>
    <w:p>
      <w:pPr>
        <w:pStyle w:val="BodyText"/>
      </w:pPr>
      <w:r>
        <w:rPr>
          <w:rFonts w:hint="eastAsia"/>
        </w:rPr>
        <w:t xml:space="preserve">執行董事，並於2007年至2015年擔任其主席。彼於2002年至2015年出任國泰航空有限公司（於香港聯交所上市）</w:t>
      </w:r>
    </w:p>
    <w:p>
      <w:pPr>
        <w:pStyle w:val="BodyText"/>
      </w:pPr>
      <w:r>
        <w:rPr>
          <w:rFonts w:hint="eastAsia"/>
        </w:rPr>
        <w:t xml:space="preserve">獨立非執行董事，於2000年至2007年出任香港上海滙豐銀行有限公司非執行董事，於2007年至2013年擔任香港</w:t>
      </w:r>
    </w:p>
    <w:p>
      <w:pPr>
        <w:pStyle w:val="BodyText"/>
      </w:pPr>
      <w:r>
        <w:rPr>
          <w:rFonts w:hint="eastAsia"/>
        </w:rPr>
        <w:t xml:space="preserve">電影發展局主席並自2008年至2018年擔任中國人民政治協商會議全國委員會委員。</w:t>
      </w:r>
    </w:p>
    <w:p>
      <w:pPr>
        <w:pStyle w:val="BodyText"/>
      </w:pPr>
      <w:r>
        <w:rPr>
          <w:rFonts w:hint="eastAsia"/>
        </w:rPr>
        <w:t xml:space="preserve">周松崗先生</w:t>
      </w:r>
    </w:p>
    <w:p>
      <w:pPr>
        <w:pStyle w:val="BodyText"/>
      </w:pPr>
      <w:r>
        <w:rPr>
          <w:rFonts w:hint="eastAsia"/>
        </w:rPr>
        <w:t xml:space="preserve">70歲，於2010年</w:t>
      </w:r>
      <w:r>
        <w:t xml:space="preserve"> </w:t>
      </w:r>
      <w:r>
        <w:rPr>
          <w:rFonts w:hint="eastAsia"/>
        </w:rPr>
        <w:t xml:space="preserve">9月28日獲委任為本公司獨立非執行董事。彼現亦擔任本公司風險委員會主席及提名委員會</w:t>
      </w:r>
    </w:p>
    <w:p>
      <w:pPr>
        <w:pStyle w:val="BodyText"/>
      </w:pPr>
      <w:r>
        <w:rPr>
          <w:rFonts w:hint="eastAsia"/>
        </w:rPr>
        <w:t xml:space="preserve">成員。周先生於2012年7月1日獲委任為香港特別行政區行政會議非官守議員並自2017年7月1日起再獲新一屆</w:t>
      </w:r>
    </w:p>
    <w:p>
      <w:pPr>
        <w:pStyle w:val="BodyText"/>
      </w:pPr>
      <w:r>
        <w:rPr>
          <w:rFonts w:hint="eastAsia"/>
        </w:rPr>
        <w:t xml:space="preserve">任命。周先生亦自2016年7月1日起獲委任為香港特區輸入優秀人才及專才諮詢委員會主席，自2017年6月19日起</w:t>
      </w:r>
    </w:p>
    <w:p>
      <w:pPr>
        <w:pStyle w:val="BodyText"/>
      </w:pPr>
      <w:r>
        <w:rPr>
          <w:rFonts w:hint="eastAsia"/>
        </w:rPr>
        <w:t xml:space="preserve">獲委任為香港公益金的董事，自2017年8月18日起獲委任為香港特別行政區政府成立的金融領導委員會委員，</w:t>
      </w:r>
    </w:p>
    <w:p>
      <w:pPr>
        <w:pStyle w:val="BodyText"/>
      </w:pPr>
      <w:r>
        <w:rPr>
          <w:rFonts w:hint="eastAsia"/>
        </w:rPr>
        <w:t xml:space="preserve">自2018年4月1日起獲委任為香港特別行政區政府人力資源規劃委員會非官方委員，自2019年2月4日起獲委任為</w:t>
      </w:r>
    </w:p>
    <w:p>
      <w:pPr>
        <w:pStyle w:val="BodyText"/>
      </w:pPr>
      <w:r>
        <w:rPr>
          <w:rFonts w:hint="eastAsia"/>
        </w:rPr>
        <w:t xml:space="preserve">InnoHK督導委員會委員及自2019年5月1日起獲委任為市區重建局董事會主席。周先生於2000年獲授英國爵位，</w:t>
      </w:r>
    </w:p>
    <w:p>
      <w:pPr>
        <w:pStyle w:val="BodyText"/>
      </w:pPr>
      <w:r>
        <w:rPr>
          <w:rFonts w:hint="eastAsia"/>
        </w:rPr>
        <w:t xml:space="preserve">以表彰其對業界作出的貢獻，並於2015年獲香港特區政府頒授金紫荊星章。周先生於2011年至2020年擔任香港</w:t>
      </w:r>
    </w:p>
    <w:p>
      <w:pPr>
        <w:pStyle w:val="BodyText"/>
      </w:pPr>
      <w:r>
        <w:rPr>
          <w:rFonts w:hint="eastAsia"/>
        </w:rPr>
        <w:t xml:space="preserve">賽馬會的董事，於2013年至2018年擔任廉政公署貪污問題諮詢委員會主席，於2012年至2018年擔任香港交易及</w:t>
      </w:r>
    </w:p>
    <w:p>
      <w:pPr>
        <w:pStyle w:val="BodyText"/>
      </w:pPr>
      <w:r>
        <w:rPr>
          <w:rFonts w:hint="eastAsia"/>
        </w:rPr>
        <w:t xml:space="preserve">結算所有限公司（於香港聯交所上市）主席，於2003年至2011年擔任香港鐵路有限公司（於香港聯交所上市）行政</w:t>
      </w:r>
    </w:p>
    <w:p>
      <w:pPr>
        <w:pStyle w:val="BodyText"/>
      </w:pPr>
      <w:r>
        <w:rPr>
          <w:rFonts w:hint="eastAsia"/>
        </w:rPr>
        <w:t xml:space="preserve">總裁，於2001年至2003年擔任環球支援服務公司布萊堡工業集團總裁，及於1997年至2001年擔任英國一家領先</w:t>
      </w:r>
    </w:p>
    <w:p>
      <w:pPr>
        <w:pStyle w:val="BodyText"/>
      </w:pPr>
      <w:r>
        <w:rPr>
          <w:rFonts w:hint="eastAsia"/>
        </w:rPr>
        <w:t xml:space="preserve">的工業企業GKN</w:t>
      </w:r>
      <w:r>
        <w:t xml:space="preserve"> </w:t>
      </w:r>
      <w:r>
        <w:rPr>
          <w:rFonts w:hint="eastAsia"/>
        </w:rPr>
        <w:t xml:space="preserve">plc的總裁。彼於2008年至2014年擔任英美資源集團的獨立非執行董事，於1997年至2008年出任</w:t>
      </w:r>
    </w:p>
    <w:p>
      <w:pPr>
        <w:pStyle w:val="BodyText"/>
      </w:pPr>
      <w:r>
        <w:rPr>
          <w:rFonts w:hint="eastAsia"/>
        </w:rPr>
        <w:t xml:space="preserve">渣打集團的獨立非執行董事，及於2012年至2014年</w:t>
      </w:r>
      <w:r>
        <w:t xml:space="preserve"> </w:t>
      </w:r>
      <w:r>
        <w:rPr>
          <w:rFonts w:hint="eastAsia"/>
        </w:rPr>
        <w:t xml:space="preserve">6月期間出任香港總商會主席。</w:t>
      </w:r>
    </w:p>
    <w:p>
      <w:pPr>
        <w:pStyle w:val="BodyText"/>
      </w:pPr>
      <w:r>
        <w:t xml:space="preserve">073</w:t>
      </w:r>
    </w:p>
    <w:p>
      <w:pPr>
        <w:pStyle w:val="BodyText"/>
      </w:pPr>
      <w:r>
        <w:rPr>
          <w:rFonts w:hint="eastAsia"/>
        </w:rPr>
        <w:t xml:space="preserve">概覽財務及營運回顧企業管治其他資料財務報表2020年報</w:t>
      </w:r>
    </w:p>
    <w:p>
      <w:pPr>
        <w:pStyle w:val="BodyText"/>
      </w:pPr>
      <w:r>
        <w:t xml:space="preserve">John Barrie </w:t>
      </w:r>
      <w:r>
        <w:rPr>
          <w:rFonts w:hint="eastAsia"/>
        </w:rPr>
        <w:t xml:space="preserve">HARRISON先生</w:t>
      </w:r>
    </w:p>
    <w:p>
      <w:pPr>
        <w:pStyle w:val="BodyText"/>
      </w:pPr>
      <w:r>
        <w:rPr>
          <w:rFonts w:hint="eastAsia"/>
        </w:rPr>
        <w:t xml:space="preserve">64歲，於2011年7月1日獲委任為本公司獨立非執行董事。彼現亦擔任本公司審核委員會主席以及提名委員會及</w:t>
      </w:r>
    </w:p>
    <w:p>
      <w:pPr>
        <w:pStyle w:val="BodyText"/>
      </w:pPr>
      <w:r>
        <w:rPr>
          <w:rFonts w:hint="eastAsia"/>
        </w:rPr>
        <w:t xml:space="preserve">風險委員會成員。Harrison先生為國泰航空有限公司（於香港聯交所上市）獨立非執行董事。彼亦為Grosvenor</w:t>
      </w:r>
    </w:p>
    <w:p>
      <w:pPr>
        <w:pStyle w:val="BodyText"/>
      </w:pPr>
      <w:r>
        <w:t xml:space="preserve">Asia Pacific </w:t>
      </w:r>
      <w:r>
        <w:rPr>
          <w:rFonts w:hint="eastAsia"/>
        </w:rPr>
        <w:t xml:space="preserve">Limited獨</w:t>
      </w:r>
      <w:r>
        <w:t xml:space="preserve"> </w:t>
      </w:r>
      <w:r>
        <w:rPr>
          <w:rFonts w:hint="eastAsia"/>
        </w:rPr>
        <w:t xml:space="preserve">立</w:t>
      </w:r>
      <w:r>
        <w:t xml:space="preserve"> </w:t>
      </w:r>
      <w:r>
        <w:rPr>
          <w:rFonts w:hint="eastAsia"/>
        </w:rPr>
        <w:t xml:space="preserve">非</w:t>
      </w:r>
      <w:r>
        <w:t xml:space="preserve"> </w:t>
      </w:r>
      <w:r>
        <w:rPr>
          <w:rFonts w:hint="eastAsia"/>
        </w:rPr>
        <w:t xml:space="preserve">執</w:t>
      </w:r>
      <w:r>
        <w:t xml:space="preserve"> </w:t>
      </w:r>
      <w:r>
        <w:rPr>
          <w:rFonts w:hint="eastAsia"/>
        </w:rPr>
        <w:t xml:space="preserve">行</w:t>
      </w:r>
      <w:r>
        <w:t xml:space="preserve"> </w:t>
      </w:r>
      <w:r>
        <w:rPr>
          <w:rFonts w:hint="eastAsia"/>
        </w:rPr>
        <w:t xml:space="preserve">董</w:t>
      </w:r>
      <w:r>
        <w:t xml:space="preserve"> </w:t>
      </w:r>
      <w:r>
        <w:rPr>
          <w:rFonts w:hint="eastAsia"/>
        </w:rPr>
        <w:t xml:space="preserve">事，</w:t>
      </w:r>
      <w:r>
        <w:t xml:space="preserve"> </w:t>
      </w:r>
      <w:r>
        <w:rPr>
          <w:rFonts w:hint="eastAsia"/>
        </w:rPr>
        <w:t xml:space="preserve">自2017年12月1日</w:t>
      </w:r>
      <w:r>
        <w:t xml:space="preserve"> </w:t>
      </w:r>
      <w:r>
        <w:rPr>
          <w:rFonts w:hint="eastAsia"/>
        </w:rPr>
        <w:t xml:space="preserve">起</w:t>
      </w:r>
      <w:r>
        <w:t xml:space="preserve"> </w:t>
      </w:r>
      <w:r>
        <w:rPr>
          <w:rFonts w:hint="eastAsia"/>
        </w:rPr>
        <w:t xml:space="preserve">生</w:t>
      </w:r>
      <w:r>
        <w:t xml:space="preserve"> </w:t>
      </w:r>
      <w:r>
        <w:rPr>
          <w:rFonts w:hint="eastAsia"/>
        </w:rPr>
        <w:t xml:space="preserve">效。</w:t>
      </w:r>
      <w:r>
        <w:t xml:space="preserve"> </w:t>
      </w:r>
      <w:r>
        <w:rPr>
          <w:rFonts w:hint="eastAsia"/>
        </w:rPr>
        <w:t xml:space="preserve">其</w:t>
      </w:r>
      <w:r>
        <w:t xml:space="preserve"> </w:t>
      </w:r>
      <w:r>
        <w:rPr>
          <w:rFonts w:hint="eastAsia"/>
        </w:rPr>
        <w:t xml:space="preserve">獲</w:t>
      </w:r>
      <w:r>
        <w:t xml:space="preserve"> </w:t>
      </w:r>
      <w:r>
        <w:rPr>
          <w:rFonts w:hint="eastAsia"/>
        </w:rPr>
        <w:t xml:space="preserve">委</w:t>
      </w:r>
      <w:r>
        <w:t xml:space="preserve"> </w:t>
      </w:r>
      <w:r>
        <w:rPr>
          <w:rFonts w:hint="eastAsia"/>
        </w:rPr>
        <w:t xml:space="preserve">任</w:t>
      </w:r>
      <w:r>
        <w:t xml:space="preserve"> </w:t>
      </w:r>
      <w:r>
        <w:rPr>
          <w:rFonts w:hint="eastAsia"/>
        </w:rPr>
        <w:t xml:space="preserve">為</w:t>
      </w:r>
      <w:r>
        <w:t xml:space="preserve"> </w:t>
      </w:r>
      <w:r>
        <w:rPr>
          <w:rFonts w:hint="eastAsia"/>
        </w:rPr>
        <w:t xml:space="preserve">香</w:t>
      </w:r>
      <w:r>
        <w:t xml:space="preserve"> </w:t>
      </w:r>
      <w:r>
        <w:rPr>
          <w:rFonts w:hint="eastAsia"/>
        </w:rPr>
        <w:t xml:space="preserve">港</w:t>
      </w:r>
      <w:r>
        <w:t xml:space="preserve"> </w:t>
      </w:r>
      <w:r>
        <w:rPr>
          <w:rFonts w:hint="eastAsia"/>
        </w:rPr>
        <w:t xml:space="preserve">科</w:t>
      </w:r>
      <w:r>
        <w:t xml:space="preserve"> </w:t>
      </w:r>
      <w:r>
        <w:rPr>
          <w:rFonts w:hint="eastAsia"/>
        </w:rPr>
        <w:t xml:space="preserve">技</w:t>
      </w:r>
      <w:r>
        <w:t xml:space="preserve"> </w:t>
      </w:r>
      <w:r>
        <w:rPr>
          <w:rFonts w:hint="eastAsia"/>
        </w:rPr>
        <w:t xml:space="preserve">大</w:t>
      </w:r>
      <w:r>
        <w:t xml:space="preserve"> </w:t>
      </w:r>
      <w:r>
        <w:rPr>
          <w:rFonts w:hint="eastAsia"/>
        </w:rPr>
        <w:t xml:space="preserve">學</w:t>
      </w:r>
      <w:r>
        <w:t xml:space="preserve"> </w:t>
      </w:r>
      <w:r>
        <w:rPr>
          <w:rFonts w:hint="eastAsia"/>
        </w:rPr>
        <w:t xml:space="preserve">顧</w:t>
      </w:r>
      <w:r>
        <w:t xml:space="preserve"> </w:t>
      </w:r>
      <w:r>
        <w:rPr>
          <w:rFonts w:hint="eastAsia"/>
        </w:rPr>
        <w:t xml:space="preserve">問</w:t>
      </w:r>
      <w:r>
        <w:t xml:space="preserve"> </w:t>
      </w:r>
      <w:r>
        <w:rPr>
          <w:rFonts w:hint="eastAsia"/>
        </w:rPr>
        <w:t xml:space="preserve">委</w:t>
      </w:r>
      <w:r>
        <w:t xml:space="preserve"> </w:t>
      </w:r>
      <w:r>
        <w:rPr>
          <w:rFonts w:hint="eastAsia"/>
        </w:rPr>
        <w:t xml:space="preserve">員</w:t>
      </w:r>
      <w:r>
        <w:t xml:space="preserve"> </w:t>
      </w:r>
      <w:r>
        <w:rPr>
          <w:rFonts w:hint="eastAsia"/>
        </w:rPr>
        <w:t xml:space="preserve">會</w:t>
      </w:r>
      <w:r>
        <w:t xml:space="preserve"> </w:t>
      </w:r>
      <w:r>
        <w:rPr>
          <w:rFonts w:hint="eastAsia"/>
        </w:rPr>
        <w:t xml:space="preserve">榮</w:t>
      </w:r>
      <w:r>
        <w:t xml:space="preserve"> </w:t>
      </w:r>
      <w:r>
        <w:rPr>
          <w:rFonts w:hint="eastAsia"/>
        </w:rPr>
        <w:t xml:space="preserve">譽</w:t>
      </w:r>
    </w:p>
    <w:p>
      <w:pPr>
        <w:pStyle w:val="BodyText"/>
      </w:pPr>
      <w:r>
        <w:rPr>
          <w:rFonts w:hint="eastAsia"/>
        </w:rPr>
        <w:t xml:space="preserve">委員，自2016年9月20日起生效。Harrison先生於2010年至2020年擔任BW</w:t>
      </w:r>
      <w:r>
        <w:t xml:space="preserve"> Group </w:t>
      </w:r>
      <w:r>
        <w:rPr>
          <w:rFonts w:hint="eastAsia"/>
        </w:rPr>
        <w:t xml:space="preserve">Limited獨立非執行董事，並於</w:t>
      </w:r>
    </w:p>
    <w:p>
      <w:pPr>
        <w:pStyle w:val="BodyText"/>
      </w:pPr>
      <w:r>
        <w:rPr>
          <w:rFonts w:hint="eastAsia"/>
        </w:rPr>
        <w:t xml:space="preserve">2013年</w:t>
      </w:r>
      <w:r>
        <w:t xml:space="preserve"> </w:t>
      </w:r>
      <w:r>
        <w:rPr>
          <w:rFonts w:hint="eastAsia"/>
        </w:rPr>
        <w:t xml:space="preserve">至2020年</w:t>
      </w:r>
      <w:r>
        <w:t xml:space="preserve"> </w:t>
      </w:r>
      <w:r>
        <w:rPr>
          <w:rFonts w:hint="eastAsia"/>
        </w:rPr>
        <w:t xml:space="preserve">擔</w:t>
      </w:r>
      <w:r>
        <w:t xml:space="preserve"> </w:t>
      </w:r>
      <w:r>
        <w:rPr>
          <w:rFonts w:hint="eastAsia"/>
        </w:rPr>
        <w:t xml:space="preserve">任BW</w:t>
      </w:r>
      <w:r>
        <w:t xml:space="preserve"> LPG </w:t>
      </w:r>
      <w:r>
        <w:rPr>
          <w:rFonts w:hint="eastAsia"/>
        </w:rPr>
        <w:t xml:space="preserve">Limited副</w:t>
      </w:r>
      <w:r>
        <w:t xml:space="preserve"> </w:t>
      </w:r>
      <w:r>
        <w:rPr>
          <w:rFonts w:hint="eastAsia"/>
        </w:rPr>
        <w:t xml:space="preserve">主</w:t>
      </w:r>
      <w:r>
        <w:t xml:space="preserve"> </w:t>
      </w:r>
      <w:r>
        <w:rPr>
          <w:rFonts w:hint="eastAsia"/>
        </w:rPr>
        <w:t xml:space="preserve">席。</w:t>
      </w:r>
      <w:r>
        <w:t xml:space="preserve"> </w:t>
      </w:r>
      <w:r>
        <w:rPr>
          <w:rFonts w:hint="eastAsia"/>
        </w:rPr>
        <w:t xml:space="preserve">彼</w:t>
      </w:r>
      <w:r>
        <w:t xml:space="preserve"> </w:t>
      </w:r>
      <w:r>
        <w:rPr>
          <w:rFonts w:hint="eastAsia"/>
        </w:rPr>
        <w:t xml:space="preserve">曾</w:t>
      </w:r>
      <w:r>
        <w:t xml:space="preserve"> </w:t>
      </w:r>
      <w:r>
        <w:rPr>
          <w:rFonts w:hint="eastAsia"/>
        </w:rPr>
        <w:t xml:space="preserve">於</w:t>
      </w:r>
      <w:r>
        <w:t xml:space="preserve"> </w:t>
      </w:r>
      <w:r>
        <w:rPr>
          <w:rFonts w:hint="eastAsia"/>
        </w:rPr>
        <w:t xml:space="preserve">香</w:t>
      </w:r>
      <w:r>
        <w:t xml:space="preserve"> </w:t>
      </w:r>
      <w:r>
        <w:rPr>
          <w:rFonts w:hint="eastAsia"/>
        </w:rPr>
        <w:t xml:space="preserve">港</w:t>
      </w:r>
      <w:r>
        <w:t xml:space="preserve"> </w:t>
      </w:r>
      <w:r>
        <w:rPr>
          <w:rFonts w:hint="eastAsia"/>
        </w:rPr>
        <w:t xml:space="preserve">交</w:t>
      </w:r>
      <w:r>
        <w:t xml:space="preserve"> </w:t>
      </w:r>
      <w:r>
        <w:rPr>
          <w:rFonts w:hint="eastAsia"/>
        </w:rPr>
        <w:t xml:space="preserve">易</w:t>
      </w:r>
      <w:r>
        <w:t xml:space="preserve"> </w:t>
      </w:r>
      <w:r>
        <w:rPr>
          <w:rFonts w:hint="eastAsia"/>
        </w:rPr>
        <w:t xml:space="preserve">及</w:t>
      </w:r>
      <w:r>
        <w:t xml:space="preserve"> </w:t>
      </w:r>
      <w:r>
        <w:rPr>
          <w:rFonts w:hint="eastAsia"/>
        </w:rPr>
        <w:t xml:space="preserve">結</w:t>
      </w:r>
      <w:r>
        <w:t xml:space="preserve"> </w:t>
      </w:r>
      <w:r>
        <w:rPr>
          <w:rFonts w:hint="eastAsia"/>
        </w:rPr>
        <w:t xml:space="preserve">算</w:t>
      </w:r>
      <w:r>
        <w:t xml:space="preserve"> </w:t>
      </w:r>
      <w:r>
        <w:rPr>
          <w:rFonts w:hint="eastAsia"/>
        </w:rPr>
        <w:t xml:space="preserve">所</w:t>
      </w:r>
      <w:r>
        <w:t xml:space="preserve"> </w:t>
      </w:r>
      <w:r>
        <w:rPr>
          <w:rFonts w:hint="eastAsia"/>
        </w:rPr>
        <w:t xml:space="preserve">有</w:t>
      </w:r>
      <w:r>
        <w:t xml:space="preserve"> </w:t>
      </w:r>
      <w:r>
        <w:rPr>
          <w:rFonts w:hint="eastAsia"/>
        </w:rPr>
        <w:t xml:space="preserve">限</w:t>
      </w:r>
      <w:r>
        <w:t xml:space="preserve"> </w:t>
      </w:r>
      <w:r>
        <w:rPr>
          <w:rFonts w:hint="eastAsia"/>
        </w:rPr>
        <w:t xml:space="preserve">公</w:t>
      </w:r>
      <w:r>
        <w:t xml:space="preserve"> </w:t>
      </w:r>
      <w:r>
        <w:rPr>
          <w:rFonts w:hint="eastAsia"/>
        </w:rPr>
        <w:t xml:space="preserve">司（於</w:t>
      </w:r>
      <w:r>
        <w:t xml:space="preserve"> </w:t>
      </w:r>
      <w:r>
        <w:rPr>
          <w:rFonts w:hint="eastAsia"/>
        </w:rPr>
        <w:t xml:space="preserve">香</w:t>
      </w:r>
      <w:r>
        <w:t xml:space="preserve"> </w:t>
      </w:r>
      <w:r>
        <w:rPr>
          <w:rFonts w:hint="eastAsia"/>
        </w:rPr>
        <w:t xml:space="preserve">港</w:t>
      </w:r>
      <w:r>
        <w:t xml:space="preserve"> </w:t>
      </w:r>
      <w:r>
        <w:rPr>
          <w:rFonts w:hint="eastAsia"/>
        </w:rPr>
        <w:t xml:space="preserve">聯</w:t>
      </w:r>
      <w:r>
        <w:t xml:space="preserve"> </w:t>
      </w:r>
      <w:r>
        <w:rPr>
          <w:rFonts w:hint="eastAsia"/>
        </w:rPr>
        <w:t xml:space="preserve">交</w:t>
      </w:r>
      <w:r>
        <w:t xml:space="preserve"> </w:t>
      </w:r>
      <w:r>
        <w:rPr>
          <w:rFonts w:hint="eastAsia"/>
        </w:rPr>
        <w:t xml:space="preserve">所</w:t>
      </w:r>
      <w:r>
        <w:t xml:space="preserve"> </w:t>
      </w:r>
      <w:r>
        <w:rPr>
          <w:rFonts w:hint="eastAsia"/>
        </w:rPr>
        <w:t xml:space="preserve">上</w:t>
      </w:r>
      <w:r>
        <w:t xml:space="preserve"> </w:t>
      </w:r>
      <w:r>
        <w:rPr>
          <w:rFonts w:hint="eastAsia"/>
        </w:rPr>
        <w:t xml:space="preserve">市）、</w:t>
      </w:r>
    </w:p>
    <w:p>
      <w:pPr>
        <w:pStyle w:val="BodyText"/>
      </w:pPr>
      <w:r>
        <w:t xml:space="preserve">The London Metal Exchange Limited </w:t>
      </w:r>
      <w:r>
        <w:rPr>
          <w:rFonts w:hint="eastAsia"/>
        </w:rPr>
        <w:t xml:space="preserve">及</w:t>
      </w:r>
      <w:r>
        <w:t xml:space="preserve"> LME Clear </w:t>
      </w:r>
      <w:r>
        <w:rPr>
          <w:rFonts w:hint="eastAsia"/>
        </w:rPr>
        <w:t xml:space="preserve">Limited擔任獨立非執行董事，</w:t>
      </w:r>
      <w:r>
        <w:t xml:space="preserve"> </w:t>
      </w:r>
      <w:r>
        <w:rPr>
          <w:rFonts w:hint="eastAsia"/>
        </w:rPr>
        <w:t xml:space="preserve">任期分別為2011年4月20日至</w:t>
      </w:r>
    </w:p>
    <w:p>
      <w:pPr>
        <w:pStyle w:val="BodyText"/>
      </w:pPr>
      <w:r>
        <w:rPr>
          <w:rFonts w:hint="eastAsia"/>
        </w:rPr>
        <w:t xml:space="preserve">2017年4月26日、2012年12月6日</w:t>
      </w:r>
      <w:r>
        <w:t xml:space="preserve"> </w:t>
      </w:r>
      <w:r>
        <w:rPr>
          <w:rFonts w:hint="eastAsia"/>
        </w:rPr>
        <w:t xml:space="preserve">至2017年4月26日</w:t>
      </w:r>
      <w:r>
        <w:t xml:space="preserve"> </w:t>
      </w:r>
      <w:r>
        <w:rPr>
          <w:rFonts w:hint="eastAsia"/>
        </w:rPr>
        <w:t xml:space="preserve">及2013年12月16日</w:t>
      </w:r>
      <w:r>
        <w:t xml:space="preserve"> </w:t>
      </w:r>
      <w:r>
        <w:rPr>
          <w:rFonts w:hint="eastAsia"/>
        </w:rPr>
        <w:t xml:space="preserve">至2017年4月26日。</w:t>
      </w:r>
      <w:r>
        <w:t xml:space="preserve"> </w:t>
      </w:r>
      <w:r>
        <w:rPr>
          <w:rFonts w:hint="eastAsia"/>
        </w:rPr>
        <w:t xml:space="preserve">於2012年</w:t>
      </w:r>
      <w:r>
        <w:t xml:space="preserve"> </w:t>
      </w:r>
      <w:r>
        <w:rPr>
          <w:rFonts w:hint="eastAsia"/>
        </w:rPr>
        <w:t xml:space="preserve">至2015年</w:t>
      </w:r>
    </w:p>
    <w:p>
      <w:pPr>
        <w:pStyle w:val="BodyText"/>
      </w:pPr>
      <w:r>
        <w:rPr>
          <w:rFonts w:hint="eastAsia"/>
        </w:rPr>
        <w:t xml:space="preserve">5月，彼亦為AustralianSuper</w:t>
      </w:r>
      <w:r>
        <w:t xml:space="preserve"> Pty </w:t>
      </w:r>
      <w:r>
        <w:rPr>
          <w:rFonts w:hint="eastAsia"/>
        </w:rPr>
        <w:t xml:space="preserve">Ltd的亞洲顧問委員會(</w:t>
      </w:r>
      <w:r>
        <w:t xml:space="preserve"> Asian Advisory </w:t>
      </w:r>
      <w:r>
        <w:rPr>
          <w:rFonts w:hint="eastAsia"/>
        </w:rPr>
        <w:t xml:space="preserve">Committee)成員。自2008年至2010年，</w:t>
      </w:r>
    </w:p>
    <w:p>
      <w:pPr>
        <w:pStyle w:val="BodyText"/>
      </w:pPr>
      <w:r>
        <w:rPr>
          <w:rFonts w:hint="eastAsia"/>
        </w:rPr>
        <w:t xml:space="preserve">Harrison先生擔任畢馬威國際的副主席。於2003年，彼獲選為畢馬威中國及香港的主席及行政總裁及畢馬威</w:t>
      </w:r>
    </w:p>
    <w:p>
      <w:pPr>
        <w:pStyle w:val="BodyText"/>
      </w:pPr>
      <w:r>
        <w:rPr>
          <w:rFonts w:hint="eastAsia"/>
        </w:rPr>
        <w:t xml:space="preserve">亞太區的主席。Harrison先生於1977年在倫敦畢馬威開展其事業，於1987年成為畢馬威香港的合夥人。Harrison</w:t>
      </w:r>
    </w:p>
    <w:p>
      <w:pPr>
        <w:pStyle w:val="BodyText"/>
      </w:pPr>
      <w:r>
        <w:rPr>
          <w:rFonts w:hint="eastAsia"/>
        </w:rPr>
        <w:t xml:space="preserve">先生於2017年獲香港科技大學頒授榮譽大學院士。Harrison先生亦是英格蘭及威爾斯特許會計師公會資深會員及</w:t>
      </w:r>
    </w:p>
    <w:p>
      <w:pPr>
        <w:pStyle w:val="BodyText"/>
      </w:pPr>
      <w:r>
        <w:rPr>
          <w:rFonts w:hint="eastAsia"/>
        </w:rPr>
        <w:t xml:space="preserve">香港會計師公會會員。</w:t>
      </w:r>
    </w:p>
    <w:p>
      <w:pPr>
        <w:pStyle w:val="BodyText"/>
      </w:pPr>
      <w:r>
        <w:rPr>
          <w:rFonts w:hint="eastAsia"/>
        </w:rPr>
        <w:t xml:space="preserve">楊榮文先生</w:t>
      </w:r>
    </w:p>
    <w:p>
      <w:pPr>
        <w:pStyle w:val="BodyText"/>
      </w:pPr>
      <w:r>
        <w:rPr>
          <w:rFonts w:hint="eastAsia"/>
        </w:rPr>
        <w:t xml:space="preserve">66歲，於2012年11月2日獲委任為本公司獨立非執行董事。彼現亦擔任本公司審核委員會、提名委員會及薪酬</w:t>
      </w:r>
    </w:p>
    <w:p>
      <w:pPr>
        <w:pStyle w:val="BodyText"/>
      </w:pPr>
      <w:r>
        <w:rPr>
          <w:rFonts w:hint="eastAsia"/>
        </w:rPr>
        <w:t xml:space="preserve">委</w:t>
      </w:r>
      <w:r>
        <w:t xml:space="preserve"> </w:t>
      </w:r>
      <w:r>
        <w:rPr>
          <w:rFonts w:hint="eastAsia"/>
        </w:rPr>
        <w:t xml:space="preserve">員</w:t>
      </w:r>
      <w:r>
        <w:t xml:space="preserve"> </w:t>
      </w:r>
      <w:r>
        <w:rPr>
          <w:rFonts w:hint="eastAsia"/>
        </w:rPr>
        <w:t xml:space="preserve">會</w:t>
      </w:r>
      <w:r>
        <w:t xml:space="preserve"> </w:t>
      </w:r>
      <w:r>
        <w:rPr>
          <w:rFonts w:hint="eastAsia"/>
        </w:rPr>
        <w:t xml:space="preserve">成</w:t>
      </w:r>
      <w:r>
        <w:t xml:space="preserve"> </w:t>
      </w:r>
      <w:r>
        <w:rPr>
          <w:rFonts w:hint="eastAsia"/>
        </w:rPr>
        <w:t xml:space="preserve">員。</w:t>
      </w:r>
      <w:r>
        <w:t xml:space="preserve"> </w:t>
      </w:r>
      <w:r>
        <w:rPr>
          <w:rFonts w:hint="eastAsia"/>
        </w:rPr>
        <w:t xml:space="preserve">楊</w:t>
      </w:r>
      <w:r>
        <w:t xml:space="preserve"> </w:t>
      </w:r>
      <w:r>
        <w:rPr>
          <w:rFonts w:hint="eastAsia"/>
        </w:rPr>
        <w:t xml:space="preserve">先</w:t>
      </w:r>
      <w:r>
        <w:t xml:space="preserve"> </w:t>
      </w:r>
      <w:r>
        <w:rPr>
          <w:rFonts w:hint="eastAsia"/>
        </w:rPr>
        <w:t xml:space="preserve">生</w:t>
      </w:r>
      <w:r>
        <w:t xml:space="preserve"> </w:t>
      </w:r>
      <w:r>
        <w:rPr>
          <w:rFonts w:hint="eastAsia"/>
        </w:rPr>
        <w:t xml:space="preserve">為Kerry</w:t>
      </w:r>
      <w:r>
        <w:t xml:space="preserve"> Group </w:t>
      </w:r>
      <w:r>
        <w:rPr>
          <w:rFonts w:hint="eastAsia"/>
        </w:rPr>
        <w:t xml:space="preserve">Limited及</w:t>
      </w:r>
      <w:r>
        <w:t xml:space="preserve"> </w:t>
      </w:r>
      <w:r>
        <w:rPr>
          <w:rFonts w:hint="eastAsia"/>
        </w:rPr>
        <w:t xml:space="preserve">嘉</w:t>
      </w:r>
      <w:r>
        <w:t xml:space="preserve"> </w:t>
      </w:r>
      <w:r>
        <w:rPr>
          <w:rFonts w:hint="eastAsia"/>
        </w:rPr>
        <w:t xml:space="preserve">里</w:t>
      </w:r>
      <w:r>
        <w:t xml:space="preserve"> </w:t>
      </w:r>
      <w:r>
        <w:rPr>
          <w:rFonts w:hint="eastAsia"/>
        </w:rPr>
        <w:t xml:space="preserve">物</w:t>
      </w:r>
      <w:r>
        <w:t xml:space="preserve"> </w:t>
      </w:r>
      <w:r>
        <w:rPr>
          <w:rFonts w:hint="eastAsia"/>
        </w:rPr>
        <w:t xml:space="preserve">流</w:t>
      </w:r>
      <w:r>
        <w:t xml:space="preserve"> </w:t>
      </w:r>
      <w:r>
        <w:rPr>
          <w:rFonts w:hint="eastAsia"/>
        </w:rPr>
        <w:t xml:space="preserve">聯</w:t>
      </w:r>
      <w:r>
        <w:t xml:space="preserve"> </w:t>
      </w:r>
      <w:r>
        <w:rPr>
          <w:rFonts w:hint="eastAsia"/>
        </w:rPr>
        <w:t xml:space="preserve">網</w:t>
      </w:r>
      <w:r>
        <w:t xml:space="preserve"> </w:t>
      </w:r>
      <w:r>
        <w:rPr>
          <w:rFonts w:hint="eastAsia"/>
        </w:rPr>
        <w:t xml:space="preserve">有</w:t>
      </w:r>
      <w:r>
        <w:t xml:space="preserve"> </w:t>
      </w:r>
      <w:r>
        <w:rPr>
          <w:rFonts w:hint="eastAsia"/>
        </w:rPr>
        <w:t xml:space="preserve">限</w:t>
      </w:r>
      <w:r>
        <w:t xml:space="preserve"> </w:t>
      </w:r>
      <w:r>
        <w:rPr>
          <w:rFonts w:hint="eastAsia"/>
        </w:rPr>
        <w:t xml:space="preserve">公</w:t>
      </w:r>
      <w:r>
        <w:t xml:space="preserve"> </w:t>
      </w:r>
      <w:r>
        <w:rPr>
          <w:rFonts w:hint="eastAsia"/>
        </w:rPr>
        <w:t xml:space="preserve">司</w:t>
      </w:r>
      <w:r>
        <w:t xml:space="preserve"> </w:t>
      </w:r>
      <w:r>
        <w:rPr>
          <w:rFonts w:hint="eastAsia"/>
        </w:rPr>
        <w:t xml:space="preserve">之</w:t>
      </w:r>
      <w:r>
        <w:t xml:space="preserve"> </w:t>
      </w:r>
      <w:r>
        <w:rPr>
          <w:rFonts w:hint="eastAsia"/>
        </w:rPr>
        <w:t xml:space="preserve">高</w:t>
      </w:r>
      <w:r>
        <w:t xml:space="preserve"> </w:t>
      </w:r>
      <w:r>
        <w:rPr>
          <w:rFonts w:hint="eastAsia"/>
        </w:rPr>
        <w:t xml:space="preserve">級</w:t>
      </w:r>
      <w:r>
        <w:t xml:space="preserve"> </w:t>
      </w:r>
      <w:r>
        <w:rPr>
          <w:rFonts w:hint="eastAsia"/>
        </w:rPr>
        <w:t xml:space="preserve">顧</w:t>
      </w:r>
      <w:r>
        <w:t xml:space="preserve"> </w:t>
      </w:r>
      <w:r>
        <w:rPr>
          <w:rFonts w:hint="eastAsia"/>
        </w:rPr>
        <w:t xml:space="preserve">問。</w:t>
      </w:r>
      <w:r>
        <w:t xml:space="preserve"> </w:t>
      </w:r>
      <w:r>
        <w:rPr>
          <w:rFonts w:hint="eastAsia"/>
        </w:rPr>
        <w:t xml:space="preserve">楊</w:t>
      </w:r>
      <w:r>
        <w:t xml:space="preserve"> </w:t>
      </w:r>
      <w:r>
        <w:rPr>
          <w:rFonts w:hint="eastAsia"/>
        </w:rPr>
        <w:t xml:space="preserve">先</w:t>
      </w:r>
      <w:r>
        <w:t xml:space="preserve"> </w:t>
      </w:r>
      <w:r>
        <w:rPr>
          <w:rFonts w:hint="eastAsia"/>
        </w:rPr>
        <w:t xml:space="preserve">生</w:t>
      </w:r>
      <w:r>
        <w:t xml:space="preserve"> </w:t>
      </w:r>
      <w:r>
        <w:rPr>
          <w:rFonts w:hint="eastAsia"/>
        </w:rPr>
        <w:t xml:space="preserve">現</w:t>
      </w:r>
      <w:r>
        <w:t xml:space="preserve"> </w:t>
      </w:r>
      <w:r>
        <w:rPr>
          <w:rFonts w:hint="eastAsia"/>
        </w:rPr>
        <w:t xml:space="preserve">任</w:t>
      </w:r>
      <w:r>
        <w:t xml:space="preserve"> </w:t>
      </w:r>
      <w:r>
        <w:rPr>
          <w:rFonts w:hint="eastAsia"/>
        </w:rPr>
        <w:t xml:space="preserve">拼</w:t>
      </w:r>
      <w:r>
        <w:t xml:space="preserve"> </w:t>
      </w:r>
      <w:r>
        <w:rPr>
          <w:rFonts w:hint="eastAsia"/>
        </w:rPr>
        <w:t xml:space="preserve">多</w:t>
      </w:r>
      <w:r>
        <w:t xml:space="preserve"> </w:t>
      </w:r>
      <w:r>
        <w:rPr>
          <w:rFonts w:hint="eastAsia"/>
        </w:rPr>
        <w:t xml:space="preserve">多</w:t>
      </w:r>
      <w:r>
        <w:t xml:space="preserve"> </w:t>
      </w:r>
      <w:r>
        <w:rPr>
          <w:rFonts w:hint="eastAsia"/>
        </w:rPr>
        <w:t xml:space="preserve">公</w:t>
      </w:r>
      <w:r>
        <w:t xml:space="preserve"> </w:t>
      </w:r>
      <w:r>
        <w:rPr>
          <w:rFonts w:hint="eastAsia"/>
        </w:rPr>
        <w:t xml:space="preserve">司</w:t>
      </w:r>
    </w:p>
    <w:p>
      <w:pPr>
        <w:pStyle w:val="BodyText"/>
      </w:pPr>
      <w:r>
        <w:t xml:space="preserve">(Pinduoduo </w:t>
      </w:r>
      <w:r>
        <w:rPr>
          <w:rFonts w:hint="eastAsia"/>
        </w:rPr>
        <w:t xml:space="preserve">Inc.)（於納斯達克全球精選市場(Nasdaq</w:t>
      </w:r>
      <w:r>
        <w:t xml:space="preserve"> Global Select </w:t>
      </w:r>
      <w:r>
        <w:rPr>
          <w:rFonts w:hint="eastAsia"/>
        </w:rPr>
        <w:t xml:space="preserve">Market)上市）及New</w:t>
      </w:r>
      <w:r>
        <w:t xml:space="preserve"> Yangon Development</w:t>
      </w:r>
    </w:p>
    <w:p>
      <w:pPr>
        <w:pStyle w:val="BodyText"/>
      </w:pPr>
      <w:r>
        <w:t xml:space="preserve">Company </w:t>
      </w:r>
      <w:r>
        <w:rPr>
          <w:rFonts w:hint="eastAsia"/>
        </w:rPr>
        <w:t xml:space="preserve">Limited獨</w:t>
      </w:r>
      <w:r>
        <w:t xml:space="preserve"> </w:t>
      </w:r>
      <w:r>
        <w:rPr>
          <w:rFonts w:hint="eastAsia"/>
        </w:rPr>
        <w:t xml:space="preserve">立</w:t>
      </w:r>
      <w:r>
        <w:t xml:space="preserve"> </w:t>
      </w:r>
      <w:r>
        <w:rPr>
          <w:rFonts w:hint="eastAsia"/>
        </w:rPr>
        <w:t xml:space="preserve">董</w:t>
      </w:r>
      <w:r>
        <w:t xml:space="preserve"> </w:t>
      </w:r>
      <w:r>
        <w:rPr>
          <w:rFonts w:hint="eastAsia"/>
        </w:rPr>
        <w:t xml:space="preserve">事。</w:t>
      </w:r>
      <w:r>
        <w:t xml:space="preserve"> </w:t>
      </w:r>
      <w:r>
        <w:rPr>
          <w:rFonts w:hint="eastAsia"/>
        </w:rPr>
        <w:t xml:space="preserve">彼</w:t>
      </w:r>
      <w:r>
        <w:t xml:space="preserve"> </w:t>
      </w:r>
      <w:r>
        <w:rPr>
          <w:rFonts w:hint="eastAsia"/>
        </w:rPr>
        <w:t xml:space="preserve">自2014年6月</w:t>
      </w:r>
      <w:r>
        <w:t xml:space="preserve"> </w:t>
      </w:r>
      <w:r>
        <w:rPr>
          <w:rFonts w:hint="eastAsia"/>
        </w:rPr>
        <w:t xml:space="preserve">起</w:t>
      </w:r>
      <w:r>
        <w:t xml:space="preserve"> </w:t>
      </w:r>
      <w:r>
        <w:rPr>
          <w:rFonts w:hint="eastAsia"/>
        </w:rPr>
        <w:t xml:space="preserve">獲</w:t>
      </w:r>
      <w:r>
        <w:t xml:space="preserve"> </w:t>
      </w:r>
      <w:r>
        <w:rPr>
          <w:rFonts w:hint="eastAsia"/>
        </w:rPr>
        <w:t xml:space="preserve">委</w:t>
      </w:r>
      <w:r>
        <w:t xml:space="preserve"> </w:t>
      </w:r>
      <w:r>
        <w:rPr>
          <w:rFonts w:hint="eastAsia"/>
        </w:rPr>
        <w:t xml:space="preserve">任</w:t>
      </w:r>
      <w:r>
        <w:t xml:space="preserve"> </w:t>
      </w:r>
      <w:r>
        <w:rPr>
          <w:rFonts w:hint="eastAsia"/>
        </w:rPr>
        <w:t xml:space="preserve">為</w:t>
      </w:r>
      <w:r>
        <w:t xml:space="preserve"> </w:t>
      </w:r>
      <w:r>
        <w:rPr>
          <w:rFonts w:hint="eastAsia"/>
        </w:rPr>
        <w:t xml:space="preserve">三</w:t>
      </w:r>
      <w:r>
        <w:t xml:space="preserve"> </w:t>
      </w:r>
      <w:r>
        <w:rPr>
          <w:rFonts w:hint="eastAsia"/>
        </w:rPr>
        <w:t xml:space="preserve">菱</w:t>
      </w:r>
      <w:r>
        <w:t xml:space="preserve"> </w:t>
      </w:r>
      <w:r>
        <w:rPr>
          <w:rFonts w:hint="eastAsia"/>
        </w:rPr>
        <w:t xml:space="preserve">商</w:t>
      </w:r>
      <w:r>
        <w:t xml:space="preserve"> </w:t>
      </w:r>
      <w:r>
        <w:rPr>
          <w:rFonts w:hint="eastAsia"/>
        </w:rPr>
        <w:t xml:space="preserve">事</w:t>
      </w:r>
      <w:r>
        <w:t xml:space="preserve"> </w:t>
      </w:r>
      <w:r>
        <w:rPr>
          <w:rFonts w:hint="eastAsia"/>
        </w:rPr>
        <w:t xml:space="preserve">株</w:t>
      </w:r>
      <w:r>
        <w:t xml:space="preserve"> </w:t>
      </w:r>
      <w:r>
        <w:rPr>
          <w:rFonts w:hint="eastAsia"/>
        </w:rPr>
        <w:t xml:space="preserve">式</w:t>
      </w:r>
      <w:r>
        <w:t xml:space="preserve"> </w:t>
      </w:r>
      <w:r>
        <w:rPr>
          <w:rFonts w:hint="eastAsia"/>
        </w:rPr>
        <w:t xml:space="preserve">會</w:t>
      </w:r>
      <w:r>
        <w:t xml:space="preserve"> </w:t>
      </w:r>
      <w:r>
        <w:rPr>
          <w:rFonts w:hint="eastAsia"/>
        </w:rPr>
        <w:t xml:space="preserve">社</w:t>
      </w:r>
      <w:r>
        <w:t xml:space="preserve"> </w:t>
      </w:r>
      <w:r>
        <w:rPr>
          <w:rFonts w:hint="eastAsia"/>
        </w:rPr>
        <w:t xml:space="preserve">國</w:t>
      </w:r>
      <w:r>
        <w:t xml:space="preserve"> </w:t>
      </w:r>
      <w:r>
        <w:rPr>
          <w:rFonts w:hint="eastAsia"/>
        </w:rPr>
        <w:t xml:space="preserve">際</w:t>
      </w:r>
      <w:r>
        <w:t xml:space="preserve"> </w:t>
      </w:r>
      <w:r>
        <w:rPr>
          <w:rFonts w:hint="eastAsia"/>
        </w:rPr>
        <w:t xml:space="preserve">顧</w:t>
      </w:r>
      <w:r>
        <w:t xml:space="preserve"> </w:t>
      </w:r>
      <w:r>
        <w:rPr>
          <w:rFonts w:hint="eastAsia"/>
        </w:rPr>
        <w:t xml:space="preserve">問</w:t>
      </w:r>
      <w:r>
        <w:t xml:space="preserve"> </w:t>
      </w:r>
      <w:r>
        <w:rPr>
          <w:rFonts w:hint="eastAsia"/>
        </w:rPr>
        <w:t xml:space="preserve">委</w:t>
      </w:r>
      <w:r>
        <w:t xml:space="preserve"> </w:t>
      </w:r>
      <w:r>
        <w:rPr>
          <w:rFonts w:hint="eastAsia"/>
        </w:rPr>
        <w:t xml:space="preserve">員</w:t>
      </w:r>
      <w:r>
        <w:t xml:space="preserve"> </w:t>
      </w:r>
      <w:r>
        <w:rPr>
          <w:rFonts w:hint="eastAsia"/>
        </w:rPr>
        <w:t xml:space="preserve">會(International</w:t>
      </w:r>
    </w:p>
    <w:p>
      <w:pPr>
        <w:pStyle w:val="BodyText"/>
      </w:pPr>
      <w:r>
        <w:t xml:space="preserve">Advisory Committee of Mitsubishi </w:t>
      </w:r>
      <w:r>
        <w:rPr>
          <w:rFonts w:hint="eastAsia"/>
        </w:rPr>
        <w:t xml:space="preserve">Corporation)的</w:t>
      </w:r>
      <w:r>
        <w:t xml:space="preserve"> </w:t>
      </w:r>
      <w:r>
        <w:rPr>
          <w:rFonts w:hint="eastAsia"/>
        </w:rPr>
        <w:t xml:space="preserve">成</w:t>
      </w:r>
      <w:r>
        <w:t xml:space="preserve"> </w:t>
      </w:r>
      <w:r>
        <w:rPr>
          <w:rFonts w:hint="eastAsia"/>
        </w:rPr>
        <w:t xml:space="preserve">員</w:t>
      </w:r>
      <w:r>
        <w:t xml:space="preserve"> </w:t>
      </w:r>
      <w:r>
        <w:rPr>
          <w:rFonts w:hint="eastAsia"/>
        </w:rPr>
        <w:t xml:space="preserve">及</w:t>
      </w:r>
      <w:r>
        <w:t xml:space="preserve"> </w:t>
      </w:r>
      <w:r>
        <w:rPr>
          <w:rFonts w:hint="eastAsia"/>
        </w:rPr>
        <w:t xml:space="preserve">自2019年7月</w:t>
      </w:r>
      <w:r>
        <w:t xml:space="preserve"> </w:t>
      </w:r>
      <w:r>
        <w:rPr>
          <w:rFonts w:hint="eastAsia"/>
        </w:rPr>
        <w:t xml:space="preserve">起</w:t>
      </w:r>
      <w:r>
        <w:t xml:space="preserve"> </w:t>
      </w:r>
      <w:r>
        <w:rPr>
          <w:rFonts w:hint="eastAsia"/>
        </w:rPr>
        <w:t xml:space="preserve">獲</w:t>
      </w:r>
      <w:r>
        <w:t xml:space="preserve"> </w:t>
      </w:r>
      <w:r>
        <w:rPr>
          <w:rFonts w:hint="eastAsia"/>
        </w:rPr>
        <w:t xml:space="preserve">委</w:t>
      </w:r>
      <w:r>
        <w:t xml:space="preserve"> </w:t>
      </w:r>
      <w:r>
        <w:rPr>
          <w:rFonts w:hint="eastAsia"/>
        </w:rPr>
        <w:t xml:space="preserve">任</w:t>
      </w:r>
      <w:r>
        <w:t xml:space="preserve"> </w:t>
      </w:r>
      <w:r>
        <w:rPr>
          <w:rFonts w:hint="eastAsia"/>
        </w:rPr>
        <w:t xml:space="preserve">為Mitsubishi</w:t>
      </w:r>
      <w:r>
        <w:t xml:space="preserve"> UFJ Financial</w:t>
      </w:r>
    </w:p>
    <w:p>
      <w:pPr>
        <w:pStyle w:val="BodyText"/>
      </w:pPr>
      <w:r>
        <w:t xml:space="preserve">Group, </w:t>
      </w:r>
      <w:r>
        <w:rPr>
          <w:rFonts w:hint="eastAsia"/>
        </w:rPr>
        <w:t xml:space="preserve">Inc.之全球諮詢委員會委員。彼為伯格魯恩研究院(Berggruen</w:t>
      </w:r>
      <w:r>
        <w:t xml:space="preserve"> Institute on </w:t>
      </w:r>
      <w:r>
        <w:rPr>
          <w:rFonts w:hint="eastAsia"/>
        </w:rPr>
        <w:t xml:space="preserve">Governance)國際顧問委員會</w:t>
      </w:r>
    </w:p>
    <w:p>
      <w:pPr>
        <w:pStyle w:val="BodyText"/>
      </w:pPr>
      <w:r>
        <w:rPr>
          <w:rFonts w:hint="eastAsia"/>
        </w:rPr>
        <w:t xml:space="preserve">成員。楊先生自2018年3月起擔任Brunswick</w:t>
      </w:r>
      <w:r>
        <w:t xml:space="preserve"> Group </w:t>
      </w:r>
      <w:r>
        <w:rPr>
          <w:rFonts w:hint="eastAsia"/>
        </w:rPr>
        <w:t xml:space="preserve">LLP的地緣政治倡議高級顧問。於2012年，楊先生獲菲律賓</w:t>
      </w:r>
    </w:p>
    <w:p>
      <w:pPr>
        <w:pStyle w:val="BodyText"/>
      </w:pPr>
      <w:r>
        <w:rPr>
          <w:rFonts w:hint="eastAsia"/>
        </w:rPr>
        <w:t xml:space="preserve">政府授予Order</w:t>
      </w:r>
      <w:r>
        <w:t xml:space="preserve"> of </w:t>
      </w:r>
      <w:r>
        <w:rPr>
          <w:rFonts w:hint="eastAsia"/>
        </w:rPr>
        <w:t xml:space="preserve">Sikatuna獎章及印度政府授予Padma</w:t>
      </w:r>
      <w:r>
        <w:t xml:space="preserve"> </w:t>
      </w:r>
      <w:r>
        <w:rPr>
          <w:rFonts w:hint="eastAsia"/>
        </w:rPr>
        <w:t xml:space="preserve">Bhushan勳章，以及澳洲榮譽官員勳章(</w:t>
      </w:r>
      <w:r>
        <w:t xml:space="preserve"> Honorary Officer</w:t>
      </w:r>
    </w:p>
    <w:p>
      <w:pPr>
        <w:pStyle w:val="BodyText"/>
      </w:pPr>
      <w:r>
        <w:t xml:space="preserve">of the Order of </w:t>
      </w:r>
      <w:r>
        <w:rPr>
          <w:rFonts w:hint="eastAsia"/>
        </w:rPr>
        <w:t xml:space="preserve">Australia)。彼於2014年至2020年期間擔任梵蒂岡經濟秘書處(Vatican</w:t>
      </w:r>
      <w:r>
        <w:t xml:space="preserve"> Council for the Economy)</w:t>
      </w:r>
    </w:p>
    <w:p>
      <w:pPr>
        <w:pStyle w:val="BodyText"/>
      </w:pPr>
      <w:r>
        <w:rPr>
          <w:rFonts w:hint="eastAsia"/>
        </w:rPr>
        <w:t xml:space="preserve">成員。楊先生分別於2012年至2019年期間及2013年至2019年期間擔任嘉里物流聯網有限公司（於香港聯交所</w:t>
      </w:r>
    </w:p>
    <w:p>
      <w:pPr>
        <w:pStyle w:val="BodyText"/>
      </w:pPr>
      <w:r>
        <w:rPr>
          <w:rFonts w:hint="eastAsia"/>
        </w:rPr>
        <w:t xml:space="preserve">上市）主席及執行董事。彼亦於2016年至2019年期間擔任嘉里控股有限公司的董事。於2013年至2014年期間，</w:t>
      </w:r>
    </w:p>
    <w:p>
      <w:pPr>
        <w:pStyle w:val="BodyText"/>
      </w:pPr>
      <w:r>
        <w:rPr>
          <w:rFonts w:hint="eastAsia"/>
        </w:rPr>
        <w:t xml:space="preserve">楊</w:t>
      </w:r>
      <w:r>
        <w:t xml:space="preserve"> </w:t>
      </w:r>
      <w:r>
        <w:rPr>
          <w:rFonts w:hint="eastAsia"/>
        </w:rPr>
        <w:t xml:space="preserve">先</w:t>
      </w:r>
      <w:r>
        <w:t xml:space="preserve"> </w:t>
      </w:r>
      <w:r>
        <w:rPr>
          <w:rFonts w:hint="eastAsia"/>
        </w:rPr>
        <w:t xml:space="preserve">生</w:t>
      </w:r>
      <w:r>
        <w:t xml:space="preserve"> </w:t>
      </w:r>
      <w:r>
        <w:rPr>
          <w:rFonts w:hint="eastAsia"/>
        </w:rPr>
        <w:t xml:space="preserve">為</w:t>
      </w:r>
      <w:r>
        <w:t xml:space="preserve"> </w:t>
      </w:r>
      <w:r>
        <w:rPr>
          <w:rFonts w:hint="eastAsia"/>
        </w:rPr>
        <w:t xml:space="preserve">聖</w:t>
      </w:r>
      <w:r>
        <w:t xml:space="preserve"> </w:t>
      </w:r>
      <w:r>
        <w:rPr>
          <w:rFonts w:hint="eastAsia"/>
        </w:rPr>
        <w:t xml:space="preserve">座</w:t>
      </w:r>
      <w:r>
        <w:t xml:space="preserve"> </w:t>
      </w:r>
      <w:r>
        <w:rPr>
          <w:rFonts w:hint="eastAsia"/>
        </w:rPr>
        <w:t xml:space="preserve">經</w:t>
      </w:r>
      <w:r>
        <w:t xml:space="preserve"> </w:t>
      </w:r>
      <w:r>
        <w:rPr>
          <w:rFonts w:hint="eastAsia"/>
        </w:rPr>
        <w:t xml:space="preserve">濟</w:t>
      </w:r>
      <w:r>
        <w:t xml:space="preserve"> </w:t>
      </w:r>
      <w:r>
        <w:rPr>
          <w:rFonts w:hint="eastAsia"/>
        </w:rPr>
        <w:t xml:space="preserve">行</w:t>
      </w:r>
      <w:r>
        <w:t xml:space="preserve"> </w:t>
      </w:r>
      <w:r>
        <w:rPr>
          <w:rFonts w:hint="eastAsia"/>
        </w:rPr>
        <w:t xml:space="preserve">政</w:t>
      </w:r>
      <w:r>
        <w:t xml:space="preserve"> </w:t>
      </w:r>
      <w:r>
        <w:rPr>
          <w:rFonts w:hint="eastAsia"/>
        </w:rPr>
        <w:t xml:space="preserve">結</w:t>
      </w:r>
      <w:r>
        <w:t xml:space="preserve"> </w:t>
      </w:r>
      <w:r>
        <w:rPr>
          <w:rFonts w:hint="eastAsia"/>
        </w:rPr>
        <w:t xml:space="preserve">構</w:t>
      </w:r>
      <w:r>
        <w:t xml:space="preserve"> </w:t>
      </w:r>
      <w:r>
        <w:rPr>
          <w:rFonts w:hint="eastAsia"/>
        </w:rPr>
        <w:t xml:space="preserve">組</w:t>
      </w:r>
      <w:r>
        <w:t xml:space="preserve"> </w:t>
      </w:r>
      <w:r>
        <w:rPr>
          <w:rFonts w:hint="eastAsia"/>
        </w:rPr>
        <w:t xml:space="preserve">織</w:t>
      </w:r>
      <w:r>
        <w:t xml:space="preserve"> </w:t>
      </w:r>
      <w:r>
        <w:rPr>
          <w:rFonts w:hint="eastAsia"/>
        </w:rPr>
        <w:t xml:space="preserve">宗</w:t>
      </w:r>
      <w:r>
        <w:t xml:space="preserve"> </w:t>
      </w:r>
      <w:r>
        <w:rPr>
          <w:rFonts w:hint="eastAsia"/>
        </w:rPr>
        <w:t xml:space="preserve">座</w:t>
      </w:r>
      <w:r>
        <w:t xml:space="preserve"> </w:t>
      </w:r>
      <w:r>
        <w:rPr>
          <w:rFonts w:hint="eastAsia"/>
        </w:rPr>
        <w:t xml:space="preserve">諮</w:t>
      </w:r>
      <w:r>
        <w:t xml:space="preserve"> </w:t>
      </w:r>
      <w:r>
        <w:rPr>
          <w:rFonts w:hint="eastAsia"/>
        </w:rPr>
        <w:t xml:space="preserve">詢</w:t>
      </w:r>
      <w:r>
        <w:t xml:space="preserve"> </w:t>
      </w:r>
      <w:r>
        <w:rPr>
          <w:rFonts w:hint="eastAsia"/>
        </w:rPr>
        <w:t xml:space="preserve">委</w:t>
      </w:r>
      <w:r>
        <w:t xml:space="preserve"> </w:t>
      </w:r>
      <w:r>
        <w:rPr>
          <w:rFonts w:hint="eastAsia"/>
        </w:rPr>
        <w:t xml:space="preserve">員</w:t>
      </w:r>
      <w:r>
        <w:t xml:space="preserve"> </w:t>
      </w:r>
      <w:r>
        <w:rPr>
          <w:rFonts w:hint="eastAsia"/>
        </w:rPr>
        <w:t xml:space="preserve">會(Pontifical</w:t>
      </w:r>
      <w:r>
        <w:t xml:space="preserve"> Commission for Reference on the Economic-</w:t>
      </w:r>
    </w:p>
    <w:p>
      <w:pPr>
        <w:pStyle w:val="BodyText"/>
      </w:pPr>
      <w:r>
        <w:t xml:space="preserve">Administrative Structure of the Holy </w:t>
      </w:r>
      <w:r>
        <w:rPr>
          <w:rFonts w:hint="eastAsia"/>
        </w:rPr>
        <w:t xml:space="preserve">See)成員。於1988年至2011年期間，楊先生為新加坡國會議員，並擔任</w:t>
      </w:r>
    </w:p>
    <w:p>
      <w:pPr>
        <w:pStyle w:val="BodyText"/>
      </w:pPr>
      <w:r>
        <w:rPr>
          <w:rFonts w:hint="eastAsia"/>
        </w:rPr>
        <w:t xml:space="preserve">多個內閣職位，包括外交部長、貿易及工業部長、衛生部長、新聞及藝術部長及財政部政務部長。於1972年至</w:t>
      </w:r>
    </w:p>
    <w:p>
      <w:pPr>
        <w:pStyle w:val="BodyText"/>
      </w:pPr>
      <w:r>
        <w:rPr>
          <w:rFonts w:hint="eastAsia"/>
        </w:rPr>
        <w:t xml:space="preserve">1988年期間，楊先生效力於新加坡武裝部隊，於1988年出任國防部聯合行動與策劃司長期間擢升至准將軍銜。</w:t>
      </w:r>
    </w:p>
    <w:p>
      <w:pPr>
        <w:pStyle w:val="BodyText"/>
      </w:pPr>
      <w:r>
        <w:t xml:space="preserve">074</w:t>
      </w:r>
    </w:p>
    <w:p>
      <w:pPr>
        <w:pStyle w:val="BodyText"/>
      </w:pPr>
      <w:r>
        <w:rPr>
          <w:rFonts w:hint="eastAsia"/>
        </w:rPr>
        <w:t xml:space="preserve">企業管治友邦保險控股有限公司董事會</w:t>
      </w:r>
    </w:p>
    <w:p>
      <w:pPr>
        <w:pStyle w:val="BodyText"/>
      </w:pPr>
      <w:r>
        <w:rPr>
          <w:rFonts w:hint="eastAsia"/>
        </w:rPr>
        <w:t xml:space="preserve">劉遵義教授</w:t>
      </w:r>
    </w:p>
    <w:p>
      <w:pPr>
        <w:pStyle w:val="BodyText"/>
      </w:pPr>
      <w:r>
        <w:rPr>
          <w:rFonts w:hint="eastAsia"/>
        </w:rPr>
        <w:t xml:space="preserve">76歲，於2014年9月18日獲委任為本公司獨立非執行董事。彼現亦擔任本公司提名委員會及風險委員會成員。</w:t>
      </w:r>
    </w:p>
    <w:p>
      <w:pPr>
        <w:pStyle w:val="BodyText"/>
      </w:pPr>
      <w:r>
        <w:rPr>
          <w:rFonts w:hint="eastAsia"/>
        </w:rPr>
        <w:t xml:space="preserve">劉</w:t>
      </w:r>
      <w:r>
        <w:t xml:space="preserve"> </w:t>
      </w:r>
      <w:r>
        <w:rPr>
          <w:rFonts w:hint="eastAsia"/>
        </w:rPr>
        <w:t xml:space="preserve">教</w:t>
      </w:r>
      <w:r>
        <w:t xml:space="preserve"> </w:t>
      </w:r>
      <w:r>
        <w:rPr>
          <w:rFonts w:hint="eastAsia"/>
        </w:rPr>
        <w:t xml:space="preserve">授</w:t>
      </w:r>
      <w:r>
        <w:t xml:space="preserve"> </w:t>
      </w:r>
      <w:r>
        <w:rPr>
          <w:rFonts w:hint="eastAsia"/>
        </w:rPr>
        <w:t xml:space="preserve">現</w:t>
      </w:r>
      <w:r>
        <w:t xml:space="preserve"> </w:t>
      </w:r>
      <w:r>
        <w:rPr>
          <w:rFonts w:hint="eastAsia"/>
        </w:rPr>
        <w:t xml:space="preserve">任</w:t>
      </w:r>
      <w:r>
        <w:t xml:space="preserve"> </w:t>
      </w:r>
      <w:r>
        <w:rPr>
          <w:rFonts w:hint="eastAsia"/>
        </w:rPr>
        <w:t xml:space="preserve">中</w:t>
      </w:r>
      <w:r>
        <w:t xml:space="preserve"> </w:t>
      </w:r>
      <w:r>
        <w:rPr>
          <w:rFonts w:hint="eastAsia"/>
        </w:rPr>
        <w:t xml:space="preserve">國</w:t>
      </w:r>
      <w:r>
        <w:t xml:space="preserve"> </w:t>
      </w:r>
      <w:r>
        <w:rPr>
          <w:rFonts w:hint="eastAsia"/>
        </w:rPr>
        <w:t xml:space="preserve">海</w:t>
      </w:r>
      <w:r>
        <w:t xml:space="preserve"> </w:t>
      </w:r>
      <w:r>
        <w:rPr>
          <w:rFonts w:hint="eastAsia"/>
        </w:rPr>
        <w:t xml:space="preserve">洋</w:t>
      </w:r>
      <w:r>
        <w:t xml:space="preserve"> </w:t>
      </w:r>
      <w:r>
        <w:rPr>
          <w:rFonts w:hint="eastAsia"/>
        </w:rPr>
        <w:t xml:space="preserve">石</w:t>
      </w:r>
      <w:r>
        <w:t xml:space="preserve"> </w:t>
      </w:r>
      <w:r>
        <w:rPr>
          <w:rFonts w:hint="eastAsia"/>
        </w:rPr>
        <w:t xml:space="preserve">油</w:t>
      </w:r>
      <w:r>
        <w:t xml:space="preserve"> </w:t>
      </w:r>
      <w:r>
        <w:rPr>
          <w:rFonts w:hint="eastAsia"/>
        </w:rPr>
        <w:t xml:space="preserve">有</w:t>
      </w:r>
      <w:r>
        <w:t xml:space="preserve"> </w:t>
      </w:r>
      <w:r>
        <w:rPr>
          <w:rFonts w:hint="eastAsia"/>
        </w:rPr>
        <w:t xml:space="preserve">限</w:t>
      </w:r>
      <w:r>
        <w:t xml:space="preserve"> </w:t>
      </w:r>
      <w:r>
        <w:rPr>
          <w:rFonts w:hint="eastAsia"/>
        </w:rPr>
        <w:t xml:space="preserve">公</w:t>
      </w:r>
      <w:r>
        <w:t xml:space="preserve"> </w:t>
      </w:r>
      <w:r>
        <w:rPr>
          <w:rFonts w:hint="eastAsia"/>
        </w:rPr>
        <w:t xml:space="preserve">司（於</w:t>
      </w:r>
      <w:r>
        <w:t xml:space="preserve"> </w:t>
      </w:r>
      <w:r>
        <w:rPr>
          <w:rFonts w:hint="eastAsia"/>
        </w:rPr>
        <w:t xml:space="preserve">香</w:t>
      </w:r>
      <w:r>
        <w:t xml:space="preserve"> </w:t>
      </w:r>
      <w:r>
        <w:rPr>
          <w:rFonts w:hint="eastAsia"/>
        </w:rPr>
        <w:t xml:space="preserve">港</w:t>
      </w:r>
      <w:r>
        <w:t xml:space="preserve"> </w:t>
      </w:r>
      <w:r>
        <w:rPr>
          <w:rFonts w:hint="eastAsia"/>
        </w:rPr>
        <w:t xml:space="preserve">聯</w:t>
      </w:r>
      <w:r>
        <w:t xml:space="preserve"> </w:t>
      </w:r>
      <w:r>
        <w:rPr>
          <w:rFonts w:hint="eastAsia"/>
        </w:rPr>
        <w:t xml:space="preserve">交</w:t>
      </w:r>
      <w:r>
        <w:t xml:space="preserve"> </w:t>
      </w:r>
      <w:r>
        <w:rPr>
          <w:rFonts w:hint="eastAsia"/>
        </w:rPr>
        <w:t xml:space="preserve">所</w:t>
      </w:r>
      <w:r>
        <w:t xml:space="preserve"> </w:t>
      </w:r>
      <w:r>
        <w:rPr>
          <w:rFonts w:hint="eastAsia"/>
        </w:rPr>
        <w:t xml:space="preserve">及</w:t>
      </w:r>
      <w:r>
        <w:t xml:space="preserve"> </w:t>
      </w:r>
      <w:r>
        <w:rPr>
          <w:rFonts w:hint="eastAsia"/>
        </w:rPr>
        <w:t xml:space="preserve">紐</w:t>
      </w:r>
      <w:r>
        <w:t xml:space="preserve"> </w:t>
      </w:r>
      <w:r>
        <w:rPr>
          <w:rFonts w:hint="eastAsia"/>
        </w:rPr>
        <w:t xml:space="preserve">約</w:t>
      </w:r>
      <w:r>
        <w:t xml:space="preserve"> </w:t>
      </w:r>
      <w:r>
        <w:rPr>
          <w:rFonts w:hint="eastAsia"/>
        </w:rPr>
        <w:t xml:space="preserve">證</w:t>
      </w:r>
      <w:r>
        <w:t xml:space="preserve"> </w:t>
      </w:r>
      <w:r>
        <w:rPr>
          <w:rFonts w:hint="eastAsia"/>
        </w:rPr>
        <w:t xml:space="preserve">券</w:t>
      </w:r>
      <w:r>
        <w:t xml:space="preserve"> </w:t>
      </w:r>
      <w:r>
        <w:rPr>
          <w:rFonts w:hint="eastAsia"/>
        </w:rPr>
        <w:t xml:space="preserve">交</w:t>
      </w:r>
      <w:r>
        <w:t xml:space="preserve"> </w:t>
      </w:r>
      <w:r>
        <w:rPr>
          <w:rFonts w:hint="eastAsia"/>
        </w:rPr>
        <w:t xml:space="preserve">易</w:t>
      </w:r>
      <w:r>
        <w:t xml:space="preserve"> </w:t>
      </w:r>
      <w:r>
        <w:rPr>
          <w:rFonts w:hint="eastAsia"/>
        </w:rPr>
        <w:t xml:space="preserve">所(New</w:t>
      </w:r>
      <w:r>
        <w:t xml:space="preserve"> York Stock </w:t>
      </w:r>
      <w:r>
        <w:rPr>
          <w:rFonts w:hint="eastAsia"/>
        </w:rPr>
        <w:t xml:space="preserve">Exchange)上</w:t>
      </w:r>
      <w:r>
        <w:t xml:space="preserve"> </w:t>
      </w:r>
      <w:r>
        <w:rPr>
          <w:rFonts w:hint="eastAsia"/>
        </w:rPr>
        <w:t xml:space="preserve">市）及</w:t>
      </w:r>
    </w:p>
    <w:p>
      <w:pPr>
        <w:pStyle w:val="BodyText"/>
      </w:pPr>
      <w:r>
        <w:t xml:space="preserve">Semiconductor Manufacturing International </w:t>
      </w:r>
      <w:r>
        <w:rPr>
          <w:rFonts w:hint="eastAsia"/>
        </w:rPr>
        <w:t xml:space="preserve">Corporation（中芯國際集成電路製造有限公司）（於香港聯交所及</w:t>
      </w:r>
    </w:p>
    <w:p>
      <w:pPr>
        <w:pStyle w:val="BodyText"/>
      </w:pPr>
      <w:r>
        <w:rPr>
          <w:rFonts w:hint="eastAsia"/>
        </w:rPr>
        <w:t xml:space="preserve">上海證券交易所上市）之獨立非執行董事。彼亦為遠傳電信股份有限公司（於台灣證券交易所上市）之獨立非執行</w:t>
      </w:r>
    </w:p>
    <w:p>
      <w:pPr>
        <w:pStyle w:val="BodyText"/>
      </w:pPr>
      <w:r>
        <w:rPr>
          <w:rFonts w:hint="eastAsia"/>
        </w:rPr>
        <w:t xml:space="preserve">董事。劉教授自2007年起至今兼任香港中文大學藍饒富暨藍凱麗經濟學講座教授，並於2017年1月12日獲委任為</w:t>
      </w:r>
    </w:p>
    <w:p>
      <w:pPr>
        <w:pStyle w:val="BodyText"/>
      </w:pPr>
      <w:r>
        <w:rPr>
          <w:rFonts w:hint="eastAsia"/>
        </w:rPr>
        <w:t xml:space="preserve">香港中文大學（深圳）高等金融研究院理事會理事長。彼現任香港特區外匯基金諮詢委員會轄下貨幣發行委員會</w:t>
      </w:r>
    </w:p>
    <w:p>
      <w:pPr>
        <w:pStyle w:val="BodyText"/>
      </w:pPr>
      <w:r>
        <w:rPr>
          <w:rFonts w:hint="eastAsia"/>
        </w:rPr>
        <w:t xml:space="preserve">委員。直至2019年，彼曾任香港特區外匯基金諮詢委員會委員、其轄下管治委員會主席及投資委員會委員。</w:t>
      </w:r>
    </w:p>
    <w:p>
      <w:pPr>
        <w:pStyle w:val="BodyText"/>
      </w:pPr>
      <w:r>
        <w:rPr>
          <w:rFonts w:hint="eastAsia"/>
        </w:rPr>
        <w:t xml:space="preserve">此外，彼擔任呂志和獎有限公司獎項推薦委員會成員及主席、團結香港基金副主席、中國國際經濟交流中心</w:t>
      </w:r>
    </w:p>
    <w:p>
      <w:pPr>
        <w:pStyle w:val="BodyText"/>
      </w:pPr>
      <w:r>
        <w:rPr>
          <w:rFonts w:hint="eastAsia"/>
        </w:rPr>
        <w:t xml:space="preserve">（北京）副理事長、香港貿易發展局一帶一路及大灣區委員會委員、香港金融學院院士、台北蔣經國國際學術</w:t>
      </w:r>
    </w:p>
    <w:p>
      <w:pPr>
        <w:pStyle w:val="BodyText"/>
      </w:pPr>
      <w:r>
        <w:rPr>
          <w:rFonts w:hint="eastAsia"/>
        </w:rPr>
        <w:t xml:space="preserve">交流基金會之董事以及於2019年至2021年擔任中國發展研究基金會（北京）之C.</w:t>
      </w:r>
      <w:r>
        <w:t xml:space="preserve"> V. </w:t>
      </w:r>
      <w:r>
        <w:rPr>
          <w:rFonts w:hint="eastAsia"/>
        </w:rPr>
        <w:t xml:space="preserve">Starr傑出學者。彼於2007年</w:t>
      </w:r>
    </w:p>
    <w:p>
      <w:pPr>
        <w:pStyle w:val="BodyText"/>
      </w:pPr>
      <w:r>
        <w:rPr>
          <w:rFonts w:hint="eastAsia"/>
        </w:rPr>
        <w:t xml:space="preserve">獲香港特區政府頒授太平紳士及於2011年獲頒授金紫荊星章。於2004年至2010年，劉教授擔任香港中文大學</w:t>
      </w:r>
    </w:p>
    <w:p>
      <w:pPr>
        <w:pStyle w:val="BodyText"/>
      </w:pPr>
      <w:r>
        <w:rPr>
          <w:rFonts w:hint="eastAsia"/>
        </w:rPr>
        <w:t xml:space="preserve">校長。於2009年至2012年，劉教授獲委任為香港特別行政區行政會議非官守議員。彼於2010年11月獲委任為</w:t>
      </w:r>
    </w:p>
    <w:p>
      <w:pPr>
        <w:pStyle w:val="BodyText"/>
      </w:pPr>
      <w:r>
        <w:rPr>
          <w:rFonts w:hint="eastAsia"/>
        </w:rPr>
        <w:t xml:space="preserve">中國投資有限責任公司之全資附屬公司</w:t>
      </w:r>
      <w:r>
        <w:t xml:space="preserve"> — </w:t>
      </w:r>
      <w:r>
        <w:rPr>
          <w:rFonts w:hint="eastAsia"/>
        </w:rPr>
        <w:t xml:space="preserve">中投國際（香港）有限公司之董事長，並於2014年9月退任。彼分別於</w:t>
      </w:r>
    </w:p>
    <w:p>
      <w:pPr>
        <w:pStyle w:val="BodyText"/>
      </w:pPr>
      <w:r>
        <w:rPr>
          <w:rFonts w:hint="eastAsia"/>
        </w:rPr>
        <w:t xml:space="preserve">2008年至2012年及2013年至2018年擔任中國人民政治協商會議第十一屆及第十二屆全國委員會委員，並於2010年</w:t>
      </w:r>
    </w:p>
    <w:p>
      <w:pPr>
        <w:pStyle w:val="BodyText"/>
      </w:pPr>
      <w:r>
        <w:rPr>
          <w:rFonts w:hint="eastAsia"/>
        </w:rPr>
        <w:t xml:space="preserve">至2013年</w:t>
      </w:r>
      <w:r>
        <w:t xml:space="preserve"> </w:t>
      </w:r>
      <w:r>
        <w:rPr>
          <w:rFonts w:hint="eastAsia"/>
        </w:rPr>
        <w:t xml:space="preserve">擔</w:t>
      </w:r>
      <w:r>
        <w:t xml:space="preserve"> </w:t>
      </w:r>
      <w:r>
        <w:rPr>
          <w:rFonts w:hint="eastAsia"/>
        </w:rPr>
        <w:t xml:space="preserve">任</w:t>
      </w:r>
      <w:r>
        <w:t xml:space="preserve"> </w:t>
      </w:r>
      <w:r>
        <w:rPr>
          <w:rFonts w:hint="eastAsia"/>
        </w:rPr>
        <w:t xml:space="preserve">其</w:t>
      </w:r>
      <w:r>
        <w:t xml:space="preserve"> </w:t>
      </w:r>
      <w:r>
        <w:rPr>
          <w:rFonts w:hint="eastAsia"/>
        </w:rPr>
        <w:t xml:space="preserve">人</w:t>
      </w:r>
      <w:r>
        <w:t xml:space="preserve"> </w:t>
      </w:r>
      <w:r>
        <w:rPr>
          <w:rFonts w:hint="eastAsia"/>
        </w:rPr>
        <w:t xml:space="preserve">口</w:t>
      </w:r>
      <w:r>
        <w:t xml:space="preserve"> </w:t>
      </w:r>
      <w:r>
        <w:rPr>
          <w:rFonts w:hint="eastAsia"/>
        </w:rPr>
        <w:t xml:space="preserve">資</w:t>
      </w:r>
      <w:r>
        <w:t xml:space="preserve"> </w:t>
      </w:r>
      <w:r>
        <w:rPr>
          <w:rFonts w:hint="eastAsia"/>
        </w:rPr>
        <w:t xml:space="preserve">源</w:t>
      </w:r>
      <w:r>
        <w:t xml:space="preserve"> </w:t>
      </w:r>
      <w:r>
        <w:rPr>
          <w:rFonts w:hint="eastAsia"/>
        </w:rPr>
        <w:t xml:space="preserve">環</w:t>
      </w:r>
      <w:r>
        <w:t xml:space="preserve"> </w:t>
      </w:r>
      <w:r>
        <w:rPr>
          <w:rFonts w:hint="eastAsia"/>
        </w:rPr>
        <w:t xml:space="preserve">境</w:t>
      </w:r>
      <w:r>
        <w:t xml:space="preserve"> </w:t>
      </w:r>
      <w:r>
        <w:rPr>
          <w:rFonts w:hint="eastAsia"/>
        </w:rPr>
        <w:t xml:space="preserve">委</w:t>
      </w:r>
      <w:r>
        <w:t xml:space="preserve"> </w:t>
      </w:r>
      <w:r>
        <w:rPr>
          <w:rFonts w:hint="eastAsia"/>
        </w:rPr>
        <w:t xml:space="preserve">員</w:t>
      </w:r>
      <w:r>
        <w:t xml:space="preserve"> </w:t>
      </w:r>
      <w:r>
        <w:rPr>
          <w:rFonts w:hint="eastAsia"/>
        </w:rPr>
        <w:t xml:space="preserve">會</w:t>
      </w:r>
      <w:r>
        <w:t xml:space="preserve"> </w:t>
      </w:r>
      <w:r>
        <w:rPr>
          <w:rFonts w:hint="eastAsia"/>
        </w:rPr>
        <w:t xml:space="preserve">副</w:t>
      </w:r>
      <w:r>
        <w:t xml:space="preserve"> </w:t>
      </w:r>
      <w:r>
        <w:rPr>
          <w:rFonts w:hint="eastAsia"/>
        </w:rPr>
        <w:t xml:space="preserve">主</w:t>
      </w:r>
      <w:r>
        <w:t xml:space="preserve"> </w:t>
      </w:r>
      <w:r>
        <w:rPr>
          <w:rFonts w:hint="eastAsia"/>
        </w:rPr>
        <w:t xml:space="preserve">任</w:t>
      </w:r>
      <w:r>
        <w:t xml:space="preserve"> </w:t>
      </w:r>
      <w:r>
        <w:rPr>
          <w:rFonts w:hint="eastAsia"/>
        </w:rPr>
        <w:t xml:space="preserve">及</w:t>
      </w:r>
      <w:r>
        <w:t xml:space="preserve"> </w:t>
      </w:r>
      <w:r>
        <w:rPr>
          <w:rFonts w:hint="eastAsia"/>
        </w:rPr>
        <w:t xml:space="preserve">於2013年</w:t>
      </w:r>
      <w:r>
        <w:t xml:space="preserve"> </w:t>
      </w:r>
      <w:r>
        <w:rPr>
          <w:rFonts w:hint="eastAsia"/>
        </w:rPr>
        <w:t xml:space="preserve">至2018年</w:t>
      </w:r>
      <w:r>
        <w:t xml:space="preserve"> </w:t>
      </w:r>
      <w:r>
        <w:rPr>
          <w:rFonts w:hint="eastAsia"/>
        </w:rPr>
        <w:t xml:space="preserve">擔</w:t>
      </w:r>
      <w:r>
        <w:t xml:space="preserve"> </w:t>
      </w:r>
      <w:r>
        <w:rPr>
          <w:rFonts w:hint="eastAsia"/>
        </w:rPr>
        <w:t xml:space="preserve">任</w:t>
      </w:r>
      <w:r>
        <w:t xml:space="preserve"> </w:t>
      </w:r>
      <w:r>
        <w:rPr>
          <w:rFonts w:hint="eastAsia"/>
        </w:rPr>
        <w:t xml:space="preserve">其</w:t>
      </w:r>
      <w:r>
        <w:t xml:space="preserve"> </w:t>
      </w:r>
      <w:r>
        <w:rPr>
          <w:rFonts w:hint="eastAsia"/>
        </w:rPr>
        <w:t xml:space="preserve">經</w:t>
      </w:r>
      <w:r>
        <w:t xml:space="preserve"> </w:t>
      </w:r>
      <w:r>
        <w:rPr>
          <w:rFonts w:hint="eastAsia"/>
        </w:rPr>
        <w:t xml:space="preserve">濟</w:t>
      </w:r>
      <w:r>
        <w:t xml:space="preserve"> </w:t>
      </w:r>
      <w:r>
        <w:rPr>
          <w:rFonts w:hint="eastAsia"/>
        </w:rPr>
        <w:t xml:space="preserve">委</w:t>
      </w:r>
      <w:r>
        <w:t xml:space="preserve"> </w:t>
      </w:r>
      <w:r>
        <w:rPr>
          <w:rFonts w:hint="eastAsia"/>
        </w:rPr>
        <w:t xml:space="preserve">員</w:t>
      </w:r>
      <w:r>
        <w:t xml:space="preserve"> </w:t>
      </w:r>
      <w:r>
        <w:rPr>
          <w:rFonts w:hint="eastAsia"/>
        </w:rPr>
        <w:t xml:space="preserve">會</w:t>
      </w:r>
      <w:r>
        <w:t xml:space="preserve"> </w:t>
      </w:r>
      <w:r>
        <w:rPr>
          <w:rFonts w:hint="eastAsia"/>
        </w:rPr>
        <w:t xml:space="preserve">副</w:t>
      </w:r>
      <w:r>
        <w:t xml:space="preserve"> </w:t>
      </w:r>
      <w:r>
        <w:rPr>
          <w:rFonts w:hint="eastAsia"/>
        </w:rPr>
        <w:t xml:space="preserve">主</w:t>
      </w:r>
      <w:r>
        <w:t xml:space="preserve"> </w:t>
      </w:r>
      <w:r>
        <w:rPr>
          <w:rFonts w:hint="eastAsia"/>
        </w:rPr>
        <w:t xml:space="preserve">任。</w:t>
      </w:r>
      <w:r>
        <w:t xml:space="preserve"> </w:t>
      </w:r>
      <w:r>
        <w:rPr>
          <w:rFonts w:hint="eastAsia"/>
        </w:rPr>
        <w:t xml:space="preserve">於2014年</w:t>
      </w:r>
      <w:r>
        <w:t xml:space="preserve"> </w:t>
      </w:r>
      <w:r>
        <w:rPr>
          <w:rFonts w:hint="eastAsia"/>
        </w:rPr>
        <w:t xml:space="preserve">至</w:t>
      </w:r>
    </w:p>
    <w:p>
      <w:pPr>
        <w:pStyle w:val="BodyText"/>
      </w:pPr>
      <w:r>
        <w:rPr>
          <w:rFonts w:hint="eastAsia"/>
        </w:rPr>
        <w:t xml:space="preserve">2020年，彼為希慎興業有限公司（於香港聯交所上市）之獨立非執行董事。彼於1964年取得史丹福大學物理學</w:t>
      </w:r>
    </w:p>
    <w:p>
      <w:pPr>
        <w:pStyle w:val="BodyText"/>
      </w:pPr>
      <w:r>
        <w:rPr>
          <w:rFonts w:hint="eastAsia"/>
        </w:rPr>
        <w:t xml:space="preserve">理學士學位（優異成績），並先後於1966年及1969年取得加州大學柏克萊分校經濟學文學碩士與哲學博士學位。</w:t>
      </w:r>
    </w:p>
    <w:p>
      <w:pPr>
        <w:pStyle w:val="BodyText"/>
      </w:pPr>
      <w:r>
        <w:rPr>
          <w:rFonts w:hint="eastAsia"/>
        </w:rPr>
        <w:t xml:space="preserve">彼自1966年起任教於史丹福大學經濟系，1976年晉升為經濟學教授及於1992年任該校首任李國鼎經濟發展講座</w:t>
      </w:r>
    </w:p>
    <w:p>
      <w:pPr>
        <w:pStyle w:val="BodyText"/>
      </w:pPr>
      <w:r>
        <w:rPr>
          <w:rFonts w:hint="eastAsia"/>
        </w:rPr>
        <w:t xml:space="preserve">教授。於1992年至1996年擔任史丹福大學亞太研究中心共同主任，1997年至1999年擔任史丹福經濟政策研究所</w:t>
      </w:r>
    </w:p>
    <w:p>
      <w:pPr>
        <w:pStyle w:val="BodyText"/>
      </w:pPr>
      <w:r>
        <w:rPr>
          <w:rFonts w:hint="eastAsia"/>
        </w:rPr>
        <w:t xml:space="preserve">主任。於2006年自史丹福大學退休並出任李國鼎經濟發展榮休講座教授。</w:t>
      </w:r>
    </w:p>
    <w:p>
      <w:pPr>
        <w:pStyle w:val="BodyText"/>
      </w:pPr>
      <w:r>
        <w:t xml:space="preserve">075</w:t>
      </w:r>
    </w:p>
    <w:p>
      <w:pPr>
        <w:pStyle w:val="BodyText"/>
      </w:pPr>
      <w:r>
        <w:rPr>
          <w:rFonts w:hint="eastAsia"/>
        </w:rPr>
        <w:t xml:space="preserve">概覽財務及營運回顧企業管治其他資料財務報表2020年報</w:t>
      </w:r>
    </w:p>
    <w:p>
      <w:pPr>
        <w:pStyle w:val="BodyText"/>
      </w:pPr>
      <w:r>
        <w:t xml:space="preserve">Swee-Lian </w:t>
      </w:r>
      <w:r>
        <w:rPr>
          <w:rFonts w:hint="eastAsia"/>
        </w:rPr>
        <w:t xml:space="preserve">TEO女士</w:t>
      </w:r>
    </w:p>
    <w:p>
      <w:pPr>
        <w:pStyle w:val="BodyText"/>
      </w:pPr>
      <w:r>
        <w:rPr>
          <w:rFonts w:hint="eastAsia"/>
        </w:rPr>
        <w:t xml:space="preserve">61歲，於2015年8月14日獲委任為本公司獨立非執行董事。彼現亦擔任本公司提名委員會及風險委員會成員。</w:t>
      </w:r>
    </w:p>
    <w:p>
      <w:pPr>
        <w:pStyle w:val="BodyText"/>
      </w:pPr>
      <w:r>
        <w:rPr>
          <w:rFonts w:hint="eastAsia"/>
        </w:rPr>
        <w:t xml:space="preserve">Teo女士現任Singapore</w:t>
      </w:r>
      <w:r>
        <w:t xml:space="preserve"> Telecommunications </w:t>
      </w:r>
      <w:r>
        <w:rPr>
          <w:rFonts w:hint="eastAsia"/>
        </w:rPr>
        <w:t xml:space="preserve">Limited（於新加坡交易所上市）之非執行及獨立董事以及企業管治</w:t>
      </w:r>
    </w:p>
    <w:p>
      <w:pPr>
        <w:pStyle w:val="BodyText"/>
      </w:pPr>
      <w:r>
        <w:rPr>
          <w:rFonts w:hint="eastAsia"/>
        </w:rPr>
        <w:t xml:space="preserve">及提名委員會和執行資源與補償委員會成員，以及風險委員會主席。彼亦為CapitaLand</w:t>
      </w:r>
      <w:r>
        <w:t xml:space="preserve"> Integrated Commercial</w:t>
      </w:r>
    </w:p>
    <w:p>
      <w:pPr>
        <w:pStyle w:val="BodyText"/>
      </w:pPr>
      <w:r>
        <w:t xml:space="preserve">Trust Management </w:t>
      </w:r>
      <w:r>
        <w:rPr>
          <w:rFonts w:hint="eastAsia"/>
        </w:rPr>
        <w:t xml:space="preserve">Limited（於</w:t>
      </w:r>
      <w:r>
        <w:t xml:space="preserve"> </w:t>
      </w:r>
      <w:r>
        <w:rPr>
          <w:rFonts w:hint="eastAsia"/>
        </w:rPr>
        <w:t xml:space="preserve">新</w:t>
      </w:r>
      <w:r>
        <w:t xml:space="preserve"> </w:t>
      </w:r>
      <w:r>
        <w:rPr>
          <w:rFonts w:hint="eastAsia"/>
        </w:rPr>
        <w:t xml:space="preserve">加</w:t>
      </w:r>
      <w:r>
        <w:t xml:space="preserve"> </w:t>
      </w:r>
      <w:r>
        <w:rPr>
          <w:rFonts w:hint="eastAsia"/>
        </w:rPr>
        <w:t xml:space="preserve">坡</w:t>
      </w:r>
      <w:r>
        <w:t xml:space="preserve"> </w:t>
      </w:r>
      <w:r>
        <w:rPr>
          <w:rFonts w:hint="eastAsia"/>
        </w:rPr>
        <w:t xml:space="preserve">交</w:t>
      </w:r>
      <w:r>
        <w:t xml:space="preserve"> </w:t>
      </w:r>
      <w:r>
        <w:rPr>
          <w:rFonts w:hint="eastAsia"/>
        </w:rPr>
        <w:t xml:space="preserve">易</w:t>
      </w:r>
      <w:r>
        <w:t xml:space="preserve"> </w:t>
      </w:r>
      <w:r>
        <w:rPr>
          <w:rFonts w:hint="eastAsia"/>
        </w:rPr>
        <w:t xml:space="preserve">所</w:t>
      </w:r>
      <w:r>
        <w:t xml:space="preserve"> </w:t>
      </w:r>
      <w:r>
        <w:rPr>
          <w:rFonts w:hint="eastAsia"/>
        </w:rPr>
        <w:t xml:space="preserve">上</w:t>
      </w:r>
      <w:r>
        <w:t xml:space="preserve"> </w:t>
      </w:r>
      <w:r>
        <w:rPr>
          <w:rFonts w:hint="eastAsia"/>
        </w:rPr>
        <w:t xml:space="preserve">市）之</w:t>
      </w:r>
      <w:r>
        <w:t xml:space="preserve"> </w:t>
      </w:r>
      <w:r>
        <w:rPr>
          <w:rFonts w:hint="eastAsia"/>
        </w:rPr>
        <w:t xml:space="preserve">董</w:t>
      </w:r>
      <w:r>
        <w:t xml:space="preserve"> </w:t>
      </w:r>
      <w:r>
        <w:rPr>
          <w:rFonts w:hint="eastAsia"/>
        </w:rPr>
        <w:t xml:space="preserve">事</w:t>
      </w:r>
      <w:r>
        <w:t xml:space="preserve"> </w:t>
      </w:r>
      <w:r>
        <w:rPr>
          <w:rFonts w:hint="eastAsia"/>
        </w:rPr>
        <w:t xml:space="preserve">會</w:t>
      </w:r>
      <w:r>
        <w:t xml:space="preserve"> </w:t>
      </w:r>
      <w:r>
        <w:rPr>
          <w:rFonts w:hint="eastAsia"/>
        </w:rPr>
        <w:t xml:space="preserve">主</w:t>
      </w:r>
      <w:r>
        <w:t xml:space="preserve"> </w:t>
      </w:r>
      <w:r>
        <w:rPr>
          <w:rFonts w:hint="eastAsia"/>
        </w:rPr>
        <w:t xml:space="preserve">席</w:t>
      </w:r>
      <w:r>
        <w:t xml:space="preserve"> </w:t>
      </w:r>
      <w:r>
        <w:rPr>
          <w:rFonts w:hint="eastAsia"/>
        </w:rPr>
        <w:t xml:space="preserve">及</w:t>
      </w:r>
      <w:r>
        <w:t xml:space="preserve"> </w:t>
      </w:r>
      <w:r>
        <w:rPr>
          <w:rFonts w:hint="eastAsia"/>
        </w:rPr>
        <w:t xml:space="preserve">獨</w:t>
      </w:r>
      <w:r>
        <w:t xml:space="preserve"> </w:t>
      </w:r>
      <w:r>
        <w:rPr>
          <w:rFonts w:hint="eastAsia"/>
        </w:rPr>
        <w:t xml:space="preserve">立</w:t>
      </w:r>
      <w:r>
        <w:t xml:space="preserve"> </w:t>
      </w:r>
      <w:r>
        <w:rPr>
          <w:rFonts w:hint="eastAsia"/>
        </w:rPr>
        <w:t xml:space="preserve">非</w:t>
      </w:r>
      <w:r>
        <w:t xml:space="preserve"> </w:t>
      </w:r>
      <w:r>
        <w:rPr>
          <w:rFonts w:hint="eastAsia"/>
        </w:rPr>
        <w:t xml:space="preserve">執</w:t>
      </w:r>
      <w:r>
        <w:t xml:space="preserve"> </w:t>
      </w:r>
      <w:r>
        <w:rPr>
          <w:rFonts w:hint="eastAsia"/>
        </w:rPr>
        <w:t xml:space="preserve">行</w:t>
      </w:r>
      <w:r>
        <w:t xml:space="preserve"> </w:t>
      </w:r>
      <w:r>
        <w:rPr>
          <w:rFonts w:hint="eastAsia"/>
        </w:rPr>
        <w:t xml:space="preserve">董</w:t>
      </w:r>
      <w:r>
        <w:t xml:space="preserve"> </w:t>
      </w:r>
      <w:r>
        <w:rPr>
          <w:rFonts w:hint="eastAsia"/>
        </w:rPr>
        <w:t xml:space="preserve">事</w:t>
      </w:r>
      <w:r>
        <w:t xml:space="preserve"> </w:t>
      </w:r>
      <w:r>
        <w:rPr>
          <w:rFonts w:hint="eastAsia"/>
        </w:rPr>
        <w:t xml:space="preserve">以</w:t>
      </w:r>
      <w:r>
        <w:t xml:space="preserve"> </w:t>
      </w:r>
      <w:r>
        <w:rPr>
          <w:rFonts w:hint="eastAsia"/>
        </w:rPr>
        <w:t xml:space="preserve">及Avanda</w:t>
      </w:r>
      <w:r>
        <w:t xml:space="preserve"> Investment</w:t>
      </w:r>
    </w:p>
    <w:p>
      <w:pPr>
        <w:pStyle w:val="BodyText"/>
      </w:pPr>
      <w:r>
        <w:t xml:space="preserve">Management Pte </w:t>
      </w:r>
      <w:r>
        <w:rPr>
          <w:rFonts w:hint="eastAsia"/>
        </w:rPr>
        <w:t xml:space="preserve">Ltd.（以新加坡為基地的基金管理公司）之非執行董事及其審核與風險委員會主席。Teo女士</w:t>
      </w:r>
    </w:p>
    <w:p>
      <w:pPr>
        <w:pStyle w:val="BodyText"/>
      </w:pPr>
      <w:r>
        <w:rPr>
          <w:rFonts w:hint="eastAsia"/>
        </w:rPr>
        <w:t xml:space="preserve">現</w:t>
      </w:r>
      <w:r>
        <w:t xml:space="preserve"> </w:t>
      </w:r>
      <w:r>
        <w:rPr>
          <w:rFonts w:hint="eastAsia"/>
        </w:rPr>
        <w:t xml:space="preserve">為</w:t>
      </w:r>
      <w:r>
        <w:t xml:space="preserve"> </w:t>
      </w:r>
      <w:r>
        <w:rPr>
          <w:rFonts w:hint="eastAsia"/>
        </w:rPr>
        <w:t xml:space="preserve">杜</w:t>
      </w:r>
      <w:r>
        <w:t xml:space="preserve"> </w:t>
      </w:r>
      <w:r>
        <w:rPr>
          <w:rFonts w:hint="eastAsia"/>
        </w:rPr>
        <w:t xml:space="preserve">拜</w:t>
      </w:r>
      <w:r>
        <w:t xml:space="preserve"> </w:t>
      </w:r>
      <w:r>
        <w:rPr>
          <w:rFonts w:hint="eastAsia"/>
        </w:rPr>
        <w:t xml:space="preserve">金</w:t>
      </w:r>
      <w:r>
        <w:t xml:space="preserve"> </w:t>
      </w:r>
      <w:r>
        <w:rPr>
          <w:rFonts w:hint="eastAsia"/>
        </w:rPr>
        <w:t xml:space="preserve">融</w:t>
      </w:r>
      <w:r>
        <w:t xml:space="preserve"> </w:t>
      </w:r>
      <w:r>
        <w:rPr>
          <w:rFonts w:hint="eastAsia"/>
        </w:rPr>
        <w:t xml:space="preserve">服</w:t>
      </w:r>
      <w:r>
        <w:t xml:space="preserve"> </w:t>
      </w:r>
      <w:r>
        <w:rPr>
          <w:rFonts w:hint="eastAsia"/>
        </w:rPr>
        <w:t xml:space="preserve">務</w:t>
      </w:r>
      <w:r>
        <w:t xml:space="preserve"> </w:t>
      </w:r>
      <w:r>
        <w:rPr>
          <w:rFonts w:hint="eastAsia"/>
        </w:rPr>
        <w:t xml:space="preserve">局(Dubai</w:t>
      </w:r>
      <w:r>
        <w:t xml:space="preserve"> Financial Services </w:t>
      </w:r>
      <w:r>
        <w:rPr>
          <w:rFonts w:hint="eastAsia"/>
        </w:rPr>
        <w:t xml:space="preserve">Authority)董</w:t>
      </w:r>
      <w:r>
        <w:t xml:space="preserve"> </w:t>
      </w:r>
      <w:r>
        <w:rPr>
          <w:rFonts w:hint="eastAsia"/>
        </w:rPr>
        <w:t xml:space="preserve">事</w:t>
      </w:r>
      <w:r>
        <w:t xml:space="preserve"> </w:t>
      </w:r>
      <w:r>
        <w:rPr>
          <w:rFonts w:hint="eastAsia"/>
        </w:rPr>
        <w:t xml:space="preserve">會</w:t>
      </w:r>
      <w:r>
        <w:t xml:space="preserve"> </w:t>
      </w:r>
      <w:r>
        <w:rPr>
          <w:rFonts w:hint="eastAsia"/>
        </w:rPr>
        <w:t xml:space="preserve">成</w:t>
      </w:r>
      <w:r>
        <w:t xml:space="preserve"> </w:t>
      </w:r>
      <w:r>
        <w:rPr>
          <w:rFonts w:hint="eastAsia"/>
        </w:rPr>
        <w:t xml:space="preserve">員</w:t>
      </w:r>
      <w:r>
        <w:t xml:space="preserve"> </w:t>
      </w:r>
      <w:r>
        <w:rPr>
          <w:rFonts w:hint="eastAsia"/>
        </w:rPr>
        <w:t xml:space="preserve">以</w:t>
      </w:r>
      <w:r>
        <w:t xml:space="preserve"> </w:t>
      </w:r>
      <w:r>
        <w:rPr>
          <w:rFonts w:hint="eastAsia"/>
        </w:rPr>
        <w:t xml:space="preserve">及Clifford</w:t>
      </w:r>
      <w:r>
        <w:t xml:space="preserve"> Capital Pte. </w:t>
      </w:r>
      <w:r>
        <w:rPr>
          <w:rFonts w:hint="eastAsia"/>
        </w:rPr>
        <w:t xml:space="preserve">Ltd.及Clifford</w:t>
      </w:r>
    </w:p>
    <w:p>
      <w:pPr>
        <w:pStyle w:val="BodyText"/>
      </w:pPr>
      <w:r>
        <w:t xml:space="preserve">Capital Holdings Pte. </w:t>
      </w:r>
      <w:r>
        <w:rPr>
          <w:rFonts w:hint="eastAsia"/>
        </w:rPr>
        <w:t xml:space="preserve">Ltd.之董事。Teo女士於新加坡金管局任職逾27年。於新加坡金管局任職期間，彼從事外匯</w:t>
      </w:r>
    </w:p>
    <w:p>
      <w:pPr>
        <w:pStyle w:val="BodyText"/>
      </w:pPr>
      <w:r>
        <w:rPr>
          <w:rFonts w:hint="eastAsia"/>
        </w:rPr>
        <w:t xml:space="preserve">儲備管理、金融業發展、策略規劃及財務監督。彼曾擔任副董事總經理，主管財務監督，監察銀行業、保險業、</w:t>
      </w:r>
    </w:p>
    <w:p>
      <w:pPr>
        <w:pStyle w:val="BodyText"/>
      </w:pPr>
      <w:r>
        <w:rPr>
          <w:rFonts w:hint="eastAsia"/>
        </w:rPr>
        <w:t xml:space="preserve">資</w:t>
      </w:r>
      <w:r>
        <w:t xml:space="preserve"> </w:t>
      </w:r>
      <w:r>
        <w:rPr>
          <w:rFonts w:hint="eastAsia"/>
        </w:rPr>
        <w:t xml:space="preserve">本</w:t>
      </w:r>
      <w:r>
        <w:t xml:space="preserve"> </w:t>
      </w:r>
      <w:r>
        <w:rPr>
          <w:rFonts w:hint="eastAsia"/>
        </w:rPr>
        <w:t xml:space="preserve">市</w:t>
      </w:r>
      <w:r>
        <w:t xml:space="preserve"> </w:t>
      </w:r>
      <w:r>
        <w:rPr>
          <w:rFonts w:hint="eastAsia"/>
        </w:rPr>
        <w:t xml:space="preserve">場</w:t>
      </w:r>
      <w:r>
        <w:t xml:space="preserve"> </w:t>
      </w:r>
      <w:r>
        <w:rPr>
          <w:rFonts w:hint="eastAsia"/>
        </w:rPr>
        <w:t xml:space="preserve">行</w:t>
      </w:r>
      <w:r>
        <w:t xml:space="preserve"> </w:t>
      </w:r>
      <w:r>
        <w:rPr>
          <w:rFonts w:hint="eastAsia"/>
        </w:rPr>
        <w:t xml:space="preserve">業</w:t>
      </w:r>
      <w:r>
        <w:t xml:space="preserve"> </w:t>
      </w:r>
      <w:r>
        <w:rPr>
          <w:rFonts w:hint="eastAsia"/>
        </w:rPr>
        <w:t xml:space="preserve">以</w:t>
      </w:r>
      <w:r>
        <w:t xml:space="preserve"> </w:t>
      </w:r>
      <w:r>
        <w:rPr>
          <w:rFonts w:hint="eastAsia"/>
        </w:rPr>
        <w:t xml:space="preserve">及</w:t>
      </w:r>
      <w:r>
        <w:t xml:space="preserve"> </w:t>
      </w:r>
      <w:r>
        <w:rPr>
          <w:rFonts w:hint="eastAsia"/>
        </w:rPr>
        <w:t xml:space="preserve">宏</w:t>
      </w:r>
      <w:r>
        <w:t xml:space="preserve"> </w:t>
      </w:r>
      <w:r>
        <w:rPr>
          <w:rFonts w:hint="eastAsia"/>
        </w:rPr>
        <w:t xml:space="preserve">觀</w:t>
      </w:r>
      <w:r>
        <w:t xml:space="preserve"> </w:t>
      </w:r>
      <w:r>
        <w:rPr>
          <w:rFonts w:hint="eastAsia"/>
        </w:rPr>
        <w:t xml:space="preserve">經</w:t>
      </w:r>
      <w:r>
        <w:t xml:space="preserve"> </w:t>
      </w:r>
      <w:r>
        <w:rPr>
          <w:rFonts w:hint="eastAsia"/>
        </w:rPr>
        <w:t xml:space="preserve">濟</w:t>
      </w:r>
      <w:r>
        <w:t xml:space="preserve"> </w:t>
      </w:r>
      <w:r>
        <w:rPr>
          <w:rFonts w:hint="eastAsia"/>
        </w:rPr>
        <w:t xml:space="preserve">的</w:t>
      </w:r>
      <w:r>
        <w:t xml:space="preserve"> </w:t>
      </w:r>
      <w:r>
        <w:rPr>
          <w:rFonts w:hint="eastAsia"/>
        </w:rPr>
        <w:t xml:space="preserve">規</w:t>
      </w:r>
      <w:r>
        <w:t xml:space="preserve"> </w:t>
      </w:r>
      <w:r>
        <w:rPr>
          <w:rFonts w:hint="eastAsia"/>
        </w:rPr>
        <w:t xml:space="preserve">管</w:t>
      </w:r>
      <w:r>
        <w:t xml:space="preserve"> </w:t>
      </w:r>
      <w:r>
        <w:rPr>
          <w:rFonts w:hint="eastAsia"/>
        </w:rPr>
        <w:t xml:space="preserve">和</w:t>
      </w:r>
      <w:r>
        <w:t xml:space="preserve"> </w:t>
      </w:r>
      <w:r>
        <w:rPr>
          <w:rFonts w:hint="eastAsia"/>
        </w:rPr>
        <w:t xml:space="preserve">監</w:t>
      </w:r>
      <w:r>
        <w:t xml:space="preserve"> </w:t>
      </w:r>
      <w:r>
        <w:rPr>
          <w:rFonts w:hint="eastAsia"/>
        </w:rPr>
        <w:t xml:space="preserve">管，</w:t>
      </w:r>
      <w:r>
        <w:t xml:space="preserve"> </w:t>
      </w:r>
      <w:r>
        <w:rPr>
          <w:rFonts w:hint="eastAsia"/>
        </w:rPr>
        <w:t xml:space="preserve">亦</w:t>
      </w:r>
      <w:r>
        <w:t xml:space="preserve"> </w:t>
      </w:r>
      <w:r>
        <w:rPr>
          <w:rFonts w:hint="eastAsia"/>
        </w:rPr>
        <w:t xml:space="preserve">代</w:t>
      </w:r>
      <w:r>
        <w:t xml:space="preserve"> </w:t>
      </w:r>
      <w:r>
        <w:rPr>
          <w:rFonts w:hint="eastAsia"/>
        </w:rPr>
        <w:t xml:space="preserve">表</w:t>
      </w:r>
      <w:r>
        <w:t xml:space="preserve"> </w:t>
      </w:r>
      <w:r>
        <w:rPr>
          <w:rFonts w:hint="eastAsia"/>
        </w:rPr>
        <w:t xml:space="preserve">新</w:t>
      </w:r>
      <w:r>
        <w:t xml:space="preserve"> </w:t>
      </w:r>
      <w:r>
        <w:rPr>
          <w:rFonts w:hint="eastAsia"/>
        </w:rPr>
        <w:t xml:space="preserve">加</w:t>
      </w:r>
      <w:r>
        <w:t xml:space="preserve"> </w:t>
      </w:r>
      <w:r>
        <w:rPr>
          <w:rFonts w:hint="eastAsia"/>
        </w:rPr>
        <w:t xml:space="preserve">坡</w:t>
      </w:r>
      <w:r>
        <w:t xml:space="preserve"> </w:t>
      </w:r>
      <w:r>
        <w:rPr>
          <w:rFonts w:hint="eastAsia"/>
        </w:rPr>
        <w:t xml:space="preserve">金</w:t>
      </w:r>
      <w:r>
        <w:t xml:space="preserve"> </w:t>
      </w:r>
      <w:r>
        <w:rPr>
          <w:rFonts w:hint="eastAsia"/>
        </w:rPr>
        <w:t xml:space="preserve">管</w:t>
      </w:r>
      <w:r>
        <w:t xml:space="preserve"> </w:t>
      </w:r>
      <w:r>
        <w:rPr>
          <w:rFonts w:hint="eastAsia"/>
        </w:rPr>
        <w:t xml:space="preserve">局</w:t>
      </w:r>
      <w:r>
        <w:t xml:space="preserve"> </w:t>
      </w:r>
      <w:r>
        <w:rPr>
          <w:rFonts w:hint="eastAsia"/>
        </w:rPr>
        <w:t xml:space="preserve">參</w:t>
      </w:r>
      <w:r>
        <w:t xml:space="preserve"> </w:t>
      </w:r>
      <w:r>
        <w:rPr>
          <w:rFonts w:hint="eastAsia"/>
        </w:rPr>
        <w:t xml:space="preserve">與</w:t>
      </w:r>
      <w:r>
        <w:t xml:space="preserve"> </w:t>
      </w:r>
      <w:r>
        <w:rPr>
          <w:rFonts w:hint="eastAsia"/>
        </w:rPr>
        <w:t xml:space="preserve">多</w:t>
      </w:r>
      <w:r>
        <w:t xml:space="preserve"> </w:t>
      </w:r>
      <w:r>
        <w:rPr>
          <w:rFonts w:hint="eastAsia"/>
        </w:rPr>
        <w:t xml:space="preserve">個</w:t>
      </w:r>
      <w:r>
        <w:t xml:space="preserve"> </w:t>
      </w:r>
      <w:r>
        <w:rPr>
          <w:rFonts w:hint="eastAsia"/>
        </w:rPr>
        <w:t xml:space="preserve">國</w:t>
      </w:r>
      <w:r>
        <w:t xml:space="preserve"> </w:t>
      </w:r>
      <w:r>
        <w:rPr>
          <w:rFonts w:hint="eastAsia"/>
        </w:rPr>
        <w:t xml:space="preserve">際</w:t>
      </w:r>
      <w:r>
        <w:t xml:space="preserve"> </w:t>
      </w:r>
      <w:r>
        <w:rPr>
          <w:rFonts w:hint="eastAsia"/>
        </w:rPr>
        <w:t xml:space="preserve">論</w:t>
      </w:r>
      <w:r>
        <w:t xml:space="preserve"> </w:t>
      </w:r>
      <w:r>
        <w:rPr>
          <w:rFonts w:hint="eastAsia"/>
        </w:rPr>
        <w:t xml:space="preserve">壇（包</w:t>
      </w:r>
      <w:r>
        <w:t xml:space="preserve"> </w:t>
      </w:r>
      <w:r>
        <w:rPr>
          <w:rFonts w:hint="eastAsia"/>
        </w:rPr>
        <w:t xml:space="preserve">括</w:t>
      </w:r>
      <w:r>
        <w:t xml:space="preserve"> </w:t>
      </w:r>
      <w:r>
        <w:rPr>
          <w:rFonts w:hint="eastAsia"/>
        </w:rPr>
        <w:t xml:space="preserve">巴</w:t>
      </w:r>
      <w:r>
        <w:t xml:space="preserve"> </w:t>
      </w:r>
      <w:r>
        <w:rPr>
          <w:rFonts w:hint="eastAsia"/>
        </w:rPr>
        <w:t xml:space="preserve">塞</w:t>
      </w:r>
      <w:r>
        <w:t xml:space="preserve"> </w:t>
      </w:r>
      <w:r>
        <w:rPr>
          <w:rFonts w:hint="eastAsia"/>
        </w:rPr>
        <w:t xml:space="preserve">爾</w:t>
      </w:r>
      <w:r>
        <w:t xml:space="preserve"> </w:t>
      </w:r>
      <w:r>
        <w:rPr>
          <w:rFonts w:hint="eastAsia"/>
        </w:rPr>
        <w:t xml:space="preserve">銀</w:t>
      </w:r>
      <w:r>
        <w:t xml:space="preserve"> </w:t>
      </w:r>
      <w:r>
        <w:rPr>
          <w:rFonts w:hint="eastAsia"/>
        </w:rPr>
        <w:t xml:space="preserve">行</w:t>
      </w:r>
      <w:r>
        <w:t xml:space="preserve"> </w:t>
      </w:r>
      <w:r>
        <w:rPr>
          <w:rFonts w:hint="eastAsia"/>
        </w:rPr>
        <w:t xml:space="preserve">監</w:t>
      </w:r>
      <w:r>
        <w:t xml:space="preserve"> </w:t>
      </w:r>
      <w:r>
        <w:rPr>
          <w:rFonts w:hint="eastAsia"/>
        </w:rPr>
        <w:t xml:space="preserve">管</w:t>
      </w:r>
    </w:p>
    <w:p>
      <w:pPr>
        <w:pStyle w:val="BodyText"/>
      </w:pPr>
      <w:r>
        <w:rPr>
          <w:rFonts w:hint="eastAsia"/>
        </w:rPr>
        <w:t xml:space="preserve">委員會）及金融穩定委員會多個委員會及工作小組。彼於2015年6月退任新加坡金管局董事總經理辦公室特別</w:t>
      </w:r>
    </w:p>
    <w:p>
      <w:pPr>
        <w:pStyle w:val="BodyText"/>
      </w:pPr>
      <w:r>
        <w:rPr>
          <w:rFonts w:hint="eastAsia"/>
        </w:rPr>
        <w:t xml:space="preserve">顧問之職務。除新加坡金管局外，Teo女士於2002年至2010年亦任職新加坡民航局董事會。Teo女士於1981年</w:t>
      </w:r>
    </w:p>
    <w:p>
      <w:pPr>
        <w:pStyle w:val="BodyText"/>
      </w:pPr>
      <w:r>
        <w:rPr>
          <w:rFonts w:hint="eastAsia"/>
        </w:rPr>
        <w:t xml:space="preserve">取得英國倫敦大學帝國理工學院(Imperial</w:t>
      </w:r>
      <w:r>
        <w:t xml:space="preserve"> College of Science and </w:t>
      </w:r>
      <w:r>
        <w:rPr>
          <w:rFonts w:hint="eastAsia"/>
        </w:rPr>
        <w:t xml:space="preserve">Technology)數學理學學士（一等）學位及於</w:t>
      </w:r>
    </w:p>
    <w:p>
      <w:pPr>
        <w:pStyle w:val="BodyText"/>
      </w:pPr>
      <w:r>
        <w:rPr>
          <w:rFonts w:hint="eastAsia"/>
        </w:rPr>
        <w:t xml:space="preserve">1982年取得英國牛津大學(University</w:t>
      </w:r>
      <w:r>
        <w:t xml:space="preserve"> of </w:t>
      </w:r>
      <w:r>
        <w:rPr>
          <w:rFonts w:hint="eastAsia"/>
        </w:rPr>
        <w:t xml:space="preserve">Oxford)應用統計理學碩士學位。彼亦於2012年榮獲新加坡國慶獎章公共</w:t>
      </w:r>
    </w:p>
    <w:p>
      <w:pPr>
        <w:pStyle w:val="BodyText"/>
      </w:pPr>
      <w:r>
        <w:rPr>
          <w:rFonts w:hint="eastAsia"/>
        </w:rPr>
        <w:t xml:space="preserve">管理功績獎章（金章）(Public</w:t>
      </w:r>
      <w:r>
        <w:t xml:space="preserve"> Administration Medal (Gold) (Bar) at the Singapore National Day Awards)。</w:t>
      </w:r>
    </w:p>
    <w:p>
      <w:pPr>
        <w:pStyle w:val="BodyText"/>
      </w:pPr>
      <w:r>
        <w:t xml:space="preserve">Narongchai </w:t>
      </w:r>
      <w:r>
        <w:rPr>
          <w:rFonts w:hint="eastAsia"/>
        </w:rPr>
        <w:t xml:space="preserve">AKRASANEE博士</w:t>
      </w:r>
    </w:p>
    <w:p>
      <w:pPr>
        <w:pStyle w:val="BodyText"/>
      </w:pPr>
      <w:r>
        <w:rPr>
          <w:rFonts w:hint="eastAsia"/>
        </w:rPr>
        <w:t xml:space="preserve">75歲，於2016年1月15日獲委任為本公司獨立非執行董事。彼現亦擔任本公司審核委員會及提名委員會成員以及</w:t>
      </w:r>
    </w:p>
    <w:p>
      <w:pPr>
        <w:pStyle w:val="BodyText"/>
      </w:pPr>
      <w:r>
        <w:rPr>
          <w:rFonts w:hint="eastAsia"/>
        </w:rPr>
        <w:t xml:space="preserve">AIA泰國之顧問委員會主席。Narongchai博士曾於2012年11月21日至2014年8月31日出任本公司之獨立非執行</w:t>
      </w:r>
    </w:p>
    <w:p>
      <w:pPr>
        <w:pStyle w:val="BodyText"/>
      </w:pPr>
      <w:r>
        <w:rPr>
          <w:rFonts w:hint="eastAsia"/>
        </w:rPr>
        <w:t xml:space="preserve">董事。彼為前泰國能源部部長、商務部部長及曾擔任議員。Narongchai博士由2005年12月至2010年6月曾擔任</w:t>
      </w:r>
    </w:p>
    <w:p>
      <w:pPr>
        <w:pStyle w:val="BodyText"/>
      </w:pPr>
      <w:r>
        <w:rPr>
          <w:rFonts w:hint="eastAsia"/>
        </w:rPr>
        <w:t xml:space="preserve">泰</w:t>
      </w:r>
      <w:r>
        <w:t xml:space="preserve"> </w:t>
      </w:r>
      <w:r>
        <w:rPr>
          <w:rFonts w:hint="eastAsia"/>
        </w:rPr>
        <w:t xml:space="preserve">國</w:t>
      </w:r>
      <w:r>
        <w:t xml:space="preserve"> </w:t>
      </w:r>
      <w:r>
        <w:rPr>
          <w:rFonts w:hint="eastAsia"/>
        </w:rPr>
        <w:t xml:space="preserve">進</w:t>
      </w:r>
      <w:r>
        <w:t xml:space="preserve"> </w:t>
      </w:r>
      <w:r>
        <w:rPr>
          <w:rFonts w:hint="eastAsia"/>
        </w:rPr>
        <w:t xml:space="preserve">出</w:t>
      </w:r>
      <w:r>
        <w:t xml:space="preserve"> </w:t>
      </w:r>
      <w:r>
        <w:rPr>
          <w:rFonts w:hint="eastAsia"/>
        </w:rPr>
        <w:t xml:space="preserve">口</w:t>
      </w:r>
      <w:r>
        <w:t xml:space="preserve"> </w:t>
      </w:r>
      <w:r>
        <w:rPr>
          <w:rFonts w:hint="eastAsia"/>
        </w:rPr>
        <w:t xml:space="preserve">銀</w:t>
      </w:r>
      <w:r>
        <w:t xml:space="preserve"> </w:t>
      </w:r>
      <w:r>
        <w:rPr>
          <w:rFonts w:hint="eastAsia"/>
        </w:rPr>
        <w:t xml:space="preserve">行(Export-Import</w:t>
      </w:r>
      <w:r>
        <w:t xml:space="preserve"> Bank of </w:t>
      </w:r>
      <w:r>
        <w:rPr>
          <w:rFonts w:hint="eastAsia"/>
        </w:rPr>
        <w:t xml:space="preserve">Thailand)主</w:t>
      </w:r>
      <w:r>
        <w:t xml:space="preserve"> </w:t>
      </w:r>
      <w:r>
        <w:rPr>
          <w:rFonts w:hint="eastAsia"/>
        </w:rPr>
        <w:t xml:space="preserve">席、</w:t>
      </w:r>
      <w:r>
        <w:t xml:space="preserve"> </w:t>
      </w:r>
      <w:r>
        <w:rPr>
          <w:rFonts w:hint="eastAsia"/>
        </w:rPr>
        <w:t xml:space="preserve">於2007年10月</w:t>
      </w:r>
      <w:r>
        <w:t xml:space="preserve"> </w:t>
      </w:r>
      <w:r>
        <w:rPr>
          <w:rFonts w:hint="eastAsia"/>
        </w:rPr>
        <w:t xml:space="preserve">至2012年8月</w:t>
      </w:r>
      <w:r>
        <w:t xml:space="preserve"> </w:t>
      </w:r>
      <w:r>
        <w:rPr>
          <w:rFonts w:hint="eastAsia"/>
        </w:rPr>
        <w:t xml:space="preserve">擔</w:t>
      </w:r>
      <w:r>
        <w:t xml:space="preserve"> </w:t>
      </w:r>
      <w:r>
        <w:rPr>
          <w:rFonts w:hint="eastAsia"/>
        </w:rPr>
        <w:t xml:space="preserve">任</w:t>
      </w:r>
      <w:r>
        <w:t xml:space="preserve"> </w:t>
      </w:r>
      <w:r>
        <w:rPr>
          <w:rFonts w:hint="eastAsia"/>
        </w:rPr>
        <w:t xml:space="preserve">泰</w:t>
      </w:r>
      <w:r>
        <w:t xml:space="preserve"> </w:t>
      </w:r>
      <w:r>
        <w:rPr>
          <w:rFonts w:hint="eastAsia"/>
        </w:rPr>
        <w:t xml:space="preserve">國</w:t>
      </w:r>
      <w:r>
        <w:t xml:space="preserve"> </w:t>
      </w:r>
      <w:r>
        <w:rPr>
          <w:rFonts w:hint="eastAsia"/>
        </w:rPr>
        <w:t xml:space="preserve">保</w:t>
      </w:r>
      <w:r>
        <w:t xml:space="preserve"> </w:t>
      </w:r>
      <w:r>
        <w:rPr>
          <w:rFonts w:hint="eastAsia"/>
        </w:rPr>
        <w:t xml:space="preserve">險</w:t>
      </w:r>
      <w:r>
        <w:t xml:space="preserve"> </w:t>
      </w:r>
      <w:r>
        <w:rPr>
          <w:rFonts w:hint="eastAsia"/>
        </w:rPr>
        <w:t xml:space="preserve">監</w:t>
      </w:r>
      <w:r>
        <w:t xml:space="preserve"> </w:t>
      </w:r>
      <w:r>
        <w:rPr>
          <w:rFonts w:hint="eastAsia"/>
        </w:rPr>
        <w:t xml:space="preserve">管</w:t>
      </w:r>
      <w:r>
        <w:t xml:space="preserve"> </w:t>
      </w:r>
      <w:r>
        <w:rPr>
          <w:rFonts w:hint="eastAsia"/>
        </w:rPr>
        <w:t xml:space="preserve">局</w:t>
      </w:r>
    </w:p>
    <w:p>
      <w:pPr>
        <w:pStyle w:val="BodyText"/>
      </w:pPr>
      <w:r>
        <w:t xml:space="preserve">(Office of the Insurance </w:t>
      </w:r>
      <w:r>
        <w:rPr>
          <w:rFonts w:hint="eastAsia"/>
        </w:rPr>
        <w:t xml:space="preserve">Commission)董事、於2009年7月至2013年7月擔任泰國國家經濟及社會發展局(National</w:t>
      </w:r>
    </w:p>
    <w:p>
      <w:pPr>
        <w:pStyle w:val="BodyText"/>
      </w:pPr>
      <w:r>
        <w:t xml:space="preserve">Economic and Social Development </w:t>
      </w:r>
      <w:r>
        <w:rPr>
          <w:rFonts w:hint="eastAsia"/>
        </w:rPr>
        <w:t xml:space="preserve">Board)董</w:t>
      </w:r>
      <w:r>
        <w:t xml:space="preserve"> </w:t>
      </w:r>
      <w:r>
        <w:rPr>
          <w:rFonts w:hint="eastAsia"/>
        </w:rPr>
        <w:t xml:space="preserve">事、</w:t>
      </w:r>
      <w:r>
        <w:t xml:space="preserve"> </w:t>
      </w:r>
      <w:r>
        <w:rPr>
          <w:rFonts w:hint="eastAsia"/>
        </w:rPr>
        <w:t xml:space="preserve">並</w:t>
      </w:r>
      <w:r>
        <w:t xml:space="preserve"> </w:t>
      </w:r>
      <w:r>
        <w:rPr>
          <w:rFonts w:hint="eastAsia"/>
        </w:rPr>
        <w:t xml:space="preserve">於2011年11月</w:t>
      </w:r>
      <w:r>
        <w:t xml:space="preserve"> </w:t>
      </w:r>
      <w:r>
        <w:rPr>
          <w:rFonts w:hint="eastAsia"/>
        </w:rPr>
        <w:t xml:space="preserve">至2014年9月</w:t>
      </w:r>
      <w:r>
        <w:t xml:space="preserve"> </w:t>
      </w:r>
      <w:r>
        <w:rPr>
          <w:rFonts w:hint="eastAsia"/>
        </w:rPr>
        <w:t xml:space="preserve">擔</w:t>
      </w:r>
      <w:r>
        <w:t xml:space="preserve"> </w:t>
      </w:r>
      <w:r>
        <w:rPr>
          <w:rFonts w:hint="eastAsia"/>
        </w:rPr>
        <w:t xml:space="preserve">任</w:t>
      </w:r>
      <w:r>
        <w:t xml:space="preserve"> </w:t>
      </w:r>
      <w:r>
        <w:rPr>
          <w:rFonts w:hint="eastAsia"/>
        </w:rPr>
        <w:t xml:space="preserve">泰</w:t>
      </w:r>
      <w:r>
        <w:t xml:space="preserve"> </w:t>
      </w:r>
      <w:r>
        <w:rPr>
          <w:rFonts w:hint="eastAsia"/>
        </w:rPr>
        <w:t xml:space="preserve">國</w:t>
      </w:r>
      <w:r>
        <w:t xml:space="preserve"> </w:t>
      </w:r>
      <w:r>
        <w:rPr>
          <w:rFonts w:hint="eastAsia"/>
        </w:rPr>
        <w:t xml:space="preserve">中</w:t>
      </w:r>
      <w:r>
        <w:t xml:space="preserve"> </w:t>
      </w:r>
      <w:r>
        <w:rPr>
          <w:rFonts w:hint="eastAsia"/>
        </w:rPr>
        <w:t xml:space="preserve">央</w:t>
      </w:r>
      <w:r>
        <w:t xml:space="preserve"> </w:t>
      </w:r>
      <w:r>
        <w:rPr>
          <w:rFonts w:hint="eastAsia"/>
        </w:rPr>
        <w:t xml:space="preserve">銀</w:t>
      </w:r>
      <w:r>
        <w:t xml:space="preserve"> </w:t>
      </w:r>
      <w:r>
        <w:rPr>
          <w:rFonts w:hint="eastAsia"/>
        </w:rPr>
        <w:t xml:space="preserve">行</w:t>
      </w:r>
      <w:r>
        <w:t xml:space="preserve"> </w:t>
      </w:r>
      <w:r>
        <w:rPr>
          <w:rFonts w:hint="eastAsia"/>
        </w:rPr>
        <w:t xml:space="preserve">之</w:t>
      </w:r>
      <w:r>
        <w:t xml:space="preserve"> </w:t>
      </w:r>
      <w:r>
        <w:rPr>
          <w:rFonts w:hint="eastAsia"/>
        </w:rPr>
        <w:t xml:space="preserve">貨</w:t>
      </w:r>
      <w:r>
        <w:t xml:space="preserve"> </w:t>
      </w:r>
      <w:r>
        <w:rPr>
          <w:rFonts w:hint="eastAsia"/>
        </w:rPr>
        <w:t xml:space="preserve">幣</w:t>
      </w:r>
      <w:r>
        <w:t xml:space="preserve"> </w:t>
      </w:r>
      <w:r>
        <w:rPr>
          <w:rFonts w:hint="eastAsia"/>
        </w:rPr>
        <w:t xml:space="preserve">政</w:t>
      </w:r>
      <w:r>
        <w:t xml:space="preserve"> </w:t>
      </w:r>
      <w:r>
        <w:rPr>
          <w:rFonts w:hint="eastAsia"/>
        </w:rPr>
        <w:t xml:space="preserve">策</w:t>
      </w:r>
    </w:p>
    <w:p>
      <w:pPr>
        <w:pStyle w:val="BodyText"/>
      </w:pPr>
      <w:r>
        <w:rPr>
          <w:rFonts w:hint="eastAsia"/>
        </w:rPr>
        <w:t xml:space="preserve">委員會委員。彼現為Mekong</w:t>
      </w:r>
      <w:r>
        <w:t xml:space="preserve"> </w:t>
      </w:r>
      <w:r>
        <w:rPr>
          <w:rFonts w:hint="eastAsia"/>
        </w:rPr>
        <w:t xml:space="preserve">Institute指導委員會主席及理事會副主席、泰國太平洋經濟合作理事會全國委員會</w:t>
      </w:r>
    </w:p>
    <w:p>
      <w:pPr>
        <w:pStyle w:val="BodyText"/>
      </w:pPr>
      <w:r>
        <w:t xml:space="preserve">(Thailand National Committee for the Pacific Economic Cooperation </w:t>
      </w:r>
      <w:r>
        <w:rPr>
          <w:rFonts w:hint="eastAsia"/>
        </w:rPr>
        <w:t xml:space="preserve">Council)主席及泰國孔敬大學理事會(Khon</w:t>
      </w:r>
    </w:p>
    <w:p>
      <w:pPr>
        <w:pStyle w:val="BodyText"/>
      </w:pPr>
      <w:r>
        <w:t xml:space="preserve">Kaen University </w:t>
      </w:r>
      <w:r>
        <w:rPr>
          <w:rFonts w:hint="eastAsia"/>
        </w:rPr>
        <w:t xml:space="preserve">Council)主席。Narongchai博士現亦擔任於泰國證券交易所上市的三間企業的主席兼獨立董事，</w:t>
      </w:r>
    </w:p>
    <w:p>
      <w:pPr>
        <w:pStyle w:val="BodyText"/>
      </w:pPr>
      <w:r>
        <w:rPr>
          <w:rFonts w:hint="eastAsia"/>
        </w:rPr>
        <w:t xml:space="preserve">分</w:t>
      </w:r>
      <w:r>
        <w:t xml:space="preserve"> </w:t>
      </w:r>
      <w:r>
        <w:rPr>
          <w:rFonts w:hint="eastAsia"/>
        </w:rPr>
        <w:t xml:space="preserve">別</w:t>
      </w:r>
      <w:r>
        <w:t xml:space="preserve"> </w:t>
      </w:r>
      <w:r>
        <w:rPr>
          <w:rFonts w:hint="eastAsia"/>
        </w:rPr>
        <w:t xml:space="preserve">為MFC</w:t>
      </w:r>
      <w:r>
        <w:t xml:space="preserve"> Asset Management Public Company Limited、Ananda Development Public Company </w:t>
      </w:r>
      <w:r>
        <w:rPr>
          <w:rFonts w:hint="eastAsia"/>
        </w:rPr>
        <w:t xml:space="preserve">Limited及</w:t>
      </w:r>
    </w:p>
    <w:p>
      <w:pPr>
        <w:pStyle w:val="BodyText"/>
      </w:pPr>
      <w:r>
        <w:t xml:space="preserve">Thai-German Products Public Company Limited。 </w:t>
      </w:r>
      <w:r>
        <w:rPr>
          <w:rFonts w:hint="eastAsia"/>
        </w:rPr>
        <w:t xml:space="preserve">彼</w:t>
      </w:r>
      <w:r>
        <w:t xml:space="preserve"> </w:t>
      </w:r>
      <w:r>
        <w:rPr>
          <w:rFonts w:hint="eastAsia"/>
        </w:rPr>
        <w:t xml:space="preserve">為The</w:t>
      </w:r>
      <w:r>
        <w:t xml:space="preserve"> Brooker Group Public Company </w:t>
      </w:r>
      <w:r>
        <w:rPr>
          <w:rFonts w:hint="eastAsia"/>
        </w:rPr>
        <w:t xml:space="preserve">Limited（於</w:t>
      </w:r>
      <w:r>
        <w:t xml:space="preserve"> </w:t>
      </w:r>
      <w:r>
        <w:rPr>
          <w:rFonts w:hint="eastAsia"/>
        </w:rPr>
        <w:t xml:space="preserve">泰</w:t>
      </w:r>
      <w:r>
        <w:t xml:space="preserve"> </w:t>
      </w:r>
      <w:r>
        <w:rPr>
          <w:rFonts w:hint="eastAsia"/>
        </w:rPr>
        <w:t xml:space="preserve">國</w:t>
      </w:r>
    </w:p>
    <w:p>
      <w:pPr>
        <w:pStyle w:val="BodyText"/>
      </w:pPr>
      <w:r>
        <w:rPr>
          <w:rFonts w:hint="eastAsia"/>
        </w:rPr>
        <w:t xml:space="preserve">證</w:t>
      </w:r>
      <w:r>
        <w:t xml:space="preserve"> </w:t>
      </w:r>
      <w:r>
        <w:rPr>
          <w:rFonts w:hint="eastAsia"/>
        </w:rPr>
        <w:t xml:space="preserve">券</w:t>
      </w:r>
      <w:r>
        <w:t xml:space="preserve"> </w:t>
      </w:r>
      <w:r>
        <w:rPr>
          <w:rFonts w:hint="eastAsia"/>
        </w:rPr>
        <w:t xml:space="preserve">交</w:t>
      </w:r>
      <w:r>
        <w:t xml:space="preserve"> </w:t>
      </w:r>
      <w:r>
        <w:rPr>
          <w:rFonts w:hint="eastAsia"/>
        </w:rPr>
        <w:t xml:space="preserve">易</w:t>
      </w:r>
      <w:r>
        <w:t xml:space="preserve"> </w:t>
      </w:r>
      <w:r>
        <w:rPr>
          <w:rFonts w:hint="eastAsia"/>
        </w:rPr>
        <w:t xml:space="preserve">所</w:t>
      </w:r>
      <w:r>
        <w:t xml:space="preserve"> </w:t>
      </w:r>
      <w:r>
        <w:rPr>
          <w:rFonts w:hint="eastAsia"/>
        </w:rPr>
        <w:t xml:space="preserve">另</w:t>
      </w:r>
      <w:r>
        <w:t xml:space="preserve"> </w:t>
      </w:r>
      <w:r>
        <w:rPr>
          <w:rFonts w:hint="eastAsia"/>
        </w:rPr>
        <w:t xml:space="preserve">類</w:t>
      </w:r>
      <w:r>
        <w:t xml:space="preserve"> </w:t>
      </w:r>
      <w:r>
        <w:rPr>
          <w:rFonts w:hint="eastAsia"/>
        </w:rPr>
        <w:t xml:space="preserve">投</w:t>
      </w:r>
      <w:r>
        <w:t xml:space="preserve"> </w:t>
      </w:r>
      <w:r>
        <w:rPr>
          <w:rFonts w:hint="eastAsia"/>
        </w:rPr>
        <w:t xml:space="preserve">資</w:t>
      </w:r>
      <w:r>
        <w:t xml:space="preserve"> </w:t>
      </w:r>
      <w:r>
        <w:rPr>
          <w:rFonts w:hint="eastAsia"/>
        </w:rPr>
        <w:t xml:space="preserve">市</w:t>
      </w:r>
      <w:r>
        <w:t xml:space="preserve"> </w:t>
      </w:r>
      <w:r>
        <w:rPr>
          <w:rFonts w:hint="eastAsia"/>
        </w:rPr>
        <w:t xml:space="preserve">場(Market</w:t>
      </w:r>
      <w:r>
        <w:t xml:space="preserve"> for Alternative </w:t>
      </w:r>
      <w:r>
        <w:rPr>
          <w:rFonts w:hint="eastAsia"/>
        </w:rPr>
        <w:t xml:space="preserve">Investment)上</w:t>
      </w:r>
      <w:r>
        <w:t xml:space="preserve"> </w:t>
      </w:r>
      <w:r>
        <w:rPr>
          <w:rFonts w:hint="eastAsia"/>
        </w:rPr>
        <w:t xml:space="preserve">市）的</w:t>
      </w:r>
      <w:r>
        <w:t xml:space="preserve"> </w:t>
      </w:r>
      <w:r>
        <w:rPr>
          <w:rFonts w:hint="eastAsia"/>
        </w:rPr>
        <w:t xml:space="preserve">主</w:t>
      </w:r>
      <w:r>
        <w:t xml:space="preserve"> </w:t>
      </w:r>
      <w:r>
        <w:rPr>
          <w:rFonts w:hint="eastAsia"/>
        </w:rPr>
        <w:t xml:space="preserve">席</w:t>
      </w:r>
      <w:r>
        <w:t xml:space="preserve"> </w:t>
      </w:r>
      <w:r>
        <w:rPr>
          <w:rFonts w:hint="eastAsia"/>
        </w:rPr>
        <w:t xml:space="preserve">兼</w:t>
      </w:r>
      <w:r>
        <w:t xml:space="preserve"> </w:t>
      </w:r>
      <w:r>
        <w:rPr>
          <w:rFonts w:hint="eastAsia"/>
        </w:rPr>
        <w:t xml:space="preserve">獨</w:t>
      </w:r>
      <w:r>
        <w:t xml:space="preserve"> </w:t>
      </w:r>
      <w:r>
        <w:rPr>
          <w:rFonts w:hint="eastAsia"/>
        </w:rPr>
        <w:t xml:space="preserve">立</w:t>
      </w:r>
      <w:r>
        <w:t xml:space="preserve"> </w:t>
      </w:r>
      <w:r>
        <w:rPr>
          <w:rFonts w:hint="eastAsia"/>
        </w:rPr>
        <w:t xml:space="preserve">董</w:t>
      </w:r>
      <w:r>
        <w:t xml:space="preserve"> </w:t>
      </w:r>
      <w:r>
        <w:rPr>
          <w:rFonts w:hint="eastAsia"/>
        </w:rPr>
        <w:t xml:space="preserve">事。Narongchai博</w:t>
      </w:r>
      <w:r>
        <w:t xml:space="preserve"> </w:t>
      </w:r>
      <w:r>
        <w:rPr>
          <w:rFonts w:hint="eastAsia"/>
        </w:rPr>
        <w:t xml:space="preserve">士</w:t>
      </w:r>
      <w:r>
        <w:t xml:space="preserve"> </w:t>
      </w:r>
      <w:r>
        <w:rPr>
          <w:rFonts w:hint="eastAsia"/>
        </w:rPr>
        <w:t xml:space="preserve">現</w:t>
      </w:r>
    </w:p>
    <w:p>
      <w:pPr>
        <w:pStyle w:val="BodyText"/>
      </w:pPr>
      <w:r>
        <w:rPr>
          <w:rFonts w:hint="eastAsia"/>
        </w:rPr>
        <w:t xml:space="preserve">亦</w:t>
      </w:r>
      <w:r>
        <w:t xml:space="preserve"> </w:t>
      </w:r>
      <w:r>
        <w:rPr>
          <w:rFonts w:hint="eastAsia"/>
        </w:rPr>
        <w:t xml:space="preserve">為Seranee集</w:t>
      </w:r>
      <w:r>
        <w:t xml:space="preserve"> </w:t>
      </w:r>
      <w:r>
        <w:rPr>
          <w:rFonts w:hint="eastAsia"/>
        </w:rPr>
        <w:t xml:space="preserve">團</w:t>
      </w:r>
      <w:r>
        <w:t xml:space="preserve"> </w:t>
      </w:r>
      <w:r>
        <w:rPr>
          <w:rFonts w:hint="eastAsia"/>
        </w:rPr>
        <w:t xml:space="preserve">公</w:t>
      </w:r>
      <w:r>
        <w:t xml:space="preserve"> </w:t>
      </w:r>
      <w:r>
        <w:rPr>
          <w:rFonts w:hint="eastAsia"/>
        </w:rPr>
        <w:t xml:space="preserve">司</w:t>
      </w:r>
      <w:r>
        <w:t xml:space="preserve"> </w:t>
      </w:r>
      <w:r>
        <w:rPr>
          <w:rFonts w:hint="eastAsia"/>
        </w:rPr>
        <w:t xml:space="preserve">的</w:t>
      </w:r>
      <w:r>
        <w:t xml:space="preserve"> </w:t>
      </w:r>
      <w:r>
        <w:rPr>
          <w:rFonts w:hint="eastAsia"/>
        </w:rPr>
        <w:t xml:space="preserve">主</w:t>
      </w:r>
      <w:r>
        <w:t xml:space="preserve"> </w:t>
      </w:r>
      <w:r>
        <w:rPr>
          <w:rFonts w:hint="eastAsia"/>
        </w:rPr>
        <w:t xml:space="preserve">席。</w:t>
      </w:r>
      <w:r>
        <w:t xml:space="preserve"> </w:t>
      </w:r>
      <w:r>
        <w:rPr>
          <w:rFonts w:hint="eastAsia"/>
        </w:rPr>
        <w:t xml:space="preserve">彼</w:t>
      </w:r>
      <w:r>
        <w:t xml:space="preserve"> </w:t>
      </w:r>
      <w:r>
        <w:rPr>
          <w:rFonts w:hint="eastAsia"/>
        </w:rPr>
        <w:t xml:space="preserve">曾</w:t>
      </w:r>
      <w:r>
        <w:t xml:space="preserve"> </w:t>
      </w:r>
      <w:r>
        <w:rPr>
          <w:rFonts w:hint="eastAsia"/>
        </w:rPr>
        <w:t xml:space="preserve">擔</w:t>
      </w:r>
      <w:r>
        <w:t xml:space="preserve"> </w:t>
      </w:r>
      <w:r>
        <w:rPr>
          <w:rFonts w:hint="eastAsia"/>
        </w:rPr>
        <w:t xml:space="preserve">任Malee</w:t>
      </w:r>
      <w:r>
        <w:t xml:space="preserve"> Sampran Public Company </w:t>
      </w:r>
      <w:r>
        <w:rPr>
          <w:rFonts w:hint="eastAsia"/>
        </w:rPr>
        <w:t xml:space="preserve">Limited及ABICO</w:t>
      </w:r>
      <w:r>
        <w:t xml:space="preserve"> Holdings Public</w:t>
      </w:r>
    </w:p>
    <w:p>
      <w:pPr>
        <w:pStyle w:val="BodyText"/>
      </w:pPr>
      <w:r>
        <w:t xml:space="preserve">Company </w:t>
      </w:r>
      <w:r>
        <w:rPr>
          <w:rFonts w:hint="eastAsia"/>
        </w:rPr>
        <w:t xml:space="preserve">Limited的</w:t>
      </w:r>
      <w:r>
        <w:t xml:space="preserve"> </w:t>
      </w:r>
      <w:r>
        <w:rPr>
          <w:rFonts w:hint="eastAsia"/>
        </w:rPr>
        <w:t xml:space="preserve">獨</w:t>
      </w:r>
      <w:r>
        <w:t xml:space="preserve"> </w:t>
      </w:r>
      <w:r>
        <w:rPr>
          <w:rFonts w:hint="eastAsia"/>
        </w:rPr>
        <w:t xml:space="preserve">立</w:t>
      </w:r>
      <w:r>
        <w:t xml:space="preserve"> </w:t>
      </w:r>
      <w:r>
        <w:rPr>
          <w:rFonts w:hint="eastAsia"/>
        </w:rPr>
        <w:t xml:space="preserve">董</w:t>
      </w:r>
      <w:r>
        <w:t xml:space="preserve"> </w:t>
      </w:r>
      <w:r>
        <w:rPr>
          <w:rFonts w:hint="eastAsia"/>
        </w:rPr>
        <w:t xml:space="preserve">事</w:t>
      </w:r>
      <w:r>
        <w:t xml:space="preserve"> </w:t>
      </w:r>
      <w:r>
        <w:rPr>
          <w:rFonts w:hint="eastAsia"/>
        </w:rPr>
        <w:t xml:space="preserve">及Thai-German</w:t>
      </w:r>
      <w:r>
        <w:t xml:space="preserve"> Products Public Company </w:t>
      </w:r>
      <w:r>
        <w:rPr>
          <w:rFonts w:hint="eastAsia"/>
        </w:rPr>
        <w:t xml:space="preserve">Limited的</w:t>
      </w:r>
      <w:r>
        <w:t xml:space="preserve"> </w:t>
      </w:r>
      <w:r>
        <w:rPr>
          <w:rFonts w:hint="eastAsia"/>
        </w:rPr>
        <w:t xml:space="preserve">副</w:t>
      </w:r>
      <w:r>
        <w:t xml:space="preserve"> </w:t>
      </w:r>
      <w:r>
        <w:rPr>
          <w:rFonts w:hint="eastAsia"/>
        </w:rPr>
        <w:t xml:space="preserve">主</w:t>
      </w:r>
      <w:r>
        <w:t xml:space="preserve"> </w:t>
      </w:r>
      <w:r>
        <w:rPr>
          <w:rFonts w:hint="eastAsia"/>
        </w:rPr>
        <w:t xml:space="preserve">席</w:t>
      </w:r>
      <w:r>
        <w:t xml:space="preserve"> </w:t>
      </w:r>
      <w:r>
        <w:rPr>
          <w:rFonts w:hint="eastAsia"/>
        </w:rPr>
        <w:t xml:space="preserve">兼</w:t>
      </w:r>
      <w:r>
        <w:t xml:space="preserve"> </w:t>
      </w:r>
      <w:r>
        <w:rPr>
          <w:rFonts w:hint="eastAsia"/>
        </w:rPr>
        <w:t xml:space="preserve">獨</w:t>
      </w:r>
      <w:r>
        <w:t xml:space="preserve"> </w:t>
      </w:r>
      <w:r>
        <w:rPr>
          <w:rFonts w:hint="eastAsia"/>
        </w:rPr>
        <w:t xml:space="preserve">立</w:t>
      </w:r>
      <w:r>
        <w:t xml:space="preserve"> </w:t>
      </w:r>
      <w:r>
        <w:rPr>
          <w:rFonts w:hint="eastAsia"/>
        </w:rPr>
        <w:t xml:space="preserve">董</w:t>
      </w:r>
      <w:r>
        <w:t xml:space="preserve"> </w:t>
      </w:r>
      <w:r>
        <w:rPr>
          <w:rFonts w:hint="eastAsia"/>
        </w:rPr>
        <w:t xml:space="preserve">事，</w:t>
      </w:r>
      <w:r>
        <w:t xml:space="preserve"> </w:t>
      </w:r>
      <w:r>
        <w:rPr>
          <w:rFonts w:hint="eastAsia"/>
        </w:rPr>
        <w:t xml:space="preserve">以</w:t>
      </w:r>
      <w:r>
        <w:t xml:space="preserve"> </w:t>
      </w:r>
      <w:r>
        <w:rPr>
          <w:rFonts w:hint="eastAsia"/>
        </w:rPr>
        <w:t xml:space="preserve">上</w:t>
      </w:r>
    </w:p>
    <w:p>
      <w:pPr>
        <w:pStyle w:val="BodyText"/>
      </w:pPr>
      <w:r>
        <w:rPr>
          <w:rFonts w:hint="eastAsia"/>
        </w:rPr>
        <w:t xml:space="preserve">公司均於泰國證券交易所上市。Narongchai博士自University</w:t>
      </w:r>
      <w:r>
        <w:t xml:space="preserve"> of Western </w:t>
      </w:r>
      <w:r>
        <w:rPr>
          <w:rFonts w:hint="eastAsia"/>
        </w:rPr>
        <w:t xml:space="preserve">Australia取得經濟學榮譽學士學位，</w:t>
      </w:r>
    </w:p>
    <w:p>
      <w:pPr>
        <w:pStyle w:val="BodyText"/>
      </w:pPr>
      <w:r>
        <w:rPr>
          <w:rFonts w:hint="eastAsia"/>
        </w:rPr>
        <w:t xml:space="preserve">及自Johns</w:t>
      </w:r>
      <w:r>
        <w:t xml:space="preserve"> Hopkins </w:t>
      </w:r>
      <w:r>
        <w:rPr>
          <w:rFonts w:hint="eastAsia"/>
        </w:rPr>
        <w:t xml:space="preserve">University取得經濟學碩士學位和博士學位。</w:t>
      </w:r>
    </w:p>
    <w:p>
      <w:pPr>
        <w:pStyle w:val="BodyText"/>
      </w:pPr>
      <w:r>
        <w:t xml:space="preserve">076</w:t>
      </w:r>
    </w:p>
    <w:p>
      <w:pPr>
        <w:pStyle w:val="BodyText"/>
      </w:pPr>
      <w:r>
        <w:rPr>
          <w:rFonts w:hint="eastAsia"/>
        </w:rPr>
        <w:t xml:space="preserve">企業管治友邦保險控股有限公司董事會</w:t>
      </w:r>
    </w:p>
    <w:p>
      <w:pPr>
        <w:pStyle w:val="BodyText"/>
      </w:pPr>
      <w:r>
        <w:t xml:space="preserve">Cesar Velasquez </w:t>
      </w:r>
      <w:r>
        <w:rPr>
          <w:rFonts w:hint="eastAsia"/>
        </w:rPr>
        <w:t xml:space="preserve">PURISIMA先生</w:t>
      </w:r>
    </w:p>
    <w:p>
      <w:pPr>
        <w:pStyle w:val="BodyText"/>
      </w:pPr>
      <w:r>
        <w:rPr>
          <w:rFonts w:hint="eastAsia"/>
        </w:rPr>
        <w:t xml:space="preserve">60歲，於2017年9月1日獲委任為本公司獨立非執行董事。彼現亦擔任本公司審核委員會及提名委員會成員。</w:t>
      </w:r>
    </w:p>
    <w:p>
      <w:pPr>
        <w:pStyle w:val="BodyText"/>
      </w:pPr>
      <w:r>
        <w:rPr>
          <w:rFonts w:hint="eastAsia"/>
        </w:rPr>
        <w:t xml:space="preserve">Purisima先</w:t>
      </w:r>
      <w:r>
        <w:t xml:space="preserve"> </w:t>
      </w:r>
      <w:r>
        <w:rPr>
          <w:rFonts w:hint="eastAsia"/>
        </w:rPr>
        <w:t xml:space="preserve">生</w:t>
      </w:r>
      <w:r>
        <w:t xml:space="preserve"> </w:t>
      </w:r>
      <w:r>
        <w:rPr>
          <w:rFonts w:hint="eastAsia"/>
        </w:rPr>
        <w:t xml:space="preserve">現</w:t>
      </w:r>
      <w:r>
        <w:t xml:space="preserve"> </w:t>
      </w:r>
      <w:r>
        <w:rPr>
          <w:rFonts w:hint="eastAsia"/>
        </w:rPr>
        <w:t xml:space="preserve">任Ayala</w:t>
      </w:r>
      <w:r>
        <w:t xml:space="preserve"> Land, Inc.、Universal Robina </w:t>
      </w:r>
      <w:r>
        <w:rPr>
          <w:rFonts w:hint="eastAsia"/>
        </w:rPr>
        <w:t xml:space="preserve">Corporation及Jollibee</w:t>
      </w:r>
      <w:r>
        <w:t xml:space="preserve"> Foods </w:t>
      </w:r>
      <w:r>
        <w:rPr>
          <w:rFonts w:hint="eastAsia"/>
        </w:rPr>
        <w:t xml:space="preserve">Corporation（以</w:t>
      </w:r>
      <w:r>
        <w:t xml:space="preserve"> </w:t>
      </w:r>
      <w:r>
        <w:rPr>
          <w:rFonts w:hint="eastAsia"/>
        </w:rPr>
        <w:t xml:space="preserve">上</w:t>
      </w:r>
      <w:r>
        <w:t xml:space="preserve"> </w:t>
      </w:r>
      <w:r>
        <w:rPr>
          <w:rFonts w:hint="eastAsia"/>
        </w:rPr>
        <w:t xml:space="preserve">公</w:t>
      </w:r>
      <w:r>
        <w:t xml:space="preserve"> </w:t>
      </w:r>
      <w:r>
        <w:rPr>
          <w:rFonts w:hint="eastAsia"/>
        </w:rPr>
        <w:t xml:space="preserve">司</w:t>
      </w:r>
    </w:p>
    <w:p>
      <w:pPr>
        <w:pStyle w:val="BodyText"/>
      </w:pPr>
      <w:r>
        <w:rPr>
          <w:rFonts w:hint="eastAsia"/>
        </w:rPr>
        <w:t xml:space="preserve">均</w:t>
      </w:r>
      <w:r>
        <w:t xml:space="preserve"> </w:t>
      </w:r>
      <w:r>
        <w:rPr>
          <w:rFonts w:hint="eastAsia"/>
        </w:rPr>
        <w:t xml:space="preserve">於</w:t>
      </w:r>
      <w:r>
        <w:t xml:space="preserve"> </w:t>
      </w:r>
      <w:r>
        <w:rPr>
          <w:rFonts w:hint="eastAsia"/>
        </w:rPr>
        <w:t xml:space="preserve">菲</w:t>
      </w:r>
      <w:r>
        <w:t xml:space="preserve"> </w:t>
      </w:r>
      <w:r>
        <w:rPr>
          <w:rFonts w:hint="eastAsia"/>
        </w:rPr>
        <w:t xml:space="preserve">律</w:t>
      </w:r>
      <w:r>
        <w:t xml:space="preserve"> </w:t>
      </w:r>
      <w:r>
        <w:rPr>
          <w:rFonts w:hint="eastAsia"/>
        </w:rPr>
        <w:t xml:space="preserve">賓</w:t>
      </w:r>
      <w:r>
        <w:t xml:space="preserve"> </w:t>
      </w:r>
      <w:r>
        <w:rPr>
          <w:rFonts w:hint="eastAsia"/>
        </w:rPr>
        <w:t xml:space="preserve">證</w:t>
      </w:r>
      <w:r>
        <w:t xml:space="preserve"> </w:t>
      </w:r>
      <w:r>
        <w:rPr>
          <w:rFonts w:hint="eastAsia"/>
        </w:rPr>
        <w:t xml:space="preserve">券</w:t>
      </w:r>
      <w:r>
        <w:t xml:space="preserve"> </w:t>
      </w:r>
      <w:r>
        <w:rPr>
          <w:rFonts w:hint="eastAsia"/>
        </w:rPr>
        <w:t xml:space="preserve">交</w:t>
      </w:r>
      <w:r>
        <w:t xml:space="preserve"> </w:t>
      </w:r>
      <w:r>
        <w:rPr>
          <w:rFonts w:hint="eastAsia"/>
        </w:rPr>
        <w:t xml:space="preserve">易</w:t>
      </w:r>
      <w:r>
        <w:t xml:space="preserve"> </w:t>
      </w:r>
      <w:r>
        <w:rPr>
          <w:rFonts w:hint="eastAsia"/>
        </w:rPr>
        <w:t xml:space="preserve">所(The</w:t>
      </w:r>
      <w:r>
        <w:t xml:space="preserve"> Philippine Stock </w:t>
      </w:r>
      <w:r>
        <w:rPr>
          <w:rFonts w:hint="eastAsia"/>
        </w:rPr>
        <w:t xml:space="preserve">Exchange)上</w:t>
      </w:r>
      <w:r>
        <w:t xml:space="preserve"> </w:t>
      </w:r>
      <w:r>
        <w:rPr>
          <w:rFonts w:hint="eastAsia"/>
        </w:rPr>
        <w:t xml:space="preserve">市）之</w:t>
      </w:r>
      <w:r>
        <w:t xml:space="preserve"> </w:t>
      </w:r>
      <w:r>
        <w:rPr>
          <w:rFonts w:hint="eastAsia"/>
        </w:rPr>
        <w:t xml:space="preserve">獨</w:t>
      </w:r>
      <w:r>
        <w:t xml:space="preserve"> </w:t>
      </w:r>
      <w:r>
        <w:rPr>
          <w:rFonts w:hint="eastAsia"/>
        </w:rPr>
        <w:t xml:space="preserve">立</w:t>
      </w:r>
      <w:r>
        <w:t xml:space="preserve"> </w:t>
      </w:r>
      <w:r>
        <w:rPr>
          <w:rFonts w:hint="eastAsia"/>
        </w:rPr>
        <w:t xml:space="preserve">董</w:t>
      </w:r>
      <w:r>
        <w:t xml:space="preserve"> </w:t>
      </w:r>
      <w:r>
        <w:rPr>
          <w:rFonts w:hint="eastAsia"/>
        </w:rPr>
        <w:t xml:space="preserve">事。</w:t>
      </w:r>
      <w:r>
        <w:t xml:space="preserve"> </w:t>
      </w:r>
      <w:r>
        <w:rPr>
          <w:rFonts w:hint="eastAsia"/>
        </w:rPr>
        <w:t xml:space="preserve">彼</w:t>
      </w:r>
      <w:r>
        <w:t xml:space="preserve"> </w:t>
      </w:r>
      <w:r>
        <w:rPr>
          <w:rFonts w:hint="eastAsia"/>
        </w:rPr>
        <w:t xml:space="preserve">亦</w:t>
      </w:r>
      <w:r>
        <w:t xml:space="preserve"> </w:t>
      </w:r>
      <w:r>
        <w:rPr>
          <w:rFonts w:hint="eastAsia"/>
        </w:rPr>
        <w:t xml:space="preserve">為Ikhlas</w:t>
      </w:r>
      <w:r>
        <w:t xml:space="preserve"> Capital Singapore</w:t>
      </w:r>
    </w:p>
    <w:p>
      <w:pPr>
        <w:pStyle w:val="BodyText"/>
      </w:pPr>
      <w:r>
        <w:t xml:space="preserve">Pte. </w:t>
      </w:r>
      <w:r>
        <w:rPr>
          <w:rFonts w:hint="eastAsia"/>
        </w:rPr>
        <w:t xml:space="preserve">Ltd.的創始合夥人、三井住友銀行(Sumitomo</w:t>
      </w:r>
      <w:r>
        <w:t xml:space="preserve"> Mitsui Banking </w:t>
      </w:r>
      <w:r>
        <w:rPr>
          <w:rFonts w:hint="eastAsia"/>
        </w:rPr>
        <w:t xml:space="preserve">Corporation)全球諮詢委員會委員及菲律賓</w:t>
      </w:r>
    </w:p>
    <w:p>
      <w:pPr>
        <w:pStyle w:val="BodyText"/>
      </w:pPr>
      <w:r>
        <w:rPr>
          <w:rFonts w:hint="eastAsia"/>
        </w:rPr>
        <w:t xml:space="preserve">共和國（「菲律賓」）的新加坡管理學院(Singapore</w:t>
      </w:r>
      <w:r>
        <w:t xml:space="preserve"> Management </w:t>
      </w:r>
      <w:r>
        <w:rPr>
          <w:rFonts w:hint="eastAsia"/>
        </w:rPr>
        <w:t xml:space="preserve">University)國際顧問委員會成員。彼亦為世界</w:t>
      </w:r>
    </w:p>
    <w:p>
      <w:pPr>
        <w:pStyle w:val="BodyText"/>
      </w:pPr>
      <w:r>
        <w:rPr>
          <w:rFonts w:hint="eastAsia"/>
        </w:rPr>
        <w:t xml:space="preserve">自</w:t>
      </w:r>
      <w:r>
        <w:t xml:space="preserve"> </w:t>
      </w:r>
      <w:r>
        <w:rPr>
          <w:rFonts w:hint="eastAsia"/>
        </w:rPr>
        <w:t xml:space="preserve">然</w:t>
      </w:r>
      <w:r>
        <w:t xml:space="preserve"> </w:t>
      </w:r>
      <w:r>
        <w:rPr>
          <w:rFonts w:hint="eastAsia"/>
        </w:rPr>
        <w:t xml:space="preserve">基</w:t>
      </w:r>
      <w:r>
        <w:t xml:space="preserve"> </w:t>
      </w:r>
      <w:r>
        <w:rPr>
          <w:rFonts w:hint="eastAsia"/>
        </w:rPr>
        <w:t xml:space="preserve">金</w:t>
      </w:r>
      <w:r>
        <w:t xml:space="preserve"> </w:t>
      </w:r>
      <w:r>
        <w:rPr>
          <w:rFonts w:hint="eastAsia"/>
        </w:rPr>
        <w:t xml:space="preserve">會</w:t>
      </w:r>
      <w:r>
        <w:t xml:space="preserve"> </w:t>
      </w:r>
      <w:r>
        <w:rPr>
          <w:rFonts w:hint="eastAsia"/>
        </w:rPr>
        <w:t xml:space="preserve">菲</w:t>
      </w:r>
      <w:r>
        <w:t xml:space="preserve"> </w:t>
      </w:r>
      <w:r>
        <w:rPr>
          <w:rFonts w:hint="eastAsia"/>
        </w:rPr>
        <w:t xml:space="preserve">律</w:t>
      </w:r>
      <w:r>
        <w:t xml:space="preserve"> </w:t>
      </w:r>
      <w:r>
        <w:rPr>
          <w:rFonts w:hint="eastAsia"/>
        </w:rPr>
        <w:t xml:space="preserve">賓</w:t>
      </w:r>
      <w:r>
        <w:t xml:space="preserve"> </w:t>
      </w:r>
      <w:r>
        <w:rPr>
          <w:rFonts w:hint="eastAsia"/>
        </w:rPr>
        <w:t xml:space="preserve">分</w:t>
      </w:r>
      <w:r>
        <w:t xml:space="preserve"> </w:t>
      </w:r>
      <w:r>
        <w:rPr>
          <w:rFonts w:hint="eastAsia"/>
        </w:rPr>
        <w:t xml:space="preserve">會(World</w:t>
      </w:r>
      <w:r>
        <w:t xml:space="preserve"> Wildlife Fund – Philippines)、De La Salle </w:t>
      </w:r>
      <w:r>
        <w:rPr>
          <w:rFonts w:hint="eastAsia"/>
        </w:rPr>
        <w:t xml:space="preserve">University及</w:t>
      </w:r>
      <w:r>
        <w:t xml:space="preserve"> </w:t>
      </w:r>
      <w:r>
        <w:rPr>
          <w:rFonts w:hint="eastAsia"/>
        </w:rPr>
        <w:t xml:space="preserve">馬</w:t>
      </w:r>
      <w:r>
        <w:t xml:space="preserve"> </w:t>
      </w:r>
      <w:r>
        <w:rPr>
          <w:rFonts w:hint="eastAsia"/>
        </w:rPr>
        <w:t xml:space="preserve">尼</w:t>
      </w:r>
      <w:r>
        <w:t xml:space="preserve"> </w:t>
      </w:r>
      <w:r>
        <w:rPr>
          <w:rFonts w:hint="eastAsia"/>
        </w:rPr>
        <w:t xml:space="preserve">拉</w:t>
      </w:r>
      <w:r>
        <w:t xml:space="preserve"> </w:t>
      </w:r>
      <w:r>
        <w:rPr>
          <w:rFonts w:hint="eastAsia"/>
        </w:rPr>
        <w:t xml:space="preserve">國</w:t>
      </w:r>
      <w:r>
        <w:t xml:space="preserve"> </w:t>
      </w:r>
      <w:r>
        <w:rPr>
          <w:rFonts w:hint="eastAsia"/>
        </w:rPr>
        <w:t xml:space="preserve">際</w:t>
      </w:r>
      <w:r>
        <w:t xml:space="preserve"> </w:t>
      </w:r>
      <w:r>
        <w:rPr>
          <w:rFonts w:hint="eastAsia"/>
        </w:rPr>
        <w:t xml:space="preserve">學</w:t>
      </w:r>
      <w:r>
        <w:t xml:space="preserve"> </w:t>
      </w:r>
      <w:r>
        <w:rPr>
          <w:rFonts w:hint="eastAsia"/>
        </w:rPr>
        <w:t xml:space="preserve">校</w:t>
      </w:r>
    </w:p>
    <w:p>
      <w:pPr>
        <w:pStyle w:val="BodyText"/>
      </w:pPr>
      <w:r>
        <w:t xml:space="preserve">(International School of </w:t>
      </w:r>
      <w:r>
        <w:rPr>
          <w:rFonts w:hint="eastAsia"/>
        </w:rPr>
        <w:t xml:space="preserve">Manila)受託人委員會成員。彼為一家全球性的非盈利非黨派智囊組織Milken</w:t>
      </w:r>
      <w:r>
        <w:t xml:space="preserve"> Institute</w:t>
      </w:r>
    </w:p>
    <w:p>
      <w:pPr>
        <w:pStyle w:val="BodyText"/>
      </w:pPr>
      <w:r>
        <w:rPr>
          <w:rFonts w:hint="eastAsia"/>
        </w:rPr>
        <w:t xml:space="preserve">的亞洲委員。Purisima先生於2010年7月至2016年6月在菲律賓政府擔任財政部部長，並於2004年1月至2005年</w:t>
      </w:r>
    </w:p>
    <w:p>
      <w:pPr>
        <w:pStyle w:val="BodyText"/>
      </w:pPr>
      <w:r>
        <w:rPr>
          <w:rFonts w:hint="eastAsia"/>
        </w:rPr>
        <w:t xml:space="preserve">2月擔任貿易與工業部部長。彼亦曾擔任多個政府機構的董事會成員，包括菲律賓中央銀行貨幣委員會成員、</w:t>
      </w:r>
    </w:p>
    <w:p>
      <w:pPr>
        <w:pStyle w:val="BodyText"/>
      </w:pPr>
      <w:r>
        <w:rPr>
          <w:rFonts w:hint="eastAsia"/>
        </w:rPr>
        <w:t xml:space="preserve">代表菲律賓於世界銀行出任理事、代表菲律賓於亞洲開發銀行出任理事、代表菲律賓於國際貨幣基金組織出任</w:t>
      </w:r>
    </w:p>
    <w:p>
      <w:pPr>
        <w:pStyle w:val="BodyText"/>
      </w:pPr>
      <w:r>
        <w:rPr>
          <w:rFonts w:hint="eastAsia"/>
        </w:rPr>
        <w:t xml:space="preserve">副理事及菲律賓土地銀行(Land</w:t>
      </w:r>
      <w:r>
        <w:t xml:space="preserve"> Bank of the </w:t>
      </w:r>
      <w:r>
        <w:rPr>
          <w:rFonts w:hint="eastAsia"/>
        </w:rPr>
        <w:t xml:space="preserve">Philippines)行長。彼於2017年獲法國共和國總統頒授法國國家榮譽</w:t>
      </w:r>
    </w:p>
    <w:p>
      <w:pPr>
        <w:pStyle w:val="BodyText"/>
      </w:pPr>
      <w:r>
        <w:rPr>
          <w:rFonts w:hint="eastAsia"/>
        </w:rPr>
        <w:t xml:space="preserve">軍團騎士團勳章(Chevalier</w:t>
      </w:r>
      <w:r>
        <w:t xml:space="preserve"> dans l’Ordre national de la Légion </w:t>
      </w:r>
      <w:r>
        <w:rPr>
          <w:rFonts w:hint="eastAsia"/>
        </w:rPr>
        <w:t xml:space="preserve">d’Honneur)，於2016年獲菲律賓總統頒授大十字</w:t>
      </w:r>
    </w:p>
    <w:p>
      <w:pPr>
        <w:pStyle w:val="BodyText"/>
      </w:pPr>
      <w:r>
        <w:rPr>
          <w:rFonts w:hint="eastAsia"/>
        </w:rPr>
        <w:t xml:space="preserve">勳章(Order</w:t>
      </w:r>
      <w:r>
        <w:t xml:space="preserve"> of Lakandula, Rank of Grand Cross </w:t>
      </w:r>
      <w:r>
        <w:rPr>
          <w:rFonts w:hint="eastAsia"/>
        </w:rPr>
        <w:t xml:space="preserve">(Bayani))，及於2001年獲法國共和國總統頒授法國國家榮譽騎士</w:t>
      </w:r>
    </w:p>
    <w:p>
      <w:pPr>
        <w:pStyle w:val="BodyText"/>
      </w:pPr>
      <w:r>
        <w:rPr>
          <w:rFonts w:hint="eastAsia"/>
        </w:rPr>
        <w:t xml:space="preserve">勳章(Chevalier</w:t>
      </w:r>
      <w:r>
        <w:t xml:space="preserve"> de l’Ordre national du </w:t>
      </w:r>
      <w:r>
        <w:rPr>
          <w:rFonts w:hint="eastAsia"/>
        </w:rPr>
        <w:t xml:space="preserve">Mérite)。Purisima先生為執業會計師。彼於菲律賓及國外的公共會計方面</w:t>
      </w:r>
    </w:p>
    <w:p>
      <w:pPr>
        <w:pStyle w:val="BodyText"/>
      </w:pPr>
      <w:r>
        <w:rPr>
          <w:rFonts w:hint="eastAsia"/>
        </w:rPr>
        <w:t xml:space="preserve">擁有豐富的經驗。彼於1999年至2004年為SyCip,</w:t>
      </w:r>
      <w:r>
        <w:t xml:space="preserve"> Gorres, </w:t>
      </w:r>
      <w:r>
        <w:rPr>
          <w:rFonts w:hint="eastAsia"/>
        </w:rPr>
        <w:t xml:space="preserve">Velayo＆Co.（其為安達信環球(Andersen</w:t>
      </w:r>
      <w:r>
        <w:t xml:space="preserve"> </w:t>
      </w:r>
      <w:r>
        <w:rPr>
          <w:rFonts w:hint="eastAsia"/>
        </w:rPr>
        <w:t xml:space="preserve">Worldwide)的</w:t>
      </w:r>
    </w:p>
    <w:p>
      <w:pPr>
        <w:pStyle w:val="BodyText"/>
      </w:pPr>
      <w:r>
        <w:rPr>
          <w:rFonts w:hint="eastAsia"/>
        </w:rPr>
        <w:t xml:space="preserve">成員公司直至2002年，其後成為Ernst</w:t>
      </w:r>
      <w:r>
        <w:t xml:space="preserve"> &amp; Young Global </w:t>
      </w:r>
      <w:r>
        <w:rPr>
          <w:rFonts w:hint="eastAsia"/>
        </w:rPr>
        <w:t xml:space="preserve">Limited的成員公司）的主席兼執行合夥人。於該期間，</w:t>
      </w:r>
    </w:p>
    <w:p>
      <w:pPr>
        <w:pStyle w:val="BodyText"/>
      </w:pPr>
      <w:r>
        <w:rPr>
          <w:rFonts w:hint="eastAsia"/>
        </w:rPr>
        <w:t xml:space="preserve">Purisima先生於2001年至2002年亦擔任安達信環球保證及商業諮詢服務的亞太區地區執行合夥人，及於2000年</w:t>
      </w:r>
    </w:p>
    <w:p>
      <w:pPr>
        <w:pStyle w:val="BodyText"/>
      </w:pPr>
      <w:r>
        <w:rPr>
          <w:rFonts w:hint="eastAsia"/>
        </w:rPr>
        <w:t xml:space="preserve">至2001年擔任安達信環球東南亞區域實務的區域執行合夥人。Purisima先生於1979年獲得德拉薩大學(De</w:t>
      </w:r>
      <w:r>
        <w:t xml:space="preserve"> La</w:t>
      </w:r>
    </w:p>
    <w:p>
      <w:pPr>
        <w:pStyle w:val="BodyText"/>
      </w:pPr>
      <w:r>
        <w:t xml:space="preserve">Salle </w:t>
      </w:r>
      <w:r>
        <w:rPr>
          <w:rFonts w:hint="eastAsia"/>
        </w:rPr>
        <w:t xml:space="preserve">University)（馬尼拉）商業理學士學位（主修會計和金融機構管理），於1983年獲得西北大學(Northwestern</w:t>
      </w:r>
    </w:p>
    <w:p>
      <w:pPr>
        <w:pStyle w:val="BodyText"/>
      </w:pPr>
      <w:r>
        <w:rPr>
          <w:rFonts w:hint="eastAsia"/>
        </w:rPr>
        <w:t xml:space="preserve">University)凱洛管理學院(J.</w:t>
      </w:r>
      <w:r>
        <w:t xml:space="preserve"> L. Kellogg Graduate School of </w:t>
      </w:r>
      <w:r>
        <w:rPr>
          <w:rFonts w:hint="eastAsia"/>
        </w:rPr>
        <w:t xml:space="preserve">Management)管理碩士學位，並於2012年獲得安吉</w:t>
      </w:r>
    </w:p>
    <w:p>
      <w:pPr>
        <w:pStyle w:val="BodyText"/>
      </w:pPr>
      <w:r>
        <w:rPr>
          <w:rFonts w:hint="eastAsia"/>
        </w:rPr>
        <w:t xml:space="preserve">利斯大學(Angeles</w:t>
      </w:r>
      <w:r>
        <w:t xml:space="preserve"> University </w:t>
      </w:r>
      <w:r>
        <w:rPr>
          <w:rFonts w:hint="eastAsia"/>
        </w:rPr>
        <w:t xml:space="preserve">Foundation)（菲律賓）榮譽人文科學博士學位。</w:t>
      </w:r>
    </w:p>
    <w:p>
      <w:pPr>
        <w:pStyle w:val="BodyText"/>
      </w:pPr>
      <w:r>
        <w:t xml:space="preserve">077</w:t>
      </w:r>
    </w:p>
    <w:p>
      <w:pPr>
        <w:pStyle w:val="BodyText"/>
      </w:pPr>
      <w:r>
        <w:rPr>
          <w:rFonts w:hint="eastAsia"/>
        </w:rPr>
        <w:t xml:space="preserve">概覽財務及營運回顧企業管治其他資料財務報表2020年報</w:t>
      </w:r>
    </w:p>
    <w:p>
      <w:pPr>
        <w:pStyle w:val="BodyText"/>
      </w:pPr>
      <w:r>
        <w:rPr>
          <w:rFonts w:hint="eastAsia"/>
        </w:rPr>
        <w:t xml:space="preserve">企業管治</w:t>
      </w:r>
    </w:p>
    <w:p>
      <w:pPr>
        <w:pStyle w:val="BodyText"/>
      </w:pPr>
      <w:r>
        <w:rPr>
          <w:rFonts w:hint="eastAsia"/>
        </w:rPr>
        <w:t xml:space="preserve">執行委員會</w:t>
      </w:r>
    </w:p>
    <w:p>
      <w:pPr>
        <w:pStyle w:val="BodyText"/>
      </w:pPr>
      <w:r>
        <w:t xml:space="preserve">Biswa Prakash</w:t>
      </w:r>
      <w:r>
        <w:br/>
      </w:r>
      <w:r>
        <w:t xml:space="preserve">MISRA </w:t>
      </w:r>
      <w:r>
        <w:rPr>
          <w:rFonts w:hint="eastAsia"/>
        </w:rPr>
        <w:t xml:space="preserve">先生</w:t>
      </w:r>
    </w:p>
    <w:p>
      <w:pPr>
        <w:pStyle w:val="BodyText"/>
      </w:pPr>
      <w:r>
        <w:t xml:space="preserve">Pek-San</w:t>
      </w:r>
      <w:r>
        <w:br/>
      </w:r>
      <w:r>
        <w:t xml:space="preserve">ANG </w:t>
      </w:r>
      <w:r>
        <w:rPr>
          <w:rFonts w:hint="eastAsia"/>
        </w:rPr>
        <w:t xml:space="preserve">女士</w:t>
      </w:r>
    </w:p>
    <w:p>
      <w:pPr>
        <w:pStyle w:val="BodyText"/>
      </w:pPr>
      <w:r>
        <w:t xml:space="preserve">Stuart Anthony</w:t>
      </w:r>
      <w:r>
        <w:br/>
      </w:r>
      <w:r>
        <w:t xml:space="preserve">SPENCER </w:t>
      </w:r>
      <w:r>
        <w:rPr>
          <w:rFonts w:hint="eastAsia"/>
        </w:rPr>
        <w:t xml:space="preserve">先生</w:t>
      </w:r>
    </w:p>
    <w:p>
      <w:pPr>
        <w:pStyle w:val="BodyText"/>
      </w:pPr>
      <w:r>
        <w:t xml:space="preserve">Mark</w:t>
      </w:r>
      <w:r>
        <w:br/>
      </w:r>
      <w:r>
        <w:t xml:space="preserve">KONYN </w:t>
      </w:r>
      <w:r>
        <w:rPr>
          <w:rFonts w:hint="eastAsia"/>
        </w:rPr>
        <w:t xml:space="preserve">博士</w:t>
      </w:r>
    </w:p>
    <w:p>
      <w:pPr>
        <w:pStyle w:val="BodyText"/>
      </w:pPr>
      <w:r>
        <w:rPr>
          <w:rFonts w:hint="eastAsia"/>
        </w:rPr>
        <w:t xml:space="preserve">陳榮聲先生</w:t>
      </w:r>
    </w:p>
    <w:p>
      <w:pPr>
        <w:pStyle w:val="BodyText"/>
      </w:pPr>
      <w:r>
        <w:t xml:space="preserve">William</w:t>
      </w:r>
      <w:r>
        <w:br/>
      </w:r>
      <w:r>
        <w:t xml:space="preserve">LISLE </w:t>
      </w:r>
      <w:r>
        <w:rPr>
          <w:rFonts w:hint="eastAsia"/>
        </w:rPr>
        <w:t xml:space="preserve">先生</w:t>
      </w:r>
    </w:p>
    <w:p>
      <w:pPr>
        <w:pStyle w:val="BodyText"/>
      </w:pPr>
      <w:r>
        <w:t xml:space="preserve">078</w:t>
      </w:r>
    </w:p>
    <w:p>
      <w:pPr>
        <w:pStyle w:val="BodyText"/>
      </w:pPr>
      <w:r>
        <w:rPr>
          <w:rFonts w:hint="eastAsia"/>
        </w:rPr>
        <w:t xml:space="preserve">友邦保險控股有限公司</w:t>
      </w:r>
    </w:p>
    <w:p>
      <w:pPr>
        <w:pStyle w:val="BodyText"/>
      </w:pPr>
      <w:r>
        <w:rPr>
          <w:rFonts w:hint="eastAsia"/>
        </w:rPr>
        <w:t xml:space="preserve">企業管治</w:t>
      </w:r>
    </w:p>
    <w:p>
      <w:pPr>
        <w:pStyle w:val="BodyText"/>
      </w:pPr>
      <w:r>
        <w:rPr>
          <w:rFonts w:hint="eastAsia"/>
        </w:rPr>
        <w:t xml:space="preserve">李源祥先生</w:t>
      </w:r>
    </w:p>
    <w:p>
      <w:pPr>
        <w:pStyle w:val="BodyText"/>
      </w:pPr>
      <w:r>
        <w:t xml:space="preserve">Garth Brian</w:t>
      </w:r>
      <w:r>
        <w:br/>
      </w:r>
      <w:r>
        <w:t xml:space="preserve">JONES </w:t>
      </w:r>
      <w:r>
        <w:rPr>
          <w:rFonts w:hint="eastAsia"/>
        </w:rPr>
        <w:t xml:space="preserve">先生</w:t>
      </w:r>
    </w:p>
    <w:p>
      <w:pPr>
        <w:pStyle w:val="BodyText"/>
      </w:pPr>
      <w:r>
        <w:rPr>
          <w:rFonts w:hint="eastAsia"/>
        </w:rPr>
        <w:t xml:space="preserve">陳學旅先生</w:t>
      </w:r>
    </w:p>
    <w:p>
      <w:pPr>
        <w:pStyle w:val="BodyText"/>
      </w:pPr>
      <w:r>
        <w:t xml:space="preserve">Mitchell David</w:t>
      </w:r>
      <w:r>
        <w:br/>
      </w:r>
      <w:r>
        <w:t xml:space="preserve">NEW </w:t>
      </w:r>
      <w:r>
        <w:rPr>
          <w:rFonts w:hint="eastAsia"/>
        </w:rPr>
        <w:t xml:space="preserve">先生</w:t>
      </w:r>
    </w:p>
    <w:p>
      <w:pPr>
        <w:pStyle w:val="BodyText"/>
      </w:pPr>
      <w:r>
        <w:t xml:space="preserve">Mark Vincent Thomas</w:t>
      </w:r>
      <w:r>
        <w:br/>
      </w:r>
      <w:r>
        <w:t xml:space="preserve">SAUNDERS </w:t>
      </w:r>
      <w:r>
        <w:rPr>
          <w:rFonts w:hint="eastAsia"/>
        </w:rPr>
        <w:t xml:space="preserve">先生</w:t>
      </w:r>
    </w:p>
    <w:p>
      <w:pPr>
        <w:pStyle w:val="BodyText"/>
      </w:pPr>
      <w:r>
        <w:t xml:space="preserve">Jayne Lynn</w:t>
      </w:r>
      <w:r>
        <w:br/>
      </w:r>
      <w:r>
        <w:t xml:space="preserve">PLUNKETT </w:t>
      </w:r>
      <w:r>
        <w:rPr>
          <w:rFonts w:hint="eastAsia"/>
        </w:rPr>
        <w:t xml:space="preserve">女士</w:t>
      </w:r>
    </w:p>
    <w:p>
      <w:pPr>
        <w:pStyle w:val="BodyText"/>
      </w:pPr>
      <w:r>
        <w:t xml:space="preserve">2020 </w:t>
      </w:r>
      <w:r>
        <w:rPr>
          <w:rFonts w:hint="eastAsia"/>
        </w:rPr>
        <w:t xml:space="preserve">年報</w:t>
      </w:r>
    </w:p>
    <w:p>
      <w:pPr>
        <w:pStyle w:val="BodyText"/>
      </w:pPr>
      <w:r>
        <w:t xml:space="preserve">079</w:t>
      </w:r>
    </w:p>
    <w:p>
      <w:pPr>
        <w:pStyle w:val="BodyText"/>
      </w:pPr>
      <w:r>
        <w:rPr>
          <w:rFonts w:hint="eastAsia"/>
        </w:rPr>
        <w:t xml:space="preserve">李源祥先生</w:t>
      </w:r>
    </w:p>
    <w:p>
      <w:pPr>
        <w:pStyle w:val="BodyText"/>
      </w:pPr>
      <w:r>
        <w:rPr>
          <w:rFonts w:hint="eastAsia"/>
        </w:rPr>
        <w:t xml:space="preserve">李先生的簡歷載於上文。</w:t>
      </w:r>
    </w:p>
    <w:p>
      <w:pPr>
        <w:pStyle w:val="BodyText"/>
      </w:pPr>
      <w:r>
        <w:t xml:space="preserve">Garth Brian </w:t>
      </w:r>
      <w:r>
        <w:rPr>
          <w:rFonts w:hint="eastAsia"/>
        </w:rPr>
        <w:t xml:space="preserve">JONES（鍾家富）先生</w:t>
      </w:r>
    </w:p>
    <w:p>
      <w:pPr>
        <w:pStyle w:val="BodyText"/>
      </w:pPr>
      <w:r>
        <w:rPr>
          <w:rFonts w:hint="eastAsia"/>
        </w:rPr>
        <w:t xml:space="preserve">58歲，集團首席財務總監，負責領導本集團所有資本及財務管理的相關事宜，以及管理與主要外部利益相關者的</w:t>
      </w:r>
    </w:p>
    <w:p>
      <w:pPr>
        <w:pStyle w:val="BodyText"/>
      </w:pPr>
      <w:r>
        <w:rPr>
          <w:rFonts w:hint="eastAsia"/>
        </w:rPr>
        <w:t xml:space="preserve">關係，包括獨立審計及精算機構、評級機構以及國際會計及監管機構。彼現任本集團內多家公司（包括AIA</w:t>
      </w:r>
      <w:r>
        <w:t xml:space="preserve"> Co.</w:t>
      </w:r>
    </w:p>
    <w:p>
      <w:pPr>
        <w:pStyle w:val="BodyText"/>
      </w:pPr>
      <w:r>
        <w:rPr>
          <w:rFonts w:hint="eastAsia"/>
        </w:rPr>
        <w:t xml:space="preserve">及友邦保險（國際）有限公司(AIA</w:t>
      </w:r>
      <w:r>
        <w:t xml:space="preserve"> </w:t>
      </w:r>
      <w:r>
        <w:rPr>
          <w:rFonts w:hint="eastAsia"/>
        </w:rPr>
        <w:t xml:space="preserve">International）的董事。彼於2011年4月加入本集團。加入本集團前，Jones先生</w:t>
      </w:r>
    </w:p>
    <w:p>
      <w:pPr>
        <w:pStyle w:val="BodyText"/>
      </w:pPr>
      <w:r>
        <w:rPr>
          <w:rFonts w:hint="eastAsia"/>
        </w:rPr>
        <w:t xml:space="preserve">曾擔任中國太平洋保險</w:t>
      </w:r>
      <w:r>
        <w:t xml:space="preserve"> </w:t>
      </w:r>
      <w:r>
        <w:rPr>
          <w:rFonts w:hint="eastAsia"/>
        </w:rPr>
        <w:t xml:space="preserve">（集團）股份有限公司旗下的中國太平洋人壽保險股份有限公司的執行副總裁。在保誠</w:t>
      </w:r>
    </w:p>
    <w:p>
      <w:pPr>
        <w:pStyle w:val="BodyText"/>
      </w:pPr>
      <w:r>
        <w:rPr>
          <w:rFonts w:hint="eastAsia"/>
        </w:rPr>
        <w:t xml:space="preserve">集團亞洲有限公司(Prudential</w:t>
      </w:r>
      <w:r>
        <w:t xml:space="preserve"> Corporation Asia </w:t>
      </w:r>
      <w:r>
        <w:rPr>
          <w:rFonts w:hint="eastAsia"/>
        </w:rPr>
        <w:t xml:space="preserve">Limited)任職的12年間，彼亦曾擔任多個高級管理職位，包括</w:t>
      </w:r>
    </w:p>
    <w:p>
      <w:pPr>
        <w:pStyle w:val="BodyText"/>
      </w:pPr>
      <w:r>
        <w:rPr>
          <w:rFonts w:hint="eastAsia"/>
        </w:rPr>
        <w:t xml:space="preserve">亞洲區壽險業務的首席財務總監。於加入保誠前，Jones先生帶領發展了瑞士再保險的亞洲區壽險業務。Jones</w:t>
      </w:r>
    </w:p>
    <w:p>
      <w:pPr>
        <w:pStyle w:val="BodyText"/>
      </w:pPr>
      <w:r>
        <w:rPr>
          <w:rFonts w:hint="eastAsia"/>
        </w:rPr>
        <w:t xml:space="preserve">先生為英國精算師協會(Institute</w:t>
      </w:r>
      <w:r>
        <w:t xml:space="preserve"> and Faculty of </w:t>
      </w:r>
      <w:r>
        <w:rPr>
          <w:rFonts w:hint="eastAsia"/>
        </w:rPr>
        <w:t xml:space="preserve">Actuaries)的資深會員。彼於2016年6月1日獲委任為香港長期</w:t>
      </w:r>
    </w:p>
    <w:p>
      <w:pPr>
        <w:pStyle w:val="BodyText"/>
      </w:pPr>
      <w:r>
        <w:rPr>
          <w:rFonts w:hint="eastAsia"/>
        </w:rPr>
        <w:t xml:space="preserve">業務業界諮詢委員會成員，為香港獨立保險業監管局提供意見。Jones先生亦為國際會計準則理事會轄下國際</w:t>
      </w:r>
    </w:p>
    <w:p>
      <w:pPr>
        <w:pStyle w:val="BodyText"/>
      </w:pPr>
      <w:r>
        <w:rPr>
          <w:rFonts w:hint="eastAsia"/>
        </w:rPr>
        <w:t xml:space="preserve">財務報告準則諮詢委員會成員。</w:t>
      </w:r>
    </w:p>
    <w:p>
      <w:pPr>
        <w:pStyle w:val="BodyText"/>
      </w:pPr>
      <w:r>
        <w:t xml:space="preserve">William </w:t>
      </w:r>
      <w:r>
        <w:rPr>
          <w:rFonts w:hint="eastAsia"/>
        </w:rPr>
        <w:t xml:space="preserve">LISLE（黎以諾）先生</w:t>
      </w:r>
    </w:p>
    <w:p>
      <w:pPr>
        <w:pStyle w:val="BodyText"/>
      </w:pPr>
      <w:r>
        <w:rPr>
          <w:rFonts w:hint="eastAsia"/>
        </w:rPr>
        <w:t xml:space="preserve">55歲，區域首席執行官及集團首席分銷總監，負責本集團於泰國、越南、澳洲及新西蘭、印度及斯里蘭卡經營的</w:t>
      </w:r>
    </w:p>
    <w:p>
      <w:pPr>
        <w:pStyle w:val="BodyText"/>
      </w:pPr>
      <w:r>
        <w:rPr>
          <w:rFonts w:hint="eastAsia"/>
        </w:rPr>
        <w:t xml:space="preserve">業務，以及集團代理分銷、夥伴分銷及企業方案。Lisle先生於2012年12月至2015年5月擔任友邦保險於馬來西亞</w:t>
      </w:r>
    </w:p>
    <w:p>
      <w:pPr>
        <w:pStyle w:val="BodyText"/>
      </w:pPr>
      <w:r>
        <w:rPr>
          <w:rFonts w:hint="eastAsia"/>
        </w:rPr>
        <w:t xml:space="preserve">業務的首席執行官，任職期間於2012年本集團收購ING馬來西亞後帶領對ING馬來西亞成功進行大規模整合。</w:t>
      </w:r>
    </w:p>
    <w:p>
      <w:pPr>
        <w:pStyle w:val="BodyText"/>
      </w:pPr>
      <w:r>
        <w:rPr>
          <w:rFonts w:hint="eastAsia"/>
        </w:rPr>
        <w:t xml:space="preserve">彼現任本集團內多家公司（包括AIA</w:t>
      </w:r>
      <w:r>
        <w:t xml:space="preserve"> Co.、AIA Australia </w:t>
      </w:r>
      <w:r>
        <w:rPr>
          <w:rFonts w:hint="eastAsia"/>
        </w:rPr>
        <w:t xml:space="preserve">Limited及AIA</w:t>
      </w:r>
      <w:r>
        <w:t xml:space="preserve"> New Zealand </w:t>
      </w:r>
      <w:r>
        <w:rPr>
          <w:rFonts w:hint="eastAsia"/>
        </w:rPr>
        <w:t xml:space="preserve">Limited）的董事。彼亦擔任</w:t>
      </w:r>
    </w:p>
    <w:p>
      <w:pPr>
        <w:pStyle w:val="BodyText"/>
      </w:pPr>
      <w:r>
        <w:rPr>
          <w:rFonts w:hint="eastAsia"/>
        </w:rPr>
        <w:t xml:space="preserve">本</w:t>
      </w:r>
      <w:r>
        <w:t xml:space="preserve"> </w:t>
      </w:r>
      <w:r>
        <w:rPr>
          <w:rFonts w:hint="eastAsia"/>
        </w:rPr>
        <w:t xml:space="preserve">集</w:t>
      </w:r>
      <w:r>
        <w:t xml:space="preserve"> </w:t>
      </w:r>
      <w:r>
        <w:rPr>
          <w:rFonts w:hint="eastAsia"/>
        </w:rPr>
        <w:t xml:space="preserve">團</w:t>
      </w:r>
      <w:r>
        <w:t xml:space="preserve"> </w:t>
      </w:r>
      <w:r>
        <w:rPr>
          <w:rFonts w:hint="eastAsia"/>
        </w:rPr>
        <w:t xml:space="preserve">與Tata</w:t>
      </w:r>
      <w:r>
        <w:t xml:space="preserve"> Sons </w:t>
      </w:r>
      <w:r>
        <w:rPr>
          <w:rFonts w:hint="eastAsia"/>
        </w:rPr>
        <w:t xml:space="preserve">Limited於</w:t>
      </w:r>
      <w:r>
        <w:t xml:space="preserve"> </w:t>
      </w:r>
      <w:r>
        <w:rPr>
          <w:rFonts w:hint="eastAsia"/>
        </w:rPr>
        <w:t xml:space="preserve">印</w:t>
      </w:r>
      <w:r>
        <w:t xml:space="preserve"> </w:t>
      </w:r>
      <w:r>
        <w:rPr>
          <w:rFonts w:hint="eastAsia"/>
        </w:rPr>
        <w:t xml:space="preserve">度</w:t>
      </w:r>
      <w:r>
        <w:t xml:space="preserve"> </w:t>
      </w:r>
      <w:r>
        <w:rPr>
          <w:rFonts w:hint="eastAsia"/>
        </w:rPr>
        <w:t xml:space="preserve">合</w:t>
      </w:r>
      <w:r>
        <w:t xml:space="preserve"> </w:t>
      </w:r>
      <w:r>
        <w:rPr>
          <w:rFonts w:hint="eastAsia"/>
        </w:rPr>
        <w:t xml:space="preserve">資</w:t>
      </w:r>
      <w:r>
        <w:t xml:space="preserve"> </w:t>
      </w:r>
      <w:r>
        <w:rPr>
          <w:rFonts w:hint="eastAsia"/>
        </w:rPr>
        <w:t xml:space="preserve">公</w:t>
      </w:r>
      <w:r>
        <w:t xml:space="preserve"> </w:t>
      </w:r>
      <w:r>
        <w:rPr>
          <w:rFonts w:hint="eastAsia"/>
        </w:rPr>
        <w:t xml:space="preserve">司Tata</w:t>
      </w:r>
      <w:r>
        <w:t xml:space="preserve"> AIA Life Insurance Company </w:t>
      </w:r>
      <w:r>
        <w:rPr>
          <w:rFonts w:hint="eastAsia"/>
        </w:rPr>
        <w:t xml:space="preserve">Limited的</w:t>
      </w:r>
      <w:r>
        <w:t xml:space="preserve"> </w:t>
      </w:r>
      <w:r>
        <w:rPr>
          <w:rFonts w:hint="eastAsia"/>
        </w:rPr>
        <w:t xml:space="preserve">董</w:t>
      </w:r>
      <w:r>
        <w:t xml:space="preserve"> </w:t>
      </w:r>
      <w:r>
        <w:rPr>
          <w:rFonts w:hint="eastAsia"/>
        </w:rPr>
        <w:t xml:space="preserve">事。Lisle先</w:t>
      </w:r>
      <w:r>
        <w:t xml:space="preserve"> </w:t>
      </w:r>
      <w:r>
        <w:rPr>
          <w:rFonts w:hint="eastAsia"/>
        </w:rPr>
        <w:t xml:space="preserve">生</w:t>
      </w:r>
      <w:r>
        <w:t xml:space="preserve"> </w:t>
      </w:r>
      <w:r>
        <w:rPr>
          <w:rFonts w:hint="eastAsia"/>
        </w:rPr>
        <w:t xml:space="preserve">於</w:t>
      </w:r>
    </w:p>
    <w:p>
      <w:pPr>
        <w:pStyle w:val="BodyText"/>
      </w:pPr>
      <w:r>
        <w:rPr>
          <w:rFonts w:hint="eastAsia"/>
        </w:rPr>
        <w:t xml:space="preserve">2011年1月加入本集團擔任集團分銷總監。加入本集團前，Lisle先生於2009年5月至2010年擔任Aviva南亞地區</w:t>
      </w:r>
    </w:p>
    <w:p>
      <w:pPr>
        <w:pStyle w:val="BodyText"/>
      </w:pPr>
      <w:r>
        <w:rPr>
          <w:rFonts w:hint="eastAsia"/>
        </w:rPr>
        <w:t xml:space="preserve">董事總經理。加入Aviva前，Lisle先生於保誠集團亞洲有限公司(Prudential</w:t>
      </w:r>
      <w:r>
        <w:t xml:space="preserve"> Corporation Asia </w:t>
      </w:r>
      <w:r>
        <w:rPr>
          <w:rFonts w:hint="eastAsia"/>
        </w:rPr>
        <w:t xml:space="preserve">Limited)擔任多個</w:t>
      </w:r>
    </w:p>
    <w:p>
      <w:pPr>
        <w:pStyle w:val="BodyText"/>
      </w:pPr>
      <w:r>
        <w:rPr>
          <w:rFonts w:hint="eastAsia"/>
        </w:rPr>
        <w:t xml:space="preserve">高</w:t>
      </w:r>
      <w:r>
        <w:t xml:space="preserve"> </w:t>
      </w:r>
      <w:r>
        <w:rPr>
          <w:rFonts w:hint="eastAsia"/>
        </w:rPr>
        <w:t xml:space="preserve">級</w:t>
      </w:r>
      <w:r>
        <w:t xml:space="preserve"> </w:t>
      </w:r>
      <w:r>
        <w:rPr>
          <w:rFonts w:hint="eastAsia"/>
        </w:rPr>
        <w:t xml:space="preserve">職</w:t>
      </w:r>
      <w:r>
        <w:t xml:space="preserve"> </w:t>
      </w:r>
      <w:r>
        <w:rPr>
          <w:rFonts w:hint="eastAsia"/>
        </w:rPr>
        <w:t xml:space="preserve">位，</w:t>
      </w:r>
      <w:r>
        <w:t xml:space="preserve"> </w:t>
      </w:r>
      <w:r>
        <w:rPr>
          <w:rFonts w:hint="eastAsia"/>
        </w:rPr>
        <w:t xml:space="preserve">包</w:t>
      </w:r>
      <w:r>
        <w:t xml:space="preserve"> </w:t>
      </w:r>
      <w:r>
        <w:rPr>
          <w:rFonts w:hint="eastAsia"/>
        </w:rPr>
        <w:t xml:space="preserve">括</w:t>
      </w:r>
      <w:r>
        <w:t xml:space="preserve"> </w:t>
      </w:r>
      <w:r>
        <w:rPr>
          <w:rFonts w:hint="eastAsia"/>
        </w:rPr>
        <w:t xml:space="preserve">馬</w:t>
      </w:r>
      <w:r>
        <w:t xml:space="preserve"> </w:t>
      </w:r>
      <w:r>
        <w:rPr>
          <w:rFonts w:hint="eastAsia"/>
        </w:rPr>
        <w:t xml:space="preserve">來</w:t>
      </w:r>
      <w:r>
        <w:t xml:space="preserve"> </w:t>
      </w:r>
      <w:r>
        <w:rPr>
          <w:rFonts w:hint="eastAsia"/>
        </w:rPr>
        <w:t xml:space="preserve">西</w:t>
      </w:r>
      <w:r>
        <w:t xml:space="preserve"> </w:t>
      </w:r>
      <w:r>
        <w:rPr>
          <w:rFonts w:hint="eastAsia"/>
        </w:rPr>
        <w:t xml:space="preserve">亞</w:t>
      </w:r>
      <w:r>
        <w:t xml:space="preserve"> </w:t>
      </w:r>
      <w:r>
        <w:rPr>
          <w:rFonts w:hint="eastAsia"/>
        </w:rPr>
        <w:t xml:space="preserve">公</w:t>
      </w:r>
      <w:r>
        <w:t xml:space="preserve"> </w:t>
      </w:r>
      <w:r>
        <w:rPr>
          <w:rFonts w:hint="eastAsia"/>
        </w:rPr>
        <w:t xml:space="preserve">司</w:t>
      </w:r>
      <w:r>
        <w:t xml:space="preserve"> </w:t>
      </w:r>
      <w:r>
        <w:rPr>
          <w:rFonts w:hint="eastAsia"/>
        </w:rPr>
        <w:t xml:space="preserve">行</w:t>
      </w:r>
      <w:r>
        <w:t xml:space="preserve"> </w:t>
      </w:r>
      <w:r>
        <w:rPr>
          <w:rFonts w:hint="eastAsia"/>
        </w:rPr>
        <w:t xml:space="preserve">政</w:t>
      </w:r>
      <w:r>
        <w:t xml:space="preserve"> </w:t>
      </w:r>
      <w:r>
        <w:rPr>
          <w:rFonts w:hint="eastAsia"/>
        </w:rPr>
        <w:t xml:space="preserve">總</w:t>
      </w:r>
      <w:r>
        <w:t xml:space="preserve"> </w:t>
      </w:r>
      <w:r>
        <w:rPr>
          <w:rFonts w:hint="eastAsia"/>
        </w:rPr>
        <w:t xml:space="preserve">裁（2008年</w:t>
      </w:r>
      <w:r>
        <w:t xml:space="preserve"> </w:t>
      </w:r>
      <w:r>
        <w:rPr>
          <w:rFonts w:hint="eastAsia"/>
        </w:rPr>
        <w:t xml:space="preserve">至2009年）、</w:t>
      </w:r>
      <w:r>
        <w:t xml:space="preserve"> </w:t>
      </w:r>
      <w:r>
        <w:rPr>
          <w:rFonts w:hint="eastAsia"/>
        </w:rPr>
        <w:t xml:space="preserve">韓</w:t>
      </w:r>
      <w:r>
        <w:t xml:space="preserve"> </w:t>
      </w:r>
      <w:r>
        <w:rPr>
          <w:rFonts w:hint="eastAsia"/>
        </w:rPr>
        <w:t xml:space="preserve">國</w:t>
      </w:r>
      <w:r>
        <w:t xml:space="preserve"> </w:t>
      </w:r>
      <w:r>
        <w:rPr>
          <w:rFonts w:hint="eastAsia"/>
        </w:rPr>
        <w:t xml:space="preserve">公</w:t>
      </w:r>
      <w:r>
        <w:t xml:space="preserve"> </w:t>
      </w:r>
      <w:r>
        <w:rPr>
          <w:rFonts w:hint="eastAsia"/>
        </w:rPr>
        <w:t xml:space="preserve">司</w:t>
      </w:r>
      <w:r>
        <w:t xml:space="preserve"> </w:t>
      </w:r>
      <w:r>
        <w:rPr>
          <w:rFonts w:hint="eastAsia"/>
        </w:rPr>
        <w:t xml:space="preserve">行</w:t>
      </w:r>
      <w:r>
        <w:t xml:space="preserve"> </w:t>
      </w:r>
      <w:r>
        <w:rPr>
          <w:rFonts w:hint="eastAsia"/>
        </w:rPr>
        <w:t xml:space="preserve">政</w:t>
      </w:r>
      <w:r>
        <w:t xml:space="preserve"> </w:t>
      </w:r>
      <w:r>
        <w:rPr>
          <w:rFonts w:hint="eastAsia"/>
        </w:rPr>
        <w:t xml:space="preserve">總</w:t>
      </w:r>
      <w:r>
        <w:t xml:space="preserve"> </w:t>
      </w:r>
      <w:r>
        <w:rPr>
          <w:rFonts w:hint="eastAsia"/>
        </w:rPr>
        <w:t xml:space="preserve">裁（2005年</w:t>
      </w:r>
      <w:r>
        <w:t xml:space="preserve"> </w:t>
      </w:r>
      <w:r>
        <w:rPr>
          <w:rFonts w:hint="eastAsia"/>
        </w:rPr>
        <w:t xml:space="preserve">至2008年）、ICICI</w:t>
      </w:r>
    </w:p>
    <w:p>
      <w:pPr>
        <w:pStyle w:val="BodyText"/>
      </w:pPr>
      <w:r>
        <w:rPr>
          <w:rFonts w:hint="eastAsia"/>
        </w:rPr>
        <w:t xml:space="preserve">Prudential首席代理業務總監（2002年至2004年）及南亞地區代理業務發展總監（2001年）。</w:t>
      </w:r>
    </w:p>
    <w:p>
      <w:pPr>
        <w:pStyle w:val="BodyText"/>
      </w:pPr>
      <w:r>
        <w:rPr>
          <w:rFonts w:hint="eastAsia"/>
        </w:rPr>
        <w:t xml:space="preserve">陳榮聲先生</w:t>
      </w:r>
    </w:p>
    <w:p>
      <w:pPr>
        <w:pStyle w:val="BodyText"/>
      </w:pPr>
      <w:r>
        <w:rPr>
          <w:rFonts w:hint="eastAsia"/>
        </w:rPr>
        <w:t xml:space="preserve">57歲，區域首席執行官，負責本集團於香港特別行政區、中國內地、菲律賓、南韓、台灣（中國）及澳門特別</w:t>
      </w:r>
    </w:p>
    <w:p>
      <w:pPr>
        <w:pStyle w:val="BodyText"/>
      </w:pPr>
      <w:r>
        <w:rPr>
          <w:rFonts w:hint="eastAsia"/>
        </w:rPr>
        <w:t xml:space="preserve">行政區經營的業務。陳先生現任本集團內多家公司（包括AIA</w:t>
      </w:r>
      <w:r>
        <w:t xml:space="preserve"> </w:t>
      </w:r>
      <w:r>
        <w:rPr>
          <w:rFonts w:hint="eastAsia"/>
        </w:rPr>
        <w:t xml:space="preserve">Co.及AIA</w:t>
      </w:r>
      <w:r>
        <w:t xml:space="preserve"> </w:t>
      </w:r>
      <w:r>
        <w:rPr>
          <w:rFonts w:hint="eastAsia"/>
        </w:rPr>
        <w:t xml:space="preserve">International）的董事。彼在友邦保險</w:t>
      </w:r>
    </w:p>
    <w:p>
      <w:pPr>
        <w:pStyle w:val="BodyText"/>
      </w:pPr>
      <w:r>
        <w:rPr>
          <w:rFonts w:hint="eastAsia"/>
        </w:rPr>
        <w:t xml:space="preserve">任職33年，擁有豐富的經驗。陳先生獲委任為區域首席執行官前，彼自2009年出任AIA香港及澳門首席執行官。</w:t>
      </w:r>
    </w:p>
    <w:p>
      <w:pPr>
        <w:pStyle w:val="BodyText"/>
      </w:pPr>
      <w:r>
        <w:rPr>
          <w:rFonts w:hint="eastAsia"/>
        </w:rPr>
        <w:t xml:space="preserve">此前，彼亦曾擔任多個要職，包括友邦保險中國區主管、台灣南山人壽執行副總裁（銷售及市場業務）及友邦</w:t>
      </w:r>
    </w:p>
    <w:p>
      <w:pPr>
        <w:pStyle w:val="BodyText"/>
      </w:pPr>
      <w:r>
        <w:rPr>
          <w:rFonts w:hint="eastAsia"/>
        </w:rPr>
        <w:t xml:space="preserve">保險亞洲區（日本及韓國除外）高級副總裁兼壽險業務部主管。陳先生擁有香港大學理學士學位。彼為精算師</w:t>
      </w:r>
    </w:p>
    <w:p>
      <w:pPr>
        <w:pStyle w:val="BodyText"/>
      </w:pPr>
      <w:r>
        <w:rPr>
          <w:rFonts w:hint="eastAsia"/>
        </w:rPr>
        <w:t xml:space="preserve">學會(FSA)資深會員、美國精算師學會(MAAA)會員及加拿大精算師學會(CIA)資深會員。</w:t>
      </w:r>
    </w:p>
    <w:p>
      <w:pPr>
        <w:pStyle w:val="BodyText"/>
      </w:pPr>
      <w:r>
        <w:t xml:space="preserve">080</w:t>
      </w:r>
    </w:p>
    <w:p>
      <w:pPr>
        <w:pStyle w:val="BodyText"/>
      </w:pPr>
      <w:r>
        <w:rPr>
          <w:rFonts w:hint="eastAsia"/>
        </w:rPr>
        <w:t xml:space="preserve">企業管治友邦保險控股有限公司執行委員會</w:t>
      </w:r>
    </w:p>
    <w:p>
      <w:pPr>
        <w:pStyle w:val="BodyText"/>
      </w:pPr>
      <w:r>
        <w:rPr>
          <w:rFonts w:hint="eastAsia"/>
        </w:rPr>
        <w:t xml:space="preserve">陳學旅先生</w:t>
      </w:r>
    </w:p>
    <w:p>
      <w:pPr>
        <w:pStyle w:val="BodyText"/>
      </w:pPr>
      <w:r>
        <w:rPr>
          <w:rFonts w:hint="eastAsia"/>
        </w:rPr>
        <w:t xml:space="preserve">55歲，區域首席執行官及集團首席壽險營運總監，負責本集團於新加坡及汶萊、馬來西亞、柬埔寨、印尼及緬甸</w:t>
      </w:r>
    </w:p>
    <w:p>
      <w:pPr>
        <w:pStyle w:val="BodyText"/>
      </w:pPr>
      <w:r>
        <w:rPr>
          <w:rFonts w:hint="eastAsia"/>
        </w:rPr>
        <w:t xml:space="preserve">經營的業務，以及集團營運及在馬來西亞的營運共享服務。彼現任本集團內多家公司的董事。陳先生於2016年至</w:t>
      </w:r>
    </w:p>
    <w:p>
      <w:pPr>
        <w:pStyle w:val="BodyText"/>
      </w:pPr>
      <w:r>
        <w:rPr>
          <w:rFonts w:hint="eastAsia"/>
        </w:rPr>
        <w:t xml:space="preserve">2019年為友邦保險於泰國業務的首席執行官、於2015年曾出任集團首席風險管理總監、並於2011年至2015年為</w:t>
      </w:r>
    </w:p>
    <w:p>
      <w:pPr>
        <w:pStyle w:val="BodyText"/>
      </w:pPr>
      <w:r>
        <w:rPr>
          <w:rFonts w:hint="eastAsia"/>
        </w:rPr>
        <w:t xml:space="preserve">友邦保險於新加坡業務的首席執行官。於加入本集團前，陳先生為大東方人壽(Great</w:t>
      </w:r>
      <w:r>
        <w:t xml:space="preserve"> Eastern </w:t>
      </w:r>
      <w:r>
        <w:rPr>
          <w:rFonts w:hint="eastAsia"/>
        </w:rPr>
        <w:t xml:space="preserve">Life)新加坡首席</w:t>
      </w:r>
    </w:p>
    <w:p>
      <w:pPr>
        <w:pStyle w:val="BodyText"/>
      </w:pPr>
      <w:r>
        <w:rPr>
          <w:rFonts w:hint="eastAsia"/>
        </w:rPr>
        <w:t xml:space="preserve">執行官。於加入大東方人壽之前，陳先生為新加坡金融管理局保險署署長。陳先生自2005年起積極參與壽險業務</w:t>
      </w:r>
    </w:p>
    <w:p>
      <w:pPr>
        <w:pStyle w:val="BodyText"/>
      </w:pPr>
      <w:r>
        <w:rPr>
          <w:rFonts w:hint="eastAsia"/>
        </w:rPr>
        <w:t xml:space="preserve">事務。彼曾擔任的職位包括：新加坡壽險協會(Life</w:t>
      </w:r>
      <w:r>
        <w:t xml:space="preserve"> Insurance Association, </w:t>
      </w:r>
      <w:r>
        <w:rPr>
          <w:rFonts w:hint="eastAsia"/>
        </w:rPr>
        <w:t xml:space="preserve">Singapore)會長（2010年至2013年）、</w:t>
      </w:r>
    </w:p>
    <w:p>
      <w:pPr>
        <w:pStyle w:val="BodyText"/>
      </w:pPr>
      <w:r>
        <w:rPr>
          <w:rFonts w:hint="eastAsia"/>
        </w:rPr>
        <w:t xml:space="preserve">新</w:t>
      </w:r>
      <w:r>
        <w:t xml:space="preserve"> </w:t>
      </w:r>
      <w:r>
        <w:rPr>
          <w:rFonts w:hint="eastAsia"/>
        </w:rPr>
        <w:t xml:space="preserve">加</w:t>
      </w:r>
      <w:r>
        <w:t xml:space="preserve"> </w:t>
      </w:r>
      <w:r>
        <w:rPr>
          <w:rFonts w:hint="eastAsia"/>
        </w:rPr>
        <w:t xml:space="preserve">坡</w:t>
      </w:r>
      <w:r>
        <w:t xml:space="preserve"> </w:t>
      </w:r>
      <w:r>
        <w:rPr>
          <w:rFonts w:hint="eastAsia"/>
        </w:rPr>
        <w:t xml:space="preserve">保</w:t>
      </w:r>
      <w:r>
        <w:t xml:space="preserve"> </w:t>
      </w:r>
      <w:r>
        <w:rPr>
          <w:rFonts w:hint="eastAsia"/>
        </w:rPr>
        <w:t xml:space="preserve">險</w:t>
      </w:r>
      <w:r>
        <w:t xml:space="preserve"> </w:t>
      </w:r>
      <w:r>
        <w:rPr>
          <w:rFonts w:hint="eastAsia"/>
        </w:rPr>
        <w:t xml:space="preserve">學</w:t>
      </w:r>
      <w:r>
        <w:t xml:space="preserve"> </w:t>
      </w:r>
      <w:r>
        <w:rPr>
          <w:rFonts w:hint="eastAsia"/>
        </w:rPr>
        <w:t xml:space="preserve">院(Singapore</w:t>
      </w:r>
      <w:r>
        <w:t xml:space="preserve"> College of </w:t>
      </w:r>
      <w:r>
        <w:rPr>
          <w:rFonts w:hint="eastAsia"/>
        </w:rPr>
        <w:t xml:space="preserve">Insurance)副</w:t>
      </w:r>
      <w:r>
        <w:t xml:space="preserve"> </w:t>
      </w:r>
      <w:r>
        <w:rPr>
          <w:rFonts w:hint="eastAsia"/>
        </w:rPr>
        <w:t xml:space="preserve">主</w:t>
      </w:r>
      <w:r>
        <w:t xml:space="preserve"> </w:t>
      </w:r>
      <w:r>
        <w:rPr>
          <w:rFonts w:hint="eastAsia"/>
        </w:rPr>
        <w:t xml:space="preserve">席（2011年</w:t>
      </w:r>
      <w:r>
        <w:t xml:space="preserve"> </w:t>
      </w:r>
      <w:r>
        <w:rPr>
          <w:rFonts w:hint="eastAsia"/>
        </w:rPr>
        <w:t xml:space="preserve">至2013年）及</w:t>
      </w:r>
      <w:r>
        <w:t xml:space="preserve"> </w:t>
      </w:r>
      <w:r>
        <w:rPr>
          <w:rFonts w:hint="eastAsia"/>
        </w:rPr>
        <w:t xml:space="preserve">泰</w:t>
      </w:r>
      <w:r>
        <w:t xml:space="preserve"> </w:t>
      </w:r>
      <w:r>
        <w:rPr>
          <w:rFonts w:hint="eastAsia"/>
        </w:rPr>
        <w:t xml:space="preserve">國</w:t>
      </w:r>
      <w:r>
        <w:t xml:space="preserve"> </w:t>
      </w:r>
      <w:r>
        <w:rPr>
          <w:rFonts w:hint="eastAsia"/>
        </w:rPr>
        <w:t xml:space="preserve">壽</w:t>
      </w:r>
      <w:r>
        <w:t xml:space="preserve"> </w:t>
      </w:r>
      <w:r>
        <w:rPr>
          <w:rFonts w:hint="eastAsia"/>
        </w:rPr>
        <w:t xml:space="preserve">險</w:t>
      </w:r>
      <w:r>
        <w:t xml:space="preserve"> </w:t>
      </w:r>
      <w:r>
        <w:rPr>
          <w:rFonts w:hint="eastAsia"/>
        </w:rPr>
        <w:t xml:space="preserve">協</w:t>
      </w:r>
      <w:r>
        <w:t xml:space="preserve"> </w:t>
      </w:r>
      <w:r>
        <w:rPr>
          <w:rFonts w:hint="eastAsia"/>
        </w:rPr>
        <w:t xml:space="preserve">會（Thailand</w:t>
      </w:r>
      <w:r>
        <w:t xml:space="preserve"> Life</w:t>
      </w:r>
    </w:p>
    <w:p>
      <w:pPr>
        <w:pStyle w:val="BodyText"/>
      </w:pPr>
      <w:r>
        <w:t xml:space="preserve">Assurance </w:t>
      </w:r>
      <w:r>
        <w:rPr>
          <w:rFonts w:hint="eastAsia"/>
        </w:rPr>
        <w:t xml:space="preserve">Association）副會長（2017年至2018年）。彼亦於2008年至2015年擔任新加坡金融業爭議調解中心</w:t>
      </w:r>
    </w:p>
    <w:p>
      <w:pPr>
        <w:pStyle w:val="BodyText"/>
      </w:pPr>
      <w:r>
        <w:t xml:space="preserve">(Financial Industry Disputes Resolution Centre </w:t>
      </w:r>
      <w:r>
        <w:rPr>
          <w:rFonts w:hint="eastAsia"/>
        </w:rPr>
        <w:t xml:space="preserve">Ltd)的董事會成員。</w:t>
      </w:r>
    </w:p>
    <w:p>
      <w:pPr>
        <w:pStyle w:val="BodyText"/>
      </w:pPr>
      <w:r>
        <w:t xml:space="preserve">Mitchell David </w:t>
      </w:r>
      <w:r>
        <w:rPr>
          <w:rFonts w:hint="eastAsia"/>
        </w:rPr>
        <w:t xml:space="preserve">NEW（聶鳴川）先生</w:t>
      </w:r>
    </w:p>
    <w:p>
      <w:pPr>
        <w:pStyle w:val="BodyText"/>
      </w:pPr>
      <w:r>
        <w:rPr>
          <w:rFonts w:hint="eastAsia"/>
        </w:rPr>
        <w:t xml:space="preserve">57歲，集團法律總顧問，負責向本集團提供法律服務，並向各國地區的法律及企業管治職能部門提供支援。彼亦</w:t>
      </w:r>
    </w:p>
    <w:p>
      <w:pPr>
        <w:pStyle w:val="BodyText"/>
      </w:pPr>
      <w:r>
        <w:rPr>
          <w:rFonts w:hint="eastAsia"/>
        </w:rPr>
        <w:t xml:space="preserve">曾</w:t>
      </w:r>
      <w:r>
        <w:t xml:space="preserve"> </w:t>
      </w:r>
      <w:r>
        <w:rPr>
          <w:rFonts w:hint="eastAsia"/>
        </w:rPr>
        <w:t xml:space="preserve">擔</w:t>
      </w:r>
      <w:r>
        <w:t xml:space="preserve"> </w:t>
      </w:r>
      <w:r>
        <w:rPr>
          <w:rFonts w:hint="eastAsia"/>
        </w:rPr>
        <w:t xml:space="preserve">任</w:t>
      </w:r>
      <w:r>
        <w:t xml:space="preserve"> </w:t>
      </w:r>
      <w:r>
        <w:rPr>
          <w:rFonts w:hint="eastAsia"/>
        </w:rPr>
        <w:t xml:space="preserve">集</w:t>
      </w:r>
      <w:r>
        <w:t xml:space="preserve"> </w:t>
      </w:r>
      <w:r>
        <w:rPr>
          <w:rFonts w:hint="eastAsia"/>
        </w:rPr>
        <w:t xml:space="preserve">團</w:t>
      </w:r>
      <w:r>
        <w:t xml:space="preserve"> </w:t>
      </w:r>
      <w:r>
        <w:rPr>
          <w:rFonts w:hint="eastAsia"/>
        </w:rPr>
        <w:t xml:space="preserve">首</w:t>
      </w:r>
      <w:r>
        <w:t xml:space="preserve"> </w:t>
      </w:r>
      <w:r>
        <w:rPr>
          <w:rFonts w:hint="eastAsia"/>
        </w:rPr>
        <w:t xml:space="preserve">席</w:t>
      </w:r>
      <w:r>
        <w:t xml:space="preserve"> </w:t>
      </w:r>
      <w:r>
        <w:rPr>
          <w:rFonts w:hint="eastAsia"/>
        </w:rPr>
        <w:t xml:space="preserve">風</w:t>
      </w:r>
      <w:r>
        <w:t xml:space="preserve"> </w:t>
      </w:r>
      <w:r>
        <w:rPr>
          <w:rFonts w:hint="eastAsia"/>
        </w:rPr>
        <w:t xml:space="preserve">險</w:t>
      </w:r>
      <w:r>
        <w:t xml:space="preserve"> </w:t>
      </w:r>
      <w:r>
        <w:rPr>
          <w:rFonts w:hint="eastAsia"/>
        </w:rPr>
        <w:t xml:space="preserve">管</w:t>
      </w:r>
      <w:r>
        <w:t xml:space="preserve"> </w:t>
      </w:r>
      <w:r>
        <w:rPr>
          <w:rFonts w:hint="eastAsia"/>
        </w:rPr>
        <w:t xml:space="preserve">理</w:t>
      </w:r>
      <w:r>
        <w:t xml:space="preserve"> </w:t>
      </w:r>
      <w:r>
        <w:rPr>
          <w:rFonts w:hint="eastAsia"/>
        </w:rPr>
        <w:t xml:space="preserve">總</w:t>
      </w:r>
      <w:r>
        <w:t xml:space="preserve"> </w:t>
      </w:r>
      <w:r>
        <w:rPr>
          <w:rFonts w:hint="eastAsia"/>
        </w:rPr>
        <w:t xml:space="preserve">監。</w:t>
      </w:r>
      <w:r>
        <w:t xml:space="preserve"> </w:t>
      </w:r>
      <w:r>
        <w:rPr>
          <w:rFonts w:hint="eastAsia"/>
        </w:rPr>
        <w:t xml:space="preserve">彼</w:t>
      </w:r>
      <w:r>
        <w:t xml:space="preserve"> </w:t>
      </w:r>
      <w:r>
        <w:rPr>
          <w:rFonts w:hint="eastAsia"/>
        </w:rPr>
        <w:t xml:space="preserve">現</w:t>
      </w:r>
      <w:r>
        <w:t xml:space="preserve"> </w:t>
      </w:r>
      <w:r>
        <w:rPr>
          <w:rFonts w:hint="eastAsia"/>
        </w:rPr>
        <w:t xml:space="preserve">任</w:t>
      </w:r>
      <w:r>
        <w:t xml:space="preserve"> </w:t>
      </w:r>
      <w:r>
        <w:rPr>
          <w:rFonts w:hint="eastAsia"/>
        </w:rPr>
        <w:t xml:space="preserve">本</w:t>
      </w:r>
      <w:r>
        <w:t xml:space="preserve"> </w:t>
      </w:r>
      <w:r>
        <w:rPr>
          <w:rFonts w:hint="eastAsia"/>
        </w:rPr>
        <w:t xml:space="preserve">集</w:t>
      </w:r>
      <w:r>
        <w:t xml:space="preserve"> </w:t>
      </w:r>
      <w:r>
        <w:rPr>
          <w:rFonts w:hint="eastAsia"/>
        </w:rPr>
        <w:t xml:space="preserve">團</w:t>
      </w:r>
      <w:r>
        <w:t xml:space="preserve"> </w:t>
      </w:r>
      <w:r>
        <w:rPr>
          <w:rFonts w:hint="eastAsia"/>
        </w:rPr>
        <w:t xml:space="preserve">內</w:t>
      </w:r>
      <w:r>
        <w:t xml:space="preserve"> </w:t>
      </w:r>
      <w:r>
        <w:rPr>
          <w:rFonts w:hint="eastAsia"/>
        </w:rPr>
        <w:t xml:space="preserve">多</w:t>
      </w:r>
      <w:r>
        <w:t xml:space="preserve"> </w:t>
      </w:r>
      <w:r>
        <w:rPr>
          <w:rFonts w:hint="eastAsia"/>
        </w:rPr>
        <w:t xml:space="preserve">家</w:t>
      </w:r>
      <w:r>
        <w:t xml:space="preserve"> </w:t>
      </w:r>
      <w:r>
        <w:rPr>
          <w:rFonts w:hint="eastAsia"/>
        </w:rPr>
        <w:t xml:space="preserve">公</w:t>
      </w:r>
      <w:r>
        <w:t xml:space="preserve"> </w:t>
      </w:r>
      <w:r>
        <w:rPr>
          <w:rFonts w:hint="eastAsia"/>
        </w:rPr>
        <w:t xml:space="preserve">司（包</w:t>
      </w:r>
      <w:r>
        <w:t xml:space="preserve"> </w:t>
      </w:r>
      <w:r>
        <w:rPr>
          <w:rFonts w:hint="eastAsia"/>
        </w:rPr>
        <w:t xml:space="preserve">括AIA</w:t>
      </w:r>
      <w:r>
        <w:t xml:space="preserve"> International、AIA </w:t>
      </w:r>
      <w:r>
        <w:rPr>
          <w:rFonts w:hint="eastAsia"/>
        </w:rPr>
        <w:t xml:space="preserve">Singapore及AIA</w:t>
      </w:r>
    </w:p>
    <w:p>
      <w:pPr>
        <w:pStyle w:val="BodyText"/>
      </w:pPr>
      <w:r>
        <w:t xml:space="preserve">Reinsurance </w:t>
      </w:r>
      <w:r>
        <w:rPr>
          <w:rFonts w:hint="eastAsia"/>
        </w:rPr>
        <w:t xml:space="preserve">Limited）的董事。彼於2011年4月加入本集團。於加入本集團前，New先生曾為Fasken</w:t>
      </w:r>
      <w:r>
        <w:t xml:space="preserve"> Martineau</w:t>
      </w:r>
    </w:p>
    <w:p>
      <w:pPr>
        <w:pStyle w:val="BodyText"/>
      </w:pPr>
      <w:r>
        <w:rPr>
          <w:rFonts w:hint="eastAsia"/>
        </w:rPr>
        <w:t xml:space="preserve">律師事務所的成員及於宏利金融擔任多個高級管理職位，包括亞洲區及日本高級副總裁兼首席法律顧問並以香港</w:t>
      </w:r>
    </w:p>
    <w:p>
      <w:pPr>
        <w:pStyle w:val="BodyText"/>
      </w:pPr>
      <w:r>
        <w:rPr>
          <w:rFonts w:hint="eastAsia"/>
        </w:rPr>
        <w:t xml:space="preserve">為基地，及宏利加拿大地區的高級副總裁兼法律總顧問。New先生為合資格大律師及事務律師，並為上加拿大</w:t>
      </w:r>
    </w:p>
    <w:p>
      <w:pPr>
        <w:pStyle w:val="BodyText"/>
      </w:pPr>
      <w:r>
        <w:rPr>
          <w:rFonts w:hint="eastAsia"/>
        </w:rPr>
        <w:t xml:space="preserve">律師協會(Law</w:t>
      </w:r>
      <w:r>
        <w:t xml:space="preserve"> Society of Upper </w:t>
      </w:r>
      <w:r>
        <w:rPr>
          <w:rFonts w:hint="eastAsia"/>
        </w:rPr>
        <w:t xml:space="preserve">Canada)會員。彼持有麥克馬斯特大學(McMaster</w:t>
      </w:r>
      <w:r>
        <w:t xml:space="preserve"> </w:t>
      </w:r>
      <w:r>
        <w:rPr>
          <w:rFonts w:hint="eastAsia"/>
        </w:rPr>
        <w:t xml:space="preserve">University)商學學士學位及</w:t>
      </w:r>
    </w:p>
    <w:p>
      <w:pPr>
        <w:pStyle w:val="BodyText"/>
      </w:pPr>
      <w:r>
        <w:rPr>
          <w:rFonts w:hint="eastAsia"/>
        </w:rPr>
        <w:t xml:space="preserve">工商管理碩士學位，及西安大略大學(University</w:t>
      </w:r>
      <w:r>
        <w:t xml:space="preserve"> of Western </w:t>
      </w:r>
      <w:r>
        <w:rPr>
          <w:rFonts w:hint="eastAsia"/>
        </w:rPr>
        <w:t xml:space="preserve">Ontario)法學學士學位。</w:t>
      </w:r>
    </w:p>
    <w:p>
      <w:pPr>
        <w:pStyle w:val="BodyText"/>
      </w:pPr>
      <w:r>
        <w:t xml:space="preserve">Mark Vincent Thomas </w:t>
      </w:r>
      <w:r>
        <w:rPr>
          <w:rFonts w:hint="eastAsia"/>
        </w:rPr>
        <w:t xml:space="preserve">SAUNDERS（馬崇達）先生</w:t>
      </w:r>
    </w:p>
    <w:p>
      <w:pPr>
        <w:pStyle w:val="BodyText"/>
      </w:pPr>
      <w:r>
        <w:rPr>
          <w:rFonts w:hint="eastAsia"/>
        </w:rPr>
        <w:t xml:space="preserve">57歲，集團首席策略及企業發展總監，負責本集團的策略及企業交易。彼於2014年4月加入本集團，現任本集團</w:t>
      </w:r>
    </w:p>
    <w:p>
      <w:pPr>
        <w:pStyle w:val="BodyText"/>
      </w:pPr>
      <w:r>
        <w:rPr>
          <w:rFonts w:hint="eastAsia"/>
        </w:rPr>
        <w:t xml:space="preserve">內多家公司的董事。彼曾出任集團首席策略及市場總監及負責集團醫療保險及企業方案。於加入本集團前，</w:t>
      </w:r>
    </w:p>
    <w:p>
      <w:pPr>
        <w:pStyle w:val="BodyText"/>
      </w:pPr>
      <w:r>
        <w:rPr>
          <w:rFonts w:hint="eastAsia"/>
        </w:rPr>
        <w:t xml:space="preserve">Saunders先生為韜睿惠悅(Towers</w:t>
      </w:r>
      <w:r>
        <w:t xml:space="preserve"> </w:t>
      </w:r>
      <w:r>
        <w:rPr>
          <w:rFonts w:hint="eastAsia"/>
        </w:rPr>
        <w:t xml:space="preserve">Watson)亞太區保險行業董事總經理及香港辦事處董事總經理，並出任多家</w:t>
      </w:r>
    </w:p>
    <w:p>
      <w:pPr>
        <w:pStyle w:val="BodyText"/>
      </w:pPr>
      <w:r>
        <w:rPr>
          <w:rFonts w:hint="eastAsia"/>
        </w:rPr>
        <w:t xml:space="preserve">公司的董事會成員。彼自1989年起於香港工作，於效力韜睿惠悅之前，彼為Clerical</w:t>
      </w:r>
      <w:r>
        <w:t xml:space="preserve"> </w:t>
      </w:r>
      <w:r>
        <w:rPr>
          <w:rFonts w:hint="eastAsia"/>
        </w:rPr>
        <w:t xml:space="preserve">Medical（總部設於人島，</w:t>
      </w:r>
    </w:p>
    <w:p>
      <w:pPr>
        <w:pStyle w:val="BodyText"/>
      </w:pPr>
      <w:r>
        <w:t xml:space="preserve">Isle of </w:t>
      </w:r>
      <w:r>
        <w:rPr>
          <w:rFonts w:hint="eastAsia"/>
        </w:rPr>
        <w:t xml:space="preserve">Man）的國際壽險業務及其韓國合資壽險公司(Coryo-CM)的亞太區負責人、香港行政總裁、執行董事兼</w:t>
      </w:r>
    </w:p>
    <w:p>
      <w:pPr>
        <w:pStyle w:val="BodyText"/>
      </w:pPr>
      <w:r>
        <w:rPr>
          <w:rFonts w:hint="eastAsia"/>
        </w:rPr>
        <w:t xml:space="preserve">董事會成員。彼為英國精算學會(Institute</w:t>
      </w:r>
      <w:r>
        <w:t xml:space="preserve"> and Faculty of </w:t>
      </w:r>
      <w:r>
        <w:rPr>
          <w:rFonts w:hint="eastAsia"/>
        </w:rPr>
        <w:t xml:space="preserve">Actuaries)資深會員，亦為五個其他專業精算師學會</w:t>
      </w:r>
    </w:p>
    <w:p>
      <w:pPr>
        <w:pStyle w:val="BodyText"/>
      </w:pPr>
      <w:r>
        <w:rPr>
          <w:rFonts w:hint="eastAsia"/>
        </w:rPr>
        <w:t xml:space="preserve">的資深會員。</w:t>
      </w:r>
    </w:p>
    <w:p>
      <w:pPr>
        <w:pStyle w:val="BodyText"/>
      </w:pPr>
      <w:r>
        <w:t xml:space="preserve">Mark </w:t>
      </w:r>
      <w:r>
        <w:rPr>
          <w:rFonts w:hint="eastAsia"/>
        </w:rPr>
        <w:t xml:space="preserve">KONYN（康禮賢）博士</w:t>
      </w:r>
    </w:p>
    <w:p>
      <w:pPr>
        <w:pStyle w:val="BodyText"/>
      </w:pPr>
      <w:r>
        <w:rPr>
          <w:rFonts w:hint="eastAsia"/>
        </w:rPr>
        <w:t xml:space="preserve">59歲，集團首席投資總監，負責監督本集團的投資組合管理以及管理和支援本集團內眾多投資專才。彼現任</w:t>
      </w:r>
    </w:p>
    <w:p>
      <w:pPr>
        <w:pStyle w:val="BodyText"/>
      </w:pPr>
      <w:r>
        <w:rPr>
          <w:rFonts w:hint="eastAsia"/>
        </w:rPr>
        <w:t xml:space="preserve">本集團內多家公司的董事，包括出任AIA</w:t>
      </w:r>
      <w:r>
        <w:t xml:space="preserve"> Investment Management Private </w:t>
      </w:r>
      <w:r>
        <w:rPr>
          <w:rFonts w:hint="eastAsia"/>
        </w:rPr>
        <w:t xml:space="preserve">Limited及AIA</w:t>
      </w:r>
      <w:r>
        <w:t xml:space="preserve"> Investment Management</w:t>
      </w:r>
    </w:p>
    <w:p>
      <w:pPr>
        <w:pStyle w:val="BodyText"/>
      </w:pPr>
      <w:r>
        <w:t xml:space="preserve">HK </w:t>
      </w:r>
      <w:r>
        <w:rPr>
          <w:rFonts w:hint="eastAsia"/>
        </w:rPr>
        <w:t xml:space="preserve">Limited主</w:t>
      </w:r>
      <w:r>
        <w:t xml:space="preserve"> </w:t>
      </w:r>
      <w:r>
        <w:rPr>
          <w:rFonts w:hint="eastAsia"/>
        </w:rPr>
        <w:t xml:space="preserve">席。</w:t>
      </w:r>
      <w:r>
        <w:t xml:space="preserve"> </w:t>
      </w:r>
      <w:r>
        <w:rPr>
          <w:rFonts w:hint="eastAsia"/>
        </w:rPr>
        <w:t xml:space="preserve">彼</w:t>
      </w:r>
      <w:r>
        <w:t xml:space="preserve"> </w:t>
      </w:r>
      <w:r>
        <w:rPr>
          <w:rFonts w:hint="eastAsia"/>
        </w:rPr>
        <w:t xml:space="preserve">於2015年9月</w:t>
      </w:r>
      <w:r>
        <w:t xml:space="preserve"> </w:t>
      </w:r>
      <w:r>
        <w:rPr>
          <w:rFonts w:hint="eastAsia"/>
        </w:rPr>
        <w:t xml:space="preserve">加</w:t>
      </w:r>
      <w:r>
        <w:t xml:space="preserve"> </w:t>
      </w:r>
      <w:r>
        <w:rPr>
          <w:rFonts w:hint="eastAsia"/>
        </w:rPr>
        <w:t xml:space="preserve">入</w:t>
      </w:r>
      <w:r>
        <w:t xml:space="preserve"> </w:t>
      </w:r>
      <w:r>
        <w:rPr>
          <w:rFonts w:hint="eastAsia"/>
        </w:rPr>
        <w:t xml:space="preserve">本</w:t>
      </w:r>
      <w:r>
        <w:t xml:space="preserve"> </w:t>
      </w:r>
      <w:r>
        <w:rPr>
          <w:rFonts w:hint="eastAsia"/>
        </w:rPr>
        <w:t xml:space="preserve">集</w:t>
      </w:r>
      <w:r>
        <w:t xml:space="preserve"> </w:t>
      </w:r>
      <w:r>
        <w:rPr>
          <w:rFonts w:hint="eastAsia"/>
        </w:rPr>
        <w:t xml:space="preserve">團。Konyn博</w:t>
      </w:r>
      <w:r>
        <w:t xml:space="preserve"> </w:t>
      </w:r>
      <w:r>
        <w:rPr>
          <w:rFonts w:hint="eastAsia"/>
        </w:rPr>
        <w:t xml:space="preserve">士</w:t>
      </w:r>
      <w:r>
        <w:t xml:space="preserve"> </w:t>
      </w:r>
      <w:r>
        <w:rPr>
          <w:rFonts w:hint="eastAsia"/>
        </w:rPr>
        <w:t xml:space="preserve">加</w:t>
      </w:r>
      <w:r>
        <w:t xml:space="preserve"> </w:t>
      </w:r>
      <w:r>
        <w:rPr>
          <w:rFonts w:hint="eastAsia"/>
        </w:rPr>
        <w:t xml:space="preserve">入</w:t>
      </w:r>
      <w:r>
        <w:t xml:space="preserve"> </w:t>
      </w:r>
      <w:r>
        <w:rPr>
          <w:rFonts w:hint="eastAsia"/>
        </w:rPr>
        <w:t xml:space="preserve">友</w:t>
      </w:r>
      <w:r>
        <w:t xml:space="preserve"> </w:t>
      </w:r>
      <w:r>
        <w:rPr>
          <w:rFonts w:hint="eastAsia"/>
        </w:rPr>
        <w:t xml:space="preserve">邦</w:t>
      </w:r>
      <w:r>
        <w:t xml:space="preserve"> </w:t>
      </w:r>
      <w:r>
        <w:rPr>
          <w:rFonts w:hint="eastAsia"/>
        </w:rPr>
        <w:t xml:space="preserve">保</w:t>
      </w:r>
      <w:r>
        <w:t xml:space="preserve"> </w:t>
      </w:r>
      <w:r>
        <w:rPr>
          <w:rFonts w:hint="eastAsia"/>
        </w:rPr>
        <w:t xml:space="preserve">險</w:t>
      </w:r>
      <w:r>
        <w:t xml:space="preserve"> </w:t>
      </w:r>
      <w:r>
        <w:rPr>
          <w:rFonts w:hint="eastAsia"/>
        </w:rPr>
        <w:t xml:space="preserve">前</w:t>
      </w:r>
      <w:r>
        <w:t xml:space="preserve"> </w:t>
      </w:r>
      <w:r>
        <w:rPr>
          <w:rFonts w:hint="eastAsia"/>
        </w:rPr>
        <w:t xml:space="preserve">於</w:t>
      </w:r>
      <w:r>
        <w:t xml:space="preserve"> </w:t>
      </w:r>
      <w:r>
        <w:rPr>
          <w:rFonts w:hint="eastAsia"/>
        </w:rPr>
        <w:t xml:space="preserve">國</w:t>
      </w:r>
      <w:r>
        <w:t xml:space="preserve"> </w:t>
      </w:r>
      <w:r>
        <w:rPr>
          <w:rFonts w:hint="eastAsia"/>
        </w:rPr>
        <w:t xml:space="preserve">泰</w:t>
      </w:r>
      <w:r>
        <w:t xml:space="preserve"> </w:t>
      </w:r>
      <w:r>
        <w:rPr>
          <w:rFonts w:hint="eastAsia"/>
        </w:rPr>
        <w:t xml:space="preserve">康</w:t>
      </w:r>
      <w:r>
        <w:t xml:space="preserve"> </w:t>
      </w:r>
      <w:r>
        <w:rPr>
          <w:rFonts w:hint="eastAsia"/>
        </w:rPr>
        <w:t xml:space="preserve">利</w:t>
      </w:r>
      <w:r>
        <w:t xml:space="preserve"> </w:t>
      </w:r>
      <w:r>
        <w:rPr>
          <w:rFonts w:hint="eastAsia"/>
        </w:rPr>
        <w:t xml:space="preserve">資</w:t>
      </w:r>
      <w:r>
        <w:t xml:space="preserve"> </w:t>
      </w:r>
      <w:r>
        <w:rPr>
          <w:rFonts w:hint="eastAsia"/>
        </w:rPr>
        <w:t xml:space="preserve">產</w:t>
      </w:r>
      <w:r>
        <w:t xml:space="preserve"> </w:t>
      </w:r>
      <w:r>
        <w:rPr>
          <w:rFonts w:hint="eastAsia"/>
        </w:rPr>
        <w:t xml:space="preserve">管</w:t>
      </w:r>
      <w:r>
        <w:t xml:space="preserve"> </w:t>
      </w:r>
      <w:r>
        <w:rPr>
          <w:rFonts w:hint="eastAsia"/>
        </w:rPr>
        <w:t xml:space="preserve">理</w:t>
      </w:r>
      <w:r>
        <w:t xml:space="preserve"> </w:t>
      </w:r>
      <w:r>
        <w:rPr>
          <w:rFonts w:hint="eastAsia"/>
        </w:rPr>
        <w:t xml:space="preserve">擔</w:t>
      </w:r>
      <w:r>
        <w:t xml:space="preserve"> </w:t>
      </w:r>
      <w:r>
        <w:rPr>
          <w:rFonts w:hint="eastAsia"/>
        </w:rPr>
        <w:t xml:space="preserve">任</w:t>
      </w:r>
      <w:r>
        <w:t xml:space="preserve"> </w:t>
      </w:r>
      <w:r>
        <w:rPr>
          <w:rFonts w:hint="eastAsia"/>
        </w:rPr>
        <w:t xml:space="preserve">首</w:t>
      </w:r>
      <w:r>
        <w:t xml:space="preserve"> </w:t>
      </w:r>
      <w:r>
        <w:rPr>
          <w:rFonts w:hint="eastAsia"/>
        </w:rPr>
        <w:t xml:space="preserve">席</w:t>
      </w:r>
    </w:p>
    <w:p>
      <w:pPr>
        <w:pStyle w:val="BodyText"/>
      </w:pPr>
      <w:r>
        <w:rPr>
          <w:rFonts w:hint="eastAsia"/>
        </w:rPr>
        <w:t xml:space="preserve">執行官，負責該公司於區域內的投資業務及策略擴張。彼曾於安聯投資（擔任RCM</w:t>
      </w:r>
      <w:r>
        <w:t xml:space="preserve"> Global </w:t>
      </w:r>
      <w:r>
        <w:rPr>
          <w:rFonts w:hint="eastAsia"/>
        </w:rPr>
        <w:t xml:space="preserve">Investors的亞太區</w:t>
      </w:r>
    </w:p>
    <w:p>
      <w:pPr>
        <w:pStyle w:val="BodyText"/>
      </w:pPr>
      <w:r>
        <w:rPr>
          <w:rFonts w:hint="eastAsia"/>
        </w:rPr>
        <w:t xml:space="preserve">首席執行官）、富達投資(Fidelity</w:t>
      </w:r>
      <w:r>
        <w:t xml:space="preserve"> </w:t>
      </w:r>
      <w:r>
        <w:rPr>
          <w:rFonts w:hint="eastAsia"/>
        </w:rPr>
        <w:t xml:space="preserve">Investments)及英國保誠(Prudential</w:t>
      </w:r>
      <w:r>
        <w:t xml:space="preserve"> </w:t>
      </w:r>
      <w:r>
        <w:rPr>
          <w:rFonts w:hint="eastAsia"/>
        </w:rPr>
        <w:t xml:space="preserve">UK)擔任高級職位。彼為皇家統計學學會</w:t>
      </w:r>
    </w:p>
    <w:p>
      <w:pPr>
        <w:pStyle w:val="BodyText"/>
      </w:pPr>
      <w:r>
        <w:t xml:space="preserve">(Royal Statistical </w:t>
      </w:r>
      <w:r>
        <w:rPr>
          <w:rFonts w:hint="eastAsia"/>
        </w:rPr>
        <w:t xml:space="preserve">Society)資深會員，持有倫敦商學院(London</w:t>
      </w:r>
      <w:r>
        <w:t xml:space="preserve"> Business </w:t>
      </w:r>
      <w:r>
        <w:rPr>
          <w:rFonts w:hint="eastAsia"/>
        </w:rPr>
        <w:t xml:space="preserve">School)投資管理文憑，並於之前已完成</w:t>
      </w:r>
    </w:p>
    <w:p>
      <w:pPr>
        <w:pStyle w:val="BodyText"/>
      </w:pPr>
      <w:r>
        <w:rPr>
          <w:rFonts w:hint="eastAsia"/>
        </w:rPr>
        <w:t xml:space="preserve">英國政府贊助的運籌學博士學位。</w:t>
      </w:r>
    </w:p>
    <w:p>
      <w:pPr>
        <w:pStyle w:val="BodyText"/>
      </w:pPr>
      <w:r>
        <w:t xml:space="preserve">081</w:t>
      </w:r>
    </w:p>
    <w:p>
      <w:pPr>
        <w:pStyle w:val="BodyText"/>
      </w:pPr>
      <w:r>
        <w:rPr>
          <w:rFonts w:hint="eastAsia"/>
        </w:rPr>
        <w:t xml:space="preserve">概覽財務及營運回顧企業管治其他資料財務報表2020年報</w:t>
      </w:r>
    </w:p>
    <w:p>
      <w:pPr>
        <w:pStyle w:val="BodyText"/>
      </w:pPr>
      <w:r>
        <w:t xml:space="preserve">Pek-San ANG </w:t>
      </w:r>
      <w:r>
        <w:rPr>
          <w:rFonts w:hint="eastAsia"/>
        </w:rPr>
        <w:t xml:space="preserve">(Cara)（洪碧珊）女士</w:t>
      </w:r>
    </w:p>
    <w:p>
      <w:pPr>
        <w:pStyle w:val="BodyText"/>
      </w:pPr>
      <w:r>
        <w:rPr>
          <w:rFonts w:hint="eastAsia"/>
        </w:rPr>
        <w:t xml:space="preserve">52歲，集團首席人力資源總監，負責制訂和執行本集團的整體人力資本策略，為各地區市場的人力資源運作提供</w:t>
      </w:r>
    </w:p>
    <w:p>
      <w:pPr>
        <w:pStyle w:val="BodyText"/>
      </w:pPr>
      <w:r>
        <w:rPr>
          <w:rFonts w:hint="eastAsia"/>
        </w:rPr>
        <w:t xml:space="preserve">領導及支援。彼於2016年5月加入本集團並出任AIA新加坡首席人力資源總監。於加入友邦保險前，Ang女士為</w:t>
      </w:r>
    </w:p>
    <w:p>
      <w:pPr>
        <w:pStyle w:val="BodyText"/>
      </w:pPr>
      <w:r>
        <w:rPr>
          <w:rFonts w:hint="eastAsia"/>
        </w:rPr>
        <w:t xml:space="preserve">渣打銀行新加坡人力資源部主管。任職渣打銀行期間，彼曾於新加坡及泰國擔任不同的國家、區域及全球人力</w:t>
      </w:r>
    </w:p>
    <w:p>
      <w:pPr>
        <w:pStyle w:val="BodyText"/>
      </w:pPr>
      <w:r>
        <w:rPr>
          <w:rFonts w:hint="eastAsia"/>
        </w:rPr>
        <w:t xml:space="preserve">資源主管職位超過十年。於加入新加坡渣打銀行前，Ang女士為Marsh</w:t>
      </w:r>
      <w:r>
        <w:t xml:space="preserve"> </w:t>
      </w:r>
      <w:r>
        <w:rPr>
          <w:rFonts w:hint="eastAsia"/>
        </w:rPr>
        <w:t xml:space="preserve">Asia高級副總裁兼人力資源部主管。</w:t>
      </w:r>
    </w:p>
    <w:p>
      <w:pPr>
        <w:pStyle w:val="BodyText"/>
      </w:pPr>
      <w:r>
        <w:t xml:space="preserve">Biswa Prakash </w:t>
      </w:r>
      <w:r>
        <w:rPr>
          <w:rFonts w:hint="eastAsia"/>
        </w:rPr>
        <w:t xml:space="preserve">MISRA先生</w:t>
      </w:r>
    </w:p>
    <w:p>
      <w:pPr>
        <w:pStyle w:val="BodyText"/>
      </w:pPr>
      <w:r>
        <w:rPr>
          <w:rFonts w:hint="eastAsia"/>
        </w:rPr>
        <w:t xml:space="preserve">43歲，集團首席技術總監，負責領導本集團科技、數碼及分析領域。彼現任本集團內多家公司的董事。彼於</w:t>
      </w:r>
    </w:p>
    <w:p>
      <w:pPr>
        <w:pStyle w:val="BodyText"/>
      </w:pPr>
      <w:r>
        <w:rPr>
          <w:rFonts w:hint="eastAsia"/>
        </w:rPr>
        <w:t xml:space="preserve">2013年6月加入本集團。於加入本集團前，Misra先生於ING</w:t>
      </w:r>
      <w:r>
        <w:t xml:space="preserve"> Insurance Asia Pacific </w:t>
      </w:r>
      <w:r>
        <w:rPr>
          <w:rFonts w:hint="eastAsia"/>
        </w:rPr>
        <w:t xml:space="preserve">出任區域首席技術總監。</w:t>
      </w:r>
    </w:p>
    <w:p>
      <w:pPr>
        <w:pStyle w:val="BodyText"/>
      </w:pPr>
      <w:r>
        <w:rPr>
          <w:rFonts w:hint="eastAsia"/>
        </w:rPr>
        <w:t xml:space="preserve">在此以前，彼於資訊科技顧問公司Capgemini任職六年，負責該公司的亞洲區保險業務客戶。Misra先生擁有</w:t>
      </w:r>
    </w:p>
    <w:p>
      <w:pPr>
        <w:pStyle w:val="BodyText"/>
      </w:pPr>
      <w:r>
        <w:rPr>
          <w:rFonts w:hint="eastAsia"/>
        </w:rPr>
        <w:t xml:space="preserve">印度蘇拉特(Surat)國家科技學院(National</w:t>
      </w:r>
      <w:r>
        <w:t xml:space="preserve"> Institute of </w:t>
      </w:r>
      <w:r>
        <w:rPr>
          <w:rFonts w:hint="eastAsia"/>
        </w:rPr>
        <w:t xml:space="preserve">Technology)電子工程學位。</w:t>
      </w:r>
    </w:p>
    <w:p>
      <w:pPr>
        <w:pStyle w:val="BodyText"/>
      </w:pPr>
      <w:r>
        <w:t xml:space="preserve">Stuart Anthony </w:t>
      </w:r>
      <w:r>
        <w:rPr>
          <w:rFonts w:hint="eastAsia"/>
        </w:rPr>
        <w:t xml:space="preserve">SPENCER（施斌陞）先生</w:t>
      </w:r>
    </w:p>
    <w:p>
      <w:pPr>
        <w:pStyle w:val="BodyText"/>
      </w:pPr>
      <w:r>
        <w:rPr>
          <w:rFonts w:hint="eastAsia"/>
        </w:rPr>
        <w:t xml:space="preserve">55歲，集團首席市場總監，負責客戶體驗、客戶主張、品牌管理、AIA</w:t>
      </w:r>
      <w:r>
        <w:t xml:space="preserve"> </w:t>
      </w:r>
      <w:r>
        <w:rPr>
          <w:rFonts w:hint="eastAsia"/>
        </w:rPr>
        <w:t xml:space="preserve">Vitality健康計劃、傳訊、贊助及活動</w:t>
      </w:r>
    </w:p>
    <w:p>
      <w:pPr>
        <w:pStyle w:val="BodyText"/>
      </w:pPr>
      <w:r>
        <w:rPr>
          <w:rFonts w:hint="eastAsia"/>
        </w:rPr>
        <w:t xml:space="preserve">籌劃、數碼平台及醫療保健業務。Spencer先生現任本集團內多家公司的董事。彼於2017年5月重新加入友邦</w:t>
      </w:r>
    </w:p>
    <w:p>
      <w:pPr>
        <w:pStyle w:val="BodyText"/>
      </w:pPr>
      <w:r>
        <w:rPr>
          <w:rFonts w:hint="eastAsia"/>
        </w:rPr>
        <w:t xml:space="preserve">保險前，在蘇黎世保險集團任職，最近期職銜為其亞太區署理首席執行官。在此之前，Spencer先生於2013年至</w:t>
      </w:r>
    </w:p>
    <w:p>
      <w:pPr>
        <w:pStyle w:val="BodyText"/>
      </w:pPr>
      <w:r>
        <w:rPr>
          <w:rFonts w:hint="eastAsia"/>
        </w:rPr>
        <w:t xml:space="preserve">2016年期間為蘇黎世保險亞太區一般保險業務首席執行官。在1996年至2009年期間，Spencer先生於美國國際</w:t>
      </w:r>
    </w:p>
    <w:p>
      <w:pPr>
        <w:pStyle w:val="BodyText"/>
      </w:pPr>
      <w:r>
        <w:rPr>
          <w:rFonts w:hint="eastAsia"/>
        </w:rPr>
        <w:t xml:space="preserve">集團(American</w:t>
      </w:r>
      <w:r>
        <w:t xml:space="preserve"> International </w:t>
      </w:r>
      <w:r>
        <w:rPr>
          <w:rFonts w:hint="eastAsia"/>
        </w:rPr>
        <w:t xml:space="preserve">Group)曾擔任多個主管職位，期間彼曾負責管理其拉丁美洲的意外及醫療一般保險</w:t>
      </w:r>
    </w:p>
    <w:p>
      <w:pPr>
        <w:pStyle w:val="BodyText"/>
      </w:pPr>
      <w:r>
        <w:rPr>
          <w:rFonts w:hint="eastAsia"/>
        </w:rPr>
        <w:t xml:space="preserve">業</w:t>
      </w:r>
      <w:r>
        <w:t xml:space="preserve"> </w:t>
      </w:r>
      <w:r>
        <w:rPr>
          <w:rFonts w:hint="eastAsia"/>
        </w:rPr>
        <w:t xml:space="preserve">務</w:t>
      </w:r>
      <w:r>
        <w:t xml:space="preserve"> </w:t>
      </w:r>
      <w:r>
        <w:rPr>
          <w:rFonts w:hint="eastAsia"/>
        </w:rPr>
        <w:t xml:space="preserve">以</w:t>
      </w:r>
      <w:r>
        <w:t xml:space="preserve"> </w:t>
      </w:r>
      <w:r>
        <w:rPr>
          <w:rFonts w:hint="eastAsia"/>
        </w:rPr>
        <w:t xml:space="preserve">及</w:t>
      </w:r>
      <w:r>
        <w:t xml:space="preserve"> </w:t>
      </w:r>
      <w:r>
        <w:rPr>
          <w:rFonts w:hint="eastAsia"/>
        </w:rPr>
        <w:t xml:space="preserve">擔</w:t>
      </w:r>
      <w:r>
        <w:t xml:space="preserve"> </w:t>
      </w:r>
      <w:r>
        <w:rPr>
          <w:rFonts w:hint="eastAsia"/>
        </w:rPr>
        <w:t xml:space="preserve">任AIG人</w:t>
      </w:r>
      <w:r>
        <w:t xml:space="preserve"> </w:t>
      </w:r>
      <w:r>
        <w:rPr>
          <w:rFonts w:hint="eastAsia"/>
        </w:rPr>
        <w:t xml:space="preserve">壽</w:t>
      </w:r>
      <w:r>
        <w:t xml:space="preserve"> </w:t>
      </w:r>
      <w:r>
        <w:rPr>
          <w:rFonts w:hint="eastAsia"/>
        </w:rPr>
        <w:t xml:space="preserve">公</w:t>
      </w:r>
      <w:r>
        <w:t xml:space="preserve"> </w:t>
      </w:r>
      <w:r>
        <w:rPr>
          <w:rFonts w:hint="eastAsia"/>
        </w:rPr>
        <w:t xml:space="preserve">司</w:t>
      </w:r>
      <w:r>
        <w:t xml:space="preserve"> </w:t>
      </w:r>
      <w:r>
        <w:rPr>
          <w:rFonts w:hint="eastAsia"/>
        </w:rPr>
        <w:t xml:space="preserve">全</w:t>
      </w:r>
      <w:r>
        <w:t xml:space="preserve"> </w:t>
      </w:r>
      <w:r>
        <w:rPr>
          <w:rFonts w:hint="eastAsia"/>
        </w:rPr>
        <w:t xml:space="preserve">球</w:t>
      </w:r>
      <w:r>
        <w:t xml:space="preserve"> </w:t>
      </w:r>
      <w:r>
        <w:rPr>
          <w:rFonts w:hint="eastAsia"/>
        </w:rPr>
        <w:t xml:space="preserve">意</w:t>
      </w:r>
      <w:r>
        <w:t xml:space="preserve"> </w:t>
      </w:r>
      <w:r>
        <w:rPr>
          <w:rFonts w:hint="eastAsia"/>
        </w:rPr>
        <w:t xml:space="preserve">外</w:t>
      </w:r>
      <w:r>
        <w:t xml:space="preserve"> </w:t>
      </w:r>
      <w:r>
        <w:rPr>
          <w:rFonts w:hint="eastAsia"/>
        </w:rPr>
        <w:t xml:space="preserve">及</w:t>
      </w:r>
      <w:r>
        <w:t xml:space="preserve"> </w:t>
      </w:r>
      <w:r>
        <w:rPr>
          <w:rFonts w:hint="eastAsia"/>
        </w:rPr>
        <w:t xml:space="preserve">醫</w:t>
      </w:r>
      <w:r>
        <w:t xml:space="preserve"> </w:t>
      </w:r>
      <w:r>
        <w:rPr>
          <w:rFonts w:hint="eastAsia"/>
        </w:rPr>
        <w:t xml:space="preserve">療</w:t>
      </w:r>
      <w:r>
        <w:t xml:space="preserve"> </w:t>
      </w:r>
      <w:r>
        <w:rPr>
          <w:rFonts w:hint="eastAsia"/>
        </w:rPr>
        <w:t xml:space="preserve">保</w:t>
      </w:r>
      <w:r>
        <w:t xml:space="preserve"> </w:t>
      </w:r>
      <w:r>
        <w:rPr>
          <w:rFonts w:hint="eastAsia"/>
        </w:rPr>
        <w:t xml:space="preserve">險</w:t>
      </w:r>
      <w:r>
        <w:t xml:space="preserve"> </w:t>
      </w:r>
      <w:r>
        <w:rPr>
          <w:rFonts w:hint="eastAsia"/>
        </w:rPr>
        <w:t xml:space="preserve">部</w:t>
      </w:r>
      <w:r>
        <w:t xml:space="preserve"> </w:t>
      </w:r>
      <w:r>
        <w:rPr>
          <w:rFonts w:hint="eastAsia"/>
        </w:rPr>
        <w:t xml:space="preserve">總</w:t>
      </w:r>
      <w:r>
        <w:t xml:space="preserve"> </w:t>
      </w:r>
      <w:r>
        <w:rPr>
          <w:rFonts w:hint="eastAsia"/>
        </w:rPr>
        <w:t xml:space="preserve">裁</w:t>
      </w:r>
      <w:r>
        <w:t xml:space="preserve"> </w:t>
      </w:r>
      <w:r>
        <w:rPr>
          <w:rFonts w:hint="eastAsia"/>
        </w:rPr>
        <w:t xml:space="preserve">等</w:t>
      </w:r>
      <w:r>
        <w:t xml:space="preserve"> </w:t>
      </w:r>
      <w:r>
        <w:rPr>
          <w:rFonts w:hint="eastAsia"/>
        </w:rPr>
        <w:t xml:space="preserve">多</w:t>
      </w:r>
      <w:r>
        <w:t xml:space="preserve"> </w:t>
      </w:r>
      <w:r>
        <w:rPr>
          <w:rFonts w:hint="eastAsia"/>
        </w:rPr>
        <w:t xml:space="preserve">個</w:t>
      </w:r>
      <w:r>
        <w:t xml:space="preserve"> </w:t>
      </w:r>
      <w:r>
        <w:rPr>
          <w:rFonts w:hint="eastAsia"/>
        </w:rPr>
        <w:t xml:space="preserve">高</w:t>
      </w:r>
      <w:r>
        <w:t xml:space="preserve"> </w:t>
      </w:r>
      <w:r>
        <w:rPr>
          <w:rFonts w:hint="eastAsia"/>
        </w:rPr>
        <w:t xml:space="preserve">級</w:t>
      </w:r>
      <w:r>
        <w:t xml:space="preserve"> </w:t>
      </w:r>
      <w:r>
        <w:rPr>
          <w:rFonts w:hint="eastAsia"/>
        </w:rPr>
        <w:t xml:space="preserve">職</w:t>
      </w:r>
      <w:r>
        <w:t xml:space="preserve"> </w:t>
      </w:r>
      <w:r>
        <w:rPr>
          <w:rFonts w:hint="eastAsia"/>
        </w:rPr>
        <w:t xml:space="preserve">位。Spencer先</w:t>
      </w:r>
      <w:r>
        <w:t xml:space="preserve"> </w:t>
      </w:r>
      <w:r>
        <w:rPr>
          <w:rFonts w:hint="eastAsia"/>
        </w:rPr>
        <w:t xml:space="preserve">生</w:t>
      </w:r>
      <w:r>
        <w:t xml:space="preserve"> </w:t>
      </w:r>
      <w:r>
        <w:rPr>
          <w:rFonts w:hint="eastAsia"/>
        </w:rPr>
        <w:t xml:space="preserve">於</w:t>
      </w:r>
      <w:r>
        <w:t xml:space="preserve"> </w:t>
      </w:r>
      <w:r>
        <w:rPr>
          <w:rFonts w:hint="eastAsia"/>
        </w:rPr>
        <w:t xml:space="preserve">紐</w:t>
      </w:r>
      <w:r>
        <w:t xml:space="preserve"> </w:t>
      </w:r>
      <w:r>
        <w:rPr>
          <w:rFonts w:hint="eastAsia"/>
        </w:rPr>
        <w:t xml:space="preserve">約</w:t>
      </w:r>
      <w:r>
        <w:t xml:space="preserve"> </w:t>
      </w:r>
      <w:r>
        <w:rPr>
          <w:rFonts w:hint="eastAsia"/>
        </w:rPr>
        <w:t xml:space="preserve">開</w:t>
      </w:r>
      <w:r>
        <w:t xml:space="preserve"> </w:t>
      </w:r>
      <w:r>
        <w:rPr>
          <w:rFonts w:hint="eastAsia"/>
        </w:rPr>
        <w:t xml:space="preserve">展</w:t>
      </w:r>
      <w:r>
        <w:t xml:space="preserve"> </w:t>
      </w:r>
      <w:r>
        <w:rPr>
          <w:rFonts w:hint="eastAsia"/>
        </w:rPr>
        <w:t xml:space="preserve">其</w:t>
      </w:r>
      <w:r>
        <w:t xml:space="preserve"> </w:t>
      </w:r>
      <w:r>
        <w:rPr>
          <w:rFonts w:hint="eastAsia"/>
        </w:rPr>
        <w:t xml:space="preserve">事</w:t>
      </w:r>
      <w:r>
        <w:t xml:space="preserve"> </w:t>
      </w:r>
      <w:r>
        <w:rPr>
          <w:rFonts w:hint="eastAsia"/>
        </w:rPr>
        <w:t xml:space="preserve">業，</w:t>
      </w:r>
    </w:p>
    <w:p>
      <w:pPr>
        <w:pStyle w:val="BodyText"/>
      </w:pPr>
      <w:r>
        <w:rPr>
          <w:rFonts w:hint="eastAsia"/>
        </w:rPr>
        <w:t xml:space="preserve">於</w:t>
      </w:r>
      <w:r>
        <w:t xml:space="preserve"> </w:t>
      </w:r>
      <w:r>
        <w:rPr>
          <w:rFonts w:hint="eastAsia"/>
        </w:rPr>
        <w:t xml:space="preserve">美</w:t>
      </w:r>
      <w:r>
        <w:t xml:space="preserve"> </w:t>
      </w:r>
      <w:r>
        <w:rPr>
          <w:rFonts w:hint="eastAsia"/>
        </w:rPr>
        <w:t xml:space="preserve">國</w:t>
      </w:r>
      <w:r>
        <w:t xml:space="preserve"> </w:t>
      </w:r>
      <w:r>
        <w:rPr>
          <w:rFonts w:hint="eastAsia"/>
        </w:rPr>
        <w:t xml:space="preserve">運</w:t>
      </w:r>
      <w:r>
        <w:t xml:space="preserve"> </w:t>
      </w:r>
      <w:r>
        <w:rPr>
          <w:rFonts w:hint="eastAsia"/>
        </w:rPr>
        <w:t xml:space="preserve">通(American</w:t>
      </w:r>
      <w:r>
        <w:t xml:space="preserve"> Express Travel Related </w:t>
      </w:r>
      <w:r>
        <w:rPr>
          <w:rFonts w:hint="eastAsia"/>
        </w:rPr>
        <w:t xml:space="preserve">Services)擔</w:t>
      </w:r>
      <w:r>
        <w:t xml:space="preserve"> </w:t>
      </w:r>
      <w:r>
        <w:rPr>
          <w:rFonts w:hint="eastAsia"/>
        </w:rPr>
        <w:t xml:space="preserve">任</w:t>
      </w:r>
      <w:r>
        <w:t xml:space="preserve"> </w:t>
      </w:r>
      <w:r>
        <w:rPr>
          <w:rFonts w:hint="eastAsia"/>
        </w:rPr>
        <w:t xml:space="preserve">市</w:t>
      </w:r>
      <w:r>
        <w:t xml:space="preserve"> </w:t>
      </w:r>
      <w:r>
        <w:rPr>
          <w:rFonts w:hint="eastAsia"/>
        </w:rPr>
        <w:t xml:space="preserve">場</w:t>
      </w:r>
      <w:r>
        <w:t xml:space="preserve"> </w:t>
      </w:r>
      <w:r>
        <w:rPr>
          <w:rFonts w:hint="eastAsia"/>
        </w:rPr>
        <w:t xml:space="preserve">營</w:t>
      </w:r>
      <w:r>
        <w:t xml:space="preserve"> </w:t>
      </w:r>
      <w:r>
        <w:rPr>
          <w:rFonts w:hint="eastAsia"/>
        </w:rPr>
        <w:t xml:space="preserve">銷</w:t>
      </w:r>
      <w:r>
        <w:t xml:space="preserve"> </w:t>
      </w:r>
      <w:r>
        <w:rPr>
          <w:rFonts w:hint="eastAsia"/>
        </w:rPr>
        <w:t xml:space="preserve">職</w:t>
      </w:r>
      <w:r>
        <w:t xml:space="preserve"> </w:t>
      </w:r>
      <w:r>
        <w:rPr>
          <w:rFonts w:hint="eastAsia"/>
        </w:rPr>
        <w:t xml:space="preserve">位。Spencer先</w:t>
      </w:r>
      <w:r>
        <w:t xml:space="preserve"> </w:t>
      </w:r>
      <w:r>
        <w:rPr>
          <w:rFonts w:hint="eastAsia"/>
        </w:rPr>
        <w:t xml:space="preserve">生</w:t>
      </w:r>
      <w:r>
        <w:t xml:space="preserve"> </w:t>
      </w:r>
      <w:r>
        <w:rPr>
          <w:rFonts w:hint="eastAsia"/>
        </w:rPr>
        <w:t xml:space="preserve">為</w:t>
      </w:r>
      <w:r>
        <w:t xml:space="preserve"> </w:t>
      </w:r>
      <w:r>
        <w:rPr>
          <w:rFonts w:hint="eastAsia"/>
        </w:rPr>
        <w:t xml:space="preserve">哈</w:t>
      </w:r>
      <w:r>
        <w:t xml:space="preserve"> </w:t>
      </w:r>
      <w:r>
        <w:rPr>
          <w:rFonts w:hint="eastAsia"/>
        </w:rPr>
        <w:t xml:space="preserve">佛</w:t>
      </w:r>
      <w:r>
        <w:t xml:space="preserve"> </w:t>
      </w:r>
      <w:r>
        <w:rPr>
          <w:rFonts w:hint="eastAsia"/>
        </w:rPr>
        <w:t xml:space="preserve">商</w:t>
      </w:r>
      <w:r>
        <w:t xml:space="preserve"> </w:t>
      </w:r>
      <w:r>
        <w:rPr>
          <w:rFonts w:hint="eastAsia"/>
        </w:rPr>
        <w:t xml:space="preserve">學</w:t>
      </w:r>
      <w:r>
        <w:t xml:space="preserve"> </w:t>
      </w:r>
      <w:r>
        <w:rPr>
          <w:rFonts w:hint="eastAsia"/>
        </w:rPr>
        <w:t xml:space="preserve">院</w:t>
      </w:r>
    </w:p>
    <w:p>
      <w:pPr>
        <w:pStyle w:val="BodyText"/>
      </w:pPr>
      <w:r>
        <w:t xml:space="preserve">(Harvard Business </w:t>
      </w:r>
      <w:r>
        <w:rPr>
          <w:rFonts w:hint="eastAsia"/>
        </w:rPr>
        <w:t xml:space="preserve">School)、佛萊徹法律及外交學院(Fletcher</w:t>
      </w:r>
      <w:r>
        <w:t xml:space="preserve"> School of Law and </w:t>
      </w:r>
      <w:r>
        <w:rPr>
          <w:rFonts w:hint="eastAsia"/>
        </w:rPr>
        <w:t xml:space="preserve">Diplomacy)及美國布蘭迪斯</w:t>
      </w:r>
    </w:p>
    <w:p>
      <w:pPr>
        <w:pStyle w:val="BodyText"/>
      </w:pPr>
      <w:r>
        <w:rPr>
          <w:rFonts w:hint="eastAsia"/>
        </w:rPr>
        <w:t xml:space="preserve">大學(Brandeis</w:t>
      </w:r>
      <w:r>
        <w:t xml:space="preserve"> </w:t>
      </w:r>
      <w:r>
        <w:rPr>
          <w:rFonts w:hint="eastAsia"/>
        </w:rPr>
        <w:t xml:space="preserve">University)校友。</w:t>
      </w:r>
    </w:p>
    <w:p>
      <w:pPr>
        <w:pStyle w:val="BodyText"/>
      </w:pPr>
      <w:r>
        <w:t xml:space="preserve">Jayne Lynn </w:t>
      </w:r>
      <w:r>
        <w:rPr>
          <w:rFonts w:hint="eastAsia"/>
        </w:rPr>
        <w:t xml:space="preserve">PLUNKETT（彭凱彤）女士</w:t>
      </w:r>
    </w:p>
    <w:p>
      <w:pPr>
        <w:pStyle w:val="BodyText"/>
      </w:pPr>
      <w:r>
        <w:rPr>
          <w:rFonts w:hint="eastAsia"/>
        </w:rPr>
        <w:t xml:space="preserve">51歲，集團首席風險管理總監，負責本集團風險及合規工作。Plunkett女士現任本集團內多家公司（包括AIA</w:t>
      </w:r>
    </w:p>
    <w:p>
      <w:pPr>
        <w:pStyle w:val="BodyText"/>
      </w:pPr>
      <w:r>
        <w:rPr>
          <w:rFonts w:hint="eastAsia"/>
        </w:rPr>
        <w:t xml:space="preserve">Singapore及Philam</w:t>
      </w:r>
      <w:r>
        <w:t xml:space="preserve"> </w:t>
      </w:r>
      <w:r>
        <w:rPr>
          <w:rFonts w:hint="eastAsia"/>
        </w:rPr>
        <w:t xml:space="preserve">Life）的董事。Plunkett女士於2019年</w:t>
      </w:r>
      <w:r>
        <w:t xml:space="preserve"> </w:t>
      </w:r>
      <w:r>
        <w:rPr>
          <w:rFonts w:hint="eastAsia"/>
        </w:rPr>
        <w:t xml:space="preserve">11月加入友邦保險。此前，彼於瑞士再保險(Swiss</w:t>
      </w:r>
      <w:r>
        <w:t xml:space="preserve"> Re)</w:t>
      </w:r>
    </w:p>
    <w:p>
      <w:pPr>
        <w:pStyle w:val="BodyText"/>
      </w:pPr>
      <w:r>
        <w:rPr>
          <w:rFonts w:hint="eastAsia"/>
        </w:rPr>
        <w:t xml:space="preserve">出任其亞洲再保險首席執行官、亞洲區域總裁及集團執行委員會成員。彼於瑞士再保險曾擔任多個要職，包括</w:t>
      </w:r>
    </w:p>
    <w:p>
      <w:pPr>
        <w:pStyle w:val="BodyText"/>
      </w:pPr>
      <w:r>
        <w:rPr>
          <w:rFonts w:hint="eastAsia"/>
        </w:rPr>
        <w:t xml:space="preserve">亞</w:t>
      </w:r>
      <w:r>
        <w:t xml:space="preserve"> </w:t>
      </w:r>
      <w:r>
        <w:rPr>
          <w:rFonts w:hint="eastAsia"/>
        </w:rPr>
        <w:t xml:space="preserve">洲</w:t>
      </w:r>
      <w:r>
        <w:t xml:space="preserve"> </w:t>
      </w:r>
      <w:r>
        <w:rPr>
          <w:rFonts w:hint="eastAsia"/>
        </w:rPr>
        <w:t xml:space="preserve">傷</w:t>
      </w:r>
      <w:r>
        <w:t xml:space="preserve"> </w:t>
      </w:r>
      <w:r>
        <w:rPr>
          <w:rFonts w:hint="eastAsia"/>
        </w:rPr>
        <w:t xml:space="preserve">亡</w:t>
      </w:r>
      <w:r>
        <w:t xml:space="preserve"> </w:t>
      </w:r>
      <w:r>
        <w:rPr>
          <w:rFonts w:hint="eastAsia"/>
        </w:rPr>
        <w:t xml:space="preserve">承</w:t>
      </w:r>
      <w:r>
        <w:t xml:space="preserve"> </w:t>
      </w:r>
      <w:r>
        <w:rPr>
          <w:rFonts w:hint="eastAsia"/>
        </w:rPr>
        <w:t xml:space="preserve">保</w:t>
      </w:r>
      <w:r>
        <w:t xml:space="preserve"> </w:t>
      </w:r>
      <w:r>
        <w:rPr>
          <w:rFonts w:hint="eastAsia"/>
        </w:rPr>
        <w:t xml:space="preserve">主</w:t>
      </w:r>
      <w:r>
        <w:t xml:space="preserve"> </w:t>
      </w:r>
      <w:r>
        <w:rPr>
          <w:rFonts w:hint="eastAsia"/>
        </w:rPr>
        <w:t xml:space="preserve">管</w:t>
      </w:r>
      <w:r>
        <w:t xml:space="preserve"> </w:t>
      </w:r>
      <w:r>
        <w:rPr>
          <w:rFonts w:hint="eastAsia"/>
        </w:rPr>
        <w:t xml:space="preserve">及</w:t>
      </w:r>
      <w:r>
        <w:t xml:space="preserve"> </w:t>
      </w:r>
      <w:r>
        <w:rPr>
          <w:rFonts w:hint="eastAsia"/>
        </w:rPr>
        <w:t xml:space="preserve">傷</w:t>
      </w:r>
      <w:r>
        <w:t xml:space="preserve"> </w:t>
      </w:r>
      <w:r>
        <w:rPr>
          <w:rFonts w:hint="eastAsia"/>
        </w:rPr>
        <w:t xml:space="preserve">亡</w:t>
      </w:r>
      <w:r>
        <w:t xml:space="preserve"> </w:t>
      </w:r>
      <w:r>
        <w:rPr>
          <w:rFonts w:hint="eastAsia"/>
        </w:rPr>
        <w:t xml:space="preserve">再</w:t>
      </w:r>
      <w:r>
        <w:t xml:space="preserve"> </w:t>
      </w:r>
      <w:r>
        <w:rPr>
          <w:rFonts w:hint="eastAsia"/>
        </w:rPr>
        <w:t xml:space="preserve">保</w:t>
      </w:r>
      <w:r>
        <w:t xml:space="preserve"> </w:t>
      </w:r>
      <w:r>
        <w:rPr>
          <w:rFonts w:hint="eastAsia"/>
        </w:rPr>
        <w:t xml:space="preserve">險</w:t>
      </w:r>
      <w:r>
        <w:t xml:space="preserve"> </w:t>
      </w:r>
      <w:r>
        <w:rPr>
          <w:rFonts w:hint="eastAsia"/>
        </w:rPr>
        <w:t xml:space="preserve">主</w:t>
      </w:r>
      <w:r>
        <w:t xml:space="preserve"> </w:t>
      </w:r>
      <w:r>
        <w:rPr>
          <w:rFonts w:hint="eastAsia"/>
        </w:rPr>
        <w:t xml:space="preserve">管。</w:t>
      </w:r>
      <w:r>
        <w:t xml:space="preserve"> </w:t>
      </w:r>
      <w:r>
        <w:rPr>
          <w:rFonts w:hint="eastAsia"/>
        </w:rPr>
        <w:t xml:space="preserve">此</w:t>
      </w:r>
      <w:r>
        <w:t xml:space="preserve"> </w:t>
      </w:r>
      <w:r>
        <w:rPr>
          <w:rFonts w:hint="eastAsia"/>
        </w:rPr>
        <w:t xml:space="preserve">前，</w:t>
      </w:r>
      <w:r>
        <w:t xml:space="preserve"> </w:t>
      </w:r>
      <w:r>
        <w:rPr>
          <w:rFonts w:hint="eastAsia"/>
        </w:rPr>
        <w:t xml:space="preserve">彼</w:t>
      </w:r>
      <w:r>
        <w:t xml:space="preserve"> </w:t>
      </w:r>
      <w:r>
        <w:rPr>
          <w:rFonts w:hint="eastAsia"/>
        </w:rPr>
        <w:t xml:space="preserve">任</w:t>
      </w:r>
      <w:r>
        <w:t xml:space="preserve"> </w:t>
      </w:r>
      <w:r>
        <w:rPr>
          <w:rFonts w:hint="eastAsia"/>
        </w:rPr>
        <w:t xml:space="preserve">職</w:t>
      </w:r>
      <w:r>
        <w:t xml:space="preserve"> </w:t>
      </w:r>
      <w:r>
        <w:rPr>
          <w:rFonts w:hint="eastAsia"/>
        </w:rPr>
        <w:t xml:space="preserve">於GE</w:t>
      </w:r>
      <w:r>
        <w:t xml:space="preserve"> Insurance Solutions。 </w:t>
      </w:r>
      <w:r>
        <w:rPr>
          <w:rFonts w:hint="eastAsia"/>
        </w:rPr>
        <w:t xml:space="preserve">彼</w:t>
      </w:r>
      <w:r>
        <w:t xml:space="preserve"> </w:t>
      </w:r>
      <w:r>
        <w:rPr>
          <w:rFonts w:hint="eastAsia"/>
        </w:rPr>
        <w:t xml:space="preserve">擁</w:t>
      </w:r>
      <w:r>
        <w:t xml:space="preserve"> </w:t>
      </w:r>
      <w:r>
        <w:rPr>
          <w:rFonts w:hint="eastAsia"/>
        </w:rPr>
        <w:t xml:space="preserve">有</w:t>
      </w:r>
      <w:r>
        <w:t xml:space="preserve"> </w:t>
      </w:r>
      <w:r>
        <w:rPr>
          <w:rFonts w:hint="eastAsia"/>
        </w:rPr>
        <w:t xml:space="preserve">德</w:t>
      </w:r>
      <w:r>
        <w:t xml:space="preserve"> </w:t>
      </w:r>
      <w:r>
        <w:rPr>
          <w:rFonts w:hint="eastAsia"/>
        </w:rPr>
        <w:t xml:space="preserve">雷</w:t>
      </w:r>
      <w:r>
        <w:t xml:space="preserve"> </w:t>
      </w:r>
      <w:r>
        <w:rPr>
          <w:rFonts w:hint="eastAsia"/>
        </w:rPr>
        <w:t xml:space="preserve">克</w:t>
      </w:r>
      <w:r>
        <w:t xml:space="preserve"> </w:t>
      </w:r>
      <w:r>
        <w:rPr>
          <w:rFonts w:hint="eastAsia"/>
        </w:rPr>
        <w:t xml:space="preserve">大</w:t>
      </w:r>
      <w:r>
        <w:t xml:space="preserve"> </w:t>
      </w:r>
      <w:r>
        <w:rPr>
          <w:rFonts w:hint="eastAsia"/>
        </w:rPr>
        <w:t xml:space="preserve">學(Drake</w:t>
      </w:r>
    </w:p>
    <w:p>
      <w:pPr>
        <w:pStyle w:val="BodyText"/>
      </w:pPr>
      <w:r>
        <w:rPr>
          <w:rFonts w:hint="eastAsia"/>
        </w:rPr>
        <w:t xml:space="preserve">University)工商管理學士學位。彼亦為傷亡精算學會(Casualty</w:t>
      </w:r>
      <w:r>
        <w:t xml:space="preserve"> Actuarial </w:t>
      </w:r>
      <w:r>
        <w:rPr>
          <w:rFonts w:hint="eastAsia"/>
        </w:rPr>
        <w:t xml:space="preserve">Society)成員及美國精算學會(American</w:t>
      </w:r>
    </w:p>
    <w:p>
      <w:pPr>
        <w:pStyle w:val="BodyText"/>
      </w:pPr>
      <w:r>
        <w:t xml:space="preserve">Academy of </w:t>
      </w:r>
      <w:r>
        <w:rPr>
          <w:rFonts w:hint="eastAsia"/>
        </w:rPr>
        <w:t xml:space="preserve">Actuaries)會員。</w:t>
      </w:r>
    </w:p>
    <w:p>
      <w:pPr>
        <w:pStyle w:val="BodyText"/>
      </w:pPr>
      <w:r>
        <w:t xml:space="preserve">082</w:t>
      </w:r>
    </w:p>
    <w:p>
      <w:pPr>
        <w:pStyle w:val="BodyText"/>
      </w:pPr>
      <w:r>
        <w:rPr>
          <w:rFonts w:hint="eastAsia"/>
        </w:rPr>
        <w:t xml:space="preserve">企業管治友邦保險控股有限公司執行委員會</w:t>
      </w:r>
    </w:p>
    <w:p>
      <w:pPr>
        <w:pStyle w:val="BodyText"/>
      </w:pPr>
      <w:r>
        <w:rPr>
          <w:rFonts w:hint="eastAsia"/>
        </w:rPr>
        <w:t xml:space="preserve">企業管治</w:t>
      </w:r>
    </w:p>
    <w:p>
      <w:pPr>
        <w:pStyle w:val="BodyText"/>
      </w:pPr>
      <w:r>
        <w:rPr>
          <w:rFonts w:hint="eastAsia"/>
        </w:rPr>
        <w:t xml:space="preserve">董事會報告</w:t>
      </w:r>
    </w:p>
    <w:p>
      <w:pPr>
        <w:pStyle w:val="BodyText"/>
      </w:pPr>
      <w:r>
        <w:rPr>
          <w:rFonts w:hint="eastAsia"/>
        </w:rPr>
        <w:t xml:space="preserve">董事會欣然提呈本公司截至2020年12月31日止年度的本報告及經審核合併財務報表。</w:t>
      </w:r>
    </w:p>
    <w:p>
      <w:pPr>
        <w:pStyle w:val="BodyText"/>
      </w:pPr>
      <w:r>
        <w:rPr>
          <w:rFonts w:hint="eastAsia"/>
        </w:rPr>
        <w:t xml:space="preserve">主要業務</w:t>
      </w:r>
    </w:p>
    <w:p>
      <w:pPr>
        <w:pStyle w:val="BodyText"/>
      </w:pPr>
      <w:r>
        <w:rPr>
          <w:rFonts w:hint="eastAsia"/>
        </w:rPr>
        <w:t xml:space="preserve">本集團是以提供壽險為主的金融服務供應商，業務遍及亞洲區18個市場。本集團的主要業務為壽險業務。在此</w:t>
      </w:r>
    </w:p>
    <w:p>
      <w:pPr>
        <w:pStyle w:val="BodyText"/>
      </w:pPr>
      <w:r>
        <w:rPr>
          <w:rFonts w:hint="eastAsia"/>
        </w:rPr>
        <w:t xml:space="preserve">情況下，本集團透過其多家經營實體在亞洲區提供個人壽險、個人意外及醫療保險和儲蓄計劃。本集團亦向其</w:t>
      </w:r>
    </w:p>
    <w:p>
      <w:pPr>
        <w:pStyle w:val="BodyText"/>
      </w:pPr>
      <w:r>
        <w:rPr>
          <w:rFonts w:hint="eastAsia"/>
        </w:rPr>
        <w:t xml:space="preserve">客戶分銷相關投資及其他金融服務產品，並於其多個市場積極提供集團保險及退休金計劃。</w:t>
      </w:r>
    </w:p>
    <w:p>
      <w:pPr>
        <w:pStyle w:val="BodyText"/>
      </w:pPr>
      <w:r>
        <w:rPr>
          <w:rFonts w:hint="eastAsia"/>
        </w:rPr>
        <w:t xml:space="preserve">本公司的主要附屬公司的業務詳情及其他詳細資料載於財務報表附註44。</w:t>
      </w:r>
    </w:p>
    <w:p>
      <w:pPr>
        <w:pStyle w:val="BodyText"/>
      </w:pPr>
      <w:r>
        <w:rPr>
          <w:rFonts w:hint="eastAsia"/>
        </w:rPr>
        <w:t xml:space="preserve">業績</w:t>
      </w:r>
    </w:p>
    <w:p>
      <w:pPr>
        <w:pStyle w:val="BodyText"/>
      </w:pPr>
      <w:r>
        <w:rPr>
          <w:rFonts w:hint="eastAsia"/>
        </w:rPr>
        <w:t xml:space="preserve">本集團截至2020年12月31日止年度的業績及本集團於該日的狀況載於本年報第132至</w:t>
      </w:r>
      <w:r>
        <w:t xml:space="preserve"> </w:t>
      </w:r>
      <w:r>
        <w:rPr>
          <w:rFonts w:hint="eastAsia"/>
        </w:rPr>
        <w:t xml:space="preserve">264頁的財務報表內。</w:t>
      </w:r>
    </w:p>
    <w:p>
      <w:pPr>
        <w:pStyle w:val="BodyText"/>
      </w:pPr>
      <w:r>
        <w:rPr>
          <w:rFonts w:hint="eastAsia"/>
        </w:rPr>
        <w:t xml:space="preserve">業務審視</w:t>
      </w:r>
    </w:p>
    <w:p>
      <w:pPr>
        <w:pStyle w:val="BodyText"/>
      </w:pPr>
      <w:r>
        <w:rPr>
          <w:rFonts w:hint="eastAsia"/>
        </w:rPr>
        <w:t xml:space="preserve">根</w:t>
      </w:r>
      <w:r>
        <w:t xml:space="preserve"> </w:t>
      </w:r>
      <w:r>
        <w:rPr>
          <w:rFonts w:hint="eastAsia"/>
        </w:rPr>
        <w:t xml:space="preserve">據</w:t>
      </w:r>
      <w:r>
        <w:t xml:space="preserve"> </w:t>
      </w:r>
      <w:r>
        <w:rPr>
          <w:rFonts w:hint="eastAsia"/>
        </w:rPr>
        <w:t xml:space="preserve">香</w:t>
      </w:r>
      <w:r>
        <w:t xml:space="preserve"> </w:t>
      </w:r>
      <w:r>
        <w:rPr>
          <w:rFonts w:hint="eastAsia"/>
        </w:rPr>
        <w:t xml:space="preserve">港《公</w:t>
      </w:r>
      <w:r>
        <w:t xml:space="preserve"> </w:t>
      </w:r>
      <w:r>
        <w:rPr>
          <w:rFonts w:hint="eastAsia"/>
        </w:rPr>
        <w:t xml:space="preserve">司</w:t>
      </w:r>
      <w:r>
        <w:t xml:space="preserve"> </w:t>
      </w:r>
      <w:r>
        <w:rPr>
          <w:rFonts w:hint="eastAsia"/>
        </w:rPr>
        <w:t xml:space="preserve">條</w:t>
      </w:r>
      <w:r>
        <w:t xml:space="preserve"> </w:t>
      </w:r>
      <w:r>
        <w:rPr>
          <w:rFonts w:hint="eastAsia"/>
        </w:rPr>
        <w:t xml:space="preserve">例》附</w:t>
      </w:r>
      <w:r>
        <w:t xml:space="preserve"> </w:t>
      </w:r>
      <w:r>
        <w:rPr>
          <w:rFonts w:hint="eastAsia"/>
        </w:rPr>
        <w:t xml:space="preserve">表5要</w:t>
      </w:r>
      <w:r>
        <w:t xml:space="preserve"> </w:t>
      </w:r>
      <w:r>
        <w:rPr>
          <w:rFonts w:hint="eastAsia"/>
        </w:rPr>
        <w:t xml:space="preserve">求</w:t>
      </w:r>
      <w:r>
        <w:t xml:space="preserve"> </w:t>
      </w:r>
      <w:r>
        <w:rPr>
          <w:rFonts w:hint="eastAsia"/>
        </w:rPr>
        <w:t xml:space="preserve">編</w:t>
      </w:r>
      <w:r>
        <w:t xml:space="preserve"> </w:t>
      </w:r>
      <w:r>
        <w:rPr>
          <w:rFonts w:hint="eastAsia"/>
        </w:rPr>
        <w:t xml:space="preserve">製</w:t>
      </w:r>
      <w:r>
        <w:t xml:space="preserve"> </w:t>
      </w:r>
      <w:r>
        <w:rPr>
          <w:rFonts w:hint="eastAsia"/>
        </w:rPr>
        <w:t xml:space="preserve">的</w:t>
      </w:r>
      <w:r>
        <w:t xml:space="preserve"> </w:t>
      </w:r>
      <w:r>
        <w:rPr>
          <w:rFonts w:hint="eastAsia"/>
        </w:rPr>
        <w:t xml:space="preserve">截</w:t>
      </w:r>
      <w:r>
        <w:t xml:space="preserve"> </w:t>
      </w:r>
      <w:r>
        <w:rPr>
          <w:rFonts w:hint="eastAsia"/>
        </w:rPr>
        <w:t xml:space="preserve">至2020年12月31日</w:t>
      </w:r>
      <w:r>
        <w:t xml:space="preserve"> </w:t>
      </w:r>
      <w:r>
        <w:rPr>
          <w:rFonts w:hint="eastAsia"/>
        </w:rPr>
        <w:t xml:space="preserve">止</w:t>
      </w:r>
      <w:r>
        <w:t xml:space="preserve"> </w:t>
      </w:r>
      <w:r>
        <w:rPr>
          <w:rFonts w:hint="eastAsia"/>
        </w:rPr>
        <w:t xml:space="preserve">年</w:t>
      </w:r>
      <w:r>
        <w:t xml:space="preserve"> </w:t>
      </w:r>
      <w:r>
        <w:rPr>
          <w:rFonts w:hint="eastAsia"/>
        </w:rPr>
        <w:t xml:space="preserve">度</w:t>
      </w:r>
      <w:r>
        <w:t xml:space="preserve"> </w:t>
      </w:r>
      <w:r>
        <w:rPr>
          <w:rFonts w:hint="eastAsia"/>
        </w:rPr>
        <w:t xml:space="preserve">的</w:t>
      </w:r>
      <w:r>
        <w:t xml:space="preserve"> </w:t>
      </w:r>
      <w:r>
        <w:rPr>
          <w:rFonts w:hint="eastAsia"/>
        </w:rPr>
        <w:t xml:space="preserve">本</w:t>
      </w:r>
      <w:r>
        <w:t xml:space="preserve"> </w:t>
      </w:r>
      <w:r>
        <w:rPr>
          <w:rFonts w:hint="eastAsia"/>
        </w:rPr>
        <w:t xml:space="preserve">集</w:t>
      </w:r>
      <w:r>
        <w:t xml:space="preserve"> </w:t>
      </w:r>
      <w:r>
        <w:rPr>
          <w:rFonts w:hint="eastAsia"/>
        </w:rPr>
        <w:t xml:space="preserve">團</w:t>
      </w:r>
      <w:r>
        <w:t xml:space="preserve"> </w:t>
      </w:r>
      <w:r>
        <w:rPr>
          <w:rFonts w:hint="eastAsia"/>
        </w:rPr>
        <w:t xml:space="preserve">業</w:t>
      </w:r>
      <w:r>
        <w:t xml:space="preserve"> </w:t>
      </w:r>
      <w:r>
        <w:rPr>
          <w:rFonts w:hint="eastAsia"/>
        </w:rPr>
        <w:t xml:space="preserve">務</w:t>
      </w:r>
      <w:r>
        <w:t xml:space="preserve"> </w:t>
      </w:r>
      <w:r>
        <w:rPr>
          <w:rFonts w:hint="eastAsia"/>
        </w:rPr>
        <w:t xml:space="preserve">審</w:t>
      </w:r>
      <w:r>
        <w:t xml:space="preserve"> </w:t>
      </w:r>
      <w:r>
        <w:rPr>
          <w:rFonts w:hint="eastAsia"/>
        </w:rPr>
        <w:t xml:space="preserve">視，</w:t>
      </w:r>
      <w:r>
        <w:t xml:space="preserve"> </w:t>
      </w:r>
      <w:r>
        <w:rPr>
          <w:rFonts w:hint="eastAsia"/>
        </w:rPr>
        <w:t xml:space="preserve">包</w:t>
      </w:r>
      <w:r>
        <w:t xml:space="preserve"> </w:t>
      </w:r>
      <w:r>
        <w:rPr>
          <w:rFonts w:hint="eastAsia"/>
        </w:rPr>
        <w:t xml:space="preserve">括</w:t>
      </w:r>
      <w:r>
        <w:t xml:space="preserve"> </w:t>
      </w:r>
      <w:r>
        <w:rPr>
          <w:rFonts w:hint="eastAsia"/>
        </w:rPr>
        <w:t xml:space="preserve">其</w:t>
      </w:r>
      <w:r>
        <w:t xml:space="preserve"> </w:t>
      </w:r>
      <w:r>
        <w:rPr>
          <w:rFonts w:hint="eastAsia"/>
        </w:rPr>
        <w:t xml:space="preserve">主</w:t>
      </w:r>
      <w:r>
        <w:t xml:space="preserve"> </w:t>
      </w:r>
      <w:r>
        <w:rPr>
          <w:rFonts w:hint="eastAsia"/>
        </w:rPr>
        <w:t xml:space="preserve">要</w:t>
      </w:r>
      <w:r>
        <w:t xml:space="preserve"> </w:t>
      </w:r>
      <w:r>
        <w:rPr>
          <w:rFonts w:hint="eastAsia"/>
        </w:rPr>
        <w:t xml:space="preserve">風</w:t>
      </w:r>
      <w:r>
        <w:t xml:space="preserve"> </w:t>
      </w:r>
      <w:r>
        <w:rPr>
          <w:rFonts w:hint="eastAsia"/>
        </w:rPr>
        <w:t xml:space="preserve">險</w:t>
      </w:r>
      <w:r>
        <w:t xml:space="preserve"> </w:t>
      </w:r>
      <w:r>
        <w:rPr>
          <w:rFonts w:hint="eastAsia"/>
        </w:rPr>
        <w:t xml:space="preserve">及</w:t>
      </w:r>
    </w:p>
    <w:p>
      <w:pPr>
        <w:pStyle w:val="BodyText"/>
      </w:pPr>
      <w:r>
        <w:rPr>
          <w:rFonts w:hint="eastAsia"/>
        </w:rPr>
        <w:t xml:space="preserve">不明朗因素的描述和有相當可能的未來發展的揭示，載於集團首席執行官兼總裁報告（第10至14頁）、財務及</w:t>
      </w:r>
    </w:p>
    <w:p>
      <w:pPr>
        <w:pStyle w:val="BodyText"/>
      </w:pPr>
      <w:r>
        <w:rPr>
          <w:rFonts w:hint="eastAsia"/>
        </w:rPr>
        <w:t xml:space="preserve">營運回顧一節中的集團首席財務總監回顧（第16至39頁）、業務回顧（第40至55頁）、風險管理（第56至61頁）及</w:t>
      </w:r>
    </w:p>
    <w:p>
      <w:pPr>
        <w:pStyle w:val="BodyText"/>
      </w:pPr>
      <w:r>
        <w:rPr>
          <w:rFonts w:hint="eastAsia"/>
        </w:rPr>
        <w:t xml:space="preserve">我們的團隊（第64至67頁）部分、以及合併財務報表附註43及附註45中。這些討論構成本報告的一部分。</w:t>
      </w:r>
    </w:p>
    <w:p>
      <w:pPr>
        <w:pStyle w:val="BodyText"/>
      </w:pPr>
      <w:r>
        <w:rPr>
          <w:rFonts w:hint="eastAsia"/>
        </w:rPr>
        <w:t xml:space="preserve">友邦保險積極瞭解環境對我們業務帶來的影響，同時亦減少我們本身的環境足跡。透過成為氣候相關財務披露</w:t>
      </w:r>
    </w:p>
    <w:p>
      <w:pPr>
        <w:pStyle w:val="BodyText"/>
      </w:pPr>
      <w:r>
        <w:rPr>
          <w:rFonts w:hint="eastAsia"/>
        </w:rPr>
        <w:t xml:space="preserve">工作小組(Task</w:t>
      </w:r>
      <w:r>
        <w:t xml:space="preserve"> Force on Climate-related Financial </w:t>
      </w:r>
      <w:r>
        <w:rPr>
          <w:rFonts w:hint="eastAsia"/>
        </w:rPr>
        <w:t xml:space="preserve">Disclosures)的簽約方，本集團已表明支持巴黎協定。我們</w:t>
      </w:r>
    </w:p>
    <w:p>
      <w:pPr>
        <w:pStyle w:val="BodyText"/>
      </w:pPr>
      <w:r>
        <w:rPr>
          <w:rFonts w:hint="eastAsia"/>
        </w:rPr>
        <w:t xml:space="preserve">持續主動瞭解氣候變化導致我們的保險及投資營運所面臨的風險，並持續於本集團2020年的環境、社會及管治</w:t>
      </w:r>
    </w:p>
    <w:p>
      <w:pPr>
        <w:pStyle w:val="BodyText"/>
      </w:pPr>
      <w:r>
        <w:rPr>
          <w:rFonts w:hint="eastAsia"/>
        </w:rPr>
        <w:t xml:space="preserve">報告中就氣候相關財務披露工作小組建議作出報告。</w:t>
      </w:r>
    </w:p>
    <w:p>
      <w:pPr>
        <w:pStyle w:val="BodyText"/>
      </w:pPr>
      <w:r>
        <w:rPr>
          <w:rFonts w:hint="eastAsia"/>
        </w:rPr>
        <w:t xml:space="preserve">我們監察自身的營運影響，並已於2020年更新集團環保程序，概述減少我們的環境足跡的舉措。本集團亦已制定</w:t>
      </w:r>
    </w:p>
    <w:p>
      <w:pPr>
        <w:pStyle w:val="BodyText"/>
      </w:pPr>
      <w:r>
        <w:rPr>
          <w:rFonts w:hint="eastAsia"/>
        </w:rPr>
        <w:t xml:space="preserve">減排目標，旨在於2030年之前將每名僱員的營運足跡較2017年的水平減少25%。</w:t>
      </w:r>
    </w:p>
    <w:p>
      <w:pPr>
        <w:pStyle w:val="BodyText"/>
      </w:pPr>
      <w:r>
        <w:rPr>
          <w:rFonts w:hint="eastAsia"/>
        </w:rPr>
        <w:t xml:space="preserve">友邦保險亦持續監察綠色金融領域的環境法規及機遇，與集團投資組合內的公司就環境、社會及管治問題進行</w:t>
      </w:r>
    </w:p>
    <w:p>
      <w:pPr>
        <w:pStyle w:val="BodyText"/>
      </w:pPr>
      <w:r>
        <w:rPr>
          <w:rFonts w:hint="eastAsia"/>
        </w:rPr>
        <w:t xml:space="preserve">接洽。於2020年，接洽內容包括持續關注氣候變化及評估企業應對2019冠狀病毒病大流行影響的應變能力和</w:t>
      </w:r>
    </w:p>
    <w:p>
      <w:pPr>
        <w:pStyle w:val="BodyText"/>
      </w:pPr>
      <w:r>
        <w:rPr>
          <w:rFonts w:hint="eastAsia"/>
        </w:rPr>
        <w:t xml:space="preserve">防範能力。</w:t>
      </w:r>
    </w:p>
    <w:p>
      <w:pPr>
        <w:pStyle w:val="BodyText"/>
      </w:pPr>
      <w:r>
        <w:t xml:space="preserve">083</w:t>
      </w:r>
    </w:p>
    <w:p>
      <w:pPr>
        <w:pStyle w:val="BodyText"/>
      </w:pPr>
      <w:r>
        <w:rPr>
          <w:rFonts w:hint="eastAsia"/>
        </w:rPr>
        <w:t xml:space="preserve">概覽財務及營運回顧企業管治其他資料財務報表2020年報</w:t>
      </w:r>
    </w:p>
    <w:p>
      <w:pPr>
        <w:pStyle w:val="BodyText"/>
      </w:pPr>
      <w:r>
        <w:rPr>
          <w:rFonts w:hint="eastAsia"/>
        </w:rPr>
        <w:t xml:space="preserve">對本集團而言，客戶私隱及資料保密至關重要。於2020年，友邦保險的身份識別出入管理及網絡安全保密管控</w:t>
      </w:r>
    </w:p>
    <w:p>
      <w:pPr>
        <w:pStyle w:val="BodyText"/>
      </w:pPr>
      <w:r>
        <w:rPr>
          <w:rFonts w:hint="eastAsia"/>
        </w:rPr>
        <w:t xml:space="preserve">（包括資料保密及加密標準）持續獲得ISO</w:t>
      </w:r>
      <w:r>
        <w:t xml:space="preserve"> </w:t>
      </w:r>
      <w:r>
        <w:rPr>
          <w:rFonts w:hint="eastAsia"/>
        </w:rPr>
        <w:t xml:space="preserve">27001認證。我們繼續升級及投資實際、行政及技術措施，以保護個人</w:t>
      </w:r>
    </w:p>
    <w:p>
      <w:pPr>
        <w:pStyle w:val="BodyText"/>
      </w:pPr>
      <w:r>
        <w:rPr>
          <w:rFonts w:hint="eastAsia"/>
        </w:rPr>
        <w:t xml:space="preserve">及業務資料，其中包括提高我們員工對健全及正確的網絡安全與資料保密慣例的意識的培訓計劃。本公司亦已就</w:t>
      </w:r>
    </w:p>
    <w:p>
      <w:pPr>
        <w:pStyle w:val="BodyText"/>
      </w:pPr>
      <w:r>
        <w:rPr>
          <w:rFonts w:hint="eastAsia"/>
        </w:rPr>
        <w:t xml:space="preserve">（其中包括）資料保密風險投保。</w:t>
      </w:r>
    </w:p>
    <w:p>
      <w:pPr>
        <w:pStyle w:val="BodyText"/>
      </w:pPr>
      <w:r>
        <w:rPr>
          <w:rFonts w:hint="eastAsia"/>
        </w:rPr>
        <w:t xml:space="preserve">社會大眾是我們業務的核心，這意味著我們要確保秉持客戶所期望的高水準的產品質素和客戶服務。為求幫助</w:t>
      </w:r>
    </w:p>
    <w:p>
      <w:pPr>
        <w:pStyle w:val="BodyText"/>
      </w:pPr>
      <w:r>
        <w:rPr>
          <w:rFonts w:hint="eastAsia"/>
        </w:rPr>
        <w:t xml:space="preserve">客戶改善健康狀況，我們必須更深入瞭解其需求。為此，我們透過研究瞭解不同客戶群體的需求並建立戰略合作</w:t>
      </w:r>
    </w:p>
    <w:p>
      <w:pPr>
        <w:pStyle w:val="BodyText"/>
      </w:pPr>
      <w:r>
        <w:rPr>
          <w:rFonts w:hint="eastAsia"/>
        </w:rPr>
        <w:t xml:space="preserve">夥伴關係，以度身打造產品及服務。於2019冠狀病毒病大流行期間，我們迅速作出回應，並優先考慮客戶需求。</w:t>
      </w:r>
    </w:p>
    <w:p>
      <w:pPr>
        <w:pStyle w:val="BodyText"/>
      </w:pPr>
      <w:r>
        <w:rPr>
          <w:rFonts w:hint="eastAsia"/>
        </w:rPr>
        <w:t xml:space="preserve">我們通過更廣泛的保障範圍、數碼化醫療解決方案、更多樣的虛擬醫療保健渠道及處理心理健康狀況的方案以為</w:t>
      </w:r>
    </w:p>
    <w:p>
      <w:pPr>
        <w:pStyle w:val="BodyText"/>
      </w:pPr>
      <w:r>
        <w:rPr>
          <w:rFonts w:hint="eastAsia"/>
        </w:rPr>
        <w:t xml:space="preserve">他們提供支持。</w:t>
      </w:r>
    </w:p>
    <w:p>
      <w:pPr>
        <w:pStyle w:val="BodyText"/>
      </w:pPr>
      <w:r>
        <w:rPr>
          <w:rFonts w:hint="eastAsia"/>
        </w:rPr>
        <w:t xml:space="preserve">友邦保險的供應商守則概述我們如何考慮及將可持續發展融入供應鏈管理流程。作為一個集團，我們與能展示</w:t>
      </w:r>
    </w:p>
    <w:p>
      <w:pPr>
        <w:pStyle w:val="BodyText"/>
      </w:pPr>
      <w:r>
        <w:rPr>
          <w:rFonts w:hint="eastAsia"/>
        </w:rPr>
        <w:t xml:space="preserve">最佳實務守則的供應商合作。我們盡責地進行盡職調查流程，這也是我們現行供應鏈管理及監控體系的一個</w:t>
      </w:r>
    </w:p>
    <w:p>
      <w:pPr>
        <w:pStyle w:val="BodyText"/>
      </w:pPr>
      <w:r>
        <w:rPr>
          <w:rFonts w:hint="eastAsia"/>
        </w:rPr>
        <w:t xml:space="preserve">部分。此流程包括透過我們的供應商登記流程要求選定的主要供應商提供僱傭以及環境措施資料。</w:t>
      </w:r>
    </w:p>
    <w:p>
      <w:pPr>
        <w:pStyle w:val="BodyText"/>
      </w:pPr>
      <w:r>
        <w:rPr>
          <w:rFonts w:hint="eastAsia"/>
        </w:rPr>
        <w:t xml:space="preserve">為更深入地了解我們的環境、社會及管治項目進展，請參閱於香港交易及結算所有限公司及本公司網站刊發的</w:t>
      </w:r>
    </w:p>
    <w:p>
      <w:pPr>
        <w:pStyle w:val="BodyText"/>
      </w:pPr>
      <w:r>
        <w:rPr>
          <w:rFonts w:hint="eastAsia"/>
        </w:rPr>
        <w:t xml:space="preserve">2020年環境、社會及管治報告。</w:t>
      </w:r>
    </w:p>
    <w:p>
      <w:pPr>
        <w:pStyle w:val="BodyText"/>
      </w:pPr>
      <w:r>
        <w:rPr>
          <w:rFonts w:hint="eastAsia"/>
        </w:rPr>
        <w:t xml:space="preserve">本集團獲發牌從事保險業務，及在其分公司及附屬公司經營所在的各地區市場須受到廣泛的當地監管機構監察。</w:t>
      </w:r>
    </w:p>
    <w:p>
      <w:pPr>
        <w:pStyle w:val="BodyText"/>
      </w:pPr>
      <w:r>
        <w:rPr>
          <w:rFonts w:hint="eastAsia"/>
        </w:rPr>
        <w:t xml:space="preserve">儘管各司法權區的法規範圍各異，但一般為有關企業管治、償付能力</w:t>
      </w:r>
      <w:r>
        <w:t xml:space="preserve"> </w:t>
      </w:r>
      <w:r>
        <w:rPr>
          <w:rFonts w:hint="eastAsia"/>
        </w:rPr>
        <w:t xml:space="preserve">∕資本充足、業內行為、投資管理、財務</w:t>
      </w:r>
    </w:p>
    <w:p>
      <w:pPr>
        <w:pStyle w:val="BodyText"/>
      </w:pPr>
      <w:r>
        <w:rPr>
          <w:rFonts w:hint="eastAsia"/>
        </w:rPr>
        <w:t xml:space="preserve">報告及分派的法例及規例。本集團投入大量資源及適當人選，支持遵守相關法例及規例。友邦保險亦於截至</w:t>
      </w:r>
    </w:p>
    <w:p>
      <w:pPr>
        <w:pStyle w:val="BodyText"/>
      </w:pPr>
      <w:r>
        <w:rPr>
          <w:rFonts w:hint="eastAsia"/>
        </w:rPr>
        <w:t xml:space="preserve">2020年12月31日止年度監察本集團遵守所有適用的重大法例及規例的情況，當中包括遵守監管機構採用的償付</w:t>
      </w:r>
    </w:p>
    <w:p>
      <w:pPr>
        <w:pStyle w:val="BodyText"/>
      </w:pPr>
      <w:r>
        <w:rPr>
          <w:rFonts w:hint="eastAsia"/>
        </w:rPr>
        <w:t xml:space="preserve">能力及資本充足規定，其詳情載於財務報表附註37。</w:t>
      </w:r>
    </w:p>
    <w:p>
      <w:pPr>
        <w:pStyle w:val="BodyText"/>
      </w:pPr>
      <w:r>
        <w:rPr>
          <w:rFonts w:hint="eastAsia"/>
        </w:rPr>
        <w:t xml:space="preserve">有關本公司高標準的企業管治及董事會就遵守法定義務的責任的討論，請參閱企業管治報告。</w:t>
      </w:r>
    </w:p>
    <w:p>
      <w:pPr>
        <w:pStyle w:val="BodyText"/>
      </w:pPr>
      <w:r>
        <w:rPr>
          <w:rFonts w:hint="eastAsia"/>
        </w:rPr>
        <w:t xml:space="preserve">自2020年12月31日起產生並影響本集團的重大事項詳情載於財務報表附註45。</w:t>
      </w:r>
    </w:p>
    <w:p>
      <w:pPr>
        <w:pStyle w:val="BodyText"/>
      </w:pPr>
      <w:r>
        <w:rPr>
          <w:rFonts w:hint="eastAsia"/>
        </w:rPr>
        <w:t xml:space="preserve">股息</w:t>
      </w:r>
    </w:p>
    <w:p>
      <w:pPr>
        <w:pStyle w:val="BodyText"/>
      </w:pPr>
      <w:r>
        <w:rPr>
          <w:rFonts w:hint="eastAsia"/>
        </w:rPr>
        <w:t xml:space="preserve">本公司已於2020年9月24日派付截至2020年6月30日止六個月期間的中期股息每股35.00港仙（2019年：每股33.30</w:t>
      </w:r>
    </w:p>
    <w:p>
      <w:pPr>
        <w:pStyle w:val="BodyText"/>
      </w:pPr>
      <w:r>
        <w:rPr>
          <w:rFonts w:hint="eastAsia"/>
        </w:rPr>
        <w:t xml:space="preserve">港仙）。董事會已建議截至2020年12月31日止年度派付的末期股息增加7.5%至每股100.30港仙（2019年：每股</w:t>
      </w:r>
    </w:p>
    <w:p>
      <w:pPr>
        <w:pStyle w:val="BodyText"/>
      </w:pPr>
      <w:r>
        <w:rPr>
          <w:rFonts w:hint="eastAsia"/>
        </w:rPr>
        <w:t xml:space="preserve">93.30港仙），與友邦保險一貫的審慎、可持續及漸進的派息政策一致。</w:t>
      </w:r>
    </w:p>
    <w:p>
      <w:pPr>
        <w:pStyle w:val="BodyText"/>
      </w:pPr>
      <w:r>
        <w:t xml:space="preserve">084</w:t>
      </w:r>
    </w:p>
    <w:p>
      <w:pPr>
        <w:pStyle w:val="BodyText"/>
      </w:pPr>
      <w:r>
        <w:rPr>
          <w:rFonts w:hint="eastAsia"/>
        </w:rPr>
        <w:t xml:space="preserve">企業管治友邦保險控股有限公司董事會報告</w:t>
      </w:r>
    </w:p>
    <w:p>
      <w:pPr>
        <w:pStyle w:val="BodyText"/>
      </w:pPr>
      <w:r>
        <w:rPr>
          <w:rFonts w:hint="eastAsia"/>
        </w:rPr>
        <w:t xml:space="preserve">根據本公司於2010年9月28日採納的受限制股份單位計劃（「2010年受限制股份單位計劃」）及於2020年8月1日</w:t>
      </w:r>
    </w:p>
    <w:p>
      <w:pPr>
        <w:pStyle w:val="BodyText"/>
      </w:pPr>
      <w:r>
        <w:rPr>
          <w:rFonts w:hint="eastAsia"/>
        </w:rPr>
        <w:t xml:space="preserve">採納的受限制股份單位計劃（「2020年受限制股份單位計劃」）的相關信託契約，本公司股份由各項該等計劃的</w:t>
      </w:r>
    </w:p>
    <w:p>
      <w:pPr>
        <w:pStyle w:val="BodyText"/>
      </w:pPr>
      <w:r>
        <w:rPr>
          <w:rFonts w:hint="eastAsia"/>
        </w:rPr>
        <w:t xml:space="preserve">受託人以信託形式持有。該等股份為計劃參與人的未來權益而持有。倘若該等本公司股份仍由受託人持有及該等</w:t>
      </w:r>
    </w:p>
    <w:p>
      <w:pPr>
        <w:pStyle w:val="BodyText"/>
      </w:pPr>
      <w:r>
        <w:rPr>
          <w:rFonts w:hint="eastAsia"/>
        </w:rPr>
        <w:t xml:space="preserve">股份之實益權益並未歸屬予任何受益人，受託人將放棄任何就該等股份有關的股息派付或其他分派的權利（除本</w:t>
      </w:r>
    </w:p>
    <w:p>
      <w:pPr>
        <w:pStyle w:val="BodyText"/>
      </w:pPr>
      <w:r>
        <w:rPr>
          <w:rFonts w:hint="eastAsia"/>
        </w:rPr>
        <w:t xml:space="preserve">公司另有決定外）。</w:t>
      </w:r>
    </w:p>
    <w:p>
      <w:pPr>
        <w:pStyle w:val="BodyText"/>
      </w:pPr>
      <w:r>
        <w:rPr>
          <w:rFonts w:hint="eastAsia"/>
        </w:rPr>
        <w:t xml:space="preserve">於2020年9月24日（即中期股息的派付日），上述受託人持有2010年受限制股份單位計劃下的25,685,534股股份</w:t>
      </w:r>
    </w:p>
    <w:p>
      <w:pPr>
        <w:pStyle w:val="BodyText"/>
      </w:pPr>
      <w:r>
        <w:rPr>
          <w:rFonts w:hint="eastAsia"/>
        </w:rPr>
        <w:t xml:space="preserve">及2020年受限制股份單位計劃下的零股股份，已放棄的中期股息派付金額約為120萬美元。根據上述相關信託</w:t>
      </w:r>
    </w:p>
    <w:p>
      <w:pPr>
        <w:pStyle w:val="BodyText"/>
      </w:pPr>
      <w:r>
        <w:rPr>
          <w:rFonts w:hint="eastAsia"/>
        </w:rPr>
        <w:t xml:space="preserve">契約，受託人將放棄收取派付的末期股息（如宣派）的權利。</w:t>
      </w:r>
    </w:p>
    <w:p>
      <w:pPr>
        <w:pStyle w:val="BodyText"/>
      </w:pPr>
      <w:r>
        <w:rPr>
          <w:rFonts w:hint="eastAsia"/>
        </w:rPr>
        <w:t xml:space="preserve">待股東於本公司將舉行的股東週年大會上批准後，末期股息將於2021年6月10日（星期四）向於2021年5月26日</w:t>
      </w:r>
    </w:p>
    <w:p>
      <w:pPr>
        <w:pStyle w:val="BodyText"/>
      </w:pPr>
      <w:r>
        <w:rPr>
          <w:rFonts w:hint="eastAsia"/>
        </w:rPr>
        <w:t xml:space="preserve">（星期三）（即釐定末期股息權益的記錄日期）營業時間結束時名列本公司股東名冊的股東派付。</w:t>
      </w:r>
    </w:p>
    <w:p>
      <w:pPr>
        <w:pStyle w:val="BodyText"/>
      </w:pPr>
      <w:r>
        <w:rPr>
          <w:rFonts w:hint="eastAsia"/>
        </w:rPr>
        <w:t xml:space="preserve">董事</w:t>
      </w:r>
    </w:p>
    <w:p>
      <w:pPr>
        <w:pStyle w:val="BodyText"/>
      </w:pPr>
      <w:r>
        <w:rPr>
          <w:rFonts w:hint="eastAsia"/>
        </w:rPr>
        <w:t xml:space="preserve">於回顧年度內及直至本報告日期止，本公司董事如下：</w:t>
      </w:r>
    </w:p>
    <w:p>
      <w:pPr>
        <w:pStyle w:val="BodyText"/>
      </w:pPr>
      <w:r>
        <w:rPr>
          <w:rFonts w:hint="eastAsia"/>
        </w:rPr>
        <w:t xml:space="preserve">獨立非執行主席及獨立非執行董事</w:t>
      </w:r>
    </w:p>
    <w:p>
      <w:pPr>
        <w:pStyle w:val="BodyText"/>
      </w:pPr>
      <w:r>
        <w:rPr>
          <w:rFonts w:hint="eastAsia"/>
        </w:rPr>
        <w:t xml:space="preserve">謝仕榮先生</w:t>
      </w:r>
    </w:p>
    <w:p>
      <w:pPr>
        <w:pStyle w:val="BodyText"/>
      </w:pPr>
      <w:r>
        <w:rPr>
          <w:rFonts w:hint="eastAsia"/>
        </w:rPr>
        <w:t xml:space="preserve">執行董事</w:t>
      </w:r>
    </w:p>
    <w:p>
      <w:pPr>
        <w:pStyle w:val="BodyText"/>
      </w:pPr>
      <w:r>
        <w:rPr>
          <w:rFonts w:hint="eastAsia"/>
        </w:rPr>
        <w:t xml:space="preserve">李源祥先生（集團首席執行官兼總裁）(1)</w:t>
      </w:r>
    </w:p>
    <w:p>
      <w:pPr>
        <w:pStyle w:val="BodyText"/>
      </w:pPr>
      <w:r>
        <w:t xml:space="preserve">NG Keng </w:t>
      </w:r>
      <w:r>
        <w:rPr>
          <w:rFonts w:hint="eastAsia"/>
        </w:rPr>
        <w:t xml:space="preserve">Hooi先生（集團首席執行官兼總裁）(2)</w:t>
      </w:r>
    </w:p>
    <w:p>
      <w:pPr>
        <w:pStyle w:val="BodyText"/>
      </w:pPr>
      <w:r>
        <w:rPr>
          <w:rFonts w:hint="eastAsia"/>
        </w:rPr>
        <w:t xml:space="preserve">獨立非執行董事</w:t>
      </w:r>
    </w:p>
    <w:p>
      <w:pPr>
        <w:pStyle w:val="BodyText"/>
      </w:pPr>
      <w:r>
        <w:rPr>
          <w:rFonts w:hint="eastAsia"/>
        </w:rPr>
        <w:t xml:space="preserve">蘇澤光先生</w:t>
      </w:r>
    </w:p>
    <w:p>
      <w:pPr>
        <w:pStyle w:val="BodyText"/>
      </w:pPr>
      <w:r>
        <w:rPr>
          <w:rFonts w:hint="eastAsia"/>
        </w:rPr>
        <w:t xml:space="preserve">周松崗先生</w:t>
      </w:r>
    </w:p>
    <w:p>
      <w:pPr>
        <w:pStyle w:val="BodyText"/>
      </w:pPr>
      <w:r>
        <w:t xml:space="preserve">John Barrie </w:t>
      </w:r>
      <w:r>
        <w:rPr>
          <w:rFonts w:hint="eastAsia"/>
        </w:rPr>
        <w:t xml:space="preserve">HARRISON先生</w:t>
      </w:r>
    </w:p>
    <w:p>
      <w:pPr>
        <w:pStyle w:val="BodyText"/>
      </w:pPr>
      <w:r>
        <w:rPr>
          <w:rFonts w:hint="eastAsia"/>
        </w:rPr>
        <w:t xml:space="preserve">楊榮文先生</w:t>
      </w:r>
    </w:p>
    <w:p>
      <w:pPr>
        <w:pStyle w:val="BodyText"/>
      </w:pPr>
      <w:r>
        <w:t xml:space="preserve">Mohamed Azman </w:t>
      </w:r>
      <w:r>
        <w:rPr>
          <w:rFonts w:hint="eastAsia"/>
        </w:rPr>
        <w:t xml:space="preserve">YAHYA先生(3)</w:t>
      </w:r>
    </w:p>
    <w:p>
      <w:pPr>
        <w:pStyle w:val="BodyText"/>
      </w:pPr>
      <w:r>
        <w:rPr>
          <w:rFonts w:hint="eastAsia"/>
        </w:rPr>
        <w:t xml:space="preserve">劉遵義教授</w:t>
      </w:r>
    </w:p>
    <w:p>
      <w:pPr>
        <w:pStyle w:val="BodyText"/>
      </w:pPr>
      <w:r>
        <w:t xml:space="preserve">Swee-Lian </w:t>
      </w:r>
      <w:r>
        <w:rPr>
          <w:rFonts w:hint="eastAsia"/>
        </w:rPr>
        <w:t xml:space="preserve">TEO女士</w:t>
      </w:r>
    </w:p>
    <w:p>
      <w:pPr>
        <w:pStyle w:val="BodyText"/>
      </w:pPr>
      <w:r>
        <w:t xml:space="preserve">Narongchai </w:t>
      </w:r>
      <w:r>
        <w:rPr>
          <w:rFonts w:hint="eastAsia"/>
        </w:rPr>
        <w:t xml:space="preserve">AKRASANEE博士</w:t>
      </w:r>
    </w:p>
    <w:p>
      <w:pPr>
        <w:pStyle w:val="BodyText"/>
      </w:pPr>
      <w:r>
        <w:t xml:space="preserve">Cesar Velasquez </w:t>
      </w:r>
      <w:r>
        <w:rPr>
          <w:rFonts w:hint="eastAsia"/>
        </w:rPr>
        <w:t xml:space="preserve">PURISIMA先生</w:t>
      </w:r>
    </w:p>
    <w:p>
      <w:pPr>
        <w:pStyle w:val="BodyText"/>
      </w:pPr>
      <w:r>
        <w:rPr>
          <w:rFonts w:hint="eastAsia"/>
        </w:rPr>
        <w:t xml:space="preserve">附註：</w:t>
      </w:r>
      <w:r>
        <w:br/>
      </w:r>
      <w:r>
        <w:t xml:space="preserve">(1) </w:t>
      </w:r>
      <w:r>
        <w:rPr>
          <w:rFonts w:hint="eastAsia"/>
        </w:rPr>
        <w:t xml:space="preserve">李源祥先生於2020年6月1日獲委任為本公司執行董事。</w:t>
      </w:r>
    </w:p>
    <w:p>
      <w:pPr>
        <w:numPr>
          <w:ilvl w:val="0"/>
          <w:numId w:val="1076"/>
        </w:numPr>
      </w:pPr>
      <w:r>
        <w:t xml:space="preserve">Ng Keng </w:t>
      </w:r>
      <w:r>
        <w:rPr>
          <w:rFonts w:hint="eastAsia"/>
        </w:rPr>
        <w:t xml:space="preserve">Hooi先生自2020年</w:t>
      </w:r>
      <w:r>
        <w:t xml:space="preserve"> </w:t>
      </w:r>
      <w:r>
        <w:rPr>
          <w:rFonts w:hint="eastAsia"/>
        </w:rPr>
        <w:t xml:space="preserve">5月31日起退任本公司執行董事。</w:t>
      </w:r>
    </w:p>
    <w:p>
      <w:pPr>
        <w:numPr>
          <w:ilvl w:val="0"/>
          <w:numId w:val="1076"/>
        </w:numPr>
      </w:pPr>
      <w:r>
        <w:t xml:space="preserve">Mohamed Azman </w:t>
      </w:r>
      <w:r>
        <w:rPr>
          <w:rFonts w:hint="eastAsia"/>
        </w:rPr>
        <w:t xml:space="preserve">Yahya先生自2020年5月29日起退任本公司獨立非執行董事。</w:t>
      </w:r>
    </w:p>
    <w:p>
      <w:pPr>
        <w:pStyle w:val="FirstParagraph"/>
      </w:pPr>
      <w:r>
        <w:t xml:space="preserve">085</w:t>
      </w:r>
    </w:p>
    <w:p>
      <w:pPr>
        <w:pStyle w:val="BodyText"/>
      </w:pPr>
      <w:r>
        <w:rPr>
          <w:rFonts w:hint="eastAsia"/>
        </w:rPr>
        <w:t xml:space="preserve">概覽財務及營運回顧企業管治其他資料財務報表2020年報</w:t>
      </w:r>
    </w:p>
    <w:p>
      <w:pPr>
        <w:pStyle w:val="BodyText"/>
      </w:pPr>
      <w:r>
        <w:rPr>
          <w:rFonts w:hint="eastAsia"/>
        </w:rPr>
        <w:t xml:space="preserve">李源祥先生於2020年6月1日獲委任為本公司執行董事，並將根據本公司的組織章程細則第104條於應屆股東週年</w:t>
      </w:r>
    </w:p>
    <w:p>
      <w:pPr>
        <w:pStyle w:val="BodyText"/>
      </w:pPr>
      <w:r>
        <w:rPr>
          <w:rFonts w:hint="eastAsia"/>
        </w:rPr>
        <w:t xml:space="preserve">大會退任，惟符合資格且願意重選連任。</w:t>
      </w:r>
    </w:p>
    <w:p>
      <w:pPr>
        <w:pStyle w:val="BodyText"/>
      </w:pPr>
      <w:r>
        <w:rPr>
          <w:rFonts w:hint="eastAsia"/>
        </w:rPr>
        <w:t xml:space="preserve">根據本公司的組織章程細則第100條，周松崗先生、John</w:t>
      </w:r>
      <w:r>
        <w:t xml:space="preserve"> Barrie </w:t>
      </w:r>
      <w:r>
        <w:rPr>
          <w:rFonts w:hint="eastAsia"/>
        </w:rPr>
        <w:t xml:space="preserve">Harrison先生、劉遵義教授及Cesar</w:t>
      </w:r>
      <w:r>
        <w:t xml:space="preserve"> Velasquez</w:t>
      </w:r>
    </w:p>
    <w:p>
      <w:pPr>
        <w:pStyle w:val="BodyText"/>
      </w:pPr>
      <w:r>
        <w:rPr>
          <w:rFonts w:hint="eastAsia"/>
        </w:rPr>
        <w:t xml:space="preserve">Purisima先生將於股東週年大會輪值退任，惟符合資格且願意重選連任。</w:t>
      </w:r>
    </w:p>
    <w:p>
      <w:pPr>
        <w:pStyle w:val="BodyText"/>
      </w:pPr>
      <w:r>
        <w:rPr>
          <w:rFonts w:hint="eastAsia"/>
        </w:rPr>
        <w:t xml:space="preserve">董事資料變動</w:t>
      </w:r>
    </w:p>
    <w:p>
      <w:pPr>
        <w:pStyle w:val="BodyText"/>
      </w:pPr>
      <w:r>
        <w:rPr>
          <w:rFonts w:hint="eastAsia"/>
        </w:rPr>
        <w:t xml:space="preserve">以下載列為須根據《香港聯合交易所有限公司證券上市規則》（「上市規則」）第13.51B(1)條予以披露的董事資料</w:t>
      </w:r>
    </w:p>
    <w:p>
      <w:pPr>
        <w:pStyle w:val="BodyText"/>
      </w:pPr>
      <w:r>
        <w:rPr>
          <w:rFonts w:hint="eastAsia"/>
        </w:rPr>
        <w:t xml:space="preserve">變動：</w:t>
      </w:r>
    </w:p>
    <w:p>
      <w:pPr>
        <w:pStyle w:val="BodyText"/>
      </w:pPr>
      <w:r>
        <w:rPr>
          <w:rFonts w:hint="eastAsia"/>
        </w:rPr>
        <w:t xml:space="preserve">董事姓名</w:t>
      </w:r>
    </w:p>
    <w:p>
      <w:pPr>
        <w:pStyle w:val="BodyText"/>
      </w:pPr>
      <w:r>
        <w:rPr>
          <w:rFonts w:hint="eastAsia"/>
        </w:rPr>
        <w:t xml:space="preserve">周松崗先生</w:t>
      </w:r>
    </w:p>
    <w:p>
      <w:pPr>
        <w:pStyle w:val="BodyText"/>
      </w:pPr>
      <w:r>
        <w:rPr>
          <w:rFonts w:hint="eastAsia"/>
        </w:rPr>
        <w:t xml:space="preserve">變動</w:t>
      </w:r>
    </w:p>
    <w:p>
      <w:pPr>
        <w:pStyle w:val="BodyText"/>
      </w:pPr>
      <w:r>
        <w:t xml:space="preserve">• </w:t>
      </w:r>
      <w:r>
        <w:rPr>
          <w:rFonts w:hint="eastAsia"/>
        </w:rPr>
        <w:t xml:space="preserve">自2020年9月1日起退任香港賽馬會董事</w:t>
      </w:r>
    </w:p>
    <w:p>
      <w:pPr>
        <w:pStyle w:val="BodyText"/>
      </w:pPr>
      <w:r>
        <w:t xml:space="preserve">Cesar Velasquez </w:t>
      </w:r>
      <w:r>
        <w:rPr>
          <w:rFonts w:hint="eastAsia"/>
        </w:rPr>
        <w:t xml:space="preserve">Purisima先生</w:t>
      </w:r>
    </w:p>
    <w:p>
      <w:pPr>
        <w:pStyle w:val="BodyText"/>
      </w:pPr>
      <w:r>
        <w:t xml:space="preserve">• </w:t>
      </w:r>
      <w:r>
        <w:rPr>
          <w:rFonts w:hint="eastAsia"/>
        </w:rPr>
        <w:t xml:space="preserve">自2021年3月12日起獲委任為本公司審核委員會成員</w:t>
      </w:r>
    </w:p>
    <w:p>
      <w:pPr>
        <w:pStyle w:val="BodyText"/>
      </w:pPr>
      <w:r>
        <w:rPr>
          <w:rFonts w:hint="eastAsia"/>
        </w:rPr>
        <w:t xml:space="preserve">除上文所披露者外，概無其他資料須根據上市規則第13.51B(1)條予以披露。</w:t>
      </w:r>
    </w:p>
    <w:p>
      <w:pPr>
        <w:pStyle w:val="BodyText"/>
      </w:pPr>
      <w:r>
        <w:rPr>
          <w:rFonts w:hint="eastAsia"/>
        </w:rPr>
        <w:t xml:space="preserve">董事服務合約</w:t>
      </w:r>
    </w:p>
    <w:p>
      <w:pPr>
        <w:pStyle w:val="BodyText"/>
      </w:pPr>
      <w:r>
        <w:rPr>
          <w:rFonts w:hint="eastAsia"/>
        </w:rPr>
        <w:t xml:space="preserve">於股東週年大會上建議重選連任的董事概無與本公司簽訂屬本公司在一年內不可在不予賠償（法定賠償除外）的</w:t>
      </w:r>
    </w:p>
    <w:p>
      <w:pPr>
        <w:pStyle w:val="BodyText"/>
      </w:pPr>
      <w:r>
        <w:rPr>
          <w:rFonts w:hint="eastAsia"/>
        </w:rPr>
        <w:t xml:space="preserve">情況下終止的服務合約。</w:t>
      </w:r>
    </w:p>
    <w:p>
      <w:pPr>
        <w:pStyle w:val="BodyText"/>
      </w:pPr>
      <w:r>
        <w:rPr>
          <w:rFonts w:hint="eastAsia"/>
        </w:rPr>
        <w:t xml:space="preserve">附屬公司董事</w:t>
      </w:r>
    </w:p>
    <w:p>
      <w:pPr>
        <w:pStyle w:val="BodyText"/>
      </w:pPr>
      <w:r>
        <w:rPr>
          <w:rFonts w:hint="eastAsia"/>
        </w:rPr>
        <w:t xml:space="preserve">於回顧年度內及直至本報告日期止，服務本公司附屬公司董事會的所有董事姓名存置於本公司註冊辦事處及可供</w:t>
      </w:r>
    </w:p>
    <w:p>
      <w:pPr>
        <w:pStyle w:val="BodyText"/>
      </w:pPr>
      <w:r>
        <w:rPr>
          <w:rFonts w:hint="eastAsia"/>
        </w:rPr>
        <w:t xml:space="preserve">本公司股東於營業時間內查閱。</w:t>
      </w:r>
    </w:p>
    <w:p>
      <w:pPr>
        <w:pStyle w:val="BodyText"/>
      </w:pPr>
      <w:r>
        <w:rPr>
          <w:rFonts w:hint="eastAsia"/>
        </w:rPr>
        <w:t xml:space="preserve">獲准許的彌償條文</w:t>
      </w:r>
    </w:p>
    <w:p>
      <w:pPr>
        <w:pStyle w:val="BodyText"/>
      </w:pPr>
      <w:r>
        <w:rPr>
          <w:rFonts w:hint="eastAsia"/>
        </w:rPr>
        <w:t xml:space="preserve">根據本公司的組織章程細則，在有關法規的規限下，每名董事均可就其於履行其職務或與此有關的事項而可能</w:t>
      </w:r>
    </w:p>
    <w:p>
      <w:pPr>
        <w:pStyle w:val="BodyText"/>
      </w:pPr>
      <w:r>
        <w:rPr>
          <w:rFonts w:hint="eastAsia"/>
        </w:rPr>
        <w:t xml:space="preserve">蒙受或產生的所有成本、費用、開支、損失及負債從本公司資產中獲得彌償。本公司已就本集團的董事可能面對</w:t>
      </w:r>
    </w:p>
    <w:p>
      <w:pPr>
        <w:pStyle w:val="BodyText"/>
      </w:pPr>
      <w:r>
        <w:rPr>
          <w:rFonts w:hint="eastAsia"/>
        </w:rPr>
        <w:t xml:space="preserve">訴訟時產生的責任和相關費用購買保險。</w:t>
      </w:r>
    </w:p>
    <w:p>
      <w:pPr>
        <w:pStyle w:val="BodyText"/>
      </w:pPr>
      <w:r>
        <w:t xml:space="preserve">086</w:t>
      </w:r>
    </w:p>
    <w:p>
      <w:pPr>
        <w:pStyle w:val="BodyText"/>
      </w:pPr>
      <w:r>
        <w:rPr>
          <w:rFonts w:hint="eastAsia"/>
        </w:rPr>
        <w:t xml:space="preserve">企業管治友邦保險控股有限公司董事會報告</w:t>
      </w:r>
    </w:p>
    <w:p>
      <w:pPr>
        <w:pStyle w:val="BodyText"/>
      </w:pPr>
      <w:r>
        <w:rPr>
          <w:rFonts w:hint="eastAsia"/>
        </w:rPr>
        <w:t xml:space="preserve">董事及首席執行官於股份及相關股份中的權益及淡倉</w:t>
      </w:r>
    </w:p>
    <w:p>
      <w:pPr>
        <w:pStyle w:val="BodyText"/>
      </w:pPr>
      <w:r>
        <w:rPr>
          <w:rFonts w:hint="eastAsia"/>
        </w:rPr>
        <w:t xml:space="preserve">於2020年12月31日，董事及首席執行官於本公司及其相聯法團（定義見證券及期貨條例第XV部）的股份、相關</w:t>
      </w:r>
    </w:p>
    <w:p>
      <w:pPr>
        <w:pStyle w:val="BodyText"/>
      </w:pPr>
      <w:r>
        <w:rPr>
          <w:rFonts w:hint="eastAsia"/>
        </w:rPr>
        <w:t xml:space="preserve">股份及債權證中，擁有根據證券及期貨條例第352條須予備存的登記冊所記錄或根據上市規則附錄十所載的</w:t>
      </w:r>
    </w:p>
    <w:p>
      <w:pPr>
        <w:pStyle w:val="BodyText"/>
      </w:pPr>
      <w:r>
        <w:rPr>
          <w:rFonts w:hint="eastAsia"/>
        </w:rPr>
        <w:t xml:space="preserve">《上市發行人董事進行證券交易的標準守則》（「標準守則」）另行知會本公司及香港聯合交易所有限公司（「香港</w:t>
      </w:r>
    </w:p>
    <w:p>
      <w:pPr>
        <w:pStyle w:val="BodyText"/>
      </w:pPr>
      <w:r>
        <w:rPr>
          <w:rFonts w:hint="eastAsia"/>
        </w:rPr>
        <w:t xml:space="preserve">聯交所」）的權益及淡倉如下：</w:t>
      </w:r>
    </w:p>
    <w:p>
      <w:pPr>
        <w:pStyle w:val="BodyText"/>
      </w:pPr>
      <w:r>
        <w:rPr>
          <w:rFonts w:hint="eastAsia"/>
        </w:rPr>
        <w:t xml:space="preserve">於本公司的股份及相關股份中的權益及淡倉：</w:t>
      </w:r>
    </w:p>
    <w:p>
      <w:pPr>
        <w:pStyle w:val="BodyText"/>
      </w:pPr>
      <w:r>
        <w:rPr>
          <w:rFonts w:hint="eastAsia"/>
        </w:rPr>
        <w:t xml:space="preserve">董事姓名</w:t>
      </w:r>
    </w:p>
    <w:p>
      <w:pPr>
        <w:pStyle w:val="BodyText"/>
      </w:pPr>
      <w:r>
        <w:rPr>
          <w:rFonts w:hint="eastAsia"/>
        </w:rPr>
        <w:t xml:space="preserve">李源祥先生</w:t>
      </w:r>
    </w:p>
    <w:p>
      <w:pPr>
        <w:pStyle w:val="BodyText"/>
      </w:pPr>
      <w:r>
        <w:rPr>
          <w:rFonts w:hint="eastAsia"/>
        </w:rPr>
        <w:t xml:space="preserve">謝仕榮先生</w:t>
      </w:r>
    </w:p>
    <w:p>
      <w:pPr>
        <w:pStyle w:val="BodyText"/>
      </w:pPr>
      <w:r>
        <w:rPr>
          <w:rFonts w:hint="eastAsia"/>
        </w:rPr>
        <w:t xml:space="preserve">周松崗先生</w:t>
      </w:r>
    </w:p>
    <w:p>
      <w:pPr>
        <w:pStyle w:val="BodyText"/>
      </w:pPr>
      <w:r>
        <w:rPr>
          <w:rFonts w:hint="eastAsia"/>
        </w:rPr>
        <w:t xml:space="preserve">蘇澤光先生</w:t>
      </w:r>
    </w:p>
    <w:p>
      <w:pPr>
        <w:pStyle w:val="BodyText"/>
      </w:pPr>
      <w:r>
        <w:t xml:space="preserve">John Barrie </w:t>
      </w:r>
      <w:r>
        <w:rPr>
          <w:rFonts w:hint="eastAsia"/>
        </w:rPr>
        <w:t xml:space="preserve">HARRISON先生</w:t>
      </w:r>
    </w:p>
    <w:p>
      <w:pPr>
        <w:pStyle w:val="BodyText"/>
      </w:pPr>
      <w:r>
        <w:rPr>
          <w:rFonts w:hint="eastAsia"/>
        </w:rPr>
        <w:t xml:space="preserve">楊榮文先生</w:t>
      </w:r>
    </w:p>
    <w:p>
      <w:pPr>
        <w:pStyle w:val="BodyText"/>
      </w:pPr>
      <w:r>
        <w:rPr>
          <w:rFonts w:hint="eastAsia"/>
        </w:rPr>
        <w:t xml:space="preserve">劉遵義教授</w:t>
      </w:r>
    </w:p>
    <w:p>
      <w:pPr>
        <w:pStyle w:val="BodyText"/>
      </w:pPr>
      <w:r>
        <w:rPr>
          <w:rFonts w:hint="eastAsia"/>
        </w:rPr>
        <w:t xml:space="preserve">股份或相關</w:t>
      </w:r>
      <w:r>
        <w:br/>
      </w:r>
      <w:r>
        <w:rPr>
          <w:rFonts w:hint="eastAsia"/>
        </w:rPr>
        <w:t xml:space="preserve">股份數目</w:t>
      </w:r>
      <w:r>
        <w:br/>
      </w:r>
      <w:r>
        <w:rPr>
          <w:rFonts w:hint="eastAsia"/>
        </w:rPr>
        <w:t xml:space="preserve">好倉(L)</w:t>
      </w:r>
    </w:p>
    <w:p>
      <w:pPr>
        <w:pStyle w:val="BodyText"/>
      </w:pPr>
      <w:r>
        <w:t xml:space="preserve">3,719,199(L) (2)</w:t>
      </w:r>
    </w:p>
    <w:p>
      <w:pPr>
        <w:pStyle w:val="BodyText"/>
      </w:pPr>
      <w:r>
        <w:t xml:space="preserve">3,360,400(L)</w:t>
      </w:r>
      <w:r>
        <w:br/>
      </w:r>
      <w:r>
        <w:t xml:space="preserve">200,000(L)</w:t>
      </w:r>
    </w:p>
    <w:p>
      <w:pPr>
        <w:pStyle w:val="FirstParagraph"/>
      </w:pPr>
      <w:r>
        <w:t xml:space="preserve">126,000(L) (3)</w:t>
      </w:r>
    </w:p>
    <w:p>
      <w:pPr>
        <w:pStyle w:val="BodyText"/>
      </w:pPr>
      <w:r>
        <w:t xml:space="preserve">130,000(L) (3)</w:t>
      </w:r>
    </w:p>
    <w:p>
      <w:pPr>
        <w:pStyle w:val="BodyText"/>
      </w:pPr>
      <w:r>
        <w:t xml:space="preserve">80,000(L) (3)</w:t>
      </w:r>
    </w:p>
    <w:p>
      <w:pPr>
        <w:pStyle w:val="BodyText"/>
      </w:pPr>
      <w:r>
        <w:t xml:space="preserve">50,000(L) (3)</w:t>
      </w:r>
    </w:p>
    <w:p>
      <w:pPr>
        <w:pStyle w:val="BodyText"/>
      </w:pPr>
      <w:r>
        <w:t xml:space="preserve">160,000(L) (3)</w:t>
      </w:r>
    </w:p>
    <w:p>
      <w:pPr>
        <w:pStyle w:val="BodyText"/>
      </w:pPr>
      <w:r>
        <w:rPr>
          <w:rFonts w:hint="eastAsia"/>
        </w:rPr>
        <w:t xml:space="preserve">類別</w:t>
      </w:r>
    </w:p>
    <w:p>
      <w:pPr>
        <w:pStyle w:val="BodyText"/>
      </w:pPr>
      <w:r>
        <w:rPr>
          <w:rFonts w:hint="eastAsia"/>
        </w:rPr>
        <w:t xml:space="preserve">普通股</w:t>
      </w:r>
    </w:p>
    <w:p>
      <w:pPr>
        <w:pStyle w:val="BodyText"/>
      </w:pPr>
      <w:r>
        <w:rPr>
          <w:rFonts w:hint="eastAsia"/>
        </w:rPr>
        <w:t xml:space="preserve">普通股</w:t>
      </w:r>
    </w:p>
    <w:p>
      <w:pPr>
        <w:pStyle w:val="BodyText"/>
      </w:pPr>
      <w:r>
        <w:rPr>
          <w:rFonts w:hint="eastAsia"/>
        </w:rPr>
        <w:t xml:space="preserve">普通股</w:t>
      </w:r>
    </w:p>
    <w:p>
      <w:pPr>
        <w:pStyle w:val="BodyText"/>
      </w:pPr>
      <w:r>
        <w:rPr>
          <w:rFonts w:hint="eastAsia"/>
        </w:rPr>
        <w:t xml:space="preserve">普通股</w:t>
      </w:r>
    </w:p>
    <w:p>
      <w:pPr>
        <w:pStyle w:val="BodyText"/>
      </w:pPr>
      <w:r>
        <w:rPr>
          <w:rFonts w:hint="eastAsia"/>
        </w:rPr>
        <w:t xml:space="preserve">普通股</w:t>
      </w:r>
    </w:p>
    <w:p>
      <w:pPr>
        <w:pStyle w:val="BodyText"/>
      </w:pPr>
      <w:r>
        <w:rPr>
          <w:rFonts w:hint="eastAsia"/>
        </w:rPr>
        <w:t xml:space="preserve">普通股</w:t>
      </w:r>
    </w:p>
    <w:p>
      <w:pPr>
        <w:pStyle w:val="BodyText"/>
      </w:pPr>
      <w:r>
        <w:rPr>
          <w:rFonts w:hint="eastAsia"/>
        </w:rPr>
        <w:t xml:space="preserve">普通股</w:t>
      </w:r>
    </w:p>
    <w:p>
      <w:pPr>
        <w:pStyle w:val="BodyText"/>
      </w:pPr>
      <w:r>
        <w:rPr>
          <w:rFonts w:hint="eastAsia"/>
        </w:rPr>
        <w:t xml:space="preserve">佔已發行股份</w:t>
      </w:r>
    </w:p>
    <w:p>
      <w:pPr>
        <w:pStyle w:val="BodyText"/>
      </w:pPr>
      <w:r>
        <w:rPr>
          <w:rFonts w:hint="eastAsia"/>
        </w:rPr>
        <w:t xml:space="preserve">總數百分比(1)</w:t>
      </w:r>
    </w:p>
    <w:p>
      <w:pPr>
        <w:pStyle w:val="BodyText"/>
      </w:pPr>
      <w:r>
        <w:t xml:space="preserve">0.03</w:t>
      </w:r>
    </w:p>
    <w:p>
      <w:pPr>
        <w:pStyle w:val="BodyText"/>
      </w:pPr>
      <w:r>
        <w:t xml:space="preserve">0.02</w:t>
      </w:r>
      <w:r>
        <w:br/>
      </w:r>
      <w:r>
        <w:t xml:space="preserve">&lt; 0.01</w:t>
      </w:r>
    </w:p>
    <w:p>
      <w:pPr>
        <w:pStyle w:val="BodyText"/>
      </w:pPr>
      <w:r>
        <w:t xml:space="preserve">&lt; 0.01</w:t>
      </w:r>
    </w:p>
    <w:p>
      <w:pPr>
        <w:pStyle w:val="BodyText"/>
      </w:pPr>
      <w:r>
        <w:t xml:space="preserve">&lt; 0.01</w:t>
      </w:r>
    </w:p>
    <w:p>
      <w:pPr>
        <w:pStyle w:val="BodyText"/>
      </w:pPr>
      <w:r>
        <w:t xml:space="preserve">&lt; 0.01</w:t>
      </w:r>
    </w:p>
    <w:p>
      <w:pPr>
        <w:pStyle w:val="BodyText"/>
      </w:pPr>
      <w:r>
        <w:t xml:space="preserve">&lt; 0.01</w:t>
      </w:r>
    </w:p>
    <w:p>
      <w:pPr>
        <w:pStyle w:val="BodyText"/>
      </w:pPr>
      <w:r>
        <w:t xml:space="preserve">&lt; 0.01</w:t>
      </w:r>
    </w:p>
    <w:p>
      <w:pPr>
        <w:pStyle w:val="BodyText"/>
      </w:pPr>
      <w:r>
        <w:rPr>
          <w:rFonts w:hint="eastAsia"/>
        </w:rPr>
        <w:t xml:space="preserve">身份</w:t>
      </w:r>
    </w:p>
    <w:p>
      <w:pPr>
        <w:pStyle w:val="BodyText"/>
      </w:pPr>
      <w:r>
        <w:rPr>
          <w:rFonts w:hint="eastAsia"/>
        </w:rPr>
        <w:t xml:space="preserve">實益擁有人</w:t>
      </w:r>
    </w:p>
    <w:p>
      <w:pPr>
        <w:pStyle w:val="BodyText"/>
      </w:pPr>
      <w:r>
        <w:rPr>
          <w:rFonts w:hint="eastAsia"/>
        </w:rPr>
        <w:t xml:space="preserve">實益擁有人</w:t>
      </w:r>
      <w:r>
        <w:br/>
      </w:r>
      <w:r>
        <w:rPr>
          <w:rFonts w:hint="eastAsia"/>
        </w:rPr>
        <w:t xml:space="preserve">受控法團權益(4)</w:t>
      </w:r>
    </w:p>
    <w:p>
      <w:pPr>
        <w:pStyle w:val="BodyText"/>
      </w:pPr>
      <w:r>
        <w:rPr>
          <w:rFonts w:hint="eastAsia"/>
        </w:rPr>
        <w:t xml:space="preserve">實益擁有人</w:t>
      </w:r>
    </w:p>
    <w:p>
      <w:pPr>
        <w:pStyle w:val="BodyText"/>
      </w:pPr>
      <w:r>
        <w:rPr>
          <w:rFonts w:hint="eastAsia"/>
        </w:rPr>
        <w:t xml:space="preserve">受控法團權益(5)</w:t>
      </w:r>
    </w:p>
    <w:p>
      <w:pPr>
        <w:pStyle w:val="BodyText"/>
      </w:pPr>
      <w:r>
        <w:rPr>
          <w:rFonts w:hint="eastAsia"/>
        </w:rPr>
        <w:t xml:space="preserve">與另一人共同</w:t>
      </w:r>
    </w:p>
    <w:p>
      <w:pPr>
        <w:pStyle w:val="BodyText"/>
      </w:pPr>
      <w:r>
        <w:rPr>
          <w:rFonts w:hint="eastAsia"/>
        </w:rPr>
        <w:t xml:space="preserve">持有權益(6)</w:t>
      </w:r>
    </w:p>
    <w:p>
      <w:pPr>
        <w:pStyle w:val="BodyText"/>
      </w:pPr>
      <w:r>
        <w:rPr>
          <w:rFonts w:hint="eastAsia"/>
        </w:rPr>
        <w:t xml:space="preserve">實益擁有人</w:t>
      </w:r>
    </w:p>
    <w:p>
      <w:pPr>
        <w:pStyle w:val="BodyText"/>
      </w:pPr>
      <w:r>
        <w:rPr>
          <w:rFonts w:hint="eastAsia"/>
        </w:rPr>
        <w:t xml:space="preserve">配偶權益(7)</w:t>
      </w:r>
    </w:p>
    <w:p>
      <w:pPr>
        <w:pStyle w:val="BodyText"/>
      </w:pPr>
      <w:r>
        <w:rPr>
          <w:rFonts w:hint="eastAsia"/>
        </w:rPr>
        <w:t xml:space="preserve">附註：</w:t>
      </w:r>
      <w:r>
        <w:br/>
      </w:r>
      <w:r>
        <w:t xml:space="preserve">(1) </w:t>
      </w:r>
      <w:r>
        <w:rPr>
          <w:rFonts w:hint="eastAsia"/>
        </w:rPr>
        <w:t xml:space="preserve">根據於2020年12月31日的已發行普通股12,094,939,139股計算。</w:t>
      </w:r>
    </w:p>
    <w:p>
      <w:pPr>
        <w:numPr>
          <w:ilvl w:val="0"/>
          <w:numId w:val="1078"/>
        </w:numPr>
      </w:pPr>
      <w:r>
        <w:rPr>
          <w:rFonts w:hint="eastAsia"/>
        </w:rPr>
        <w:t xml:space="preserve">權益包括316,766股本公司股份、本公司於2010年9月28日採納的購股權計劃（「2010年購股權計劃」）下的1,197,133份購股權、2010年受限制</w:t>
      </w:r>
      <w:r>
        <w:br/>
      </w:r>
      <w:r>
        <w:rPr>
          <w:rFonts w:hint="eastAsia"/>
        </w:rPr>
        <w:t xml:space="preserve">股份單位計劃下的2,204,701個受限制股份單位以及本公司於2011年7月25日採納的僱員購股計劃（「2011年僱員購股計劃」）及本公司於</w:t>
      </w:r>
      <w:r>
        <w:br/>
      </w:r>
      <w:r>
        <w:rPr>
          <w:rFonts w:hint="eastAsia"/>
        </w:rPr>
        <w:t xml:space="preserve">2020年8月1日採納的僱員購股計劃（「2020年僱員購股計劃」）下的599個配送的受限制股份購買單位。</w:t>
      </w:r>
    </w:p>
    <w:p>
      <w:pPr>
        <w:numPr>
          <w:ilvl w:val="0"/>
          <w:numId w:val="1078"/>
        </w:numPr>
      </w:pPr>
      <w:r>
        <w:rPr>
          <w:rFonts w:hint="eastAsia"/>
        </w:rPr>
        <w:t xml:space="preserve">權益為本公司的股份。</w:t>
      </w:r>
    </w:p>
    <w:p>
      <w:pPr>
        <w:numPr>
          <w:ilvl w:val="0"/>
          <w:numId w:val="1078"/>
        </w:numPr>
      </w:pPr>
      <w:r>
        <w:rPr>
          <w:rFonts w:hint="eastAsia"/>
        </w:rPr>
        <w:t xml:space="preserve">200,000股股份由謝仕榮、衛碧堅基金會有限公司持有，其三分之一權益由謝仕榮先生實益持有。</w:t>
      </w:r>
    </w:p>
    <w:p>
      <w:pPr>
        <w:numPr>
          <w:ilvl w:val="0"/>
          <w:numId w:val="1078"/>
        </w:numPr>
      </w:pPr>
      <w:r>
        <w:rPr>
          <w:rFonts w:hint="eastAsia"/>
        </w:rPr>
        <w:t xml:space="preserve">130,000股股份由Cyber</w:t>
      </w:r>
      <w:r>
        <w:t xml:space="preserve"> Project Developments </w:t>
      </w:r>
      <w:r>
        <w:rPr>
          <w:rFonts w:hint="eastAsia"/>
        </w:rPr>
        <w:t xml:space="preserve">Limited（其為一家由蘇澤光先生實益全資擁有的公司）持有。</w:t>
      </w:r>
    </w:p>
    <w:p>
      <w:pPr>
        <w:numPr>
          <w:ilvl w:val="0"/>
          <w:numId w:val="1078"/>
        </w:numPr>
      </w:pPr>
      <w:r>
        <w:rPr>
          <w:rFonts w:hint="eastAsia"/>
        </w:rPr>
        <w:t xml:space="preserve">80,000股股份由John</w:t>
      </w:r>
      <w:r>
        <w:t xml:space="preserve"> Barrie </w:t>
      </w:r>
      <w:r>
        <w:rPr>
          <w:rFonts w:hint="eastAsia"/>
        </w:rPr>
        <w:t xml:space="preserve">Harrison先生及其配偶Rona</w:t>
      </w:r>
      <w:r>
        <w:t xml:space="preserve"> Irene </w:t>
      </w:r>
      <w:r>
        <w:rPr>
          <w:rFonts w:hint="eastAsia"/>
        </w:rPr>
        <w:t xml:space="preserve">Harrison女士作為實益擁有人共同持有。</w:t>
      </w:r>
    </w:p>
    <w:p>
      <w:pPr>
        <w:numPr>
          <w:ilvl w:val="0"/>
          <w:numId w:val="1078"/>
        </w:numPr>
      </w:pPr>
      <w:r>
        <w:rPr>
          <w:rFonts w:hint="eastAsia"/>
        </w:rPr>
        <w:t xml:space="preserve">160,000股股份由劉遵義教授的配偶Ayesha</w:t>
      </w:r>
      <w:r>
        <w:t xml:space="preserve"> Abbas </w:t>
      </w:r>
      <w:r>
        <w:rPr>
          <w:rFonts w:hint="eastAsia"/>
        </w:rPr>
        <w:t xml:space="preserve">Macpherson女士（作為實益擁有人）持有。</w:t>
      </w:r>
    </w:p>
    <w:p>
      <w:pPr>
        <w:pStyle w:val="FirstParagraph"/>
      </w:pPr>
      <w:r>
        <w:rPr>
          <w:rFonts w:hint="eastAsia"/>
        </w:rPr>
        <w:t xml:space="preserve">除上文所披露者外，於2020年12月31日，概無本公司董事或首席執行官於本公司或其相聯法團（定義見證券及</w:t>
      </w:r>
    </w:p>
    <w:p>
      <w:pPr>
        <w:pStyle w:val="BodyText"/>
      </w:pPr>
      <w:r>
        <w:rPr>
          <w:rFonts w:hint="eastAsia"/>
        </w:rPr>
        <w:t xml:space="preserve">期貨條例第XV部）的股份、相關股份或債權證中，擁有根據證券及期貨條例第352條須予備存的登記冊所記錄或</w:t>
      </w:r>
    </w:p>
    <w:p>
      <w:pPr>
        <w:pStyle w:val="BodyText"/>
      </w:pPr>
      <w:r>
        <w:rPr>
          <w:rFonts w:hint="eastAsia"/>
        </w:rPr>
        <w:t xml:space="preserve">根據標準守則另行知會本公司及香港聯交所的任何權益或淡倉。</w:t>
      </w:r>
    </w:p>
    <w:p>
      <w:pPr>
        <w:pStyle w:val="BodyText"/>
      </w:pPr>
      <w:r>
        <w:t xml:space="preserve">087</w:t>
      </w:r>
    </w:p>
    <w:p>
      <w:pPr>
        <w:pStyle w:val="BodyText"/>
      </w:pPr>
      <w:r>
        <w:rPr>
          <w:rFonts w:hint="eastAsia"/>
        </w:rPr>
        <w:t xml:space="preserve">概覽財務及營運回顧企業管治其他資料財務報表2020年報</w:t>
      </w:r>
    </w:p>
    <w:p>
      <w:pPr>
        <w:pStyle w:val="BodyText"/>
      </w:pPr>
      <w:r>
        <w:rPr>
          <w:rFonts w:hint="eastAsia"/>
        </w:rPr>
        <w:t xml:space="preserve">董事或首席執行官除外的人士於股份及相關股份中的權益及淡倉</w:t>
      </w:r>
    </w:p>
    <w:p>
      <w:pPr>
        <w:pStyle w:val="BodyText"/>
      </w:pPr>
      <w:r>
        <w:rPr>
          <w:rFonts w:hint="eastAsia"/>
        </w:rPr>
        <w:t xml:space="preserve">於2020年12月31日，以下人士（本公司董事或首席執行官以外）於本公司股份及相關股份中，擁有根據證券及</w:t>
      </w:r>
    </w:p>
    <w:p>
      <w:pPr>
        <w:pStyle w:val="BodyText"/>
      </w:pPr>
      <w:r>
        <w:rPr>
          <w:rFonts w:hint="eastAsia"/>
        </w:rPr>
        <w:t xml:space="preserve">期貨條例第336條須予備存的登記冊所記錄的權益及淡倉：</w:t>
      </w:r>
    </w:p>
    <w:p>
      <w:pPr>
        <w:pStyle w:val="BodyText"/>
      </w:pPr>
      <w:r>
        <w:rPr>
          <w:rFonts w:hint="eastAsia"/>
        </w:rPr>
        <w:t xml:space="preserve">股份或相關股份數目</w:t>
      </w:r>
      <w:r>
        <w:br/>
      </w:r>
      <w:r>
        <w:rPr>
          <w:rFonts w:hint="eastAsia"/>
        </w:rPr>
        <w:t xml:space="preserve">(附註1)</w:t>
      </w:r>
      <w:r>
        <w:br/>
      </w:r>
      <w:r>
        <w:rPr>
          <w:rFonts w:hint="eastAsia"/>
        </w:rPr>
        <w:t xml:space="preserve">好倉(L)</w:t>
      </w:r>
      <w:r>
        <w:br/>
      </w:r>
      <w:r>
        <w:rPr>
          <w:rFonts w:hint="eastAsia"/>
        </w:rPr>
        <w:t xml:space="preserve">淡倉(S)</w:t>
      </w:r>
      <w:r>
        <w:br/>
      </w:r>
      <w:r>
        <w:rPr>
          <w:rFonts w:hint="eastAsia"/>
        </w:rPr>
        <w:t xml:space="preserve">可供借出的股份(P)</w:t>
      </w:r>
    </w:p>
    <w:p>
      <w:pPr>
        <w:pStyle w:val="BodyText"/>
      </w:pPr>
      <w:r>
        <w:t xml:space="preserve">1,135,845,417(L)</w:t>
      </w:r>
      <w:r>
        <w:br/>
      </w:r>
      <w:r>
        <w:t xml:space="preserve">27,279,354(S)</w:t>
      </w:r>
      <w:r>
        <w:br/>
      </w:r>
      <w:r>
        <w:t xml:space="preserve">785,748,756(P)</w:t>
      </w:r>
    </w:p>
    <w:p>
      <w:pPr>
        <w:pStyle w:val="BodyText"/>
      </w:pPr>
      <w:r>
        <w:t xml:space="preserve">1,096,258,164(L)</w:t>
      </w:r>
      <w:r>
        <w:br/>
      </w:r>
      <w:r>
        <w:t xml:space="preserve">301,796,828(S)</w:t>
      </w:r>
      <w:r>
        <w:br/>
      </w:r>
      <w:r>
        <w:t xml:space="preserve">769,295,915(P)</w:t>
      </w:r>
    </w:p>
    <w:p>
      <w:pPr>
        <w:pStyle w:val="BodyText"/>
      </w:pPr>
      <w:r>
        <w:t xml:space="preserve">970,452,586(L)</w:t>
      </w:r>
    </w:p>
    <w:p>
      <w:pPr>
        <w:pStyle w:val="BodyText"/>
      </w:pPr>
      <w:r>
        <w:t xml:space="preserve">629,705,868(L)</w:t>
      </w:r>
      <w:r>
        <w:br/>
      </w:r>
      <w:r>
        <w:t xml:space="preserve">2,007,714(S)</w:t>
      </w:r>
    </w:p>
    <w:p>
      <w:pPr>
        <w:pStyle w:val="BodyText"/>
      </w:pPr>
      <w:r>
        <w:rPr>
          <w:rFonts w:hint="eastAsia"/>
        </w:rPr>
        <w:t xml:space="preserve">類別</w:t>
      </w:r>
    </w:p>
    <w:p>
      <w:pPr>
        <w:pStyle w:val="BodyText"/>
      </w:pPr>
      <w:r>
        <w:rPr>
          <w:rFonts w:hint="eastAsia"/>
        </w:rPr>
        <w:t xml:space="preserve">普通股</w:t>
      </w:r>
    </w:p>
    <w:p>
      <w:pPr>
        <w:pStyle w:val="BodyText"/>
      </w:pPr>
      <w:r>
        <w:rPr>
          <w:rFonts w:hint="eastAsia"/>
        </w:rPr>
        <w:t xml:space="preserve">普通股</w:t>
      </w:r>
    </w:p>
    <w:p>
      <w:pPr>
        <w:pStyle w:val="BodyText"/>
      </w:pPr>
      <w:r>
        <w:rPr>
          <w:rFonts w:hint="eastAsia"/>
        </w:rPr>
        <w:t xml:space="preserve">普通股</w:t>
      </w:r>
    </w:p>
    <w:p>
      <w:pPr>
        <w:pStyle w:val="BodyText"/>
      </w:pPr>
      <w:r>
        <w:rPr>
          <w:rFonts w:hint="eastAsia"/>
        </w:rPr>
        <w:t xml:space="preserve">普通股</w:t>
      </w:r>
    </w:p>
    <w:p>
      <w:pPr>
        <w:pStyle w:val="BodyText"/>
      </w:pPr>
      <w:r>
        <w:rPr>
          <w:rFonts w:hint="eastAsia"/>
        </w:rPr>
        <w:t xml:space="preserve">佔已發行股份</w:t>
      </w:r>
      <w:r>
        <w:br/>
      </w:r>
      <w:r>
        <w:rPr>
          <w:rFonts w:hint="eastAsia"/>
        </w:rPr>
        <w:t xml:space="preserve">總數百分比</w:t>
      </w:r>
      <w:r>
        <w:br/>
      </w:r>
      <w:r>
        <w:rPr>
          <w:rFonts w:hint="eastAsia"/>
        </w:rPr>
        <w:t xml:space="preserve">(附註2)</w:t>
      </w:r>
    </w:p>
    <w:p>
      <w:pPr>
        <w:pStyle w:val="BodyText"/>
      </w:pPr>
      <w:r>
        <w:t xml:space="preserve">9.39</w:t>
      </w:r>
      <w:r>
        <w:br/>
      </w:r>
      <w:r>
        <w:t xml:space="preserve">0.22</w:t>
      </w:r>
      <w:r>
        <w:br/>
      </w:r>
      <w:r>
        <w:t xml:space="preserve">6.49</w:t>
      </w:r>
    </w:p>
    <w:p>
      <w:pPr>
        <w:pStyle w:val="BodyText"/>
      </w:pPr>
      <w:r>
        <w:t xml:space="preserve">9.06</w:t>
      </w:r>
      <w:r>
        <w:br/>
      </w:r>
      <w:r>
        <w:t xml:space="preserve">2.49</w:t>
      </w:r>
      <w:r>
        <w:br/>
      </w:r>
      <w:r>
        <w:t xml:space="preserve">6.36</w:t>
      </w:r>
    </w:p>
    <w:p>
      <w:pPr>
        <w:pStyle w:val="BodyText"/>
      </w:pPr>
      <w:r>
        <w:t xml:space="preserve">8.02</w:t>
      </w:r>
    </w:p>
    <w:p>
      <w:pPr>
        <w:pStyle w:val="BodyText"/>
      </w:pPr>
      <w:r>
        <w:t xml:space="preserve">5.20</w:t>
      </w:r>
      <w:r>
        <w:br/>
      </w:r>
      <w:r>
        <w:t xml:space="preserve">0.01</w:t>
      </w:r>
    </w:p>
    <w:p>
      <w:pPr>
        <w:pStyle w:val="BodyText"/>
      </w:pPr>
      <w:r>
        <w:rPr>
          <w:rFonts w:hint="eastAsia"/>
        </w:rPr>
        <w:t xml:space="preserve">身份</w:t>
      </w:r>
    </w:p>
    <w:p>
      <w:pPr>
        <w:pStyle w:val="BodyText"/>
      </w:pPr>
      <w:r>
        <w:rPr>
          <w:rFonts w:hint="eastAsia"/>
        </w:rPr>
        <w:t xml:space="preserve">附註3</w:t>
      </w:r>
    </w:p>
    <w:p>
      <w:pPr>
        <w:pStyle w:val="BodyText"/>
      </w:pPr>
      <w:r>
        <w:rPr>
          <w:rFonts w:hint="eastAsia"/>
        </w:rPr>
        <w:t xml:space="preserve">附註4</w:t>
      </w:r>
    </w:p>
    <w:p>
      <w:pPr>
        <w:pStyle w:val="BodyText"/>
      </w:pPr>
      <w:r>
        <w:rPr>
          <w:rFonts w:hint="eastAsia"/>
        </w:rPr>
        <w:t xml:space="preserve">受控法團權益</w:t>
      </w:r>
    </w:p>
    <w:p>
      <w:pPr>
        <w:pStyle w:val="BodyText"/>
      </w:pPr>
      <w:r>
        <w:rPr>
          <w:rFonts w:hint="eastAsia"/>
        </w:rPr>
        <w:t xml:space="preserve">受控法團權益</w:t>
      </w:r>
    </w:p>
    <w:p>
      <w:pPr>
        <w:pStyle w:val="BodyText"/>
      </w:pPr>
      <w:r>
        <w:rPr>
          <w:rFonts w:hint="eastAsia"/>
        </w:rPr>
        <w:t xml:space="preserve">股東名稱</w:t>
      </w:r>
    </w:p>
    <w:p>
      <w:pPr>
        <w:pStyle w:val="BodyText"/>
      </w:pPr>
      <w:r>
        <w:t xml:space="preserve">JPMorgan Chase &amp; Co.</w:t>
      </w:r>
    </w:p>
    <w:p>
      <w:pPr>
        <w:pStyle w:val="BodyText"/>
      </w:pPr>
      <w:r>
        <w:t xml:space="preserve">The Bank of New York Mellon Corporation</w:t>
      </w:r>
    </w:p>
    <w:p>
      <w:pPr>
        <w:pStyle w:val="BodyText"/>
      </w:pPr>
      <w:r>
        <w:t xml:space="preserve">The Capital Group Companies, Inc.</w:t>
      </w:r>
    </w:p>
    <w:p>
      <w:pPr>
        <w:pStyle w:val="BodyText"/>
      </w:pPr>
      <w:r>
        <w:t xml:space="preserve">BlackRock, Inc.</w:t>
      </w:r>
    </w:p>
    <w:p>
      <w:pPr>
        <w:pStyle w:val="BodyText"/>
      </w:pPr>
      <w:r>
        <w:rPr>
          <w:rFonts w:hint="eastAsia"/>
        </w:rPr>
        <w:t xml:space="preserve">附註：</w:t>
      </w:r>
      <w:r>
        <w:br/>
      </w:r>
      <w:r>
        <w:t xml:space="preserve">(1) </w:t>
      </w:r>
      <w:r>
        <w:rPr>
          <w:rFonts w:hint="eastAsia"/>
        </w:rPr>
        <w:t xml:space="preserve">權益或淡倉中包括以下的相關股份：</w:t>
      </w:r>
    </w:p>
    <w:p>
      <w:pPr>
        <w:pStyle w:val="BodyText"/>
      </w:pPr>
      <w:r>
        <w:rPr>
          <w:rFonts w:hint="eastAsia"/>
        </w:rPr>
        <w:t xml:space="preserve">好倉</w:t>
      </w:r>
    </w:p>
    <w:p>
      <w:pPr>
        <w:pStyle w:val="BodyText"/>
      </w:pPr>
      <w:r>
        <w:rPr>
          <w:rFonts w:hint="eastAsia"/>
        </w:rPr>
        <w:t xml:space="preserve">淡倉</w:t>
      </w:r>
    </w:p>
    <w:p>
      <w:pPr>
        <w:pStyle w:val="BodyText"/>
      </w:pPr>
      <w:r>
        <w:rPr>
          <w:rFonts w:hint="eastAsia"/>
        </w:rPr>
        <w:t xml:space="preserve">股東名稱</w:t>
      </w:r>
    </w:p>
    <w:p>
      <w:pPr>
        <w:pStyle w:val="BodyText"/>
      </w:pPr>
      <w:r>
        <w:rPr>
          <w:rFonts w:hint="eastAsia"/>
        </w:rPr>
        <w:t xml:space="preserve">實物結算</w:t>
      </w:r>
      <w:r>
        <w:br/>
      </w:r>
      <w:r>
        <w:rPr>
          <w:rFonts w:hint="eastAsia"/>
        </w:rPr>
        <w:t xml:space="preserve">上市</w:t>
      </w:r>
      <w:r>
        <w:br/>
      </w:r>
      <w:r>
        <w:rPr>
          <w:rFonts w:hint="eastAsia"/>
        </w:rPr>
        <w:t xml:space="preserve">衍生工具</w:t>
      </w:r>
    </w:p>
    <w:p>
      <w:pPr>
        <w:pStyle w:val="BodyText"/>
      </w:pPr>
      <w:r>
        <w:rPr>
          <w:rFonts w:hint="eastAsia"/>
        </w:rPr>
        <w:t xml:space="preserve">現金結算</w:t>
      </w:r>
      <w:r>
        <w:br/>
      </w:r>
      <w:r>
        <w:rPr>
          <w:rFonts w:hint="eastAsia"/>
        </w:rPr>
        <w:t xml:space="preserve">上市</w:t>
      </w:r>
      <w:r>
        <w:br/>
      </w:r>
      <w:r>
        <w:rPr>
          <w:rFonts w:hint="eastAsia"/>
        </w:rPr>
        <w:t xml:space="preserve">衍生工具</w:t>
      </w:r>
    </w:p>
    <w:p>
      <w:pPr>
        <w:pStyle w:val="BodyText"/>
      </w:pPr>
      <w:r>
        <w:rPr>
          <w:rFonts w:hint="eastAsia"/>
        </w:rPr>
        <w:t xml:space="preserve">實物結算</w:t>
      </w:r>
      <w:r>
        <w:br/>
      </w:r>
      <w:r>
        <w:rPr>
          <w:rFonts w:hint="eastAsia"/>
        </w:rPr>
        <w:t xml:space="preserve">非上市</w:t>
      </w:r>
      <w:r>
        <w:br/>
      </w:r>
      <w:r>
        <w:rPr>
          <w:rFonts w:hint="eastAsia"/>
        </w:rPr>
        <w:t xml:space="preserve">衍生工具</w:t>
      </w:r>
    </w:p>
    <w:p>
      <w:pPr>
        <w:pStyle w:val="BodyText"/>
      </w:pPr>
      <w:r>
        <w:rPr>
          <w:rFonts w:hint="eastAsia"/>
        </w:rPr>
        <w:t xml:space="preserve">現金結算</w:t>
      </w:r>
      <w:r>
        <w:br/>
      </w:r>
      <w:r>
        <w:rPr>
          <w:rFonts w:hint="eastAsia"/>
        </w:rPr>
        <w:t xml:space="preserve">非上市</w:t>
      </w:r>
      <w:r>
        <w:br/>
      </w:r>
      <w:r>
        <w:rPr>
          <w:rFonts w:hint="eastAsia"/>
        </w:rPr>
        <w:t xml:space="preserve">衍生工具</w:t>
      </w:r>
    </w:p>
    <w:p>
      <w:pPr>
        <w:pStyle w:val="BodyText"/>
      </w:pPr>
      <w:r>
        <w:rPr>
          <w:rFonts w:hint="eastAsia"/>
        </w:rPr>
        <w:t xml:space="preserve">實物結算</w:t>
      </w:r>
      <w:r>
        <w:br/>
      </w:r>
      <w:r>
        <w:rPr>
          <w:rFonts w:hint="eastAsia"/>
        </w:rPr>
        <w:t xml:space="preserve">上市</w:t>
      </w:r>
      <w:r>
        <w:br/>
      </w:r>
      <w:r>
        <w:rPr>
          <w:rFonts w:hint="eastAsia"/>
        </w:rPr>
        <w:t xml:space="preserve">衍生工具</w:t>
      </w:r>
    </w:p>
    <w:p>
      <w:pPr>
        <w:pStyle w:val="BodyText"/>
      </w:pPr>
      <w:r>
        <w:rPr>
          <w:rFonts w:hint="eastAsia"/>
        </w:rPr>
        <w:t xml:space="preserve">現金結算</w:t>
      </w:r>
      <w:r>
        <w:br/>
      </w:r>
      <w:r>
        <w:rPr>
          <w:rFonts w:hint="eastAsia"/>
        </w:rPr>
        <w:t xml:space="preserve">上市</w:t>
      </w:r>
      <w:r>
        <w:br/>
      </w:r>
      <w:r>
        <w:rPr>
          <w:rFonts w:hint="eastAsia"/>
        </w:rPr>
        <w:t xml:space="preserve">衍生工具</w:t>
      </w:r>
    </w:p>
    <w:p>
      <w:pPr>
        <w:pStyle w:val="BodyText"/>
      </w:pPr>
      <w:r>
        <w:rPr>
          <w:rFonts w:hint="eastAsia"/>
        </w:rPr>
        <w:t xml:space="preserve">實物結算</w:t>
      </w:r>
      <w:r>
        <w:br/>
      </w:r>
      <w:r>
        <w:rPr>
          <w:rFonts w:hint="eastAsia"/>
        </w:rPr>
        <w:t xml:space="preserve">非上市</w:t>
      </w:r>
      <w:r>
        <w:br/>
      </w:r>
      <w:r>
        <w:rPr>
          <w:rFonts w:hint="eastAsia"/>
        </w:rPr>
        <w:t xml:space="preserve">衍生工具</w:t>
      </w:r>
    </w:p>
    <w:p>
      <w:pPr>
        <w:pStyle w:val="BodyText"/>
      </w:pPr>
      <w:r>
        <w:rPr>
          <w:rFonts w:hint="eastAsia"/>
        </w:rPr>
        <w:t xml:space="preserve">現金結算</w:t>
      </w:r>
      <w:r>
        <w:br/>
      </w:r>
      <w:r>
        <w:rPr>
          <w:rFonts w:hint="eastAsia"/>
        </w:rPr>
        <w:t xml:space="preserve">非上市</w:t>
      </w:r>
      <w:r>
        <w:br/>
      </w:r>
      <w:r>
        <w:rPr>
          <w:rFonts w:hint="eastAsia"/>
        </w:rPr>
        <w:t xml:space="preserve">衍生工具</w:t>
      </w:r>
    </w:p>
    <w:p>
      <w:pPr>
        <w:pStyle w:val="BodyText"/>
      </w:pPr>
      <w:r>
        <w:t xml:space="preserve">JPMorgan Chase &amp; Co. 15,783,000 3,314,400</w:t>
      </w:r>
    </w:p>
    <w:p>
      <w:pPr>
        <w:pStyle w:val="BodyText"/>
      </w:pPr>
      <w:r>
        <w:t xml:space="preserve">1,197,100</w:t>
      </w:r>
    </w:p>
    <w:p>
      <w:pPr>
        <w:pStyle w:val="BodyText"/>
      </w:pPr>
      <w:r>
        <w:t xml:space="preserve">4,316,400</w:t>
      </w:r>
    </w:p>
    <w:p>
      <w:pPr>
        <w:pStyle w:val="BodyText"/>
      </w:pPr>
      <w:r>
        <w:t xml:space="preserve">15,209,000</w:t>
      </w:r>
    </w:p>
    <w:p>
      <w:pPr>
        <w:pStyle w:val="BodyText"/>
      </w:pPr>
      <w:r>
        <w:t xml:space="preserve">987,000</w:t>
      </w:r>
    </w:p>
    <w:p>
      <w:pPr>
        <w:pStyle w:val="BodyText"/>
      </w:pPr>
      <w:r>
        <w:t xml:space="preserve">3,329,347 6,842,742</w:t>
      </w:r>
    </w:p>
    <w:p>
      <w:pPr>
        <w:pStyle w:val="BodyText"/>
      </w:pPr>
      <w:r>
        <w:t xml:space="preserve">The Bank of New York</w:t>
      </w:r>
    </w:p>
    <w:p>
      <w:pPr>
        <w:pStyle w:val="BodyText"/>
      </w:pPr>
      <w:r>
        <w:t xml:space="preserve">–</w:t>
      </w:r>
    </w:p>
    <w:p>
      <w:pPr>
        <w:pStyle w:val="BodyText"/>
      </w:pPr>
      <w:r>
        <w:t xml:space="preserve">Mellon Corporation</w:t>
      </w:r>
    </w:p>
    <w:p>
      <w:pPr>
        <w:pStyle w:val="BodyText"/>
      </w:pPr>
      <w:r>
        <w:t xml:space="preserve">The Capital Group</w:t>
      </w:r>
    </w:p>
    <w:p>
      <w:pPr>
        <w:pStyle w:val="BodyText"/>
      </w:pPr>
      <w:r>
        <w:t xml:space="preserve">16,088,440</w:t>
      </w:r>
    </w:p>
    <w:p>
      <w:pPr>
        <w:pStyle w:val="BodyText"/>
      </w:pPr>
      <w:r>
        <w:t xml:space="preserve">Companies, Inc.</w:t>
      </w:r>
    </w:p>
    <w:p>
      <w:pPr>
        <w:pStyle w:val="BodyText"/>
      </w:pPr>
      <w:r>
        <w:t xml:space="preserve">BlackRock, Inc.</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182,000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301,796,828</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818,114</w:t>
      </w:r>
    </w:p>
    <w:p>
      <w:pPr>
        <w:pStyle w:val="BodyText"/>
      </w:pPr>
      <w:r>
        <w:rPr>
          <w:rFonts w:hint="eastAsia"/>
        </w:rPr>
        <w:t xml:space="preserve">可換股</w:t>
      </w:r>
      <w:r>
        <w:br/>
      </w:r>
      <w:r>
        <w:rPr>
          <w:rFonts w:hint="eastAsia"/>
        </w:rPr>
        <w:t xml:space="preserve">文書</w:t>
      </w:r>
      <w:r>
        <w:t xml:space="preserve"> —</w:t>
      </w:r>
      <w:r>
        <w:br/>
      </w:r>
      <w:r>
        <w:rPr>
          <w:rFonts w:hint="eastAsia"/>
        </w:rPr>
        <w:t xml:space="preserve">上市</w:t>
      </w:r>
      <w:r>
        <w:br/>
      </w:r>
      <w:r>
        <w:rPr>
          <w:rFonts w:hint="eastAsia"/>
        </w:rPr>
        <w:t xml:space="preserve">衍生工具</w:t>
      </w:r>
    </w:p>
    <w:p>
      <w:pPr>
        <w:pStyle w:val="BodyText"/>
      </w:pPr>
      <w:r>
        <w:t xml:space="preserve">1</w:t>
      </w:r>
    </w:p>
    <w:p>
      <w:pPr>
        <w:pStyle w:val="BodyText"/>
      </w:pPr>
      <w:r>
        <w:t xml:space="preserve">–</w:t>
      </w:r>
    </w:p>
    <w:p>
      <w:pPr>
        <w:pStyle w:val="BodyText"/>
      </w:pPr>
      <w:r>
        <w:t xml:space="preserve">–</w:t>
      </w:r>
    </w:p>
    <w:p>
      <w:pPr>
        <w:pStyle w:val="BodyText"/>
      </w:pPr>
      <w:r>
        <w:t xml:space="preserve">–</w:t>
      </w:r>
    </w:p>
    <w:p>
      <w:pPr>
        <w:numPr>
          <w:ilvl w:val="0"/>
          <w:numId w:val="1079"/>
        </w:numPr>
      </w:pPr>
      <w:r>
        <w:rPr>
          <w:rFonts w:hint="eastAsia"/>
        </w:rPr>
        <w:t xml:space="preserve">根據於2020年12月31日的已發行股份12,094,939,139股計算。</w:t>
      </w:r>
    </w:p>
    <w:p>
      <w:pPr>
        <w:numPr>
          <w:ilvl w:val="0"/>
          <w:numId w:val="1079"/>
        </w:numPr>
      </w:pPr>
      <w:r>
        <w:t xml:space="preserve">JPMorgan Chase &amp; </w:t>
      </w:r>
      <w:r>
        <w:rPr>
          <w:rFonts w:hint="eastAsia"/>
        </w:rPr>
        <w:t xml:space="preserve">Co.以下列身份持有權益及淡倉：</w:t>
      </w:r>
    </w:p>
    <w:p>
      <w:pPr>
        <w:pStyle w:val="FirstParagraph"/>
      </w:pPr>
      <w:r>
        <w:rPr>
          <w:rFonts w:hint="eastAsia"/>
        </w:rPr>
        <w:t xml:space="preserve">身份</w:t>
      </w:r>
    </w:p>
    <w:p>
      <w:pPr>
        <w:pStyle w:val="BodyText"/>
      </w:pPr>
      <w:r>
        <w:rPr>
          <w:rFonts w:hint="eastAsia"/>
        </w:rPr>
        <w:t xml:space="preserve">受控法團權益</w:t>
      </w:r>
    </w:p>
    <w:p>
      <w:pPr>
        <w:pStyle w:val="BodyText"/>
      </w:pPr>
      <w:r>
        <w:rPr>
          <w:rFonts w:hint="eastAsia"/>
        </w:rPr>
        <w:t xml:space="preserve">投資經理</w:t>
      </w:r>
    </w:p>
    <w:p>
      <w:pPr>
        <w:pStyle w:val="BodyText"/>
      </w:pPr>
      <w:r>
        <w:rPr>
          <w:rFonts w:hint="eastAsia"/>
        </w:rPr>
        <w:t xml:space="preserve">於股份中擁有保證權益的人士</w:t>
      </w:r>
    </w:p>
    <w:p>
      <w:pPr>
        <w:pStyle w:val="BodyText"/>
      </w:pPr>
      <w:r>
        <w:rPr>
          <w:rFonts w:hint="eastAsia"/>
        </w:rPr>
        <w:t xml:space="preserve">受託人</w:t>
      </w:r>
    </w:p>
    <w:p>
      <w:pPr>
        <w:pStyle w:val="BodyText"/>
      </w:pPr>
      <w:r>
        <w:rPr>
          <w:rFonts w:hint="eastAsia"/>
        </w:rPr>
        <w:t xml:space="preserve">核准借出代理人</w:t>
      </w:r>
    </w:p>
    <w:p>
      <w:pPr>
        <w:pStyle w:val="BodyText"/>
      </w:pPr>
      <w:r>
        <w:rPr>
          <w:rFonts w:hint="eastAsia"/>
        </w:rPr>
        <w:t xml:space="preserve">股份或相關股份數目</w:t>
      </w:r>
    </w:p>
    <w:p>
      <w:pPr>
        <w:pStyle w:val="BodyText"/>
      </w:pPr>
      <w:r>
        <w:rPr>
          <w:rFonts w:hint="eastAsia"/>
        </w:rPr>
        <w:t xml:space="preserve">股份或相關股份數目</w:t>
      </w:r>
    </w:p>
    <w:p>
      <w:pPr>
        <w:pStyle w:val="BodyText"/>
      </w:pPr>
      <w:r>
        <w:rPr>
          <w:rFonts w:hint="eastAsia"/>
        </w:rPr>
        <w:t xml:space="preserve">（好倉）</w:t>
      </w:r>
    </w:p>
    <w:p>
      <w:pPr>
        <w:pStyle w:val="BodyText"/>
      </w:pPr>
      <w:r>
        <w:t xml:space="preserve">40,035,905</w:t>
      </w:r>
    </w:p>
    <w:p>
      <w:pPr>
        <w:pStyle w:val="BodyText"/>
      </w:pPr>
      <w:r>
        <w:t xml:space="preserve">308,177,427</w:t>
      </w:r>
    </w:p>
    <w:p>
      <w:pPr>
        <w:pStyle w:val="BodyText"/>
      </w:pPr>
      <w:r>
        <w:t xml:space="preserve">628,247</w:t>
      </w:r>
    </w:p>
    <w:p>
      <w:pPr>
        <w:pStyle w:val="BodyText"/>
      </w:pPr>
      <w:r>
        <w:t xml:space="preserve">1,255,082</w:t>
      </w:r>
    </w:p>
    <w:p>
      <w:pPr>
        <w:pStyle w:val="BodyText"/>
      </w:pPr>
      <w:r>
        <w:t xml:space="preserve">785,748,756</w:t>
      </w:r>
    </w:p>
    <w:p>
      <w:pPr>
        <w:pStyle w:val="BodyText"/>
      </w:pPr>
      <w:r>
        <w:rPr>
          <w:rFonts w:hint="eastAsia"/>
        </w:rPr>
        <w:t xml:space="preserve">（淡倉）</w:t>
      </w:r>
    </w:p>
    <w:p>
      <w:pPr>
        <w:pStyle w:val="BodyText"/>
      </w:pPr>
      <w:r>
        <w:t xml:space="preserve">27,279,354</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088</w:t>
      </w:r>
    </w:p>
    <w:p>
      <w:pPr>
        <w:pStyle w:val="BodyText"/>
      </w:pPr>
      <w:r>
        <w:rPr>
          <w:rFonts w:hint="eastAsia"/>
        </w:rPr>
        <w:t xml:space="preserve">企業管治友邦保險控股有限公司董事會報告</w:t>
      </w:r>
    </w:p>
    <w:p>
      <w:pPr>
        <w:pStyle w:val="Compact"/>
        <w:numPr>
          <w:ilvl w:val="0"/>
          <w:numId w:val="1080"/>
        </w:numPr>
      </w:pPr>
      <w:r>
        <w:t xml:space="preserve">The Bank of New York Mellon </w:t>
      </w:r>
      <w:r>
        <w:rPr>
          <w:rFonts w:hint="eastAsia"/>
        </w:rPr>
        <w:t xml:space="preserve">Corporation以下列身份持有權益及淡倉：</w:t>
      </w:r>
    </w:p>
    <w:p>
      <w:pPr>
        <w:pStyle w:val="FirstParagraph"/>
      </w:pPr>
      <w:r>
        <w:rPr>
          <w:rFonts w:hint="eastAsia"/>
        </w:rPr>
        <w:t xml:space="preserve">身份</w:t>
      </w:r>
    </w:p>
    <w:p>
      <w:pPr>
        <w:pStyle w:val="BodyText"/>
      </w:pPr>
      <w:r>
        <w:rPr>
          <w:rFonts w:hint="eastAsia"/>
        </w:rPr>
        <w:t xml:space="preserve">受控法團權益</w:t>
      </w:r>
    </w:p>
    <w:p>
      <w:pPr>
        <w:pStyle w:val="BodyText"/>
      </w:pPr>
      <w:r>
        <w:rPr>
          <w:rFonts w:hint="eastAsia"/>
        </w:rPr>
        <w:t xml:space="preserve">股份或相關股份數目</w:t>
      </w:r>
    </w:p>
    <w:p>
      <w:pPr>
        <w:pStyle w:val="BodyText"/>
      </w:pPr>
      <w:r>
        <w:rPr>
          <w:rFonts w:hint="eastAsia"/>
        </w:rPr>
        <w:t xml:space="preserve">股份或相關股份數目</w:t>
      </w:r>
    </w:p>
    <w:p>
      <w:pPr>
        <w:pStyle w:val="BodyText"/>
      </w:pPr>
      <w:r>
        <w:rPr>
          <w:rFonts w:hint="eastAsia"/>
        </w:rPr>
        <w:t xml:space="preserve">（好倉）</w:t>
      </w:r>
    </w:p>
    <w:p>
      <w:pPr>
        <w:pStyle w:val="BodyText"/>
      </w:pPr>
      <w:r>
        <w:rPr>
          <w:rFonts w:hint="eastAsia"/>
        </w:rPr>
        <w:t xml:space="preserve">（淡倉）</w:t>
      </w:r>
    </w:p>
    <w:p>
      <w:pPr>
        <w:pStyle w:val="BodyText"/>
      </w:pPr>
      <w:r>
        <w:t xml:space="preserve">1,096,258,164</w:t>
      </w:r>
    </w:p>
    <w:p>
      <w:pPr>
        <w:pStyle w:val="BodyText"/>
      </w:pPr>
      <w:r>
        <w:t xml:space="preserve">301,796,828</w:t>
      </w:r>
    </w:p>
    <w:p>
      <w:pPr>
        <w:pStyle w:val="BodyText"/>
      </w:pPr>
      <w:r>
        <w:rPr>
          <w:rFonts w:hint="eastAsia"/>
        </w:rPr>
        <w:t xml:space="preserve">除上文所披露者外，於2020年12月31日，概無任何人士（本公司董事或首席執行官以外，其權益載於「董事及</w:t>
      </w:r>
    </w:p>
    <w:p>
      <w:pPr>
        <w:pStyle w:val="BodyText"/>
      </w:pPr>
      <w:r>
        <w:rPr>
          <w:rFonts w:hint="eastAsia"/>
        </w:rPr>
        <w:t xml:space="preserve">首席執行官於股份及相關股份中的權益及淡倉」一節）於本公司股份或相關股份中，擁有根據證券及期貨條例</w:t>
      </w:r>
    </w:p>
    <w:p>
      <w:pPr>
        <w:pStyle w:val="BodyText"/>
      </w:pPr>
      <w:r>
        <w:rPr>
          <w:rFonts w:hint="eastAsia"/>
        </w:rPr>
        <w:t xml:space="preserve">第336條須予備存的登記冊所記錄的任何權益或淡倉。</w:t>
      </w:r>
    </w:p>
    <w:p>
      <w:pPr>
        <w:pStyle w:val="BodyText"/>
      </w:pPr>
      <w:r>
        <w:rPr>
          <w:rFonts w:hint="eastAsia"/>
        </w:rPr>
        <w:t xml:space="preserve">董事購買股份或債權證的權利</w:t>
      </w:r>
    </w:p>
    <w:p>
      <w:pPr>
        <w:pStyle w:val="BodyText"/>
      </w:pPr>
      <w:r>
        <w:rPr>
          <w:rFonts w:hint="eastAsia"/>
        </w:rPr>
        <w:t xml:space="preserve">根據李源祥先生及Ng</w:t>
      </w:r>
      <w:r>
        <w:t xml:space="preserve"> Keng </w:t>
      </w:r>
      <w:r>
        <w:rPr>
          <w:rFonts w:hint="eastAsia"/>
        </w:rPr>
        <w:t xml:space="preserve">Hooi先生各自擔任執行董事及集團首席執行官兼總裁的服務合約，彼等均有權收取</w:t>
      </w:r>
    </w:p>
    <w:p>
      <w:pPr>
        <w:pStyle w:val="BodyText"/>
      </w:pPr>
      <w:r>
        <w:rPr>
          <w:rFonts w:hint="eastAsia"/>
        </w:rPr>
        <w:t xml:space="preserve">年度酌情分紅獎勵，包括以本公司股份形式的派付。李源祥先生及Ng</w:t>
      </w:r>
      <w:r>
        <w:t xml:space="preserve"> Keng </w:t>
      </w:r>
      <w:r>
        <w:rPr>
          <w:rFonts w:hint="eastAsia"/>
        </w:rPr>
        <w:t xml:space="preserve">Hooi先生的分紅獎勵詳情載於薪酬</w:t>
      </w:r>
    </w:p>
    <w:p>
      <w:pPr>
        <w:pStyle w:val="BodyText"/>
      </w:pPr>
      <w:r>
        <w:rPr>
          <w:rFonts w:hint="eastAsia"/>
        </w:rPr>
        <w:t xml:space="preserve">報告。</w:t>
      </w:r>
    </w:p>
    <w:p>
      <w:pPr>
        <w:pStyle w:val="BodyText"/>
      </w:pPr>
      <w:r>
        <w:rPr>
          <w:rFonts w:hint="eastAsia"/>
        </w:rPr>
        <w:t xml:space="preserve">董事在交易、安排或合約中的利害關係</w:t>
      </w:r>
    </w:p>
    <w:p>
      <w:pPr>
        <w:pStyle w:val="BodyText"/>
      </w:pPr>
      <w:r>
        <w:rPr>
          <w:rFonts w:hint="eastAsia"/>
        </w:rPr>
        <w:t xml:space="preserve">本公司或其任何附屬公司並無於2020年12月31日或回顧年度內任何時間簽訂，為本公司任何董事或其關連實體</w:t>
      </w:r>
    </w:p>
    <w:p>
      <w:pPr>
        <w:pStyle w:val="BodyText"/>
      </w:pPr>
      <w:r>
        <w:rPr>
          <w:rFonts w:hint="eastAsia"/>
        </w:rPr>
        <w:t xml:space="preserve">直接或間接擁有具相當分量的利害關係的重要交易、安排或合約。</w:t>
      </w:r>
    </w:p>
    <w:p>
      <w:pPr>
        <w:pStyle w:val="BodyText"/>
      </w:pPr>
      <w:r>
        <w:rPr>
          <w:rFonts w:hint="eastAsia"/>
        </w:rPr>
        <w:t xml:space="preserve">準備金</w:t>
      </w:r>
    </w:p>
    <w:p>
      <w:pPr>
        <w:pStyle w:val="BodyText"/>
      </w:pPr>
      <w:r>
        <w:rPr>
          <w:rFonts w:hint="eastAsia"/>
        </w:rPr>
        <w:t xml:space="preserve">於2020年12月31日，可用作分派予本公司股東的準備金總額（按香港《公司條例》第6部條文所計算的）為73.60億</w:t>
      </w:r>
    </w:p>
    <w:p>
      <w:pPr>
        <w:pStyle w:val="BodyText"/>
      </w:pPr>
      <w:r>
        <w:rPr>
          <w:rFonts w:hint="eastAsia"/>
        </w:rPr>
        <w:t xml:space="preserve">美元（2019年12月31日：70.79億美元）。</w:t>
      </w:r>
    </w:p>
    <w:p>
      <w:pPr>
        <w:pStyle w:val="BodyText"/>
      </w:pPr>
      <w:r>
        <w:rPr>
          <w:rFonts w:hint="eastAsia"/>
        </w:rPr>
        <w:t xml:space="preserve">慈善捐款</w:t>
      </w:r>
    </w:p>
    <w:p>
      <w:pPr>
        <w:pStyle w:val="BodyText"/>
      </w:pPr>
      <w:r>
        <w:rPr>
          <w:rFonts w:hint="eastAsia"/>
        </w:rPr>
        <w:t xml:space="preserve">本集團於截至2020年12月31日止年度作出的慈善捐款為200萬美元（2019年：400萬美元）。</w:t>
      </w:r>
    </w:p>
    <w:p>
      <w:pPr>
        <w:pStyle w:val="BodyText"/>
      </w:pPr>
      <w:r>
        <w:rPr>
          <w:rFonts w:hint="eastAsia"/>
        </w:rPr>
        <w:t xml:space="preserve">主要客戶及供應商</w:t>
      </w:r>
    </w:p>
    <w:p>
      <w:pPr>
        <w:pStyle w:val="BodyText"/>
      </w:pPr>
      <w:r>
        <w:rPr>
          <w:rFonts w:hint="eastAsia"/>
        </w:rPr>
        <w:t xml:space="preserve">於截至2020年12月31日止年度內，本集團五大供應商採購總額所佔百分比低於本集團採購總值的30%，及本集團</w:t>
      </w:r>
    </w:p>
    <w:p>
      <w:pPr>
        <w:pStyle w:val="BodyText"/>
      </w:pPr>
      <w:r>
        <w:rPr>
          <w:rFonts w:hint="eastAsia"/>
        </w:rPr>
        <w:t xml:space="preserve">五大客戶銷售總額所佔百分比低於本集團銷售總值的30%。</w:t>
      </w:r>
    </w:p>
    <w:p>
      <w:pPr>
        <w:pStyle w:val="BodyText"/>
      </w:pPr>
      <w:r>
        <w:t xml:space="preserve">089</w:t>
      </w:r>
    </w:p>
    <w:p>
      <w:pPr>
        <w:pStyle w:val="BodyText"/>
      </w:pPr>
      <w:r>
        <w:rPr>
          <w:rFonts w:hint="eastAsia"/>
        </w:rPr>
        <w:t xml:space="preserve">概覽財務及營運回顧企業管治其他資料財務報表2020年報</w:t>
      </w:r>
    </w:p>
    <w:p>
      <w:pPr>
        <w:pStyle w:val="BodyText"/>
      </w:pPr>
      <w:r>
        <w:rPr>
          <w:rFonts w:hint="eastAsia"/>
        </w:rPr>
        <w:t xml:space="preserve">發行的股份</w:t>
      </w:r>
    </w:p>
    <w:p>
      <w:pPr>
        <w:pStyle w:val="BodyText"/>
      </w:pPr>
      <w:r>
        <w:rPr>
          <w:rFonts w:hint="eastAsia"/>
        </w:rPr>
        <w:t xml:space="preserve">於截至2020年12月31日止年度發行的股份之詳情載於財務報表附註35。</w:t>
      </w:r>
    </w:p>
    <w:p>
      <w:pPr>
        <w:pStyle w:val="BodyText"/>
      </w:pPr>
      <w:r>
        <w:rPr>
          <w:rFonts w:hint="eastAsia"/>
        </w:rPr>
        <w:t xml:space="preserve">發行的債權證</w:t>
      </w:r>
    </w:p>
    <w:p>
      <w:pPr>
        <w:pStyle w:val="BodyText"/>
      </w:pPr>
      <w:r>
        <w:rPr>
          <w:rFonts w:hint="eastAsia"/>
        </w:rPr>
        <w:t xml:space="preserve">於截至2020年12月31日止年度發行的債權證之詳情載於財務報表附註30及</w:t>
      </w:r>
      <w:r>
        <w:t xml:space="preserve"> 38。</w:t>
      </w:r>
    </w:p>
    <w:p>
      <w:pPr>
        <w:pStyle w:val="BodyText"/>
      </w:pPr>
      <w:r>
        <w:rPr>
          <w:rFonts w:hint="eastAsia"/>
        </w:rPr>
        <w:t xml:space="preserve">股票掛鈎協議</w:t>
      </w:r>
    </w:p>
    <w:p>
      <w:pPr>
        <w:pStyle w:val="BodyText"/>
      </w:pPr>
      <w:r>
        <w:rPr>
          <w:rFonts w:hint="eastAsia"/>
        </w:rPr>
        <w:t xml:space="preserve">於截至2020年12月31日止年度內，本公司並無訂立任何股票掛鈎協議，而於2020年12月31日亦不存在任何由</w:t>
      </w:r>
    </w:p>
    <w:p>
      <w:pPr>
        <w:pStyle w:val="BodyText"/>
      </w:pPr>
      <w:r>
        <w:rPr>
          <w:rFonts w:hint="eastAsia"/>
        </w:rPr>
        <w:t xml:space="preserve">本公司訂立的股票掛鈎協議，下文及薪酬報告及財務報表附註40各自所述的2010年受限制股份單位計劃、2010年</w:t>
      </w:r>
    </w:p>
    <w:p>
      <w:pPr>
        <w:pStyle w:val="BodyText"/>
      </w:pPr>
      <w:r>
        <w:rPr>
          <w:rFonts w:hint="eastAsia"/>
        </w:rPr>
        <w:t xml:space="preserve">購股權計劃以及2011年僱員購股計劃及2020年僱員購股計劃項下分別授予僱員的受限制股份單位、未經行使</w:t>
      </w:r>
    </w:p>
    <w:p>
      <w:pPr>
        <w:pStyle w:val="BodyText"/>
      </w:pPr>
      <w:r>
        <w:rPr>
          <w:rFonts w:hint="eastAsia"/>
        </w:rPr>
        <w:t xml:space="preserve">購股權及受限制股份購買單位以及本公司於2012年2月23日採納的代理購股計劃（「2012年代理購股計劃」）項下</w:t>
      </w:r>
    </w:p>
    <w:p>
      <w:pPr>
        <w:pStyle w:val="BodyText"/>
      </w:pPr>
      <w:r>
        <w:rPr>
          <w:rFonts w:hint="eastAsia"/>
        </w:rPr>
        <w:t xml:space="preserve">授予代理的受限制股份認購單位則除外。</w:t>
      </w:r>
    </w:p>
    <w:p>
      <w:pPr>
        <w:pStyle w:val="BodyText"/>
      </w:pPr>
      <w:r>
        <w:rPr>
          <w:rFonts w:hint="eastAsia"/>
        </w:rPr>
        <w:t xml:space="preserve">受限制股份單位計劃</w:t>
      </w:r>
    </w:p>
    <w:p>
      <w:pPr>
        <w:pStyle w:val="BodyText"/>
      </w:pPr>
      <w:r>
        <w:rPr>
          <w:rFonts w:hint="eastAsia"/>
        </w:rPr>
        <w:t xml:space="preserve">本公司於2010年9月28日採納的2010年受限制股份單位計劃自採納日期起為期十年，已於2020年7月31日終止。</w:t>
      </w:r>
    </w:p>
    <w:p>
      <w:pPr>
        <w:pStyle w:val="BodyText"/>
      </w:pPr>
      <w:r>
        <w:rPr>
          <w:rFonts w:hint="eastAsia"/>
        </w:rPr>
        <w:t xml:space="preserve">本公司於2020年8月1日（「2020年受限制股份單位採納日期」）採納2020年受限制股份單位計劃，以基本相同的</w:t>
      </w:r>
    </w:p>
    <w:p>
      <w:pPr>
        <w:pStyle w:val="BodyText"/>
      </w:pPr>
      <w:r>
        <w:rPr>
          <w:rFonts w:hint="eastAsia"/>
        </w:rPr>
        <w:t xml:space="preserve">條款取代2010年受限制股份單位計劃。2020年受限制股份單位計劃的有效期自採納日期起計為期十年。2020年</w:t>
      </w:r>
    </w:p>
    <w:p>
      <w:pPr>
        <w:pStyle w:val="BodyText"/>
      </w:pPr>
      <w:r>
        <w:rPr>
          <w:rFonts w:hint="eastAsia"/>
        </w:rPr>
        <w:t xml:space="preserve">受限制股份單位計劃的主要條款概要載列如下：</w:t>
      </w:r>
    </w:p>
    <w:p>
      <w:pPr>
        <w:pStyle w:val="BodyText"/>
      </w:pPr>
      <w:r>
        <w:rPr>
          <w:rFonts w:hint="eastAsia"/>
        </w:rPr>
        <w:t xml:space="preserve">目的</w:t>
      </w:r>
    </w:p>
    <w:p>
      <w:pPr>
        <w:pStyle w:val="BodyText"/>
      </w:pPr>
      <w:r>
        <w:rPr>
          <w:rFonts w:hint="eastAsia"/>
        </w:rPr>
        <w:t xml:space="preserve">2020年受限制股份單位計劃旨在：(a)透過本公司股份所有權及</w:t>
      </w:r>
      <w:r>
        <w:t xml:space="preserve"> </w:t>
      </w:r>
      <w:r>
        <w:rPr>
          <w:rFonts w:hint="eastAsia"/>
        </w:rPr>
        <w:t xml:space="preserve">∕或增加本公司股份價值為本集團與計劃參與者</w:t>
      </w:r>
    </w:p>
    <w:p>
      <w:pPr>
        <w:pStyle w:val="BodyText"/>
      </w:pPr>
      <w:r>
        <w:rPr>
          <w:rFonts w:hint="eastAsia"/>
        </w:rPr>
        <w:t xml:space="preserve">建立共同利益；及(b)鼓勵及挽留參與者為本集團的長遠增長及溢利作出貢獻，以實現本集團的價值增長的目標。</w:t>
      </w:r>
    </w:p>
    <w:p>
      <w:pPr>
        <w:pStyle w:val="BodyText"/>
      </w:pPr>
      <w:r>
        <w:rPr>
          <w:rFonts w:hint="eastAsia"/>
        </w:rPr>
        <w:t xml:space="preserve">有效期</w:t>
      </w:r>
    </w:p>
    <w:p>
      <w:pPr>
        <w:pStyle w:val="BodyText"/>
      </w:pPr>
      <w:r>
        <w:rPr>
          <w:rFonts w:hint="eastAsia"/>
        </w:rPr>
        <w:t xml:space="preserve">除</w:t>
      </w:r>
      <w:r>
        <w:t xml:space="preserve"> </w:t>
      </w:r>
      <w:r>
        <w:rPr>
          <w:rFonts w:hint="eastAsia"/>
        </w:rPr>
        <w:t xml:space="preserve">非</w:t>
      </w:r>
      <w:r>
        <w:t xml:space="preserve"> </w:t>
      </w:r>
      <w:r>
        <w:rPr>
          <w:rFonts w:hint="eastAsia"/>
        </w:rPr>
        <w:t xml:space="preserve">董</w:t>
      </w:r>
      <w:r>
        <w:t xml:space="preserve"> </w:t>
      </w:r>
      <w:r>
        <w:rPr>
          <w:rFonts w:hint="eastAsia"/>
        </w:rPr>
        <w:t xml:space="preserve">事</w:t>
      </w:r>
      <w:r>
        <w:t xml:space="preserve"> </w:t>
      </w:r>
      <w:r>
        <w:rPr>
          <w:rFonts w:hint="eastAsia"/>
        </w:rPr>
        <w:t xml:space="preserve">會</w:t>
      </w:r>
      <w:r>
        <w:t xml:space="preserve"> </w:t>
      </w:r>
      <w:r>
        <w:rPr>
          <w:rFonts w:hint="eastAsia"/>
        </w:rPr>
        <w:t xml:space="preserve">於2020年</w:t>
      </w:r>
      <w:r>
        <w:t xml:space="preserve"> </w:t>
      </w:r>
      <w:r>
        <w:rPr>
          <w:rFonts w:hint="eastAsia"/>
        </w:rPr>
        <w:t xml:space="preserve">受</w:t>
      </w:r>
      <w:r>
        <w:t xml:space="preserve"> </w:t>
      </w:r>
      <w:r>
        <w:rPr>
          <w:rFonts w:hint="eastAsia"/>
        </w:rPr>
        <w:t xml:space="preserve">限</w:t>
      </w:r>
      <w:r>
        <w:t xml:space="preserve"> </w:t>
      </w:r>
      <w:r>
        <w:rPr>
          <w:rFonts w:hint="eastAsia"/>
        </w:rPr>
        <w:t xml:space="preserve">制</w:t>
      </w:r>
      <w:r>
        <w:t xml:space="preserve"> </w:t>
      </w:r>
      <w:r>
        <w:rPr>
          <w:rFonts w:hint="eastAsia"/>
        </w:rPr>
        <w:t xml:space="preserve">股</w:t>
      </w:r>
      <w:r>
        <w:t xml:space="preserve"> </w:t>
      </w:r>
      <w:r>
        <w:rPr>
          <w:rFonts w:hint="eastAsia"/>
        </w:rPr>
        <w:t xml:space="preserve">份</w:t>
      </w:r>
      <w:r>
        <w:t xml:space="preserve"> </w:t>
      </w:r>
      <w:r>
        <w:rPr>
          <w:rFonts w:hint="eastAsia"/>
        </w:rPr>
        <w:t xml:space="preserve">單</w:t>
      </w:r>
      <w:r>
        <w:t xml:space="preserve"> </w:t>
      </w:r>
      <w:r>
        <w:rPr>
          <w:rFonts w:hint="eastAsia"/>
        </w:rPr>
        <w:t xml:space="preserve">位</w:t>
      </w:r>
      <w:r>
        <w:t xml:space="preserve"> </w:t>
      </w:r>
      <w:r>
        <w:rPr>
          <w:rFonts w:hint="eastAsia"/>
        </w:rPr>
        <w:t xml:space="preserve">計</w:t>
      </w:r>
      <w:r>
        <w:t xml:space="preserve"> </w:t>
      </w:r>
      <w:r>
        <w:rPr>
          <w:rFonts w:hint="eastAsia"/>
        </w:rPr>
        <w:t xml:space="preserve">劃</w:t>
      </w:r>
      <w:r>
        <w:t xml:space="preserve"> </w:t>
      </w:r>
      <w:r>
        <w:rPr>
          <w:rFonts w:hint="eastAsia"/>
        </w:rPr>
        <w:t xml:space="preserve">到</w:t>
      </w:r>
      <w:r>
        <w:t xml:space="preserve"> </w:t>
      </w:r>
      <w:r>
        <w:rPr>
          <w:rFonts w:hint="eastAsia"/>
        </w:rPr>
        <w:t xml:space="preserve">期</w:t>
      </w:r>
      <w:r>
        <w:t xml:space="preserve"> </w:t>
      </w:r>
      <w:r>
        <w:rPr>
          <w:rFonts w:hint="eastAsia"/>
        </w:rPr>
        <w:t xml:space="preserve">前</w:t>
      </w:r>
      <w:r>
        <w:t xml:space="preserve"> </w:t>
      </w:r>
      <w:r>
        <w:rPr>
          <w:rFonts w:hint="eastAsia"/>
        </w:rPr>
        <w:t xml:space="preserve">的</w:t>
      </w:r>
      <w:r>
        <w:t xml:space="preserve"> </w:t>
      </w:r>
      <w:r>
        <w:rPr>
          <w:rFonts w:hint="eastAsia"/>
        </w:rPr>
        <w:t xml:space="preserve">任</w:t>
      </w:r>
      <w:r>
        <w:t xml:space="preserve"> </w:t>
      </w:r>
      <w:r>
        <w:rPr>
          <w:rFonts w:hint="eastAsia"/>
        </w:rPr>
        <w:t xml:space="preserve">何</w:t>
      </w:r>
      <w:r>
        <w:t xml:space="preserve"> </w:t>
      </w:r>
      <w:r>
        <w:rPr>
          <w:rFonts w:hint="eastAsia"/>
        </w:rPr>
        <w:t xml:space="preserve">時</w:t>
      </w:r>
      <w:r>
        <w:t xml:space="preserve"> </w:t>
      </w:r>
      <w:r>
        <w:rPr>
          <w:rFonts w:hint="eastAsia"/>
        </w:rPr>
        <w:t xml:space="preserve">間</w:t>
      </w:r>
      <w:r>
        <w:t xml:space="preserve"> </w:t>
      </w:r>
      <w:r>
        <w:rPr>
          <w:rFonts w:hint="eastAsia"/>
        </w:rPr>
        <w:t xml:space="preserve">終</w:t>
      </w:r>
      <w:r>
        <w:t xml:space="preserve"> </w:t>
      </w:r>
      <w:r>
        <w:rPr>
          <w:rFonts w:hint="eastAsia"/>
        </w:rPr>
        <w:t xml:space="preserve">止</w:t>
      </w:r>
      <w:r>
        <w:t xml:space="preserve"> </w:t>
      </w:r>
      <w:r>
        <w:rPr>
          <w:rFonts w:hint="eastAsia"/>
        </w:rPr>
        <w:t xml:space="preserve">該</w:t>
      </w:r>
      <w:r>
        <w:t xml:space="preserve"> </w:t>
      </w:r>
      <w:r>
        <w:rPr>
          <w:rFonts w:hint="eastAsia"/>
        </w:rPr>
        <w:t xml:space="preserve">計</w:t>
      </w:r>
      <w:r>
        <w:t xml:space="preserve"> </w:t>
      </w:r>
      <w:r>
        <w:rPr>
          <w:rFonts w:hint="eastAsia"/>
        </w:rPr>
        <w:t xml:space="preserve">劃，</w:t>
      </w:r>
      <w:r>
        <w:t xml:space="preserve"> </w:t>
      </w:r>
      <w:r>
        <w:rPr>
          <w:rFonts w:hint="eastAsia"/>
        </w:rPr>
        <w:t xml:space="preserve">否</w:t>
      </w:r>
      <w:r>
        <w:t xml:space="preserve"> </w:t>
      </w:r>
      <w:r>
        <w:rPr>
          <w:rFonts w:hint="eastAsia"/>
        </w:rPr>
        <w:t xml:space="preserve">則2020年</w:t>
      </w:r>
      <w:r>
        <w:t xml:space="preserve"> </w:t>
      </w:r>
      <w:r>
        <w:rPr>
          <w:rFonts w:hint="eastAsia"/>
        </w:rPr>
        <w:t xml:space="preserve">受</w:t>
      </w:r>
      <w:r>
        <w:t xml:space="preserve"> </w:t>
      </w:r>
      <w:r>
        <w:rPr>
          <w:rFonts w:hint="eastAsia"/>
        </w:rPr>
        <w:t xml:space="preserve">限</w:t>
      </w:r>
      <w:r>
        <w:t xml:space="preserve"> </w:t>
      </w:r>
      <w:r>
        <w:rPr>
          <w:rFonts w:hint="eastAsia"/>
        </w:rPr>
        <w:t xml:space="preserve">制</w:t>
      </w:r>
      <w:r>
        <w:t xml:space="preserve"> </w:t>
      </w:r>
      <w:r>
        <w:rPr>
          <w:rFonts w:hint="eastAsia"/>
        </w:rPr>
        <w:t xml:space="preserve">股</w:t>
      </w:r>
      <w:r>
        <w:t xml:space="preserve"> </w:t>
      </w:r>
      <w:r>
        <w:rPr>
          <w:rFonts w:hint="eastAsia"/>
        </w:rPr>
        <w:t xml:space="preserve">份</w:t>
      </w:r>
      <w:r>
        <w:t xml:space="preserve"> </w:t>
      </w:r>
      <w:r>
        <w:rPr>
          <w:rFonts w:hint="eastAsia"/>
        </w:rPr>
        <w:t xml:space="preserve">單</w:t>
      </w:r>
      <w:r>
        <w:t xml:space="preserve"> </w:t>
      </w:r>
      <w:r>
        <w:rPr>
          <w:rFonts w:hint="eastAsia"/>
        </w:rPr>
        <w:t xml:space="preserve">位</w:t>
      </w:r>
      <w:r>
        <w:t xml:space="preserve"> </w:t>
      </w:r>
      <w:r>
        <w:rPr>
          <w:rFonts w:hint="eastAsia"/>
        </w:rPr>
        <w:t xml:space="preserve">計</w:t>
      </w:r>
      <w:r>
        <w:t xml:space="preserve"> </w:t>
      </w:r>
      <w:r>
        <w:rPr>
          <w:rFonts w:hint="eastAsia"/>
        </w:rPr>
        <w:t xml:space="preserve">劃</w:t>
      </w:r>
    </w:p>
    <w:p>
      <w:pPr>
        <w:pStyle w:val="BodyText"/>
      </w:pPr>
      <w:r>
        <w:rPr>
          <w:rFonts w:hint="eastAsia"/>
        </w:rPr>
        <w:t xml:space="preserve">將生效且自採納日期起計十（10）年內一直有效（「計劃期間」）。倘於計劃期間後尚有任何根據2020年受限制</w:t>
      </w:r>
    </w:p>
    <w:p>
      <w:pPr>
        <w:pStyle w:val="BodyText"/>
      </w:pPr>
      <w:r>
        <w:rPr>
          <w:rFonts w:hint="eastAsia"/>
        </w:rPr>
        <w:t xml:space="preserve">股份單位計劃授出並於該計劃屆滿前獲接納而仍未歸屬的受限制股份單位獎勵（「受限制股份單位獎勵」），則</w:t>
      </w:r>
    </w:p>
    <w:p>
      <w:pPr>
        <w:pStyle w:val="BodyText"/>
      </w:pPr>
      <w:r>
        <w:rPr>
          <w:rFonts w:hint="eastAsia"/>
        </w:rPr>
        <w:t xml:space="preserve">根據2020年受限制股份單位計劃條文，為落實歸屬該等受限制股份單位獎勵或其他所需事宜仍然有效。2020年受</w:t>
      </w:r>
    </w:p>
    <w:p>
      <w:pPr>
        <w:pStyle w:val="BodyText"/>
      </w:pPr>
      <w:r>
        <w:rPr>
          <w:rFonts w:hint="eastAsia"/>
        </w:rPr>
        <w:t xml:space="preserve">限制股份單位計劃終止後，不得再據此授出任何受限制股份單位獎勵。</w:t>
      </w:r>
    </w:p>
    <w:p>
      <w:pPr>
        <w:pStyle w:val="BodyText"/>
      </w:pPr>
      <w:r>
        <w:t xml:space="preserve">090</w:t>
      </w:r>
    </w:p>
    <w:p>
      <w:pPr>
        <w:pStyle w:val="BodyText"/>
      </w:pPr>
      <w:r>
        <w:rPr>
          <w:rFonts w:hint="eastAsia"/>
        </w:rPr>
        <w:t xml:space="preserve">企業管治友邦保險控股有限公司董事會報告</w:t>
      </w:r>
    </w:p>
    <w:p>
      <w:pPr>
        <w:pStyle w:val="BodyText"/>
      </w:pPr>
      <w:r>
        <w:rPr>
          <w:rFonts w:hint="eastAsia"/>
        </w:rPr>
        <w:t xml:space="preserve">參與者</w:t>
      </w:r>
    </w:p>
    <w:p>
      <w:pPr>
        <w:pStyle w:val="BodyText"/>
      </w:pPr>
      <w:r>
        <w:rPr>
          <w:rFonts w:hint="eastAsia"/>
        </w:rPr>
        <w:t xml:space="preserve">本集團任何成員公司現有僱員、董事（不論執行或非執行董事，但不包括獨立非執行董事）或主管均為合資格</w:t>
      </w:r>
    </w:p>
    <w:p>
      <w:pPr>
        <w:pStyle w:val="BodyText"/>
      </w:pPr>
      <w:r>
        <w:rPr>
          <w:rFonts w:hint="eastAsia"/>
        </w:rPr>
        <w:t xml:space="preserve">根據2020受限制股份單位計劃獲授受限制股份單位獎勵的人士（「受限制股份單位合資格人士」）。</w:t>
      </w:r>
    </w:p>
    <w:p>
      <w:pPr>
        <w:pStyle w:val="BodyText"/>
      </w:pPr>
      <w:r>
        <w:rPr>
          <w:rFonts w:hint="eastAsia"/>
        </w:rPr>
        <w:t xml:space="preserve">董事會可在計劃期間內不時全權酌情決定向任何受限制股份單位合資格人士（「受限制股份單位選定人士」）授予</w:t>
      </w:r>
    </w:p>
    <w:p>
      <w:pPr>
        <w:pStyle w:val="BodyText"/>
      </w:pPr>
      <w:r>
        <w:rPr>
          <w:rFonts w:hint="eastAsia"/>
        </w:rPr>
        <w:t xml:space="preserve">受限制股份單位獎勵。受限制股份單位選定人士須確認其接納受限制股份單位獎勵並將在確認該獎勵後成為</w:t>
      </w:r>
    </w:p>
    <w:p>
      <w:pPr>
        <w:pStyle w:val="BodyText"/>
      </w:pPr>
      <w:r>
        <w:rPr>
          <w:rFonts w:hint="eastAsia"/>
        </w:rPr>
        <w:t xml:space="preserve">2020年受限制股份單位計劃的參與者（「受限制股份單位參與者」）。</w:t>
      </w:r>
    </w:p>
    <w:p>
      <w:pPr>
        <w:pStyle w:val="BodyText"/>
      </w:pPr>
      <w:r>
        <w:rPr>
          <w:rFonts w:hint="eastAsia"/>
        </w:rPr>
        <w:t xml:space="preserve">受限制股份單位獎勵</w:t>
      </w:r>
    </w:p>
    <w:p>
      <w:pPr>
        <w:pStyle w:val="BodyText"/>
      </w:pPr>
      <w:r>
        <w:rPr>
          <w:rFonts w:hint="eastAsia"/>
        </w:rPr>
        <w:t xml:space="preserve">受限制股份單位獎勵賦予受限制股份單位參與者有條件權利，可於受限制股份單位獎勵歸屬時獲配發本公司股份</w:t>
      </w:r>
    </w:p>
    <w:p>
      <w:pPr>
        <w:pStyle w:val="BodyText"/>
      </w:pPr>
      <w:r>
        <w:rPr>
          <w:rFonts w:hint="eastAsia"/>
        </w:rPr>
        <w:t xml:space="preserve">（本公司現有已發行股份或將予發行的新股份）或取得根據有關受限制股份單位獎勵歸屬日期或前後本公司股份</w:t>
      </w:r>
    </w:p>
    <w:p>
      <w:pPr>
        <w:pStyle w:val="BodyText"/>
      </w:pPr>
      <w:r>
        <w:rPr>
          <w:rFonts w:hint="eastAsia"/>
        </w:rPr>
        <w:t xml:space="preserve">市值釐定的等值現金（由董事會全權酌情決定）。受限制股份單位獎勵（倘董事會全權酌情釐定）可包括自受限制</w:t>
      </w:r>
    </w:p>
    <w:p>
      <w:pPr>
        <w:pStyle w:val="BodyText"/>
      </w:pPr>
      <w:r>
        <w:rPr>
          <w:rFonts w:hint="eastAsia"/>
        </w:rPr>
        <w:t xml:space="preserve">股份單位獎勵授出之日起至歸屬之日止本公司該等股份相關的現金及非現金收入、股息或分派及</w:t>
      </w:r>
      <w:r>
        <w:t xml:space="preserve"> </w:t>
      </w:r>
      <w:r>
        <w:rPr>
          <w:rFonts w:hint="eastAsia"/>
        </w:rPr>
        <w:t xml:space="preserve">∕或出售非現金</w:t>
      </w:r>
    </w:p>
    <w:p>
      <w:pPr>
        <w:pStyle w:val="BodyText"/>
      </w:pPr>
      <w:r>
        <w:rPr>
          <w:rFonts w:hint="eastAsia"/>
        </w:rPr>
        <w:t xml:space="preserve">及非以股代息之分派所得款項。</w:t>
      </w:r>
    </w:p>
    <w:p>
      <w:pPr>
        <w:pStyle w:val="BodyText"/>
      </w:pPr>
      <w:r>
        <w:rPr>
          <w:rFonts w:hint="eastAsia"/>
        </w:rPr>
        <w:t xml:space="preserve">倘擬向身為本公司董事、首席執行官或主要股東或彼等各自聯繫人的受限制股份單位選定人士授出任何受限制</w:t>
      </w:r>
    </w:p>
    <w:p>
      <w:pPr>
        <w:pStyle w:val="BodyText"/>
      </w:pPr>
      <w:r>
        <w:rPr>
          <w:rFonts w:hint="eastAsia"/>
        </w:rPr>
        <w:t xml:space="preserve">股份單位獎勵，則該擬議授出首先須由本公司全部獨立非執行董事批准並應遵守上市規則。</w:t>
      </w:r>
    </w:p>
    <w:p>
      <w:pPr>
        <w:pStyle w:val="BodyText"/>
      </w:pPr>
      <w:r>
        <w:rPr>
          <w:rFonts w:hint="eastAsia"/>
        </w:rPr>
        <w:t xml:space="preserve">倘擬向身為本公司董事的受限制股份單位選定人士（或因任職或受僱於本集團的成員公司而可能掌握有關本公司</w:t>
      </w:r>
    </w:p>
    <w:p>
      <w:pPr>
        <w:pStyle w:val="BodyText"/>
      </w:pPr>
      <w:r>
        <w:rPr>
          <w:rFonts w:hint="eastAsia"/>
        </w:rPr>
        <w:t xml:space="preserve">股份的股價敏感或內幕資料的其他人士）授出受限制股份單位獎勵，則不得於本公司財務業績刊發日期及以下</w:t>
      </w:r>
    </w:p>
    <w:p>
      <w:pPr>
        <w:pStyle w:val="BodyText"/>
      </w:pPr>
      <w:r>
        <w:rPr>
          <w:rFonts w:hint="eastAsia"/>
        </w:rPr>
        <w:t xml:space="preserve">期</w:t>
      </w:r>
      <w:r>
        <w:t xml:space="preserve"> </w:t>
      </w:r>
      <w:r>
        <w:rPr>
          <w:rFonts w:hint="eastAsia"/>
        </w:rPr>
        <w:t xml:space="preserve">間</w:t>
      </w:r>
      <w:r>
        <w:t xml:space="preserve"> </w:t>
      </w:r>
      <w:r>
        <w:rPr>
          <w:rFonts w:hint="eastAsia"/>
        </w:rPr>
        <w:t xml:space="preserve">授</w:t>
      </w:r>
      <w:r>
        <w:t xml:space="preserve"> </w:t>
      </w:r>
      <w:r>
        <w:rPr>
          <w:rFonts w:hint="eastAsia"/>
        </w:rPr>
        <w:t xml:space="preserve">出：(a)緊</w:t>
      </w:r>
      <w:r>
        <w:t xml:space="preserve"> </w:t>
      </w:r>
      <w:r>
        <w:rPr>
          <w:rFonts w:hint="eastAsia"/>
        </w:rPr>
        <w:t xml:space="preserve">接</w:t>
      </w:r>
      <w:r>
        <w:t xml:space="preserve"> </w:t>
      </w:r>
      <w:r>
        <w:rPr>
          <w:rFonts w:hint="eastAsia"/>
        </w:rPr>
        <w:t xml:space="preserve">年</w:t>
      </w:r>
      <w:r>
        <w:t xml:space="preserve"> </w:t>
      </w:r>
      <w:r>
        <w:rPr>
          <w:rFonts w:hint="eastAsia"/>
        </w:rPr>
        <w:t xml:space="preserve">度</w:t>
      </w:r>
      <w:r>
        <w:t xml:space="preserve"> </w:t>
      </w:r>
      <w:r>
        <w:rPr>
          <w:rFonts w:hint="eastAsia"/>
        </w:rPr>
        <w:t xml:space="preserve">業</w:t>
      </w:r>
      <w:r>
        <w:t xml:space="preserve"> </w:t>
      </w:r>
      <w:r>
        <w:rPr>
          <w:rFonts w:hint="eastAsia"/>
        </w:rPr>
        <w:t xml:space="preserve">績</w:t>
      </w:r>
      <w:r>
        <w:t xml:space="preserve"> </w:t>
      </w:r>
      <w:r>
        <w:rPr>
          <w:rFonts w:hint="eastAsia"/>
        </w:rPr>
        <w:t xml:space="preserve">刊</w:t>
      </w:r>
      <w:r>
        <w:t xml:space="preserve"> </w:t>
      </w:r>
      <w:r>
        <w:rPr>
          <w:rFonts w:hint="eastAsia"/>
        </w:rPr>
        <w:t xml:space="preserve">發</w:t>
      </w:r>
      <w:r>
        <w:t xml:space="preserve"> </w:t>
      </w:r>
      <w:r>
        <w:rPr>
          <w:rFonts w:hint="eastAsia"/>
        </w:rPr>
        <w:t xml:space="preserve">日</w:t>
      </w:r>
      <w:r>
        <w:t xml:space="preserve"> </w:t>
      </w:r>
      <w:r>
        <w:rPr>
          <w:rFonts w:hint="eastAsia"/>
        </w:rPr>
        <w:t xml:space="preserve">期</w:t>
      </w:r>
      <w:r>
        <w:t xml:space="preserve"> </w:t>
      </w:r>
      <w:r>
        <w:rPr>
          <w:rFonts w:hint="eastAsia"/>
        </w:rPr>
        <w:t xml:space="preserve">前60日</w:t>
      </w:r>
      <w:r>
        <w:t xml:space="preserve"> </w:t>
      </w:r>
      <w:r>
        <w:rPr>
          <w:rFonts w:hint="eastAsia"/>
        </w:rPr>
        <w:t xml:space="preserve">內</w:t>
      </w:r>
      <w:r>
        <w:t xml:space="preserve"> </w:t>
      </w:r>
      <w:r>
        <w:rPr>
          <w:rFonts w:hint="eastAsia"/>
        </w:rPr>
        <w:t xml:space="preserve">或</w:t>
      </w:r>
      <w:r>
        <w:t xml:space="preserve"> </w:t>
      </w:r>
      <w:r>
        <w:rPr>
          <w:rFonts w:hint="eastAsia"/>
        </w:rPr>
        <w:t xml:space="preserve">有</w:t>
      </w:r>
      <w:r>
        <w:t xml:space="preserve"> </w:t>
      </w:r>
      <w:r>
        <w:rPr>
          <w:rFonts w:hint="eastAsia"/>
        </w:rPr>
        <w:t xml:space="preserve">關</w:t>
      </w:r>
      <w:r>
        <w:t xml:space="preserve"> </w:t>
      </w:r>
      <w:r>
        <w:rPr>
          <w:rFonts w:hint="eastAsia"/>
        </w:rPr>
        <w:t xml:space="preserve">財</w:t>
      </w:r>
      <w:r>
        <w:t xml:space="preserve"> </w:t>
      </w:r>
      <w:r>
        <w:rPr>
          <w:rFonts w:hint="eastAsia"/>
        </w:rPr>
        <w:t xml:space="preserve">政</w:t>
      </w:r>
      <w:r>
        <w:t xml:space="preserve"> </w:t>
      </w:r>
      <w:r>
        <w:rPr>
          <w:rFonts w:hint="eastAsia"/>
        </w:rPr>
        <w:t xml:space="preserve">年</w:t>
      </w:r>
      <w:r>
        <w:t xml:space="preserve"> </w:t>
      </w:r>
      <w:r>
        <w:rPr>
          <w:rFonts w:hint="eastAsia"/>
        </w:rPr>
        <w:t xml:space="preserve">度</w:t>
      </w:r>
      <w:r>
        <w:t xml:space="preserve"> </w:t>
      </w:r>
      <w:r>
        <w:rPr>
          <w:rFonts w:hint="eastAsia"/>
        </w:rPr>
        <w:t xml:space="preserve">截</w:t>
      </w:r>
      <w:r>
        <w:t xml:space="preserve"> </w:t>
      </w:r>
      <w:r>
        <w:rPr>
          <w:rFonts w:hint="eastAsia"/>
        </w:rPr>
        <w:t xml:space="preserve">止</w:t>
      </w:r>
      <w:r>
        <w:t xml:space="preserve"> </w:t>
      </w:r>
      <w:r>
        <w:rPr>
          <w:rFonts w:hint="eastAsia"/>
        </w:rPr>
        <w:t xml:space="preserve">日</w:t>
      </w:r>
      <w:r>
        <w:t xml:space="preserve"> </w:t>
      </w:r>
      <w:r>
        <w:rPr>
          <w:rFonts w:hint="eastAsia"/>
        </w:rPr>
        <w:t xml:space="preserve">期</w:t>
      </w:r>
      <w:r>
        <w:t xml:space="preserve"> </w:t>
      </w:r>
      <w:r>
        <w:rPr>
          <w:rFonts w:hint="eastAsia"/>
        </w:rPr>
        <w:t xml:space="preserve">至</w:t>
      </w:r>
      <w:r>
        <w:t xml:space="preserve"> </w:t>
      </w:r>
      <w:r>
        <w:rPr>
          <w:rFonts w:hint="eastAsia"/>
        </w:rPr>
        <w:t xml:space="preserve">業</w:t>
      </w:r>
      <w:r>
        <w:t xml:space="preserve"> </w:t>
      </w:r>
      <w:r>
        <w:rPr>
          <w:rFonts w:hint="eastAsia"/>
        </w:rPr>
        <w:t xml:space="preserve">績</w:t>
      </w:r>
      <w:r>
        <w:t xml:space="preserve"> </w:t>
      </w:r>
      <w:r>
        <w:rPr>
          <w:rFonts w:hint="eastAsia"/>
        </w:rPr>
        <w:t xml:space="preserve">刊</w:t>
      </w:r>
      <w:r>
        <w:t xml:space="preserve"> </w:t>
      </w:r>
      <w:r>
        <w:rPr>
          <w:rFonts w:hint="eastAsia"/>
        </w:rPr>
        <w:t xml:space="preserve">發</w:t>
      </w:r>
      <w:r>
        <w:t xml:space="preserve"> </w:t>
      </w:r>
      <w:r>
        <w:rPr>
          <w:rFonts w:hint="eastAsia"/>
        </w:rPr>
        <w:t xml:space="preserve">日</w:t>
      </w:r>
      <w:r>
        <w:t xml:space="preserve"> </w:t>
      </w:r>
      <w:r>
        <w:rPr>
          <w:rFonts w:hint="eastAsia"/>
        </w:rPr>
        <w:t xml:space="preserve">期</w:t>
      </w:r>
      <w:r>
        <w:t xml:space="preserve"> </w:t>
      </w:r>
      <w:r>
        <w:rPr>
          <w:rFonts w:hint="eastAsia"/>
        </w:rPr>
        <w:t xml:space="preserve">止</w:t>
      </w:r>
      <w:r>
        <w:t xml:space="preserve"> </w:t>
      </w:r>
      <w:r>
        <w:rPr>
          <w:rFonts w:hint="eastAsia"/>
        </w:rPr>
        <w:t xml:space="preserve">期</w:t>
      </w:r>
      <w:r>
        <w:t xml:space="preserve"> </w:t>
      </w:r>
      <w:r>
        <w:rPr>
          <w:rFonts w:hint="eastAsia"/>
        </w:rPr>
        <w:t xml:space="preserve">間（以</w:t>
      </w:r>
      <w:r>
        <w:t xml:space="preserve"> </w:t>
      </w:r>
      <w:r>
        <w:rPr>
          <w:rFonts w:hint="eastAsia"/>
        </w:rPr>
        <w:t xml:space="preserve">較</w:t>
      </w:r>
      <w:r>
        <w:t xml:space="preserve"> </w:t>
      </w:r>
      <w:r>
        <w:rPr>
          <w:rFonts w:hint="eastAsia"/>
        </w:rPr>
        <w:t xml:space="preserve">短</w:t>
      </w:r>
      <w:r>
        <w:t xml:space="preserve"> </w:t>
      </w:r>
      <w:r>
        <w:rPr>
          <w:rFonts w:hint="eastAsia"/>
        </w:rPr>
        <w:t xml:space="preserve">者</w:t>
      </w:r>
    </w:p>
    <w:p>
      <w:pPr>
        <w:pStyle w:val="BodyText"/>
      </w:pPr>
      <w:r>
        <w:rPr>
          <w:rFonts w:hint="eastAsia"/>
        </w:rPr>
        <w:t xml:space="preserve">為準）；及(b)緊接季度業績（如有）及半年度業績刊發日期前30日內或有關季度或半年度截止日期至業績刊發</w:t>
      </w:r>
    </w:p>
    <w:p>
      <w:pPr>
        <w:pStyle w:val="BodyText"/>
      </w:pPr>
      <w:r>
        <w:rPr>
          <w:rFonts w:hint="eastAsia"/>
        </w:rPr>
        <w:t xml:space="preserve">日期止期間（以較短者為準）。</w:t>
      </w:r>
    </w:p>
    <w:p>
      <w:pPr>
        <w:pStyle w:val="BodyText"/>
      </w:pPr>
      <w:r>
        <w:rPr>
          <w:rFonts w:hint="eastAsia"/>
        </w:rPr>
        <w:t xml:space="preserve">受限制股份單位參與者並無任何受限制股份單位獎勵的任何與本公司股份相關的附帶權益，除非及直至該等股份</w:t>
      </w:r>
    </w:p>
    <w:p>
      <w:pPr>
        <w:pStyle w:val="BodyText"/>
      </w:pPr>
      <w:r>
        <w:rPr>
          <w:rFonts w:hint="eastAsia"/>
        </w:rPr>
        <w:t xml:space="preserve">實際轉讓予受限制股份單位參與者為止。此外，除非董事會全權酌情決定而向受限制股份單位參與者指明，否則</w:t>
      </w:r>
    </w:p>
    <w:p>
      <w:pPr>
        <w:pStyle w:val="BodyText"/>
      </w:pPr>
      <w:r>
        <w:rPr>
          <w:rFonts w:hint="eastAsia"/>
        </w:rPr>
        <w:t xml:space="preserve">受限制股份單位參與者不得就與其受限制股份單位獎勵相關的本公司股份行使投票權，亦無任何權利就與受限制</w:t>
      </w:r>
    </w:p>
    <w:p>
      <w:pPr>
        <w:pStyle w:val="BodyText"/>
      </w:pPr>
      <w:r>
        <w:rPr>
          <w:rFonts w:hint="eastAsia"/>
        </w:rPr>
        <w:t xml:space="preserve">股份單位獎勵相關的任何本公司股份獲得任何現金及非現金收入、股息或分派及</w:t>
      </w:r>
      <w:r>
        <w:t xml:space="preserve"> </w:t>
      </w:r>
      <w:r>
        <w:rPr>
          <w:rFonts w:hint="eastAsia"/>
        </w:rPr>
        <w:t xml:space="preserve">∕或出售非現金及非以股代息之</w:t>
      </w:r>
    </w:p>
    <w:p>
      <w:pPr>
        <w:pStyle w:val="BodyText"/>
      </w:pPr>
      <w:r>
        <w:rPr>
          <w:rFonts w:hint="eastAsia"/>
        </w:rPr>
        <w:t xml:space="preserve">分派的所得款項。</w:t>
      </w:r>
    </w:p>
    <w:p>
      <w:pPr>
        <w:pStyle w:val="BodyText"/>
      </w:pPr>
      <w:r>
        <w:rPr>
          <w:rFonts w:hint="eastAsia"/>
        </w:rPr>
        <w:t xml:space="preserve">根據2020年受限制股份單位計劃授出的受限制股份單位獎勵屬各受限制股份單位參與者個人所有，不得出讓。</w:t>
      </w:r>
    </w:p>
    <w:p>
      <w:pPr>
        <w:pStyle w:val="BodyText"/>
      </w:pPr>
      <w:r>
        <w:t xml:space="preserve">091</w:t>
      </w:r>
    </w:p>
    <w:p>
      <w:pPr>
        <w:pStyle w:val="BodyText"/>
      </w:pPr>
      <w:r>
        <w:rPr>
          <w:rFonts w:hint="eastAsia"/>
        </w:rPr>
        <w:t xml:space="preserve">概覽財務及營運回顧企業管治其他資料財務報表2020年報</w:t>
      </w:r>
    </w:p>
    <w:p>
      <w:pPr>
        <w:pStyle w:val="BodyText"/>
      </w:pPr>
      <w:r>
        <w:rPr>
          <w:rFonts w:hint="eastAsia"/>
        </w:rPr>
        <w:t xml:space="preserve">營運及管理</w:t>
      </w:r>
    </w:p>
    <w:p>
      <w:pPr>
        <w:pStyle w:val="BodyText"/>
      </w:pPr>
      <w:r>
        <w:rPr>
          <w:rFonts w:hint="eastAsia"/>
        </w:rPr>
        <w:t xml:space="preserve">董事會有權管理2020年受限制股份單位計劃，包括有權解釋及詮釋受限制股份單位計劃的規則及根據該計劃授出</w:t>
      </w:r>
    </w:p>
    <w:p>
      <w:pPr>
        <w:pStyle w:val="BodyText"/>
      </w:pPr>
      <w:r>
        <w:rPr>
          <w:rFonts w:hint="eastAsia"/>
        </w:rPr>
        <w:t xml:space="preserve">的受限制股份單位獎勵條款。董事會已授權董事委員會（即：僅由本公司獨立非執行董事組成的薪酬委員會）</w:t>
      </w:r>
    </w:p>
    <w:p>
      <w:pPr>
        <w:pStyle w:val="BodyText"/>
      </w:pPr>
      <w:r>
        <w:rPr>
          <w:rFonts w:hint="eastAsia"/>
        </w:rPr>
        <w:t xml:space="preserve">管</w:t>
      </w:r>
      <w:r>
        <w:t xml:space="preserve"> </w:t>
      </w:r>
      <w:r>
        <w:rPr>
          <w:rFonts w:hint="eastAsia"/>
        </w:rPr>
        <w:t xml:space="preserve">理2020年</w:t>
      </w:r>
      <w:r>
        <w:t xml:space="preserve"> </w:t>
      </w:r>
      <w:r>
        <w:rPr>
          <w:rFonts w:hint="eastAsia"/>
        </w:rPr>
        <w:t xml:space="preserve">受</w:t>
      </w:r>
      <w:r>
        <w:t xml:space="preserve"> </w:t>
      </w:r>
      <w:r>
        <w:rPr>
          <w:rFonts w:hint="eastAsia"/>
        </w:rPr>
        <w:t xml:space="preserve">限</w:t>
      </w:r>
      <w:r>
        <w:t xml:space="preserve"> </w:t>
      </w:r>
      <w:r>
        <w:rPr>
          <w:rFonts w:hint="eastAsia"/>
        </w:rPr>
        <w:t xml:space="preserve">制</w:t>
      </w:r>
      <w:r>
        <w:t xml:space="preserve"> </w:t>
      </w:r>
      <w:r>
        <w:rPr>
          <w:rFonts w:hint="eastAsia"/>
        </w:rPr>
        <w:t xml:space="preserve">股</w:t>
      </w:r>
      <w:r>
        <w:t xml:space="preserve"> </w:t>
      </w:r>
      <w:r>
        <w:rPr>
          <w:rFonts w:hint="eastAsia"/>
        </w:rPr>
        <w:t xml:space="preserve">份</w:t>
      </w:r>
      <w:r>
        <w:t xml:space="preserve"> </w:t>
      </w:r>
      <w:r>
        <w:rPr>
          <w:rFonts w:hint="eastAsia"/>
        </w:rPr>
        <w:t xml:space="preserve">單</w:t>
      </w:r>
      <w:r>
        <w:t xml:space="preserve"> </w:t>
      </w:r>
      <w:r>
        <w:rPr>
          <w:rFonts w:hint="eastAsia"/>
        </w:rPr>
        <w:t xml:space="preserve">位</w:t>
      </w:r>
      <w:r>
        <w:t xml:space="preserve"> </w:t>
      </w:r>
      <w:r>
        <w:rPr>
          <w:rFonts w:hint="eastAsia"/>
        </w:rPr>
        <w:t xml:space="preserve">計</w:t>
      </w:r>
      <w:r>
        <w:t xml:space="preserve"> </w:t>
      </w:r>
      <w:r>
        <w:rPr>
          <w:rFonts w:hint="eastAsia"/>
        </w:rPr>
        <w:t xml:space="preserve">劃，</w:t>
      </w:r>
      <w:r>
        <w:t xml:space="preserve"> </w:t>
      </w:r>
      <w:r>
        <w:rPr>
          <w:rFonts w:hint="eastAsia"/>
        </w:rPr>
        <w:t xml:space="preserve">亦</w:t>
      </w:r>
      <w:r>
        <w:t xml:space="preserve"> </w:t>
      </w:r>
      <w:r>
        <w:rPr>
          <w:rFonts w:hint="eastAsia"/>
        </w:rPr>
        <w:t xml:space="preserve">可</w:t>
      </w:r>
      <w:r>
        <w:t xml:space="preserve"> </w:t>
      </w:r>
      <w:r>
        <w:rPr>
          <w:rFonts w:hint="eastAsia"/>
        </w:rPr>
        <w:t xml:space="preserve">在</w:t>
      </w:r>
      <w:r>
        <w:t xml:space="preserve"> </w:t>
      </w:r>
      <w:r>
        <w:rPr>
          <w:rFonts w:hint="eastAsia"/>
        </w:rPr>
        <w:t xml:space="preserve">其</w:t>
      </w:r>
      <w:r>
        <w:t xml:space="preserve"> </w:t>
      </w:r>
      <w:r>
        <w:rPr>
          <w:rFonts w:hint="eastAsia"/>
        </w:rPr>
        <w:t xml:space="preserve">認</w:t>
      </w:r>
      <w:r>
        <w:t xml:space="preserve"> </w:t>
      </w:r>
      <w:r>
        <w:rPr>
          <w:rFonts w:hint="eastAsia"/>
        </w:rPr>
        <w:t xml:space="preserve">為</w:t>
      </w:r>
      <w:r>
        <w:t xml:space="preserve"> </w:t>
      </w:r>
      <w:r>
        <w:rPr>
          <w:rFonts w:hint="eastAsia"/>
        </w:rPr>
        <w:t xml:space="preserve">適</w:t>
      </w:r>
      <w:r>
        <w:t xml:space="preserve"> </w:t>
      </w:r>
      <w:r>
        <w:rPr>
          <w:rFonts w:hint="eastAsia"/>
        </w:rPr>
        <w:t xml:space="preserve">當</w:t>
      </w:r>
      <w:r>
        <w:t xml:space="preserve"> </w:t>
      </w:r>
      <w:r>
        <w:rPr>
          <w:rFonts w:hint="eastAsia"/>
        </w:rPr>
        <w:t xml:space="preserve">的</w:t>
      </w:r>
      <w:r>
        <w:t xml:space="preserve"> </w:t>
      </w:r>
      <w:r>
        <w:rPr>
          <w:rFonts w:hint="eastAsia"/>
        </w:rPr>
        <w:t xml:space="preserve">情</w:t>
      </w:r>
      <w:r>
        <w:t xml:space="preserve"> </w:t>
      </w:r>
      <w:r>
        <w:rPr>
          <w:rFonts w:hint="eastAsia"/>
        </w:rPr>
        <w:t xml:space="preserve">況</w:t>
      </w:r>
      <w:r>
        <w:t xml:space="preserve"> </w:t>
      </w:r>
      <w:r>
        <w:rPr>
          <w:rFonts w:hint="eastAsia"/>
        </w:rPr>
        <w:t xml:space="preserve">下</w:t>
      </w:r>
      <w:r>
        <w:t xml:space="preserve"> </w:t>
      </w:r>
      <w:r>
        <w:rPr>
          <w:rFonts w:hint="eastAsia"/>
        </w:rPr>
        <w:t xml:space="preserve">委</w:t>
      </w:r>
      <w:r>
        <w:t xml:space="preserve"> </w:t>
      </w:r>
      <w:r>
        <w:rPr>
          <w:rFonts w:hint="eastAsia"/>
        </w:rPr>
        <w:t xml:space="preserve">任</w:t>
      </w:r>
      <w:r>
        <w:t xml:space="preserve"> </w:t>
      </w:r>
      <w:r>
        <w:rPr>
          <w:rFonts w:hint="eastAsia"/>
        </w:rPr>
        <w:t xml:space="preserve">一</w:t>
      </w:r>
      <w:r>
        <w:t xml:space="preserve"> </w:t>
      </w:r>
      <w:r>
        <w:rPr>
          <w:rFonts w:hint="eastAsia"/>
        </w:rPr>
        <w:t xml:space="preserve">名</w:t>
      </w:r>
      <w:r>
        <w:t xml:space="preserve"> </w:t>
      </w:r>
      <w:r>
        <w:rPr>
          <w:rFonts w:hint="eastAsia"/>
        </w:rPr>
        <w:t xml:space="preserve">或</w:t>
      </w:r>
      <w:r>
        <w:t xml:space="preserve"> </w:t>
      </w:r>
      <w:r>
        <w:rPr>
          <w:rFonts w:hint="eastAsia"/>
        </w:rPr>
        <w:t xml:space="preserve">多</w:t>
      </w:r>
      <w:r>
        <w:t xml:space="preserve"> </w:t>
      </w:r>
      <w:r>
        <w:rPr>
          <w:rFonts w:hint="eastAsia"/>
        </w:rPr>
        <w:t xml:space="preserve">名</w:t>
      </w:r>
      <w:r>
        <w:t xml:space="preserve"> </w:t>
      </w:r>
      <w:r>
        <w:rPr>
          <w:rFonts w:hint="eastAsia"/>
        </w:rPr>
        <w:t xml:space="preserve">獨</w:t>
      </w:r>
      <w:r>
        <w:t xml:space="preserve"> </w:t>
      </w:r>
      <w:r>
        <w:rPr>
          <w:rFonts w:hint="eastAsia"/>
        </w:rPr>
        <w:t xml:space="preserve">立</w:t>
      </w:r>
      <w:r>
        <w:t xml:space="preserve"> </w:t>
      </w:r>
      <w:r>
        <w:rPr>
          <w:rFonts w:hint="eastAsia"/>
        </w:rPr>
        <w:t xml:space="preserve">第</w:t>
      </w:r>
      <w:r>
        <w:t xml:space="preserve"> </w:t>
      </w:r>
      <w:r>
        <w:rPr>
          <w:rFonts w:hint="eastAsia"/>
        </w:rPr>
        <w:t xml:space="preserve">三</w:t>
      </w:r>
      <w:r>
        <w:t xml:space="preserve"> </w:t>
      </w:r>
      <w:r>
        <w:rPr>
          <w:rFonts w:hint="eastAsia"/>
        </w:rPr>
        <w:t xml:space="preserve">方</w:t>
      </w:r>
      <w:r>
        <w:t xml:space="preserve"> </w:t>
      </w:r>
      <w:r>
        <w:rPr>
          <w:rFonts w:hint="eastAsia"/>
        </w:rPr>
        <w:t xml:space="preserve">訂</w:t>
      </w:r>
      <w:r>
        <w:t xml:space="preserve"> </w:t>
      </w:r>
      <w:r>
        <w:rPr>
          <w:rFonts w:hint="eastAsia"/>
        </w:rPr>
        <w:t xml:space="preserve">約</w:t>
      </w:r>
      <w:r>
        <w:t xml:space="preserve"> </w:t>
      </w:r>
      <w:r>
        <w:rPr>
          <w:rFonts w:hint="eastAsia"/>
        </w:rPr>
        <w:t xml:space="preserve">方</w:t>
      </w:r>
      <w:r>
        <w:t xml:space="preserve"> </w:t>
      </w:r>
      <w:r>
        <w:rPr>
          <w:rFonts w:hint="eastAsia"/>
        </w:rPr>
        <w:t xml:space="preserve">協</w:t>
      </w:r>
      <w:r>
        <w:t xml:space="preserve"> </w:t>
      </w:r>
      <w:r>
        <w:rPr>
          <w:rFonts w:hint="eastAsia"/>
        </w:rPr>
        <w:t xml:space="preserve">助</w:t>
      </w:r>
      <w:r>
        <w:t xml:space="preserve"> </w:t>
      </w:r>
      <w:r>
        <w:rPr>
          <w:rFonts w:hint="eastAsia"/>
        </w:rPr>
        <w:t xml:space="preserve">管</w:t>
      </w:r>
      <w:r>
        <w:t xml:space="preserve"> </w:t>
      </w:r>
      <w:r>
        <w:rPr>
          <w:rFonts w:hint="eastAsia"/>
        </w:rPr>
        <w:t xml:space="preserve">理</w:t>
      </w:r>
    </w:p>
    <w:p>
      <w:pPr>
        <w:pStyle w:val="BodyText"/>
      </w:pPr>
      <w:r>
        <w:rPr>
          <w:rFonts w:hint="eastAsia"/>
        </w:rPr>
        <w:t xml:space="preserve">2020年受限制股份單位計劃及授出管理2020年受限制股份單位計劃的權利及</w:t>
      </w:r>
      <w:r>
        <w:t xml:space="preserve"> </w:t>
      </w:r>
      <w:r>
        <w:rPr>
          <w:rFonts w:hint="eastAsia"/>
        </w:rPr>
        <w:t xml:space="preserve">∕或職權。</w:t>
      </w:r>
    </w:p>
    <w:p>
      <w:pPr>
        <w:pStyle w:val="BodyText"/>
      </w:pPr>
      <w:r>
        <w:rPr>
          <w:rFonts w:hint="eastAsia"/>
        </w:rPr>
        <w:t xml:space="preserve">董事會可決定受限制股份單位獎勵的歸屬條件（包括業績目標水平）及歸屬時間表，但受限制股份單位獎勵接納</w:t>
      </w:r>
    </w:p>
    <w:p>
      <w:pPr>
        <w:pStyle w:val="BodyText"/>
      </w:pPr>
      <w:r>
        <w:rPr>
          <w:rFonts w:hint="eastAsia"/>
        </w:rPr>
        <w:t xml:space="preserve">日期與受限制股份單位獎勵的歸屬日期須相隔至少六個月。</w:t>
      </w:r>
    </w:p>
    <w:p>
      <w:pPr>
        <w:pStyle w:val="BodyText"/>
      </w:pPr>
      <w:r>
        <w:rPr>
          <w:rFonts w:hint="eastAsia"/>
        </w:rPr>
        <w:t xml:space="preserve">在受限制股份單位獎勵歸屬前已任命獨立專業受託人管理為2020年受限制股份單位計劃而設立的信託（「計劃</w:t>
      </w:r>
    </w:p>
    <w:p>
      <w:pPr>
        <w:pStyle w:val="BodyText"/>
      </w:pPr>
      <w:r>
        <w:rPr>
          <w:rFonts w:hint="eastAsia"/>
        </w:rPr>
        <w:t xml:space="preserve">受託人」），並持有已授予受限制股份單位參與者的受限制股份單位獎勵相關的本公司股份。計劃受託人不得就</w:t>
      </w:r>
    </w:p>
    <w:p>
      <w:pPr>
        <w:pStyle w:val="BodyText"/>
      </w:pPr>
      <w:r>
        <w:rPr>
          <w:rFonts w:hint="eastAsia"/>
        </w:rPr>
        <w:t xml:space="preserve">其持有的本公司該等股份行使投票權。本公司或其附屬公司應提供資金供計劃受託人就籌備歸屬受限制股份單位</w:t>
      </w:r>
    </w:p>
    <w:p>
      <w:pPr>
        <w:pStyle w:val="BodyText"/>
      </w:pPr>
      <w:r>
        <w:rPr>
          <w:rFonts w:hint="eastAsia"/>
        </w:rPr>
        <w:t xml:space="preserve">獎勵而不時認購本公司新股份或於市場購買股份。</w:t>
      </w:r>
    </w:p>
    <w:p>
      <w:pPr>
        <w:pStyle w:val="BodyText"/>
      </w:pPr>
      <w:r>
        <w:rPr>
          <w:rFonts w:hint="eastAsia"/>
        </w:rPr>
        <w:t xml:space="preserve">計劃上限及一般授權</w:t>
      </w:r>
    </w:p>
    <w:p>
      <w:pPr>
        <w:pStyle w:val="BodyText"/>
      </w:pPr>
      <w:r>
        <w:rPr>
          <w:rFonts w:hint="eastAsia"/>
        </w:rPr>
        <w:t xml:space="preserve">倘根據2020年受限制股份單位計劃授出受限制股份單位獎勵（假設獲接納）會導致於2020年受限制股份單位</w:t>
      </w:r>
    </w:p>
    <w:p>
      <w:pPr>
        <w:pStyle w:val="BodyText"/>
      </w:pPr>
      <w:r>
        <w:rPr>
          <w:rFonts w:hint="eastAsia"/>
        </w:rPr>
        <w:t xml:space="preserve">採納日期起計十年期間內根據2020年受限制股份單位計劃（不包括已失效或已註銷的受限制股份單位獎勵）及</w:t>
      </w:r>
    </w:p>
    <w:p>
      <w:pPr>
        <w:pStyle w:val="BodyText"/>
      </w:pPr>
      <w:r>
        <w:rPr>
          <w:rFonts w:hint="eastAsia"/>
        </w:rPr>
        <w:t xml:space="preserve">本公司任何其他受限制股份單位計劃（即2010年受限制股份單位計劃）合共所授出的獎勵所涉及的股份總數及</w:t>
      </w:r>
    </w:p>
    <w:p>
      <w:pPr>
        <w:pStyle w:val="BodyText"/>
      </w:pPr>
      <w:r>
        <w:rPr>
          <w:rFonts w:hint="eastAsia"/>
        </w:rPr>
        <w:t xml:space="preserve">等值股份將超過基準日（即2020年5月29日）本公司全部已發行股份數目的2.5%（即302,264,978股股份，或因該</w:t>
      </w:r>
    </w:p>
    <w:p>
      <w:pPr>
        <w:pStyle w:val="BodyText"/>
      </w:pPr>
      <w:r>
        <w:rPr>
          <w:rFonts w:hint="eastAsia"/>
        </w:rPr>
        <w:t xml:space="preserve">等302,264,978股股份不時拆細或合併所產生有關股份數目）（「2020年受限制股份單位計劃上限」），則不得作出</w:t>
      </w:r>
    </w:p>
    <w:p>
      <w:pPr>
        <w:pStyle w:val="BodyText"/>
      </w:pPr>
      <w:r>
        <w:rPr>
          <w:rFonts w:hint="eastAsia"/>
        </w:rPr>
        <w:t xml:space="preserve">有關授出。</w:t>
      </w:r>
    </w:p>
    <w:p>
      <w:pPr>
        <w:pStyle w:val="BodyText"/>
      </w:pPr>
      <w:r>
        <w:rPr>
          <w:rFonts w:hint="eastAsia"/>
        </w:rPr>
        <w:t xml:space="preserve">2020年受限制股份單位計劃上限可在遵守任何根據上市規則適用股東批准規定情況下更新，惟無論如何，在批准</w:t>
      </w:r>
    </w:p>
    <w:p>
      <w:pPr>
        <w:pStyle w:val="BodyText"/>
      </w:pPr>
      <w:r>
        <w:rPr>
          <w:rFonts w:hint="eastAsia"/>
        </w:rPr>
        <w:t xml:space="preserve">更新限額日期（「更新批准日期」）後根據不時已更新的限額授出的受限制股份單位獎勵所涉股份總數及等值股份</w:t>
      </w:r>
    </w:p>
    <w:p>
      <w:pPr>
        <w:pStyle w:val="BodyText"/>
      </w:pPr>
      <w:r>
        <w:rPr>
          <w:rFonts w:hint="eastAsia"/>
        </w:rPr>
        <w:t xml:space="preserve">不得超逾有關更新批准日期當日本公司已發行股份數目的2.5%。</w:t>
      </w:r>
    </w:p>
    <w:p>
      <w:pPr>
        <w:pStyle w:val="BodyText"/>
      </w:pPr>
      <w:r>
        <w:rPr>
          <w:rFonts w:hint="eastAsia"/>
        </w:rPr>
        <w:t xml:space="preserve">根據2020年受限制股份單位計劃所授出的受限制股份單位獎勵於受限制股份單位獎勵歸屬時，可以本公司配發及</w:t>
      </w:r>
    </w:p>
    <w:p>
      <w:pPr>
        <w:pStyle w:val="BodyText"/>
      </w:pPr>
      <w:r>
        <w:rPr>
          <w:rFonts w:hint="eastAsia"/>
        </w:rPr>
        <w:t xml:space="preserve">發行本公司新股份支付。本公司將運用根據上市規則於本公司股東大會上自其股東取得的任何一般授權或特殊</w:t>
      </w:r>
    </w:p>
    <w:p>
      <w:pPr>
        <w:pStyle w:val="BodyText"/>
      </w:pPr>
      <w:r>
        <w:rPr>
          <w:rFonts w:hint="eastAsia"/>
        </w:rPr>
        <w:t xml:space="preserve">授權於受限制股份單位獎勵歸屬時向參與者發行及配發任何受限制股份單位獎勵所涉股份。</w:t>
      </w:r>
    </w:p>
    <w:p>
      <w:pPr>
        <w:pStyle w:val="BodyText"/>
      </w:pPr>
      <w:r>
        <w:rPr>
          <w:rFonts w:hint="eastAsia"/>
        </w:rPr>
        <w:t xml:space="preserve">歸屬及失效</w:t>
      </w:r>
    </w:p>
    <w:p>
      <w:pPr>
        <w:pStyle w:val="BodyText"/>
      </w:pPr>
      <w:r>
        <w:rPr>
          <w:rFonts w:hint="eastAsia"/>
        </w:rPr>
        <w:t xml:space="preserve">根據2020年受限制股份單位計劃，受限制股份單位獎勵在受限制股份單位參與者於受限制股份單位獎勵歸屬期間</w:t>
      </w:r>
    </w:p>
    <w:p>
      <w:pPr>
        <w:pStyle w:val="BodyText"/>
      </w:pPr>
      <w:r>
        <w:rPr>
          <w:rFonts w:hint="eastAsia"/>
        </w:rPr>
        <w:t xml:space="preserve">維持與本集團的僱傭關係情況下，方可進行歸屬。</w:t>
      </w:r>
    </w:p>
    <w:p>
      <w:pPr>
        <w:pStyle w:val="BodyText"/>
      </w:pPr>
      <w:r>
        <w:rPr>
          <w:rFonts w:hint="eastAsia"/>
        </w:rPr>
        <w:t xml:space="preserve">受限制股份單位獎勵歸屬時，董事會可全權酌情決定指示及安排計劃信託人將受限制股份單位獎勵的相關股份</w:t>
      </w:r>
    </w:p>
    <w:p>
      <w:pPr>
        <w:pStyle w:val="BodyText"/>
      </w:pPr>
      <w:r>
        <w:rPr>
          <w:rFonts w:hint="eastAsia"/>
        </w:rPr>
        <w:t xml:space="preserve">（有關股份為計劃信託人於市場購買的本公司股份或本公司配發及發行予計劃信託人列為繳足的股份）數目轉讓</w:t>
      </w:r>
    </w:p>
    <w:p>
      <w:pPr>
        <w:pStyle w:val="BodyText"/>
      </w:pPr>
      <w:r>
        <w:rPr>
          <w:rFonts w:hint="eastAsia"/>
        </w:rPr>
        <w:t xml:space="preserve">予受限制股份單位參與者。董事會可支付或指示及安排計劃信託人向受限制股份單位參與者支付本公司股份等值</w:t>
      </w:r>
    </w:p>
    <w:p>
      <w:pPr>
        <w:pStyle w:val="BodyText"/>
      </w:pPr>
      <w:r>
        <w:rPr>
          <w:rFonts w:hint="eastAsia"/>
        </w:rPr>
        <w:t xml:space="preserve">現金。</w:t>
      </w:r>
    </w:p>
    <w:p>
      <w:pPr>
        <w:pStyle w:val="BodyText"/>
      </w:pPr>
      <w:r>
        <w:t xml:space="preserve">092</w:t>
      </w:r>
    </w:p>
    <w:p>
      <w:pPr>
        <w:pStyle w:val="BodyText"/>
      </w:pPr>
      <w:r>
        <w:rPr>
          <w:rFonts w:hint="eastAsia"/>
        </w:rPr>
        <w:t xml:space="preserve">企業管治友邦保險控股有限公司董事會報告</w:t>
      </w:r>
    </w:p>
    <w:p>
      <w:pPr>
        <w:pStyle w:val="BodyText"/>
      </w:pPr>
      <w:r>
        <w:rPr>
          <w:rFonts w:hint="eastAsia"/>
        </w:rPr>
        <w:t xml:space="preserve">在受限制股份單位參與者因任何原因終止僱傭或服務的情況下，受限制股份單位獎勵將隨即自動失效，惟因以下</w:t>
      </w:r>
    </w:p>
    <w:p>
      <w:pPr>
        <w:pStyle w:val="BodyText"/>
      </w:pPr>
      <w:r>
        <w:rPr>
          <w:rFonts w:hint="eastAsia"/>
        </w:rPr>
        <w:t xml:space="preserve">原</w:t>
      </w:r>
      <w:r>
        <w:t xml:space="preserve"> </w:t>
      </w:r>
      <w:r>
        <w:rPr>
          <w:rFonts w:hint="eastAsia"/>
        </w:rPr>
        <w:t xml:space="preserve">因</w:t>
      </w:r>
      <w:r>
        <w:t xml:space="preserve"> </w:t>
      </w:r>
      <w:r>
        <w:rPr>
          <w:rFonts w:hint="eastAsia"/>
        </w:rPr>
        <w:t xml:space="preserve">除</w:t>
      </w:r>
      <w:r>
        <w:t xml:space="preserve"> </w:t>
      </w:r>
      <w:r>
        <w:rPr>
          <w:rFonts w:hint="eastAsia"/>
        </w:rPr>
        <w:t xml:space="preserve">外：(a)身</w:t>
      </w:r>
      <w:r>
        <w:t xml:space="preserve"> </w:t>
      </w:r>
      <w:r>
        <w:rPr>
          <w:rFonts w:hint="eastAsia"/>
        </w:rPr>
        <w:t xml:space="preserve">故、(b)殘</w:t>
      </w:r>
      <w:r>
        <w:t xml:space="preserve"> </w:t>
      </w:r>
      <w:r>
        <w:rPr>
          <w:rFonts w:hint="eastAsia"/>
        </w:rPr>
        <w:t xml:space="preserve">疾、(c)裁</w:t>
      </w:r>
      <w:r>
        <w:t xml:space="preserve"> </w:t>
      </w:r>
      <w:r>
        <w:rPr>
          <w:rFonts w:hint="eastAsia"/>
        </w:rPr>
        <w:t xml:space="preserve">員、(d)倘</w:t>
      </w:r>
      <w:r>
        <w:t xml:space="preserve"> </w:t>
      </w:r>
      <w:r>
        <w:rPr>
          <w:rFonts w:hint="eastAsia"/>
        </w:rPr>
        <w:t xml:space="preserve">僱</w:t>
      </w:r>
      <w:r>
        <w:t xml:space="preserve"> </w:t>
      </w:r>
      <w:r>
        <w:rPr>
          <w:rFonts w:hint="eastAsia"/>
        </w:rPr>
        <w:t xml:space="preserve">用</w:t>
      </w:r>
      <w:r>
        <w:t xml:space="preserve"> </w:t>
      </w:r>
      <w:r>
        <w:rPr>
          <w:rFonts w:hint="eastAsia"/>
        </w:rPr>
        <w:t xml:space="preserve">受</w:t>
      </w:r>
      <w:r>
        <w:t xml:space="preserve"> </w:t>
      </w:r>
      <w:r>
        <w:rPr>
          <w:rFonts w:hint="eastAsia"/>
        </w:rPr>
        <w:t xml:space="preserve">限</w:t>
      </w:r>
      <w:r>
        <w:t xml:space="preserve"> </w:t>
      </w:r>
      <w:r>
        <w:rPr>
          <w:rFonts w:hint="eastAsia"/>
        </w:rPr>
        <w:t xml:space="preserve">制</w:t>
      </w:r>
      <w:r>
        <w:t xml:space="preserve"> </w:t>
      </w:r>
      <w:r>
        <w:rPr>
          <w:rFonts w:hint="eastAsia"/>
        </w:rPr>
        <w:t xml:space="preserve">股</w:t>
      </w:r>
      <w:r>
        <w:t xml:space="preserve"> </w:t>
      </w:r>
      <w:r>
        <w:rPr>
          <w:rFonts w:hint="eastAsia"/>
        </w:rPr>
        <w:t xml:space="preserve">份</w:t>
      </w:r>
      <w:r>
        <w:t xml:space="preserve"> </w:t>
      </w:r>
      <w:r>
        <w:rPr>
          <w:rFonts w:hint="eastAsia"/>
        </w:rPr>
        <w:t xml:space="preserve">單</w:t>
      </w:r>
      <w:r>
        <w:t xml:space="preserve"> </w:t>
      </w:r>
      <w:r>
        <w:rPr>
          <w:rFonts w:hint="eastAsia"/>
        </w:rPr>
        <w:t xml:space="preserve">位</w:t>
      </w:r>
      <w:r>
        <w:t xml:space="preserve"> </w:t>
      </w:r>
      <w:r>
        <w:rPr>
          <w:rFonts w:hint="eastAsia"/>
        </w:rPr>
        <w:t xml:space="preserve">參</w:t>
      </w:r>
      <w:r>
        <w:t xml:space="preserve"> </w:t>
      </w:r>
      <w:r>
        <w:rPr>
          <w:rFonts w:hint="eastAsia"/>
        </w:rPr>
        <w:t xml:space="preserve">與</w:t>
      </w:r>
      <w:r>
        <w:t xml:space="preserve"> </w:t>
      </w:r>
      <w:r>
        <w:rPr>
          <w:rFonts w:hint="eastAsia"/>
        </w:rPr>
        <w:t xml:space="preserve">者</w:t>
      </w:r>
      <w:r>
        <w:t xml:space="preserve"> </w:t>
      </w:r>
      <w:r>
        <w:rPr>
          <w:rFonts w:hint="eastAsia"/>
        </w:rPr>
        <w:t xml:space="preserve">的</w:t>
      </w:r>
      <w:r>
        <w:t xml:space="preserve"> </w:t>
      </w:r>
      <w:r>
        <w:rPr>
          <w:rFonts w:hint="eastAsia"/>
        </w:rPr>
        <w:t xml:space="preserve">公</w:t>
      </w:r>
      <w:r>
        <w:t xml:space="preserve"> </w:t>
      </w:r>
      <w:r>
        <w:rPr>
          <w:rFonts w:hint="eastAsia"/>
        </w:rPr>
        <w:t xml:space="preserve">司</w:t>
      </w:r>
      <w:r>
        <w:t xml:space="preserve"> </w:t>
      </w:r>
      <w:r>
        <w:rPr>
          <w:rFonts w:hint="eastAsia"/>
        </w:rPr>
        <w:t xml:space="preserve">不</w:t>
      </w:r>
      <w:r>
        <w:t xml:space="preserve"> </w:t>
      </w:r>
      <w:r>
        <w:rPr>
          <w:rFonts w:hint="eastAsia"/>
        </w:rPr>
        <w:t xml:space="preserve">再</w:t>
      </w:r>
      <w:r>
        <w:t xml:space="preserve"> </w:t>
      </w:r>
      <w:r>
        <w:rPr>
          <w:rFonts w:hint="eastAsia"/>
        </w:rPr>
        <w:t xml:space="preserve">是</w:t>
      </w:r>
      <w:r>
        <w:t xml:space="preserve"> </w:t>
      </w:r>
      <w:r>
        <w:rPr>
          <w:rFonts w:hint="eastAsia"/>
        </w:rPr>
        <w:t xml:space="preserve">本</w:t>
      </w:r>
      <w:r>
        <w:t xml:space="preserve"> </w:t>
      </w:r>
      <w:r>
        <w:rPr>
          <w:rFonts w:hint="eastAsia"/>
        </w:rPr>
        <w:t xml:space="preserve">公</w:t>
      </w:r>
      <w:r>
        <w:t xml:space="preserve"> </w:t>
      </w:r>
      <w:r>
        <w:rPr>
          <w:rFonts w:hint="eastAsia"/>
        </w:rPr>
        <w:t xml:space="preserve">司</w:t>
      </w:r>
      <w:r>
        <w:t xml:space="preserve"> </w:t>
      </w:r>
      <w:r>
        <w:rPr>
          <w:rFonts w:hint="eastAsia"/>
        </w:rPr>
        <w:t xml:space="preserve">的</w:t>
      </w:r>
      <w:r>
        <w:t xml:space="preserve"> </w:t>
      </w:r>
      <w:r>
        <w:rPr>
          <w:rFonts w:hint="eastAsia"/>
        </w:rPr>
        <w:t xml:space="preserve">附</w:t>
      </w:r>
      <w:r>
        <w:t xml:space="preserve"> </w:t>
      </w:r>
      <w:r>
        <w:rPr>
          <w:rFonts w:hint="eastAsia"/>
        </w:rPr>
        <w:t xml:space="preserve">屬</w:t>
      </w:r>
      <w:r>
        <w:t xml:space="preserve"> </w:t>
      </w:r>
      <w:r>
        <w:rPr>
          <w:rFonts w:hint="eastAsia"/>
        </w:rPr>
        <w:t xml:space="preserve">公</w:t>
      </w:r>
      <w:r>
        <w:t xml:space="preserve"> </w:t>
      </w:r>
      <w:r>
        <w:rPr>
          <w:rFonts w:hint="eastAsia"/>
        </w:rPr>
        <w:t xml:space="preserve">司</w:t>
      </w:r>
      <w:r>
        <w:t xml:space="preserve"> </w:t>
      </w:r>
      <w:r>
        <w:rPr>
          <w:rFonts w:hint="eastAsia"/>
        </w:rPr>
        <w:t xml:space="preserve">或</w:t>
      </w:r>
    </w:p>
    <w:p>
      <w:pPr>
        <w:pStyle w:val="BodyText"/>
      </w:pPr>
      <w:r>
        <w:rPr>
          <w:rFonts w:hint="eastAsia"/>
        </w:rPr>
        <w:t xml:space="preserve">(e)退休，或董事會全權酌情決定的其他情況。</w:t>
      </w:r>
    </w:p>
    <w:p>
      <w:pPr>
        <w:pStyle w:val="BodyText"/>
      </w:pPr>
      <w:r>
        <w:rPr>
          <w:rFonts w:hint="eastAsia"/>
        </w:rPr>
        <w:t xml:space="preserve">終止</w:t>
      </w:r>
    </w:p>
    <w:p>
      <w:pPr>
        <w:pStyle w:val="BodyText"/>
      </w:pPr>
      <w:r>
        <w:rPr>
          <w:rFonts w:hint="eastAsia"/>
        </w:rPr>
        <w:t xml:space="preserve">董事會可於計劃期間屆滿前隨時終止2020年受限制股份單位計劃，且其後概不得授出其他受限制股份單位獎勵。</w:t>
      </w:r>
    </w:p>
    <w:p>
      <w:pPr>
        <w:pStyle w:val="BodyText"/>
      </w:pPr>
      <w:r>
        <w:rPr>
          <w:rFonts w:hint="eastAsia"/>
        </w:rPr>
        <w:t xml:space="preserve">倘終止，本公司或其相關附屬公司須知會計劃信託人及所有受限制股份單位參與者該終止情況，以及如何處理</w:t>
      </w:r>
    </w:p>
    <w:p>
      <w:pPr>
        <w:pStyle w:val="BodyText"/>
      </w:pPr>
      <w:r>
        <w:rPr>
          <w:rFonts w:hint="eastAsia"/>
        </w:rPr>
        <w:t xml:space="preserve">計劃信託人以信託方式代受限制股份單位參與者持有的任何財產（包括但不限於本公司任何股份）及尚未歸屬的</w:t>
      </w:r>
    </w:p>
    <w:p>
      <w:pPr>
        <w:pStyle w:val="BodyText"/>
      </w:pPr>
      <w:r>
        <w:rPr>
          <w:rFonts w:hint="eastAsia"/>
        </w:rPr>
        <w:t xml:space="preserve">受限制股份單位獎勵。</w:t>
      </w:r>
    </w:p>
    <w:p>
      <w:pPr>
        <w:pStyle w:val="BodyText"/>
      </w:pPr>
      <w:r>
        <w:rPr>
          <w:rFonts w:hint="eastAsia"/>
        </w:rPr>
        <w:t xml:space="preserve">上市規則涵義</w:t>
      </w:r>
    </w:p>
    <w:p>
      <w:pPr>
        <w:pStyle w:val="BodyText"/>
      </w:pPr>
      <w:r>
        <w:rPr>
          <w:rFonts w:hint="eastAsia"/>
        </w:rPr>
        <w:t xml:space="preserve">2020年受限制股份單位計劃並非購股權計劃及因此不受上市規則第17章條文規限。</w:t>
      </w:r>
    </w:p>
    <w:p>
      <w:pPr>
        <w:pStyle w:val="BodyText"/>
      </w:pPr>
      <w:r>
        <w:rPr>
          <w:rFonts w:hint="eastAsia"/>
        </w:rPr>
        <w:t xml:space="preserve">本公司將向香港聯交所申請批准不時根據2020年受限制股份單位計劃可能發行的任何本公司新股份（不超過2020年</w:t>
      </w:r>
    </w:p>
    <w:p>
      <w:pPr>
        <w:pStyle w:val="BodyText"/>
      </w:pPr>
      <w:r>
        <w:rPr>
          <w:rFonts w:hint="eastAsia"/>
        </w:rPr>
        <w:t xml:space="preserve">受限制股份單位計劃上限）上市及買賣。</w:t>
      </w:r>
    </w:p>
    <w:p>
      <w:pPr>
        <w:pStyle w:val="BodyText"/>
      </w:pPr>
      <w:r>
        <w:rPr>
          <w:rFonts w:hint="eastAsia"/>
        </w:rPr>
        <w:t xml:space="preserve">於截至2020年12月31日止年度，本公司根據2010年受限制股份單位計劃授予13,451,940份受限制股份單位且並無</w:t>
      </w:r>
    </w:p>
    <w:p>
      <w:pPr>
        <w:pStyle w:val="BodyText"/>
      </w:pPr>
      <w:r>
        <w:rPr>
          <w:rFonts w:hint="eastAsia"/>
        </w:rPr>
        <w:t xml:space="preserve">根據2020年受限制股份單位計劃授予受限制股份單位。有關該等計劃的詳情載於薪酬報告及財務報表附註40。</w:t>
      </w:r>
    </w:p>
    <w:p>
      <w:pPr>
        <w:pStyle w:val="BodyText"/>
      </w:pPr>
      <w:r>
        <w:rPr>
          <w:rFonts w:hint="eastAsia"/>
        </w:rPr>
        <w:t xml:space="preserve">購股權計劃</w:t>
      </w:r>
    </w:p>
    <w:p>
      <w:pPr>
        <w:pStyle w:val="BodyText"/>
      </w:pPr>
      <w:r>
        <w:rPr>
          <w:rFonts w:hint="eastAsia"/>
        </w:rPr>
        <w:t xml:space="preserve">本公司於2010年9月28日採納2010年購股權計劃，自採納日期起計為期10年。其在於2020年5月29日舉行的股東</w:t>
      </w:r>
    </w:p>
    <w:p>
      <w:pPr>
        <w:pStyle w:val="BodyText"/>
      </w:pPr>
      <w:r>
        <w:rPr>
          <w:rFonts w:hint="eastAsia"/>
        </w:rPr>
        <w:t xml:space="preserve">週年大會（2020年度股東週年大會）上就終止2010年購股權計劃及採納新購股權計劃（2020年購股權計劃）尋求</w:t>
      </w:r>
    </w:p>
    <w:p>
      <w:pPr>
        <w:pStyle w:val="BodyText"/>
      </w:pPr>
      <w:r>
        <w:rPr>
          <w:rFonts w:hint="eastAsia"/>
        </w:rPr>
        <w:t xml:space="preserve">並獲得其股東批准，終止及採納均於2020年5月29日生效。2020年購股權計劃亦由採納日期起10年有效。</w:t>
      </w:r>
    </w:p>
    <w:p>
      <w:pPr>
        <w:pStyle w:val="BodyText"/>
      </w:pPr>
      <w:r>
        <w:rPr>
          <w:rFonts w:hint="eastAsia"/>
        </w:rPr>
        <w:t xml:space="preserve">於截至2020年12月31日止年度，本公司根據2010年購股權計劃授予5,856,668份購股權，4,876,916份購股權已</w:t>
      </w:r>
    </w:p>
    <w:p>
      <w:pPr>
        <w:pStyle w:val="BodyText"/>
      </w:pPr>
      <w:r>
        <w:rPr>
          <w:rFonts w:hint="eastAsia"/>
        </w:rPr>
        <w:t xml:space="preserve">行使及本公司相應發行4,876,916股新股份。已收取的所得款項約為2,518萬美元。於2020年5月29日終止2010年</w:t>
      </w:r>
    </w:p>
    <w:p>
      <w:pPr>
        <w:pStyle w:val="BodyText"/>
      </w:pPr>
      <w:r>
        <w:rPr>
          <w:rFonts w:hint="eastAsia"/>
        </w:rPr>
        <w:t xml:space="preserve">購股權計劃並採納2020年購股權計劃後，不得再根據2010年購股權計劃授出購股權。然而，2010年購股權計劃</w:t>
      </w:r>
    </w:p>
    <w:p>
      <w:pPr>
        <w:pStyle w:val="BodyText"/>
      </w:pPr>
      <w:r>
        <w:rPr>
          <w:rFonts w:hint="eastAsia"/>
        </w:rPr>
        <w:t xml:space="preserve">繼續具有十足效力並維持在其終止之前已授出的所有購股權持續有效，且該等購股權的行使須受其授出條款、</w:t>
      </w:r>
    </w:p>
    <w:p>
      <w:pPr>
        <w:pStyle w:val="BodyText"/>
      </w:pPr>
      <w:r>
        <w:rPr>
          <w:rFonts w:hint="eastAsia"/>
        </w:rPr>
        <w:t xml:space="preserve">2010年購股權計劃的規定及上市規則所規限，並須按照該等條款及規定行使。自採納直至2020年12月31日，並</w:t>
      </w:r>
    </w:p>
    <w:p>
      <w:pPr>
        <w:pStyle w:val="BodyText"/>
      </w:pPr>
      <w:r>
        <w:rPr>
          <w:rFonts w:hint="eastAsia"/>
        </w:rPr>
        <w:t xml:space="preserve">無根據2020年購股權計劃授出購股權。2020年購股權計劃的條款概要載於2020年度股東週年大會的股東通函，</w:t>
      </w:r>
    </w:p>
    <w:p>
      <w:pPr>
        <w:pStyle w:val="BodyText"/>
      </w:pPr>
      <w:r>
        <w:rPr>
          <w:rFonts w:hint="eastAsia"/>
        </w:rPr>
        <w:t xml:space="preserve">有關該計劃的其他資料載於薪酬報告及財務報表附註40。</w:t>
      </w:r>
    </w:p>
    <w:p>
      <w:pPr>
        <w:pStyle w:val="BodyText"/>
      </w:pPr>
      <w:r>
        <w:t xml:space="preserve">093</w:t>
      </w:r>
    </w:p>
    <w:p>
      <w:pPr>
        <w:pStyle w:val="BodyText"/>
      </w:pPr>
      <w:r>
        <w:rPr>
          <w:rFonts w:hint="eastAsia"/>
        </w:rPr>
        <w:t xml:space="preserve">概覽財務及營運回顧企業管治其他資料財務報表2020年報</w:t>
      </w:r>
    </w:p>
    <w:p>
      <w:pPr>
        <w:pStyle w:val="BodyText"/>
      </w:pPr>
      <w:r>
        <w:rPr>
          <w:rFonts w:hint="eastAsia"/>
        </w:rPr>
        <w:t xml:space="preserve">僱員購股計劃</w:t>
      </w:r>
    </w:p>
    <w:p>
      <w:pPr>
        <w:pStyle w:val="BodyText"/>
      </w:pPr>
      <w:r>
        <w:rPr>
          <w:rFonts w:hint="eastAsia"/>
        </w:rPr>
        <w:t xml:space="preserve">鑒</w:t>
      </w:r>
      <w:r>
        <w:t xml:space="preserve"> </w:t>
      </w:r>
      <w:r>
        <w:rPr>
          <w:rFonts w:hint="eastAsia"/>
        </w:rPr>
        <w:t xml:space="preserve">於2011年</w:t>
      </w:r>
      <w:r>
        <w:t xml:space="preserve"> </w:t>
      </w:r>
      <w:r>
        <w:rPr>
          <w:rFonts w:hint="eastAsia"/>
        </w:rPr>
        <w:t xml:space="preserve">僱</w:t>
      </w:r>
      <w:r>
        <w:t xml:space="preserve"> </w:t>
      </w:r>
      <w:r>
        <w:rPr>
          <w:rFonts w:hint="eastAsia"/>
        </w:rPr>
        <w:t xml:space="preserve">員</w:t>
      </w:r>
      <w:r>
        <w:t xml:space="preserve"> </w:t>
      </w:r>
      <w:r>
        <w:rPr>
          <w:rFonts w:hint="eastAsia"/>
        </w:rPr>
        <w:t xml:space="preserve">購</w:t>
      </w:r>
      <w:r>
        <w:t xml:space="preserve"> </w:t>
      </w:r>
      <w:r>
        <w:rPr>
          <w:rFonts w:hint="eastAsia"/>
        </w:rPr>
        <w:t xml:space="preserve">股</w:t>
      </w:r>
      <w:r>
        <w:t xml:space="preserve"> </w:t>
      </w:r>
      <w:r>
        <w:rPr>
          <w:rFonts w:hint="eastAsia"/>
        </w:rPr>
        <w:t xml:space="preserve">計</w:t>
      </w:r>
      <w:r>
        <w:t xml:space="preserve"> </w:t>
      </w:r>
      <w:r>
        <w:rPr>
          <w:rFonts w:hint="eastAsia"/>
        </w:rPr>
        <w:t xml:space="preserve">劃</w:t>
      </w:r>
      <w:r>
        <w:t xml:space="preserve"> </w:t>
      </w:r>
      <w:r>
        <w:rPr>
          <w:rFonts w:hint="eastAsia"/>
        </w:rPr>
        <w:t xml:space="preserve">即</w:t>
      </w:r>
      <w:r>
        <w:t xml:space="preserve"> </w:t>
      </w:r>
      <w:r>
        <w:rPr>
          <w:rFonts w:hint="eastAsia"/>
        </w:rPr>
        <w:t xml:space="preserve">將</w:t>
      </w:r>
      <w:r>
        <w:t xml:space="preserve"> </w:t>
      </w:r>
      <w:r>
        <w:rPr>
          <w:rFonts w:hint="eastAsia"/>
        </w:rPr>
        <w:t xml:space="preserve">到</w:t>
      </w:r>
      <w:r>
        <w:t xml:space="preserve"> </w:t>
      </w:r>
      <w:r>
        <w:rPr>
          <w:rFonts w:hint="eastAsia"/>
        </w:rPr>
        <w:t xml:space="preserve">期，</w:t>
      </w:r>
      <w:r>
        <w:t xml:space="preserve"> </w:t>
      </w:r>
      <w:r>
        <w:rPr>
          <w:rFonts w:hint="eastAsia"/>
        </w:rPr>
        <w:t xml:space="preserve">本</w:t>
      </w:r>
      <w:r>
        <w:t xml:space="preserve"> </w:t>
      </w:r>
      <w:r>
        <w:rPr>
          <w:rFonts w:hint="eastAsia"/>
        </w:rPr>
        <w:t xml:space="preserve">公</w:t>
      </w:r>
      <w:r>
        <w:t xml:space="preserve"> </w:t>
      </w:r>
      <w:r>
        <w:rPr>
          <w:rFonts w:hint="eastAsia"/>
        </w:rPr>
        <w:t xml:space="preserve">司</w:t>
      </w:r>
      <w:r>
        <w:t xml:space="preserve"> </w:t>
      </w:r>
      <w:r>
        <w:rPr>
          <w:rFonts w:hint="eastAsia"/>
        </w:rPr>
        <w:t xml:space="preserve">已</w:t>
      </w:r>
      <w:r>
        <w:t xml:space="preserve"> </w:t>
      </w:r>
      <w:r>
        <w:rPr>
          <w:rFonts w:hint="eastAsia"/>
        </w:rPr>
        <w:t xml:space="preserve">於2020年8月1日</w:t>
      </w:r>
      <w:r>
        <w:t xml:space="preserve"> </w:t>
      </w:r>
      <w:r>
        <w:rPr>
          <w:rFonts w:hint="eastAsia"/>
        </w:rPr>
        <w:t xml:space="preserve">採</w:t>
      </w:r>
      <w:r>
        <w:t xml:space="preserve"> </w:t>
      </w:r>
      <w:r>
        <w:rPr>
          <w:rFonts w:hint="eastAsia"/>
        </w:rPr>
        <w:t xml:space="preserve">納</w:t>
      </w:r>
      <w:r>
        <w:t xml:space="preserve"> </w:t>
      </w:r>
      <w:r>
        <w:rPr>
          <w:rFonts w:hint="eastAsia"/>
        </w:rPr>
        <w:t xml:space="preserve">與2011年</w:t>
      </w:r>
      <w:r>
        <w:t xml:space="preserve"> </w:t>
      </w:r>
      <w:r>
        <w:rPr>
          <w:rFonts w:hint="eastAsia"/>
        </w:rPr>
        <w:t xml:space="preserve">僱</w:t>
      </w:r>
      <w:r>
        <w:t xml:space="preserve"> </w:t>
      </w:r>
      <w:r>
        <w:rPr>
          <w:rFonts w:hint="eastAsia"/>
        </w:rPr>
        <w:t xml:space="preserve">員</w:t>
      </w:r>
      <w:r>
        <w:t xml:space="preserve"> </w:t>
      </w:r>
      <w:r>
        <w:rPr>
          <w:rFonts w:hint="eastAsia"/>
        </w:rPr>
        <w:t xml:space="preserve">購</w:t>
      </w:r>
      <w:r>
        <w:t xml:space="preserve"> </w:t>
      </w:r>
      <w:r>
        <w:rPr>
          <w:rFonts w:hint="eastAsia"/>
        </w:rPr>
        <w:t xml:space="preserve">股</w:t>
      </w:r>
      <w:r>
        <w:t xml:space="preserve"> </w:t>
      </w:r>
      <w:r>
        <w:rPr>
          <w:rFonts w:hint="eastAsia"/>
        </w:rPr>
        <w:t xml:space="preserve">計</w:t>
      </w:r>
      <w:r>
        <w:t xml:space="preserve"> </w:t>
      </w:r>
      <w:r>
        <w:rPr>
          <w:rFonts w:hint="eastAsia"/>
        </w:rPr>
        <w:t xml:space="preserve">劃</w:t>
      </w:r>
      <w:r>
        <w:t xml:space="preserve"> </w:t>
      </w:r>
      <w:r>
        <w:rPr>
          <w:rFonts w:hint="eastAsia"/>
        </w:rPr>
        <w:t xml:space="preserve">條</w:t>
      </w:r>
      <w:r>
        <w:t xml:space="preserve"> </w:t>
      </w:r>
      <w:r>
        <w:rPr>
          <w:rFonts w:hint="eastAsia"/>
        </w:rPr>
        <w:t xml:space="preserve">款</w:t>
      </w:r>
      <w:r>
        <w:t xml:space="preserve"> </w:t>
      </w:r>
      <w:r>
        <w:rPr>
          <w:rFonts w:hint="eastAsia"/>
        </w:rPr>
        <w:t xml:space="preserve">基</w:t>
      </w:r>
      <w:r>
        <w:t xml:space="preserve"> </w:t>
      </w:r>
      <w:r>
        <w:rPr>
          <w:rFonts w:hint="eastAsia"/>
        </w:rPr>
        <w:t xml:space="preserve">本</w:t>
      </w:r>
      <w:r>
        <w:t xml:space="preserve"> </w:t>
      </w:r>
      <w:r>
        <w:rPr>
          <w:rFonts w:hint="eastAsia"/>
        </w:rPr>
        <w:t xml:space="preserve">相</w:t>
      </w:r>
      <w:r>
        <w:t xml:space="preserve"> </w:t>
      </w:r>
      <w:r>
        <w:rPr>
          <w:rFonts w:hint="eastAsia"/>
        </w:rPr>
        <w:t xml:space="preserve">同</w:t>
      </w:r>
      <w:r>
        <w:t xml:space="preserve"> </w:t>
      </w:r>
      <w:r>
        <w:rPr>
          <w:rFonts w:hint="eastAsia"/>
        </w:rPr>
        <w:t xml:space="preserve">的</w:t>
      </w:r>
    </w:p>
    <w:p>
      <w:pPr>
        <w:pStyle w:val="BodyText"/>
      </w:pPr>
      <w:r>
        <w:rPr>
          <w:rFonts w:hint="eastAsia"/>
        </w:rPr>
        <w:t xml:space="preserve">2020年僱員購股計劃，以取代2011年僱員購股計劃。2020年僱員購股計劃自採納日期起有效期為十年。2011年</w:t>
      </w:r>
    </w:p>
    <w:p>
      <w:pPr>
        <w:pStyle w:val="BodyText"/>
      </w:pPr>
      <w:r>
        <w:rPr>
          <w:rFonts w:hint="eastAsia"/>
        </w:rPr>
        <w:t xml:space="preserve">僱員購股計劃已於2020年10月31日終止。</w:t>
      </w:r>
    </w:p>
    <w:p>
      <w:pPr>
        <w:pStyle w:val="BodyText"/>
      </w:pPr>
      <w:r>
        <w:rPr>
          <w:rFonts w:hint="eastAsia"/>
        </w:rPr>
        <w:t xml:space="preserve">於</w:t>
      </w:r>
      <w:r>
        <w:t xml:space="preserve"> </w:t>
      </w:r>
      <w:r>
        <w:rPr>
          <w:rFonts w:hint="eastAsia"/>
        </w:rPr>
        <w:t xml:space="preserve">截</w:t>
      </w:r>
      <w:r>
        <w:t xml:space="preserve"> </w:t>
      </w:r>
      <w:r>
        <w:rPr>
          <w:rFonts w:hint="eastAsia"/>
        </w:rPr>
        <w:t xml:space="preserve">至2020年12月31日</w:t>
      </w:r>
      <w:r>
        <w:t xml:space="preserve"> </w:t>
      </w:r>
      <w:r>
        <w:rPr>
          <w:rFonts w:hint="eastAsia"/>
        </w:rPr>
        <w:t xml:space="preserve">止</w:t>
      </w:r>
      <w:r>
        <w:t xml:space="preserve"> </w:t>
      </w:r>
      <w:r>
        <w:rPr>
          <w:rFonts w:hint="eastAsia"/>
        </w:rPr>
        <w:t xml:space="preserve">年</w:t>
      </w:r>
      <w:r>
        <w:t xml:space="preserve"> </w:t>
      </w:r>
      <w:r>
        <w:rPr>
          <w:rFonts w:hint="eastAsia"/>
        </w:rPr>
        <w:t xml:space="preserve">度，</w:t>
      </w:r>
      <w:r>
        <w:t xml:space="preserve"> </w:t>
      </w:r>
      <w:r>
        <w:rPr>
          <w:rFonts w:hint="eastAsia"/>
        </w:rPr>
        <w:t xml:space="preserve">本</w:t>
      </w:r>
      <w:r>
        <w:t xml:space="preserve"> </w:t>
      </w:r>
      <w:r>
        <w:rPr>
          <w:rFonts w:hint="eastAsia"/>
        </w:rPr>
        <w:t xml:space="preserve">公</w:t>
      </w:r>
      <w:r>
        <w:t xml:space="preserve"> </w:t>
      </w:r>
      <w:r>
        <w:rPr>
          <w:rFonts w:hint="eastAsia"/>
        </w:rPr>
        <w:t xml:space="preserve">司</w:t>
      </w:r>
      <w:r>
        <w:t xml:space="preserve"> </w:t>
      </w:r>
      <w:r>
        <w:rPr>
          <w:rFonts w:hint="eastAsia"/>
        </w:rPr>
        <w:t xml:space="preserve">於2011年</w:t>
      </w:r>
      <w:r>
        <w:t xml:space="preserve"> </w:t>
      </w:r>
      <w:r>
        <w:rPr>
          <w:rFonts w:hint="eastAsia"/>
        </w:rPr>
        <w:t xml:space="preserve">僱</w:t>
      </w:r>
      <w:r>
        <w:t xml:space="preserve"> </w:t>
      </w:r>
      <w:r>
        <w:rPr>
          <w:rFonts w:hint="eastAsia"/>
        </w:rPr>
        <w:t xml:space="preserve">員</w:t>
      </w:r>
      <w:r>
        <w:t xml:space="preserve"> </w:t>
      </w:r>
      <w:r>
        <w:rPr>
          <w:rFonts w:hint="eastAsia"/>
        </w:rPr>
        <w:t xml:space="preserve">購</w:t>
      </w:r>
      <w:r>
        <w:t xml:space="preserve"> </w:t>
      </w:r>
      <w:r>
        <w:rPr>
          <w:rFonts w:hint="eastAsia"/>
        </w:rPr>
        <w:t xml:space="preserve">股</w:t>
      </w:r>
      <w:r>
        <w:t xml:space="preserve"> </w:t>
      </w:r>
      <w:r>
        <w:rPr>
          <w:rFonts w:hint="eastAsia"/>
        </w:rPr>
        <w:t xml:space="preserve">計</w:t>
      </w:r>
      <w:r>
        <w:t xml:space="preserve"> </w:t>
      </w:r>
      <w:r>
        <w:rPr>
          <w:rFonts w:hint="eastAsia"/>
        </w:rPr>
        <w:t xml:space="preserve">劃</w:t>
      </w:r>
      <w:r>
        <w:t xml:space="preserve"> </w:t>
      </w:r>
      <w:r>
        <w:rPr>
          <w:rFonts w:hint="eastAsia"/>
        </w:rPr>
        <w:t xml:space="preserve">下</w:t>
      </w:r>
      <w:r>
        <w:t xml:space="preserve"> </w:t>
      </w:r>
      <w:r>
        <w:rPr>
          <w:rFonts w:hint="eastAsia"/>
        </w:rPr>
        <w:t xml:space="preserve">共</w:t>
      </w:r>
      <w:r>
        <w:t xml:space="preserve"> </w:t>
      </w:r>
      <w:r>
        <w:rPr>
          <w:rFonts w:hint="eastAsia"/>
        </w:rPr>
        <w:t xml:space="preserve">授</w:t>
      </w:r>
      <w:r>
        <w:t xml:space="preserve"> </w:t>
      </w:r>
      <w:r>
        <w:rPr>
          <w:rFonts w:hint="eastAsia"/>
        </w:rPr>
        <w:t xml:space="preserve">予1,274,789個</w:t>
      </w:r>
      <w:r>
        <w:t xml:space="preserve"> </w:t>
      </w:r>
      <w:r>
        <w:rPr>
          <w:rFonts w:hint="eastAsia"/>
        </w:rPr>
        <w:t xml:space="preserve">受</w:t>
      </w:r>
      <w:r>
        <w:t xml:space="preserve"> </w:t>
      </w:r>
      <w:r>
        <w:rPr>
          <w:rFonts w:hint="eastAsia"/>
        </w:rPr>
        <w:t xml:space="preserve">限</w:t>
      </w:r>
      <w:r>
        <w:t xml:space="preserve"> </w:t>
      </w:r>
      <w:r>
        <w:rPr>
          <w:rFonts w:hint="eastAsia"/>
        </w:rPr>
        <w:t xml:space="preserve">制</w:t>
      </w:r>
      <w:r>
        <w:t xml:space="preserve"> </w:t>
      </w:r>
      <w:r>
        <w:rPr>
          <w:rFonts w:hint="eastAsia"/>
        </w:rPr>
        <w:t xml:space="preserve">股</w:t>
      </w:r>
      <w:r>
        <w:t xml:space="preserve"> </w:t>
      </w:r>
      <w:r>
        <w:rPr>
          <w:rFonts w:hint="eastAsia"/>
        </w:rPr>
        <w:t xml:space="preserve">份</w:t>
      </w:r>
      <w:r>
        <w:t xml:space="preserve"> </w:t>
      </w:r>
      <w:r>
        <w:rPr>
          <w:rFonts w:hint="eastAsia"/>
        </w:rPr>
        <w:t xml:space="preserve">購</w:t>
      </w:r>
      <w:r>
        <w:t xml:space="preserve"> </w:t>
      </w:r>
      <w:r>
        <w:rPr>
          <w:rFonts w:hint="eastAsia"/>
        </w:rPr>
        <w:t xml:space="preserve">買</w:t>
      </w:r>
      <w:r>
        <w:t xml:space="preserve"> </w:t>
      </w:r>
      <w:r>
        <w:rPr>
          <w:rFonts w:hint="eastAsia"/>
        </w:rPr>
        <w:t xml:space="preserve">單</w:t>
      </w:r>
      <w:r>
        <w:t xml:space="preserve"> </w:t>
      </w:r>
      <w:r>
        <w:rPr>
          <w:rFonts w:hint="eastAsia"/>
        </w:rPr>
        <w:t xml:space="preserve">位，</w:t>
      </w:r>
    </w:p>
    <w:p>
      <w:pPr>
        <w:pStyle w:val="BodyText"/>
      </w:pPr>
      <w:r>
        <w:rPr>
          <w:rFonts w:hint="eastAsia"/>
        </w:rPr>
        <w:t xml:space="preserve">1,101,823個</w:t>
      </w:r>
      <w:r>
        <w:t xml:space="preserve"> </w:t>
      </w:r>
      <w:r>
        <w:rPr>
          <w:rFonts w:hint="eastAsia"/>
        </w:rPr>
        <w:t xml:space="preserve">配</w:t>
      </w:r>
      <w:r>
        <w:t xml:space="preserve"> </w:t>
      </w:r>
      <w:r>
        <w:rPr>
          <w:rFonts w:hint="eastAsia"/>
        </w:rPr>
        <w:t xml:space="preserve">送</w:t>
      </w:r>
      <w:r>
        <w:t xml:space="preserve"> </w:t>
      </w:r>
      <w:r>
        <w:rPr>
          <w:rFonts w:hint="eastAsia"/>
        </w:rPr>
        <w:t xml:space="preserve">受</w:t>
      </w:r>
      <w:r>
        <w:t xml:space="preserve"> </w:t>
      </w:r>
      <w:r>
        <w:rPr>
          <w:rFonts w:hint="eastAsia"/>
        </w:rPr>
        <w:t xml:space="preserve">限</w:t>
      </w:r>
      <w:r>
        <w:t xml:space="preserve"> </w:t>
      </w:r>
      <w:r>
        <w:rPr>
          <w:rFonts w:hint="eastAsia"/>
        </w:rPr>
        <w:t xml:space="preserve">制</w:t>
      </w:r>
      <w:r>
        <w:t xml:space="preserve"> </w:t>
      </w:r>
      <w:r>
        <w:rPr>
          <w:rFonts w:hint="eastAsia"/>
        </w:rPr>
        <w:t xml:space="preserve">股</w:t>
      </w:r>
      <w:r>
        <w:t xml:space="preserve"> </w:t>
      </w:r>
      <w:r>
        <w:rPr>
          <w:rFonts w:hint="eastAsia"/>
        </w:rPr>
        <w:t xml:space="preserve">份</w:t>
      </w:r>
      <w:r>
        <w:t xml:space="preserve"> </w:t>
      </w:r>
      <w:r>
        <w:rPr>
          <w:rFonts w:hint="eastAsia"/>
        </w:rPr>
        <w:t xml:space="preserve">購</w:t>
      </w:r>
      <w:r>
        <w:t xml:space="preserve"> </w:t>
      </w:r>
      <w:r>
        <w:rPr>
          <w:rFonts w:hint="eastAsia"/>
        </w:rPr>
        <w:t xml:space="preserve">買</w:t>
      </w:r>
      <w:r>
        <w:t xml:space="preserve"> </w:t>
      </w:r>
      <w:r>
        <w:rPr>
          <w:rFonts w:hint="eastAsia"/>
        </w:rPr>
        <w:t xml:space="preserve">單</w:t>
      </w:r>
      <w:r>
        <w:t xml:space="preserve"> </w:t>
      </w:r>
      <w:r>
        <w:rPr>
          <w:rFonts w:hint="eastAsia"/>
        </w:rPr>
        <w:t xml:space="preserve">位</w:t>
      </w:r>
      <w:r>
        <w:t xml:space="preserve"> </w:t>
      </w:r>
      <w:r>
        <w:rPr>
          <w:rFonts w:hint="eastAsia"/>
        </w:rPr>
        <w:t xml:space="preserve">已</w:t>
      </w:r>
      <w:r>
        <w:t xml:space="preserve"> </w:t>
      </w:r>
      <w:r>
        <w:rPr>
          <w:rFonts w:hint="eastAsia"/>
        </w:rPr>
        <w:t xml:space="preserve">於</w:t>
      </w:r>
      <w:r>
        <w:t xml:space="preserve"> </w:t>
      </w:r>
      <w:r>
        <w:rPr>
          <w:rFonts w:hint="eastAsia"/>
        </w:rPr>
        <w:t xml:space="preserve">期</w:t>
      </w:r>
      <w:r>
        <w:t xml:space="preserve"> </w:t>
      </w:r>
      <w:r>
        <w:rPr>
          <w:rFonts w:hint="eastAsia"/>
        </w:rPr>
        <w:t xml:space="preserve">內</w:t>
      </w:r>
      <w:r>
        <w:t xml:space="preserve"> </w:t>
      </w:r>
      <w:r>
        <w:rPr>
          <w:rFonts w:hint="eastAsia"/>
        </w:rPr>
        <w:t xml:space="preserve">歸</w:t>
      </w:r>
      <w:r>
        <w:t xml:space="preserve"> </w:t>
      </w:r>
      <w:r>
        <w:rPr>
          <w:rFonts w:hint="eastAsia"/>
        </w:rPr>
        <w:t xml:space="preserve">屬。</w:t>
      </w:r>
      <w:r>
        <w:t xml:space="preserve"> </w:t>
      </w:r>
      <w:r>
        <w:rPr>
          <w:rFonts w:hint="eastAsia"/>
        </w:rPr>
        <w:t xml:space="preserve">於</w:t>
      </w:r>
      <w:r>
        <w:t xml:space="preserve"> </w:t>
      </w:r>
      <w:r>
        <w:rPr>
          <w:rFonts w:hint="eastAsia"/>
        </w:rPr>
        <w:t xml:space="preserve">相</w:t>
      </w:r>
      <w:r>
        <w:t xml:space="preserve"> </w:t>
      </w:r>
      <w:r>
        <w:rPr>
          <w:rFonts w:hint="eastAsia"/>
        </w:rPr>
        <w:t xml:space="preserve">同</w:t>
      </w:r>
      <w:r>
        <w:t xml:space="preserve"> </w:t>
      </w:r>
      <w:r>
        <w:rPr>
          <w:rFonts w:hint="eastAsia"/>
        </w:rPr>
        <w:t xml:space="preserve">期</w:t>
      </w:r>
      <w:r>
        <w:t xml:space="preserve"> </w:t>
      </w:r>
      <w:r>
        <w:rPr>
          <w:rFonts w:hint="eastAsia"/>
        </w:rPr>
        <w:t xml:space="preserve">間，</w:t>
      </w:r>
      <w:r>
        <w:t xml:space="preserve"> </w:t>
      </w:r>
      <w:r>
        <w:rPr>
          <w:rFonts w:hint="eastAsia"/>
        </w:rPr>
        <w:t xml:space="preserve">本</w:t>
      </w:r>
      <w:r>
        <w:t xml:space="preserve"> </w:t>
      </w:r>
      <w:r>
        <w:rPr>
          <w:rFonts w:hint="eastAsia"/>
        </w:rPr>
        <w:t xml:space="preserve">公</w:t>
      </w:r>
      <w:r>
        <w:t xml:space="preserve"> </w:t>
      </w:r>
      <w:r>
        <w:rPr>
          <w:rFonts w:hint="eastAsia"/>
        </w:rPr>
        <w:t xml:space="preserve">司</w:t>
      </w:r>
      <w:r>
        <w:t xml:space="preserve"> </w:t>
      </w:r>
      <w:r>
        <w:rPr>
          <w:rFonts w:hint="eastAsia"/>
        </w:rPr>
        <w:t xml:space="preserve">於2020年</w:t>
      </w:r>
      <w:r>
        <w:t xml:space="preserve"> </w:t>
      </w:r>
      <w:r>
        <w:rPr>
          <w:rFonts w:hint="eastAsia"/>
        </w:rPr>
        <w:t xml:space="preserve">僱</w:t>
      </w:r>
      <w:r>
        <w:t xml:space="preserve"> </w:t>
      </w:r>
      <w:r>
        <w:rPr>
          <w:rFonts w:hint="eastAsia"/>
        </w:rPr>
        <w:t xml:space="preserve">員</w:t>
      </w:r>
      <w:r>
        <w:t xml:space="preserve"> </w:t>
      </w:r>
      <w:r>
        <w:rPr>
          <w:rFonts w:hint="eastAsia"/>
        </w:rPr>
        <w:t xml:space="preserve">購</w:t>
      </w:r>
      <w:r>
        <w:t xml:space="preserve"> </w:t>
      </w:r>
      <w:r>
        <w:rPr>
          <w:rFonts w:hint="eastAsia"/>
        </w:rPr>
        <w:t xml:space="preserve">股</w:t>
      </w:r>
      <w:r>
        <w:t xml:space="preserve"> </w:t>
      </w:r>
      <w:r>
        <w:rPr>
          <w:rFonts w:hint="eastAsia"/>
        </w:rPr>
        <w:t xml:space="preserve">計</w:t>
      </w:r>
      <w:r>
        <w:t xml:space="preserve"> </w:t>
      </w:r>
      <w:r>
        <w:rPr>
          <w:rFonts w:hint="eastAsia"/>
        </w:rPr>
        <w:t xml:space="preserve">劃</w:t>
      </w:r>
      <w:r>
        <w:t xml:space="preserve"> </w:t>
      </w:r>
      <w:r>
        <w:rPr>
          <w:rFonts w:hint="eastAsia"/>
        </w:rPr>
        <w:t xml:space="preserve">下</w:t>
      </w:r>
      <w:r>
        <w:t xml:space="preserve"> </w:t>
      </w:r>
      <w:r>
        <w:rPr>
          <w:rFonts w:hint="eastAsia"/>
        </w:rPr>
        <w:t xml:space="preserve">共</w:t>
      </w:r>
      <w:r>
        <w:t xml:space="preserve"> </w:t>
      </w:r>
      <w:r>
        <w:rPr>
          <w:rFonts w:hint="eastAsia"/>
        </w:rPr>
        <w:t xml:space="preserve">授</w:t>
      </w:r>
      <w:r>
        <w:t xml:space="preserve"> </w:t>
      </w:r>
      <w:r>
        <w:rPr>
          <w:rFonts w:hint="eastAsia"/>
        </w:rPr>
        <w:t xml:space="preserve">予</w:t>
      </w:r>
    </w:p>
    <w:p>
      <w:pPr>
        <w:pStyle w:val="BodyText"/>
      </w:pPr>
      <w:r>
        <w:rPr>
          <w:rFonts w:hint="eastAsia"/>
        </w:rPr>
        <w:t xml:space="preserve">278,101個受限制股份購買單位，57個配送受限制股份購買單位已於期內歸屬。自採納2011年僱員購股計劃及</w:t>
      </w:r>
    </w:p>
    <w:p>
      <w:pPr>
        <w:pStyle w:val="BodyText"/>
      </w:pPr>
      <w:r>
        <w:rPr>
          <w:rFonts w:hint="eastAsia"/>
        </w:rPr>
        <w:t xml:space="preserve">2020年僱員購股計劃起，本公司並無據其發行任何新股份。有關該等計劃的其他資料載於薪酬報告及財務報表</w:t>
      </w:r>
    </w:p>
    <w:p>
      <w:pPr>
        <w:pStyle w:val="BodyText"/>
      </w:pPr>
      <w:r>
        <w:rPr>
          <w:rFonts w:hint="eastAsia"/>
        </w:rPr>
        <w:t xml:space="preserve">附註40。</w:t>
      </w:r>
    </w:p>
    <w:p>
      <w:pPr>
        <w:pStyle w:val="BodyText"/>
      </w:pPr>
      <w:r>
        <w:rPr>
          <w:rFonts w:hint="eastAsia"/>
        </w:rPr>
        <w:t xml:space="preserve">代理購股計劃</w:t>
      </w:r>
    </w:p>
    <w:p>
      <w:pPr>
        <w:pStyle w:val="BodyText"/>
      </w:pPr>
      <w:r>
        <w:rPr>
          <w:rFonts w:hint="eastAsia"/>
        </w:rPr>
        <w:t xml:space="preserve">本公司於2012年2月23日（「2012年代理購股計劃採納日期」）採納2012年代理購股計劃。根據2012年代理購股</w:t>
      </w:r>
    </w:p>
    <w:p>
      <w:pPr>
        <w:pStyle w:val="BodyText"/>
      </w:pPr>
      <w:r>
        <w:rPr>
          <w:rFonts w:hint="eastAsia"/>
        </w:rPr>
        <w:t xml:space="preserve">計劃，本集團若干代理及代理主管獲挑選參與此計劃。獲選參與的代理可選擇購買本公司股份，並於參與計劃</w:t>
      </w:r>
    </w:p>
    <w:p>
      <w:pPr>
        <w:pStyle w:val="BodyText"/>
      </w:pPr>
      <w:r>
        <w:rPr>
          <w:rFonts w:hint="eastAsia"/>
        </w:rPr>
        <w:t xml:space="preserve">三年後透過獲授配送的受限制股份認購單位，就已購買的每兩股股份獲得一股配送股份。每名合資格代理在任何</w:t>
      </w:r>
    </w:p>
    <w:p>
      <w:pPr>
        <w:pStyle w:val="BodyText"/>
      </w:pPr>
      <w:r>
        <w:rPr>
          <w:rFonts w:hint="eastAsia"/>
        </w:rPr>
        <w:t xml:space="preserve">計劃年度的最高購買限額為15,000美元（或當地的等同金額）。當配送的受限制股份認購單位歸屬時，仍屬於本</w:t>
      </w:r>
    </w:p>
    <w:p>
      <w:pPr>
        <w:pStyle w:val="BodyText"/>
      </w:pPr>
      <w:r>
        <w:rPr>
          <w:rFonts w:hint="eastAsia"/>
        </w:rPr>
        <w:t xml:space="preserve">集團旗下的參與代理將就其所持有的每個受限制股份認購單位獲得一股配送股份。本公司於十年期內根據2012年</w:t>
      </w:r>
    </w:p>
    <w:p>
      <w:pPr>
        <w:pStyle w:val="BodyText"/>
      </w:pPr>
      <w:r>
        <w:rPr>
          <w:rFonts w:hint="eastAsia"/>
        </w:rPr>
        <w:t xml:space="preserve">代理購股計劃可發行的新股份總數不得超過於2012年代理購股計劃採納日期已發行股份數目的2.5%。自2012年</w:t>
      </w:r>
    </w:p>
    <w:p>
      <w:pPr>
        <w:pStyle w:val="BodyText"/>
      </w:pPr>
      <w:r>
        <w:rPr>
          <w:rFonts w:hint="eastAsia"/>
        </w:rPr>
        <w:t xml:space="preserve">代理購股計劃採納日期至2020年12月31日，根據2012年代理購股計劃共累計發行6,618,875股新股份，相當於</w:t>
      </w:r>
    </w:p>
    <w:p>
      <w:pPr>
        <w:pStyle w:val="BodyText"/>
      </w:pPr>
      <w:r>
        <w:rPr>
          <w:rFonts w:hint="eastAsia"/>
        </w:rPr>
        <w:t xml:space="preserve">2012年代理購股計劃採納日期當日已發行股份約0.055%。</w:t>
      </w:r>
    </w:p>
    <w:p>
      <w:pPr>
        <w:pStyle w:val="BodyText"/>
      </w:pPr>
      <w:r>
        <w:rPr>
          <w:rFonts w:hint="eastAsia"/>
        </w:rPr>
        <w:t xml:space="preserve">鑒於2012年代理購股計劃即將到期，本公司已於2021年2月1日採納與2012年代理購股計劃條款基本相同的新</w:t>
      </w:r>
    </w:p>
    <w:p>
      <w:pPr>
        <w:pStyle w:val="BodyText"/>
      </w:pPr>
      <w:r>
        <w:rPr>
          <w:rFonts w:hint="eastAsia"/>
        </w:rPr>
        <w:t xml:space="preserve">代理購股計劃（「2021年代理購股計劃」），以取代2012年代理購股計劃。2021年代理購股計劃自採納日期起有效</w:t>
      </w:r>
    </w:p>
    <w:p>
      <w:pPr>
        <w:pStyle w:val="BodyText"/>
      </w:pPr>
      <w:r>
        <w:rPr>
          <w:rFonts w:hint="eastAsia"/>
        </w:rPr>
        <w:t xml:space="preserve">期為十年。</w:t>
      </w:r>
    </w:p>
    <w:p>
      <w:pPr>
        <w:pStyle w:val="BodyText"/>
      </w:pPr>
      <w:r>
        <w:rPr>
          <w:rFonts w:hint="eastAsia"/>
        </w:rPr>
        <w:t xml:space="preserve">於截至2020年12月31日止年度，本公司於2021年代理購股計劃下共授予1,205,680個配送受限制股份認購單位，</w:t>
      </w:r>
    </w:p>
    <w:p>
      <w:pPr>
        <w:pStyle w:val="BodyText"/>
      </w:pPr>
      <w:r>
        <w:rPr>
          <w:rFonts w:hint="eastAsia"/>
        </w:rPr>
        <w:t xml:space="preserve">1,185,442個配送受限制股份認購單位已於期內歸屬，及本公司已就歸屬的受限制股份認購單位發行1,185,442股</w:t>
      </w:r>
    </w:p>
    <w:p>
      <w:pPr>
        <w:pStyle w:val="BodyText"/>
      </w:pPr>
      <w:r>
        <w:rPr>
          <w:rFonts w:hint="eastAsia"/>
        </w:rPr>
        <w:t xml:space="preserve">新股份（「授出股份」）。授出股份乃於配送受限制股份認購單位歸屬時按每股1.00美元的認購價發行予香港中央證</w:t>
      </w:r>
    </w:p>
    <w:p>
      <w:pPr>
        <w:pStyle w:val="BodyText"/>
      </w:pPr>
      <w:r>
        <w:rPr>
          <w:rFonts w:hint="eastAsia"/>
        </w:rPr>
        <w:t xml:space="preserve">券信託有限公司（即計劃受託人），以信託方式代獲得配送受限制股份認購單位歸屬的若干合資格代理持有。本公</w:t>
      </w:r>
    </w:p>
    <w:p>
      <w:pPr>
        <w:pStyle w:val="BodyText"/>
      </w:pPr>
      <w:r>
        <w:rPr>
          <w:rFonts w:hint="eastAsia"/>
        </w:rPr>
        <w:t xml:space="preserve">司股份於2020年4月27日的收市價為70.95港元。因2012年代理購股計劃發行新股份所收取的款項約為119萬美</w:t>
      </w:r>
    </w:p>
    <w:p>
      <w:pPr>
        <w:pStyle w:val="BodyText"/>
      </w:pPr>
      <w:r>
        <w:rPr>
          <w:rFonts w:hint="eastAsia"/>
        </w:rPr>
        <w:t xml:space="preserve">元，乃用於撥付2012年代理購股計劃的行政開支及用作本公司的一般營運資金。</w:t>
      </w:r>
    </w:p>
    <w:p>
      <w:pPr>
        <w:pStyle w:val="BodyText"/>
      </w:pPr>
      <w:r>
        <w:rPr>
          <w:rFonts w:hint="eastAsia"/>
        </w:rPr>
        <w:t xml:space="preserve">不獲豁免的關連交易</w:t>
      </w:r>
    </w:p>
    <w:p>
      <w:pPr>
        <w:pStyle w:val="BodyText"/>
      </w:pPr>
      <w:r>
        <w:rPr>
          <w:rFonts w:hint="eastAsia"/>
        </w:rPr>
        <w:t xml:space="preserve">於截至2020年12月31日止年度內，本集團並無進行任何不獲豁免遵守上市規則第十四A章須作年度申報規定的</w:t>
      </w:r>
    </w:p>
    <w:p>
      <w:pPr>
        <w:pStyle w:val="BodyText"/>
      </w:pPr>
      <w:r>
        <w:rPr>
          <w:rFonts w:hint="eastAsia"/>
        </w:rPr>
        <w:t xml:space="preserve">關連交易。</w:t>
      </w:r>
    </w:p>
    <w:p>
      <w:pPr>
        <w:pStyle w:val="BodyText"/>
      </w:pPr>
      <w:r>
        <w:t xml:space="preserve">094</w:t>
      </w:r>
    </w:p>
    <w:p>
      <w:pPr>
        <w:pStyle w:val="BodyText"/>
      </w:pPr>
      <w:r>
        <w:rPr>
          <w:rFonts w:hint="eastAsia"/>
        </w:rPr>
        <w:t xml:space="preserve">企業管治友邦保險控股有限公司董事會報告</w:t>
      </w:r>
    </w:p>
    <w:p>
      <w:pPr>
        <w:pStyle w:val="BodyText"/>
      </w:pPr>
      <w:r>
        <w:rPr>
          <w:rFonts w:hint="eastAsia"/>
        </w:rPr>
        <w:t xml:space="preserve">關連方交易</w:t>
      </w:r>
    </w:p>
    <w:p>
      <w:pPr>
        <w:pStyle w:val="BodyText"/>
      </w:pPr>
      <w:r>
        <w:rPr>
          <w:rFonts w:hint="eastAsia"/>
        </w:rPr>
        <w:t xml:space="preserve">於截至2020年12月31日止年度內，本集團在一般日常業務過程中進行的關連方交易的詳情載於財務報表附註</w:t>
      </w:r>
    </w:p>
    <w:p>
      <w:pPr>
        <w:pStyle w:val="BodyText"/>
      </w:pPr>
      <w:r>
        <w:rPr>
          <w:rFonts w:hint="eastAsia"/>
        </w:rPr>
        <w:t xml:space="preserve">42。根據上市規則第十四A章，該等關連方交易全部為獲豁免的關連交易。</w:t>
      </w:r>
    </w:p>
    <w:p>
      <w:pPr>
        <w:pStyle w:val="BodyText"/>
      </w:pPr>
      <w:r>
        <w:rPr>
          <w:rFonts w:hint="eastAsia"/>
        </w:rPr>
        <w:t xml:space="preserve">購買、出售或贖回本公司上市證券</w:t>
      </w:r>
    </w:p>
    <w:p>
      <w:pPr>
        <w:pStyle w:val="BodyText"/>
      </w:pPr>
      <w:r>
        <w:rPr>
          <w:rFonts w:hint="eastAsia"/>
        </w:rPr>
        <w:t xml:space="preserve">除根據2011年僱員購股計劃及2020年僱員購股計劃以總代價約1,500萬美元購買本公司1,552,886股股份外，於</w:t>
      </w:r>
    </w:p>
    <w:p>
      <w:pPr>
        <w:pStyle w:val="BodyText"/>
      </w:pPr>
      <w:r>
        <w:rPr>
          <w:rFonts w:hint="eastAsia"/>
        </w:rPr>
        <w:t xml:space="preserve">截至2020年12月31日止年度內，本公司或其任何附屬公司概無購買、出售或贖回本公司任何上市證券。有關計</w:t>
      </w:r>
    </w:p>
    <w:p>
      <w:pPr>
        <w:pStyle w:val="BodyText"/>
      </w:pPr>
      <w:r>
        <w:rPr>
          <w:rFonts w:hint="eastAsia"/>
        </w:rPr>
        <w:t xml:space="preserve">劃信託人所購入的股份乃於香港聯交所進行。有關股份乃以信託方式為有關計劃參與人持有，因而並未註銷。</w:t>
      </w:r>
    </w:p>
    <w:p>
      <w:pPr>
        <w:pStyle w:val="BodyText"/>
      </w:pPr>
      <w:r>
        <w:rPr>
          <w:rFonts w:hint="eastAsia"/>
        </w:rPr>
        <w:t xml:space="preserve">詳情請參閱財務報表附註40。</w:t>
      </w:r>
    </w:p>
    <w:p>
      <w:pPr>
        <w:pStyle w:val="BodyText"/>
      </w:pPr>
      <w:r>
        <w:rPr>
          <w:rFonts w:hint="eastAsia"/>
        </w:rPr>
        <w:t xml:space="preserve">公眾持股量</w:t>
      </w:r>
    </w:p>
    <w:p>
      <w:pPr>
        <w:pStyle w:val="BodyText"/>
      </w:pPr>
      <w:r>
        <w:rPr>
          <w:rFonts w:hint="eastAsia"/>
        </w:rPr>
        <w:t xml:space="preserve">根據本公司可公開獲得的資料及就董事所知，截至本報告日期，本公司一直維持香港聯交所核准及上市規則准許</w:t>
      </w:r>
    </w:p>
    <w:p>
      <w:pPr>
        <w:pStyle w:val="BodyText"/>
      </w:pPr>
      <w:r>
        <w:rPr>
          <w:rFonts w:hint="eastAsia"/>
        </w:rPr>
        <w:t xml:space="preserve">的公眾持股量。</w:t>
      </w:r>
    </w:p>
    <w:p>
      <w:pPr>
        <w:pStyle w:val="BodyText"/>
      </w:pPr>
      <w:r>
        <w:rPr>
          <w:rFonts w:hint="eastAsia"/>
        </w:rPr>
        <w:t xml:space="preserve">核數師</w:t>
      </w:r>
    </w:p>
    <w:p>
      <w:pPr>
        <w:pStyle w:val="BodyText"/>
      </w:pPr>
      <w:r>
        <w:rPr>
          <w:rFonts w:hint="eastAsia"/>
        </w:rPr>
        <w:t xml:space="preserve">羅兵咸永道會計師事務所於2020年續任為本公司核數師。</w:t>
      </w:r>
    </w:p>
    <w:p>
      <w:pPr>
        <w:pStyle w:val="BodyText"/>
      </w:pPr>
      <w:r>
        <w:rPr>
          <w:rFonts w:hint="eastAsia"/>
        </w:rPr>
        <w:t xml:space="preserve">羅兵咸永道會計師事務所將於股東週年大會上任滿告退，惟符合資格且願應聘續任。有關續任羅兵咸永道會計師</w:t>
      </w:r>
    </w:p>
    <w:p>
      <w:pPr>
        <w:pStyle w:val="BodyText"/>
      </w:pPr>
      <w:r>
        <w:rPr>
          <w:rFonts w:hint="eastAsia"/>
        </w:rPr>
        <w:t xml:space="preserve">事務所為本公司核數師的決議案將於股東週年大會上提呈。</w:t>
      </w:r>
    </w:p>
    <w:p>
      <w:pPr>
        <w:pStyle w:val="BodyText"/>
      </w:pPr>
      <w:r>
        <w:rPr>
          <w:rFonts w:hint="eastAsia"/>
        </w:rPr>
        <w:t xml:space="preserve">承董事會命</w:t>
      </w:r>
    </w:p>
    <w:p>
      <w:pPr>
        <w:pStyle w:val="BodyText"/>
      </w:pPr>
      <w:r>
        <w:rPr>
          <w:rFonts w:hint="eastAsia"/>
        </w:rPr>
        <w:t xml:space="preserve">謝仕榮</w:t>
      </w:r>
    </w:p>
    <w:p>
      <w:pPr>
        <w:pStyle w:val="BodyText"/>
      </w:pPr>
      <w:r>
        <w:rPr>
          <w:rFonts w:hint="eastAsia"/>
        </w:rPr>
        <w:t xml:space="preserve">獨立非執行主席</w:t>
      </w:r>
    </w:p>
    <w:p>
      <w:pPr>
        <w:pStyle w:val="BodyText"/>
      </w:pPr>
      <w:r>
        <w:rPr>
          <w:rFonts w:hint="eastAsia"/>
        </w:rPr>
        <w:t xml:space="preserve">2021年3月12日</w:t>
      </w:r>
    </w:p>
    <w:p>
      <w:pPr>
        <w:pStyle w:val="BodyText"/>
      </w:pPr>
      <w:r>
        <w:t xml:space="preserve">095</w:t>
      </w:r>
    </w:p>
    <w:p>
      <w:pPr>
        <w:pStyle w:val="BodyText"/>
      </w:pPr>
      <w:r>
        <w:rPr>
          <w:rFonts w:hint="eastAsia"/>
        </w:rPr>
        <w:t xml:space="preserve">概覽財務及營運回顧企業管治其他資料財務報表2020年報</w:t>
      </w:r>
    </w:p>
    <w:p>
      <w:pPr>
        <w:pStyle w:val="BodyText"/>
      </w:pPr>
      <w:r>
        <w:rPr>
          <w:rFonts w:hint="eastAsia"/>
        </w:rPr>
        <w:t xml:space="preserve">企業管治報告</w:t>
      </w:r>
    </w:p>
    <w:p>
      <w:pPr>
        <w:pStyle w:val="BodyText"/>
      </w:pPr>
      <w:r>
        <w:rPr>
          <w:rFonts w:hint="eastAsia"/>
        </w:rPr>
        <w:t xml:space="preserve">主要原則</w:t>
      </w:r>
    </w:p>
    <w:p>
      <w:pPr>
        <w:pStyle w:val="BodyText"/>
      </w:pPr>
      <w:r>
        <w:rPr>
          <w:rFonts w:hint="eastAsia"/>
        </w:rPr>
        <w:t xml:space="preserve">董事會認為，必須有穩妥的企業管治，才能使公司的價值得以持續發展以及維持重視商譽的文化，從而增強</w:t>
      </w:r>
    </w:p>
    <w:p>
      <w:pPr>
        <w:pStyle w:val="BodyText"/>
      </w:pPr>
      <w:r>
        <w:rPr>
          <w:rFonts w:hint="eastAsia"/>
        </w:rPr>
        <w:t xml:space="preserve">投資者的信心。對於本集團的表現，包括貫徹地完成業務計劃及遵守法規以及企業責任，董事會負有最終的</w:t>
      </w:r>
    </w:p>
    <w:p>
      <w:pPr>
        <w:pStyle w:val="BodyText"/>
      </w:pPr>
      <w:r>
        <w:rPr>
          <w:rFonts w:hint="eastAsia"/>
        </w:rPr>
        <w:t xml:space="preserve">責任。董事會亦負責制定和實行本集團的企業管治常規。本企業管治報告說明本公司的企業管治原則及常規，</w:t>
      </w:r>
    </w:p>
    <w:p>
      <w:pPr>
        <w:pStyle w:val="BodyText"/>
      </w:pPr>
      <w:r>
        <w:rPr>
          <w:rFonts w:hint="eastAsia"/>
        </w:rPr>
        <w:t xml:space="preserve">包括董事會如何管理業務以達致長遠的股東價值及推進本集團的發展。</w:t>
      </w:r>
    </w:p>
    <w:p>
      <w:pPr>
        <w:pStyle w:val="BodyText"/>
      </w:pPr>
      <w:r>
        <w:rPr>
          <w:rFonts w:hint="eastAsia"/>
        </w:rPr>
        <w:t xml:space="preserve">作為在香港聯交所主板上巿的公司，本公司承諾持守高標準的企業管治，視維持良好的企業管治常規為持續發展</w:t>
      </w:r>
    </w:p>
    <w:p>
      <w:pPr>
        <w:pStyle w:val="BodyText"/>
      </w:pPr>
      <w:r>
        <w:rPr>
          <w:rFonts w:hint="eastAsia"/>
        </w:rPr>
        <w:t xml:space="preserve">的重要因素。重要的是董事會成員整體具備了必要的技能和專長，並輔以一套透過於董事會、各委員會及管理層</w:t>
      </w:r>
    </w:p>
    <w:p>
      <w:pPr>
        <w:pStyle w:val="BodyText"/>
      </w:pPr>
      <w:r>
        <w:rPr>
          <w:rFonts w:hint="eastAsia"/>
        </w:rPr>
        <w:t xml:space="preserve">之間建立的適當授權架構，同時確保董事會能維持全面的監控。為促進對我們所有營運的有效管治，董事會</w:t>
      </w:r>
    </w:p>
    <w:p>
      <w:pPr>
        <w:pStyle w:val="BodyText"/>
      </w:pPr>
      <w:r>
        <w:rPr>
          <w:rFonts w:hint="eastAsia"/>
        </w:rPr>
        <w:t xml:space="preserve">已審批了一套管治框架，當中詳細制定內部審批程序，包括可被授權的多項事宜。</w:t>
      </w:r>
    </w:p>
    <w:p>
      <w:pPr>
        <w:pStyle w:val="BodyText"/>
      </w:pPr>
      <w:r>
        <w:rPr>
          <w:rFonts w:hint="eastAsia"/>
        </w:rPr>
        <w:t xml:space="preserve">於本企業管治報告中，董事會旨在列出本公司的企業管治架構及政策，告知股東本公司的企業管治承諾，以及</w:t>
      </w:r>
    </w:p>
    <w:p>
      <w:pPr>
        <w:pStyle w:val="BodyText"/>
      </w:pPr>
      <w:r>
        <w:rPr>
          <w:rFonts w:hint="eastAsia"/>
        </w:rPr>
        <w:t xml:space="preserve">向股東展示該等常規的價值。</w:t>
      </w:r>
    </w:p>
    <w:p>
      <w:pPr>
        <w:pStyle w:val="BodyText"/>
      </w:pPr>
      <w:r>
        <w:rPr>
          <w:rFonts w:hint="eastAsia"/>
        </w:rPr>
        <w:t xml:space="preserve">於截至2020年12月31日止年度內，本公司一直應用及遵守上市規則附錄十四所載的企業管治守則內的原則及</w:t>
      </w:r>
    </w:p>
    <w:p>
      <w:pPr>
        <w:pStyle w:val="BodyText"/>
      </w:pPr>
      <w:r>
        <w:rPr>
          <w:rFonts w:hint="eastAsia"/>
        </w:rPr>
        <w:t xml:space="preserve">所有適用守則條文，惟守則條文第F.1.3條除外。守則條文第F.1.3條規定，公司秘書應向董事會主席及</w:t>
      </w:r>
      <w:r>
        <w:t xml:space="preserve"> </w:t>
      </w:r>
      <w:r>
        <w:rPr>
          <w:rFonts w:hint="eastAsia"/>
        </w:rPr>
        <w:t xml:space="preserve">∕或行政</w:t>
      </w:r>
    </w:p>
    <w:p>
      <w:pPr>
        <w:pStyle w:val="BodyText"/>
      </w:pPr>
      <w:r>
        <w:rPr>
          <w:rFonts w:hint="eastAsia"/>
        </w:rPr>
        <w:t xml:space="preserve">總裁匯報。鑒於本公司施行不同的匯報基制，集團公司秘書向最終負責本公司公司秘書職能的集團法律總顧問</w:t>
      </w:r>
    </w:p>
    <w:p>
      <w:pPr>
        <w:pStyle w:val="BodyText"/>
      </w:pPr>
      <w:r>
        <w:rPr>
          <w:rFonts w:hint="eastAsia"/>
        </w:rPr>
        <w:t xml:space="preserve">匯報，而集團法律總顧問則直接向集團首席執行官匯報。</w:t>
      </w:r>
    </w:p>
    <w:p>
      <w:pPr>
        <w:pStyle w:val="BodyText"/>
      </w:pPr>
      <w:r>
        <w:rPr>
          <w:rFonts w:hint="eastAsia"/>
        </w:rPr>
        <w:t xml:space="preserve">董事會</w:t>
      </w:r>
    </w:p>
    <w:p>
      <w:pPr>
        <w:pStyle w:val="BodyText"/>
      </w:pPr>
      <w:r>
        <w:rPr>
          <w:rFonts w:hint="eastAsia"/>
        </w:rPr>
        <w:t xml:space="preserve">角色及責任</w:t>
      </w:r>
    </w:p>
    <w:p>
      <w:pPr>
        <w:pStyle w:val="BodyText"/>
      </w:pPr>
      <w:r>
        <w:rPr>
          <w:rFonts w:hint="eastAsia"/>
        </w:rPr>
        <w:t xml:space="preserve">董事會向股東負責本公司的一切事務。董事會透過確保本公司業務在各方面均維持高水平的管治、制訂本集團</w:t>
      </w:r>
    </w:p>
    <w:p>
      <w:pPr>
        <w:pStyle w:val="BodyText"/>
      </w:pPr>
      <w:r>
        <w:rPr>
          <w:rFonts w:hint="eastAsia"/>
        </w:rPr>
        <w:t xml:space="preserve">的策略方向及對其與本集團管理層之間的關係進行適當程度的檢討、挑戰及指引，履行其職責。董事會亦是所有</w:t>
      </w:r>
    </w:p>
    <w:p>
      <w:pPr>
        <w:pStyle w:val="BodyText"/>
      </w:pPr>
      <w:r>
        <w:rPr>
          <w:rFonts w:hint="eastAsia"/>
        </w:rPr>
        <w:t xml:space="preserve">對本集團屬重大事宜的最終決策組織，亦有責任確保董事會成員整體具備適當的技能、知識及經驗，以便有效</w:t>
      </w:r>
    </w:p>
    <w:p>
      <w:pPr>
        <w:pStyle w:val="BodyText"/>
      </w:pPr>
      <w:r>
        <w:rPr>
          <w:rFonts w:hint="eastAsia"/>
        </w:rPr>
        <w:t xml:space="preserve">履行其職責。</w:t>
      </w:r>
    </w:p>
    <w:p>
      <w:pPr>
        <w:pStyle w:val="BodyText"/>
      </w:pPr>
      <w:r>
        <w:rPr>
          <w:rFonts w:hint="eastAsia"/>
        </w:rPr>
        <w:t xml:space="preserve">在有關事宜上，董事會就各項運營事宜倚仗集團首席執行官兼總裁（彼獲授權就本公司的經營管理代表董事會</w:t>
      </w:r>
    </w:p>
    <w:p>
      <w:pPr>
        <w:pStyle w:val="BodyText"/>
      </w:pPr>
      <w:r>
        <w:rPr>
          <w:rFonts w:hint="eastAsia"/>
        </w:rPr>
        <w:t xml:space="preserve">行事）領導管理層。對於董事會未有授權予集團首席執行官的任何職責，則仍然由董事會負責。</w:t>
      </w:r>
    </w:p>
    <w:p>
      <w:pPr>
        <w:pStyle w:val="BodyText"/>
      </w:pPr>
      <w:r>
        <w:t xml:space="preserve">096</w:t>
      </w:r>
    </w:p>
    <w:p>
      <w:pPr>
        <w:pStyle w:val="BodyText"/>
      </w:pPr>
      <w:r>
        <w:rPr>
          <w:rFonts w:hint="eastAsia"/>
        </w:rPr>
        <w:t xml:space="preserve">企業管治友邦保險控股有限公司</w:t>
      </w:r>
    </w:p>
    <w:p>
      <w:pPr>
        <w:pStyle w:val="BodyText"/>
      </w:pPr>
      <w:r>
        <w:rPr>
          <w:rFonts w:hint="eastAsia"/>
        </w:rPr>
        <w:t xml:space="preserve">董事會本身或透過授權予審核委員會、提名委員會、薪酬委員會及風險委員會而履行下列職能：</w:t>
      </w:r>
    </w:p>
    <w:p>
      <w:pPr>
        <w:numPr>
          <w:ilvl w:val="0"/>
          <w:numId w:val="1081"/>
        </w:numPr>
      </w:pPr>
      <w:r>
        <w:rPr>
          <w:rFonts w:hint="eastAsia"/>
        </w:rPr>
        <w:t xml:space="preserve">制定及檢討本公司的企業管治政策及常規；</w:t>
      </w:r>
    </w:p>
    <w:p>
      <w:pPr>
        <w:numPr>
          <w:ilvl w:val="0"/>
          <w:numId w:val="1081"/>
        </w:numPr>
      </w:pPr>
      <w:r>
        <w:rPr>
          <w:rFonts w:hint="eastAsia"/>
        </w:rPr>
        <w:t xml:space="preserve">檢討及監察董事及高級管理人員的培訓及持續專業發展；</w:t>
      </w:r>
    </w:p>
    <w:p>
      <w:pPr>
        <w:numPr>
          <w:ilvl w:val="0"/>
          <w:numId w:val="1081"/>
        </w:numPr>
      </w:pPr>
      <w:r>
        <w:rPr>
          <w:rFonts w:hint="eastAsia"/>
        </w:rPr>
        <w:t xml:space="preserve">檢討及監察本公司於遵守法律及監管規定方面的政策及常規；</w:t>
      </w:r>
    </w:p>
    <w:p>
      <w:pPr>
        <w:numPr>
          <w:ilvl w:val="0"/>
          <w:numId w:val="1081"/>
        </w:numPr>
      </w:pPr>
      <w:r>
        <w:rPr>
          <w:rFonts w:hint="eastAsia"/>
        </w:rPr>
        <w:t xml:space="preserve">制定、檢討及監察適用於本集團所有主管及僱員的行為準則；及</w:t>
      </w:r>
    </w:p>
    <w:p>
      <w:pPr>
        <w:numPr>
          <w:ilvl w:val="0"/>
          <w:numId w:val="1081"/>
        </w:numPr>
      </w:pPr>
      <w:r>
        <w:rPr>
          <w:rFonts w:hint="eastAsia"/>
        </w:rPr>
        <w:t xml:space="preserve">檢討本公司遵守企業管治守則的情況及於本企業管治報告內的披露。</w:t>
      </w:r>
    </w:p>
    <w:p>
      <w:pPr>
        <w:pStyle w:val="FirstParagraph"/>
      </w:pPr>
      <w:r>
        <w:rPr>
          <w:rFonts w:hint="eastAsia"/>
        </w:rPr>
        <w:t xml:space="preserve">於</w:t>
      </w:r>
      <w:r>
        <w:t xml:space="preserve"> </w:t>
      </w:r>
      <w:r>
        <w:rPr>
          <w:rFonts w:hint="eastAsia"/>
        </w:rPr>
        <w:t xml:space="preserve">回</w:t>
      </w:r>
      <w:r>
        <w:t xml:space="preserve"> </w:t>
      </w:r>
      <w:r>
        <w:rPr>
          <w:rFonts w:hint="eastAsia"/>
        </w:rPr>
        <w:t xml:space="preserve">顧</w:t>
      </w:r>
      <w:r>
        <w:t xml:space="preserve"> </w:t>
      </w:r>
      <w:r>
        <w:rPr>
          <w:rFonts w:hint="eastAsia"/>
        </w:rPr>
        <w:t xml:space="preserve">年</w:t>
      </w:r>
      <w:r>
        <w:t xml:space="preserve"> </w:t>
      </w:r>
      <w:r>
        <w:rPr>
          <w:rFonts w:hint="eastAsia"/>
        </w:rPr>
        <w:t xml:space="preserve">度</w:t>
      </w:r>
      <w:r>
        <w:t xml:space="preserve"> </w:t>
      </w:r>
      <w:r>
        <w:rPr>
          <w:rFonts w:hint="eastAsia"/>
        </w:rPr>
        <w:t xml:space="preserve">內，</w:t>
      </w:r>
      <w:r>
        <w:t xml:space="preserve"> </w:t>
      </w:r>
      <w:r>
        <w:rPr>
          <w:rFonts w:hint="eastAsia"/>
        </w:rPr>
        <w:t xml:space="preserve">董</w:t>
      </w:r>
      <w:r>
        <w:t xml:space="preserve"> </w:t>
      </w:r>
      <w:r>
        <w:rPr>
          <w:rFonts w:hint="eastAsia"/>
        </w:rPr>
        <w:t xml:space="preserve">事</w:t>
      </w:r>
      <w:r>
        <w:t xml:space="preserve"> </w:t>
      </w:r>
      <w:r>
        <w:rPr>
          <w:rFonts w:hint="eastAsia"/>
        </w:rPr>
        <w:t xml:space="preserve">會</w:t>
      </w:r>
      <w:r>
        <w:t xml:space="preserve"> </w:t>
      </w:r>
      <w:r>
        <w:rPr>
          <w:rFonts w:hint="eastAsia"/>
        </w:rPr>
        <w:t xml:space="preserve">根</w:t>
      </w:r>
      <w:r>
        <w:t xml:space="preserve"> </w:t>
      </w:r>
      <w:r>
        <w:rPr>
          <w:rFonts w:hint="eastAsia"/>
        </w:rPr>
        <w:t xml:space="preserve">據</w:t>
      </w:r>
      <w:r>
        <w:t xml:space="preserve"> </w:t>
      </w:r>
      <w:r>
        <w:rPr>
          <w:rFonts w:hint="eastAsia"/>
        </w:rPr>
        <w:t xml:space="preserve">本</w:t>
      </w:r>
      <w:r>
        <w:t xml:space="preserve"> </w:t>
      </w:r>
      <w:r>
        <w:rPr>
          <w:rFonts w:hint="eastAsia"/>
        </w:rPr>
        <w:t xml:space="preserve">公</w:t>
      </w:r>
      <w:r>
        <w:t xml:space="preserve"> </w:t>
      </w:r>
      <w:r>
        <w:rPr>
          <w:rFonts w:hint="eastAsia"/>
        </w:rPr>
        <w:t xml:space="preserve">司</w:t>
      </w:r>
      <w:r>
        <w:t xml:space="preserve"> </w:t>
      </w:r>
      <w:r>
        <w:rPr>
          <w:rFonts w:hint="eastAsia"/>
        </w:rPr>
        <w:t xml:space="preserve">之</w:t>
      </w:r>
      <w:r>
        <w:t xml:space="preserve"> </w:t>
      </w:r>
      <w:r>
        <w:rPr>
          <w:rFonts w:hint="eastAsia"/>
        </w:rPr>
        <w:t xml:space="preserve">董</w:t>
      </w:r>
      <w:r>
        <w:t xml:space="preserve"> </w:t>
      </w:r>
      <w:r>
        <w:rPr>
          <w:rFonts w:hint="eastAsia"/>
        </w:rPr>
        <w:t xml:space="preserve">事</w:t>
      </w:r>
      <w:r>
        <w:t xml:space="preserve"> </w:t>
      </w:r>
      <w:r>
        <w:rPr>
          <w:rFonts w:hint="eastAsia"/>
        </w:rPr>
        <w:t xml:space="preserve">會</w:t>
      </w:r>
      <w:r>
        <w:t xml:space="preserve"> </w:t>
      </w:r>
      <w:r>
        <w:rPr>
          <w:rFonts w:hint="eastAsia"/>
        </w:rPr>
        <w:t xml:space="preserve">章</w:t>
      </w:r>
      <w:r>
        <w:t xml:space="preserve"> </w:t>
      </w:r>
      <w:r>
        <w:rPr>
          <w:rFonts w:hint="eastAsia"/>
        </w:rPr>
        <w:t xml:space="preserve">程（該</w:t>
      </w:r>
      <w:r>
        <w:t xml:space="preserve"> </w:t>
      </w:r>
      <w:r>
        <w:rPr>
          <w:rFonts w:hint="eastAsia"/>
        </w:rPr>
        <w:t xml:space="preserve">董</w:t>
      </w:r>
      <w:r>
        <w:t xml:space="preserve"> </w:t>
      </w:r>
      <w:r>
        <w:rPr>
          <w:rFonts w:hint="eastAsia"/>
        </w:rPr>
        <w:t xml:space="preserve">事</w:t>
      </w:r>
      <w:r>
        <w:t xml:space="preserve"> </w:t>
      </w:r>
      <w:r>
        <w:rPr>
          <w:rFonts w:hint="eastAsia"/>
        </w:rPr>
        <w:t xml:space="preserve">會</w:t>
      </w:r>
      <w:r>
        <w:t xml:space="preserve"> </w:t>
      </w:r>
      <w:r>
        <w:rPr>
          <w:rFonts w:hint="eastAsia"/>
        </w:rPr>
        <w:t xml:space="preserve">章</w:t>
      </w:r>
      <w:r>
        <w:t xml:space="preserve"> </w:t>
      </w:r>
      <w:r>
        <w:rPr>
          <w:rFonts w:hint="eastAsia"/>
        </w:rPr>
        <w:t xml:space="preserve">程</w:t>
      </w:r>
      <w:r>
        <w:t xml:space="preserve"> </w:t>
      </w:r>
      <w:r>
        <w:rPr>
          <w:rFonts w:hint="eastAsia"/>
        </w:rPr>
        <w:t xml:space="preserve">可</w:t>
      </w:r>
      <w:r>
        <w:t xml:space="preserve"> </w:t>
      </w:r>
      <w:r>
        <w:rPr>
          <w:rFonts w:hint="eastAsia"/>
        </w:rPr>
        <w:t xml:space="preserve">於</w:t>
      </w:r>
      <w:r>
        <w:t xml:space="preserve"> </w:t>
      </w:r>
      <w:r>
        <w:rPr>
          <w:rFonts w:hint="eastAsia"/>
        </w:rPr>
        <w:t xml:space="preserve">本</w:t>
      </w:r>
      <w:r>
        <w:t xml:space="preserve"> </w:t>
      </w:r>
      <w:r>
        <w:rPr>
          <w:rFonts w:hint="eastAsia"/>
        </w:rPr>
        <w:t xml:space="preserve">公</w:t>
      </w:r>
      <w:r>
        <w:t xml:space="preserve"> </w:t>
      </w:r>
      <w:r>
        <w:rPr>
          <w:rFonts w:hint="eastAsia"/>
        </w:rPr>
        <w:t xml:space="preserve">司</w:t>
      </w:r>
      <w:r>
        <w:t xml:space="preserve"> </w:t>
      </w:r>
      <w:r>
        <w:rPr>
          <w:rFonts w:hint="eastAsia"/>
        </w:rPr>
        <w:t xml:space="preserve">網</w:t>
      </w:r>
      <w:r>
        <w:t xml:space="preserve"> </w:t>
      </w:r>
      <w:r>
        <w:rPr>
          <w:rFonts w:hint="eastAsia"/>
        </w:rPr>
        <w:t xml:space="preserve">站www.aia.com閱</w:t>
      </w:r>
      <w:r>
        <w:t xml:space="preserve"> </w:t>
      </w:r>
      <w:r>
        <w:rPr>
          <w:rFonts w:hint="eastAsia"/>
        </w:rPr>
        <w:t xml:space="preserve">覽）履</w:t>
      </w:r>
      <w:r>
        <w:t xml:space="preserve"> </w:t>
      </w:r>
      <w:r>
        <w:rPr>
          <w:rFonts w:hint="eastAsia"/>
        </w:rPr>
        <w:t xml:space="preserve">行</w:t>
      </w:r>
      <w:r>
        <w:t xml:space="preserve"> </w:t>
      </w:r>
      <w:r>
        <w:rPr>
          <w:rFonts w:hint="eastAsia"/>
        </w:rPr>
        <w:t xml:space="preserve">其</w:t>
      </w:r>
    </w:p>
    <w:p>
      <w:pPr>
        <w:pStyle w:val="BodyText"/>
      </w:pPr>
      <w:r>
        <w:rPr>
          <w:rFonts w:hint="eastAsia"/>
        </w:rPr>
        <w:t xml:space="preserve">職能，並檢討（其中包括）本公司遵守企業管治守則的情況，包括於其給予股東的報告中作出必要的披露、</w:t>
      </w:r>
    </w:p>
    <w:p>
      <w:pPr>
        <w:pStyle w:val="BodyText"/>
      </w:pPr>
      <w:r>
        <w:rPr>
          <w:rFonts w:hint="eastAsia"/>
        </w:rPr>
        <w:t xml:space="preserve">董事會章程及其他管治文件的條款以及眾多集團政策（包括反舞弊政策、反貪污政策、國際財務報告準則會計</w:t>
      </w:r>
    </w:p>
    <w:p>
      <w:pPr>
        <w:pStyle w:val="BodyText"/>
      </w:pPr>
      <w:r>
        <w:rPr>
          <w:rFonts w:hint="eastAsia"/>
        </w:rPr>
        <w:t xml:space="preserve">政策及行為準則）。董事會亦收取年度信息安全更新並檢討本集團的領導能力及繼任事宜，以配合本集團的最新</w:t>
      </w:r>
    </w:p>
    <w:p>
      <w:pPr>
        <w:pStyle w:val="BodyText"/>
      </w:pPr>
      <w:r>
        <w:rPr>
          <w:rFonts w:hint="eastAsia"/>
        </w:rPr>
        <w:t xml:space="preserve">策略目標。</w:t>
      </w:r>
    </w:p>
    <w:p>
      <w:pPr>
        <w:pStyle w:val="BodyText"/>
      </w:pPr>
      <w:r>
        <w:rPr>
          <w:rFonts w:hint="eastAsia"/>
        </w:rPr>
        <w:t xml:space="preserve">本公司亦已採納其董事及主要行政人員交易政策（「交易政策」），其有關董事進行本公司證券交易的條文不遜於</w:t>
      </w:r>
    </w:p>
    <w:p>
      <w:pPr>
        <w:pStyle w:val="BodyText"/>
      </w:pPr>
      <w:r>
        <w:rPr>
          <w:rFonts w:hint="eastAsia"/>
        </w:rPr>
        <w:t xml:space="preserve">標準守則。經本公司作出特定查詢後，全體董事確認彼等於截至2020年12月31日止年度內一直遵守標準守則及</w:t>
      </w:r>
    </w:p>
    <w:p>
      <w:pPr>
        <w:pStyle w:val="BodyText"/>
      </w:pPr>
      <w:r>
        <w:rPr>
          <w:rFonts w:hint="eastAsia"/>
        </w:rPr>
        <w:t xml:space="preserve">交易政策所訂的標準。</w:t>
      </w:r>
    </w:p>
    <w:p>
      <w:pPr>
        <w:pStyle w:val="BodyText"/>
      </w:pPr>
      <w:r>
        <w:rPr>
          <w:rFonts w:hint="eastAsia"/>
        </w:rPr>
        <w:t xml:space="preserve">董事會的評估</w:t>
      </w:r>
    </w:p>
    <w:p>
      <w:pPr>
        <w:pStyle w:val="BodyText"/>
      </w:pPr>
      <w:r>
        <w:rPr>
          <w:rFonts w:hint="eastAsia"/>
        </w:rPr>
        <w:t xml:space="preserve">董事會定期對其本身的表現以及其委員會和個別董事的表現進行正式評估，以確保董事會及其委員會繼續有效</w:t>
      </w:r>
    </w:p>
    <w:p>
      <w:pPr>
        <w:pStyle w:val="BodyText"/>
      </w:pPr>
      <w:r>
        <w:rPr>
          <w:rFonts w:hint="eastAsia"/>
        </w:rPr>
        <w:t xml:space="preserve">履行職責。評估或通過內部評價的方式或透過獨立外部顧問進行。</w:t>
      </w:r>
    </w:p>
    <w:p>
      <w:pPr>
        <w:pStyle w:val="BodyText"/>
      </w:pPr>
      <w:r>
        <w:rPr>
          <w:rFonts w:hint="eastAsia"/>
        </w:rPr>
        <w:t xml:space="preserve">本公司委聘外部專業顧問以進行對董事會於2020年的表現作出評估。所選專業顧問為獨立專業顧問，與本集團或</w:t>
      </w:r>
    </w:p>
    <w:p>
      <w:pPr>
        <w:pStyle w:val="BodyText"/>
      </w:pPr>
      <w:r>
        <w:rPr>
          <w:rFonts w:hint="eastAsia"/>
        </w:rPr>
        <w:t xml:space="preserve">任何個別董事概無關連。</w:t>
      </w:r>
    </w:p>
    <w:p>
      <w:pPr>
        <w:pStyle w:val="BodyText"/>
      </w:pPr>
      <w:r>
        <w:rPr>
          <w:rFonts w:hint="eastAsia"/>
        </w:rPr>
        <w:t xml:space="preserve">所採用的績效考評流程是量身訂製且獲各方充份參與的流程，考慮了本公司的策略重點以及個別董事會成員、</w:t>
      </w:r>
    </w:p>
    <w:p>
      <w:pPr>
        <w:pStyle w:val="BodyText"/>
      </w:pPr>
      <w:r>
        <w:rPr>
          <w:rFonts w:hint="eastAsia"/>
        </w:rPr>
        <w:t xml:space="preserve">本公司的投資者和其他持份者的不時提供的反饋和建議。審查通過書面問卷，再由專業顧問與每位董事會成員</w:t>
      </w:r>
    </w:p>
    <w:p>
      <w:pPr>
        <w:pStyle w:val="BodyText"/>
      </w:pPr>
      <w:r>
        <w:rPr>
          <w:rFonts w:hint="eastAsia"/>
        </w:rPr>
        <w:t xml:space="preserve">面談方式進行。當中審議了廣泛的主題，包括董事會的結構和組成、董事會的動態和互動、董事委員會以及</w:t>
      </w:r>
    </w:p>
    <w:p>
      <w:pPr>
        <w:pStyle w:val="BodyText"/>
      </w:pPr>
      <w:r>
        <w:rPr>
          <w:rFonts w:hint="eastAsia"/>
        </w:rPr>
        <w:t xml:space="preserve">董事會的流程，特別關注可以加強以進一步提高董事會及其委員會的整體效率的領域。</w:t>
      </w:r>
    </w:p>
    <w:p>
      <w:pPr>
        <w:pStyle w:val="BodyText"/>
      </w:pPr>
      <w:r>
        <w:rPr>
          <w:rFonts w:hint="eastAsia"/>
        </w:rPr>
        <w:t xml:space="preserve">在主席的帶領下，並與專業顧問配合，在年內舉行的董事會會議上對評估結果和實用建議進行了審閱、審議和</w:t>
      </w:r>
    </w:p>
    <w:p>
      <w:pPr>
        <w:pStyle w:val="BodyText"/>
      </w:pPr>
      <w:r>
        <w:rPr>
          <w:rFonts w:hint="eastAsia"/>
        </w:rPr>
        <w:t xml:space="preserve">討論，以確定適當的跟進行動。在過往的多年中，董事會評估有助於為董事會會議和董事培訓中提供更廣闊議題</w:t>
      </w:r>
    </w:p>
    <w:p>
      <w:pPr>
        <w:pStyle w:val="BodyText"/>
      </w:pPr>
      <w:r>
        <w:rPr>
          <w:rFonts w:hint="eastAsia"/>
        </w:rPr>
        <w:t xml:space="preserve">及培訓，並促進了董事會成員與高級管理層之間的更多互動，以及對董事會流程和管治常規的進一步探討。</w:t>
      </w:r>
    </w:p>
    <w:p>
      <w:pPr>
        <w:pStyle w:val="BodyText"/>
      </w:pPr>
      <w:r>
        <w:t xml:space="preserve">097</w:t>
      </w:r>
    </w:p>
    <w:p>
      <w:pPr>
        <w:pStyle w:val="BodyText"/>
      </w:pPr>
      <w:r>
        <w:rPr>
          <w:rFonts w:hint="eastAsia"/>
        </w:rPr>
        <w:t xml:space="preserve">概覽財務及營運回顧企業管治其他資料財務報表2020年報</w:t>
      </w:r>
    </w:p>
    <w:p>
      <w:pPr>
        <w:pStyle w:val="BodyText"/>
      </w:pPr>
      <w:r>
        <w:rPr>
          <w:rFonts w:hint="eastAsia"/>
        </w:rPr>
        <w:t xml:space="preserve">董事會的組成</w:t>
      </w:r>
    </w:p>
    <w:p>
      <w:pPr>
        <w:pStyle w:val="BodyText"/>
      </w:pPr>
      <w:r>
        <w:rPr>
          <w:rFonts w:hint="eastAsia"/>
        </w:rPr>
        <w:t xml:space="preserve">於2020年12月31日</w:t>
      </w:r>
      <w:r>
        <w:t xml:space="preserve"> </w:t>
      </w:r>
      <w:r>
        <w:rPr>
          <w:rFonts w:hint="eastAsia"/>
        </w:rPr>
        <w:t xml:space="preserve">及</w:t>
      </w:r>
      <w:r>
        <w:t xml:space="preserve"> </w:t>
      </w:r>
      <w:r>
        <w:rPr>
          <w:rFonts w:hint="eastAsia"/>
        </w:rPr>
        <w:t xml:space="preserve">直</w:t>
      </w:r>
      <w:r>
        <w:t xml:space="preserve"> </w:t>
      </w:r>
      <w:r>
        <w:rPr>
          <w:rFonts w:hint="eastAsia"/>
        </w:rPr>
        <w:t xml:space="preserve">至</w:t>
      </w:r>
      <w:r>
        <w:t xml:space="preserve"> </w:t>
      </w:r>
      <w:r>
        <w:rPr>
          <w:rFonts w:hint="eastAsia"/>
        </w:rPr>
        <w:t xml:space="preserve">本</w:t>
      </w:r>
      <w:r>
        <w:t xml:space="preserve"> </w:t>
      </w:r>
      <w:r>
        <w:rPr>
          <w:rFonts w:hint="eastAsia"/>
        </w:rPr>
        <w:t xml:space="preserve">企</w:t>
      </w:r>
      <w:r>
        <w:t xml:space="preserve"> </w:t>
      </w:r>
      <w:r>
        <w:rPr>
          <w:rFonts w:hint="eastAsia"/>
        </w:rPr>
        <w:t xml:space="preserve">業</w:t>
      </w:r>
      <w:r>
        <w:t xml:space="preserve"> </w:t>
      </w:r>
      <w:r>
        <w:rPr>
          <w:rFonts w:hint="eastAsia"/>
        </w:rPr>
        <w:t xml:space="preserve">管</w:t>
      </w:r>
      <w:r>
        <w:t xml:space="preserve"> </w:t>
      </w:r>
      <w:r>
        <w:rPr>
          <w:rFonts w:hint="eastAsia"/>
        </w:rPr>
        <w:t xml:space="preserve">治</w:t>
      </w:r>
      <w:r>
        <w:t xml:space="preserve"> </w:t>
      </w:r>
      <w:r>
        <w:rPr>
          <w:rFonts w:hint="eastAsia"/>
        </w:rPr>
        <w:t xml:space="preserve">報</w:t>
      </w:r>
      <w:r>
        <w:t xml:space="preserve"> </w:t>
      </w:r>
      <w:r>
        <w:rPr>
          <w:rFonts w:hint="eastAsia"/>
        </w:rPr>
        <w:t xml:space="preserve">告</w:t>
      </w:r>
      <w:r>
        <w:t xml:space="preserve"> </w:t>
      </w:r>
      <w:r>
        <w:rPr>
          <w:rFonts w:hint="eastAsia"/>
        </w:rPr>
        <w:t xml:space="preserve">日</w:t>
      </w:r>
      <w:r>
        <w:t xml:space="preserve"> </w:t>
      </w:r>
      <w:r>
        <w:rPr>
          <w:rFonts w:hint="eastAsia"/>
        </w:rPr>
        <w:t xml:space="preserve">期</w:t>
      </w:r>
      <w:r>
        <w:t xml:space="preserve"> </w:t>
      </w:r>
      <w:r>
        <w:rPr>
          <w:rFonts w:hint="eastAsia"/>
        </w:rPr>
        <w:t xml:space="preserve">止，</w:t>
      </w:r>
      <w:r>
        <w:t xml:space="preserve"> </w:t>
      </w:r>
      <w:r>
        <w:rPr>
          <w:rFonts w:hint="eastAsia"/>
        </w:rPr>
        <w:t xml:space="preserve">董</w:t>
      </w:r>
      <w:r>
        <w:t xml:space="preserve"> </w:t>
      </w:r>
      <w:r>
        <w:rPr>
          <w:rFonts w:hint="eastAsia"/>
        </w:rPr>
        <w:t xml:space="preserve">事</w:t>
      </w:r>
      <w:r>
        <w:t xml:space="preserve"> </w:t>
      </w:r>
      <w:r>
        <w:rPr>
          <w:rFonts w:hint="eastAsia"/>
        </w:rPr>
        <w:t xml:space="preserve">會</w:t>
      </w:r>
      <w:r>
        <w:t xml:space="preserve"> </w:t>
      </w:r>
      <w:r>
        <w:rPr>
          <w:rFonts w:hint="eastAsia"/>
        </w:rPr>
        <w:t xml:space="preserve">由</w:t>
      </w:r>
      <w:r>
        <w:t xml:space="preserve"> </w:t>
      </w:r>
      <w:r>
        <w:rPr>
          <w:rFonts w:hint="eastAsia"/>
        </w:rPr>
        <w:t xml:space="preserve">十</w:t>
      </w:r>
      <w:r>
        <w:t xml:space="preserve"> </w:t>
      </w:r>
      <w:r>
        <w:rPr>
          <w:rFonts w:hint="eastAsia"/>
        </w:rPr>
        <w:t xml:space="preserve">名</w:t>
      </w:r>
      <w:r>
        <w:t xml:space="preserve"> </w:t>
      </w:r>
      <w:r>
        <w:rPr>
          <w:rFonts w:hint="eastAsia"/>
        </w:rPr>
        <w:t xml:space="preserve">成</w:t>
      </w:r>
      <w:r>
        <w:t xml:space="preserve"> </w:t>
      </w:r>
      <w:r>
        <w:rPr>
          <w:rFonts w:hint="eastAsia"/>
        </w:rPr>
        <w:t xml:space="preserve">員</w:t>
      </w:r>
      <w:r>
        <w:t xml:space="preserve"> </w:t>
      </w:r>
      <w:r>
        <w:rPr>
          <w:rFonts w:hint="eastAsia"/>
        </w:rPr>
        <w:t xml:space="preserve">組</w:t>
      </w:r>
      <w:r>
        <w:t xml:space="preserve"> </w:t>
      </w:r>
      <w:r>
        <w:rPr>
          <w:rFonts w:hint="eastAsia"/>
        </w:rPr>
        <w:t xml:space="preserve">成，</w:t>
      </w:r>
      <w:r>
        <w:t xml:space="preserve"> </w:t>
      </w:r>
      <w:r>
        <w:rPr>
          <w:rFonts w:hint="eastAsia"/>
        </w:rPr>
        <w:t xml:space="preserve">包</w:t>
      </w:r>
      <w:r>
        <w:t xml:space="preserve"> </w:t>
      </w:r>
      <w:r>
        <w:rPr>
          <w:rFonts w:hint="eastAsia"/>
        </w:rPr>
        <w:t xml:space="preserve">括</w:t>
      </w:r>
      <w:r>
        <w:t xml:space="preserve"> </w:t>
      </w:r>
      <w:r>
        <w:rPr>
          <w:rFonts w:hint="eastAsia"/>
        </w:rPr>
        <w:t xml:space="preserve">一</w:t>
      </w:r>
      <w:r>
        <w:t xml:space="preserve"> </w:t>
      </w:r>
      <w:r>
        <w:rPr>
          <w:rFonts w:hint="eastAsia"/>
        </w:rPr>
        <w:t xml:space="preserve">名</w:t>
      </w:r>
      <w:r>
        <w:t xml:space="preserve"> </w:t>
      </w:r>
      <w:r>
        <w:rPr>
          <w:rFonts w:hint="eastAsia"/>
        </w:rPr>
        <w:t xml:space="preserve">執</w:t>
      </w:r>
      <w:r>
        <w:t xml:space="preserve"> </w:t>
      </w:r>
      <w:r>
        <w:rPr>
          <w:rFonts w:hint="eastAsia"/>
        </w:rPr>
        <w:t xml:space="preserve">行</w:t>
      </w:r>
      <w:r>
        <w:t xml:space="preserve"> </w:t>
      </w:r>
      <w:r>
        <w:rPr>
          <w:rFonts w:hint="eastAsia"/>
        </w:rPr>
        <w:t xml:space="preserve">董</w:t>
      </w:r>
      <w:r>
        <w:t xml:space="preserve"> </w:t>
      </w:r>
      <w:r>
        <w:rPr>
          <w:rFonts w:hint="eastAsia"/>
        </w:rPr>
        <w:t xml:space="preserve">事</w:t>
      </w:r>
      <w:r>
        <w:t xml:space="preserve"> </w:t>
      </w:r>
      <w:r>
        <w:rPr>
          <w:rFonts w:hint="eastAsia"/>
        </w:rPr>
        <w:t xml:space="preserve">及</w:t>
      </w:r>
      <w:r>
        <w:t xml:space="preserve"> </w:t>
      </w:r>
      <w:r>
        <w:rPr>
          <w:rFonts w:hint="eastAsia"/>
        </w:rPr>
        <w:t xml:space="preserve">九</w:t>
      </w:r>
      <w:r>
        <w:t xml:space="preserve"> </w:t>
      </w:r>
      <w:r>
        <w:rPr>
          <w:rFonts w:hint="eastAsia"/>
        </w:rPr>
        <w:t xml:space="preserve">名</w:t>
      </w:r>
      <w:r>
        <w:t xml:space="preserve"> </w:t>
      </w:r>
      <w:r>
        <w:rPr>
          <w:rFonts w:hint="eastAsia"/>
        </w:rPr>
        <w:t xml:space="preserve">獨</w:t>
      </w:r>
      <w:r>
        <w:t xml:space="preserve"> </w:t>
      </w:r>
      <w:r>
        <w:rPr>
          <w:rFonts w:hint="eastAsia"/>
        </w:rPr>
        <w:t xml:space="preserve">立</w:t>
      </w:r>
    </w:p>
    <w:p>
      <w:pPr>
        <w:pStyle w:val="BodyText"/>
      </w:pPr>
      <w:r>
        <w:rPr>
          <w:rFonts w:hint="eastAsia"/>
        </w:rPr>
        <w:t xml:space="preserve">非執行董事。在披露本公司董事姓名的所有公司通訊中，均已清楚地按上述分類標示了所有董事。董事會的組成</w:t>
      </w:r>
    </w:p>
    <w:p>
      <w:pPr>
        <w:pStyle w:val="BodyText"/>
      </w:pPr>
      <w:r>
        <w:rPr>
          <w:rFonts w:hint="eastAsia"/>
        </w:rPr>
        <w:t xml:space="preserve">結構平衡得宜，每名董事對於本集團的業務運作及發展均具備豐富的董事會層面經驗及專業知識。董事會成員</w:t>
      </w:r>
    </w:p>
    <w:p>
      <w:pPr>
        <w:pStyle w:val="BodyText"/>
      </w:pPr>
      <w:r>
        <w:rPr>
          <w:rFonts w:hint="eastAsia"/>
        </w:rPr>
        <w:t xml:space="preserve">來自不同的背景並在業務、財務、政府、監管及政策方面具備廣泛的經驗。董事會不論在國籍、族裔、教育</w:t>
      </w:r>
    </w:p>
    <w:p>
      <w:pPr>
        <w:pStyle w:val="BodyText"/>
      </w:pPr>
      <w:r>
        <w:rPr>
          <w:rFonts w:hint="eastAsia"/>
        </w:rPr>
        <w:t xml:space="preserve">背景、職務專長、性別、年齡及經驗上均呈現多元化。</w:t>
      </w:r>
    </w:p>
    <w:p>
      <w:pPr>
        <w:pStyle w:val="BodyText"/>
      </w:pPr>
      <w:r>
        <w:rPr>
          <w:rFonts w:hint="eastAsia"/>
        </w:rPr>
        <w:t xml:space="preserve">董事簡歷載於本年報第72至77頁。</w:t>
      </w:r>
    </w:p>
    <w:p>
      <w:pPr>
        <w:pStyle w:val="BodyText"/>
      </w:pPr>
      <w:r>
        <w:rPr>
          <w:rFonts w:hint="eastAsia"/>
        </w:rPr>
        <w:t xml:space="preserve">董事會的獨立性</w:t>
      </w:r>
    </w:p>
    <w:p>
      <w:pPr>
        <w:pStyle w:val="BodyText"/>
      </w:pPr>
      <w:r>
        <w:rPr>
          <w:rFonts w:hint="eastAsia"/>
        </w:rPr>
        <w:t xml:space="preserve">董事會中90%（十名中的九名）為獨立非執行董事。除下文有關謝先生的披露外，本公司各獨立非執行董事均</w:t>
      </w:r>
    </w:p>
    <w:p>
      <w:pPr>
        <w:pStyle w:val="BodyText"/>
      </w:pPr>
      <w:r>
        <w:rPr>
          <w:rFonts w:hint="eastAsia"/>
        </w:rPr>
        <w:t xml:space="preserve">符合上市規則第3.13條所載的獨立性指引的規定，並已向本公司提交有關其獨立性所需的年度確認書。謝先生</w:t>
      </w:r>
    </w:p>
    <w:p>
      <w:pPr>
        <w:pStyle w:val="BodyText"/>
      </w:pPr>
      <w:r>
        <w:rPr>
          <w:rFonts w:hint="eastAsia"/>
        </w:rPr>
        <w:t xml:space="preserve">除現任本公司附屬公司友邦慈善基金的董事，及先前自2010年9月27日至2017年3月22日擔任本公司非執行董事</w:t>
      </w:r>
    </w:p>
    <w:p>
      <w:pPr>
        <w:pStyle w:val="BodyText"/>
      </w:pPr>
      <w:r>
        <w:rPr>
          <w:rFonts w:hint="eastAsia"/>
        </w:rPr>
        <w:t xml:space="preserve">直至調任為獨立非執行董事止外，乃符合上市規則第3.13條所載的獨立性指引的規定。鑒於謝先生自2010年9月</w:t>
      </w:r>
    </w:p>
    <w:p>
      <w:pPr>
        <w:pStyle w:val="BodyText"/>
      </w:pPr>
      <w:r>
        <w:rPr>
          <w:rFonts w:hint="eastAsia"/>
        </w:rPr>
        <w:t xml:space="preserve">27日起擔任本公司非執行董事後，並無於本公司或其任何附屬公司擔任任何執行或管理職位或職能，</w:t>
      </w:r>
      <w:r>
        <w:t xml:space="preserve"> </w:t>
      </w:r>
      <w:r>
        <w:rPr>
          <w:rFonts w:hint="eastAsia"/>
        </w:rPr>
        <w:t xml:space="preserve">且在此期間</w:t>
      </w:r>
    </w:p>
    <w:p>
      <w:pPr>
        <w:pStyle w:val="BodyText"/>
      </w:pPr>
      <w:r>
        <w:rPr>
          <w:rFonts w:hint="eastAsia"/>
        </w:rPr>
        <w:t xml:space="preserve">從未獲本公司或其任何附屬公司僱用，除出席及參加本集團董事會及委員會會議外，謝先生並無參與本公司或</w:t>
      </w:r>
    </w:p>
    <w:p>
      <w:pPr>
        <w:pStyle w:val="BodyText"/>
      </w:pPr>
      <w:r>
        <w:rPr>
          <w:rFonts w:hint="eastAsia"/>
        </w:rPr>
        <w:t xml:space="preserve">其附屬公司的日常管理，本公司自身已信納謝先生符合上市規則第3.13條規定的獨立性。</w:t>
      </w:r>
    </w:p>
    <w:p>
      <w:pPr>
        <w:pStyle w:val="BodyText"/>
      </w:pPr>
      <w:r>
        <w:rPr>
          <w:rFonts w:hint="eastAsia"/>
        </w:rPr>
        <w:t xml:space="preserve">如有任何可能影響其獨立性的情況變化，獨立非執行董事必須在可行的情況下盡快通知本公司。於回顧年度內</w:t>
      </w:r>
    </w:p>
    <w:p>
      <w:pPr>
        <w:pStyle w:val="BodyText"/>
      </w:pPr>
      <w:r>
        <w:rPr>
          <w:rFonts w:hint="eastAsia"/>
        </w:rPr>
        <w:t xml:space="preserve">並未收到任何有關通知。</w:t>
      </w:r>
    </w:p>
    <w:p>
      <w:pPr>
        <w:pStyle w:val="BodyText"/>
      </w:pPr>
      <w:r>
        <w:rPr>
          <w:rFonts w:hint="eastAsia"/>
        </w:rPr>
        <w:t xml:space="preserve">於回顧年度內，董事已向本公司及時披露其在公眾公司或組織中擔任其他職務的變動情況以及其他重大承諾。</w:t>
      </w:r>
    </w:p>
    <w:p>
      <w:pPr>
        <w:pStyle w:val="BodyText"/>
      </w:pPr>
      <w:r>
        <w:rPr>
          <w:rFonts w:hint="eastAsia"/>
        </w:rPr>
        <w:t xml:space="preserve">董事會設立的四個委員會（即審核委員會、提名委員會、薪酬委員會和風險委員會）中的每個委員會均由獨立</w:t>
      </w:r>
    </w:p>
    <w:p>
      <w:pPr>
        <w:pStyle w:val="BodyText"/>
      </w:pPr>
      <w:r>
        <w:rPr>
          <w:rFonts w:hint="eastAsia"/>
        </w:rPr>
        <w:t xml:space="preserve">非執行董事擔任主席。審核委員會、提名委員會和薪酬委員會僅由獨立非執行董事組成，而風險委員會由多數</w:t>
      </w:r>
    </w:p>
    <w:p>
      <w:pPr>
        <w:pStyle w:val="BodyText"/>
      </w:pPr>
      <w:r>
        <w:rPr>
          <w:rFonts w:hint="eastAsia"/>
        </w:rPr>
        <w:t xml:space="preserve">獨立非執行董事組成。</w:t>
      </w:r>
    </w:p>
    <w:p>
      <w:pPr>
        <w:pStyle w:val="BodyText"/>
      </w:pPr>
      <w:r>
        <w:rPr>
          <w:rFonts w:hint="eastAsia"/>
        </w:rPr>
        <w:t xml:space="preserve">除本報告所披露者外，獨立非執行董事概無與本公司或其附屬公司有任何業務往來，或擁有重大財務利益，</w:t>
      </w:r>
    </w:p>
    <w:p>
      <w:pPr>
        <w:pStyle w:val="BodyText"/>
      </w:pPr>
      <w:r>
        <w:rPr>
          <w:rFonts w:hint="eastAsia"/>
        </w:rPr>
        <w:t xml:space="preserve">因此，本公司認為全體獨立非執行董事仍屬獨立。</w:t>
      </w:r>
    </w:p>
    <w:p>
      <w:pPr>
        <w:pStyle w:val="BodyText"/>
      </w:pPr>
      <w:r>
        <w:rPr>
          <w:rFonts w:hint="eastAsia"/>
        </w:rPr>
        <w:t xml:space="preserve">儘管在董事會任職超過九年可能與確定非執行董事的獨立性有關，董事會認為不能只根據設定的時間段判斷個別</w:t>
      </w:r>
    </w:p>
    <w:p>
      <w:pPr>
        <w:pStyle w:val="BodyText"/>
      </w:pPr>
      <w:r>
        <w:rPr>
          <w:rFonts w:hint="eastAsia"/>
        </w:rPr>
        <w:t xml:space="preserve">人士的獨立性。董事會認為，個別人士的貢獻使其受益匪淺，該等人士隨著時間不斷累積對本集團的運營和市場</w:t>
      </w:r>
    </w:p>
    <w:p>
      <w:pPr>
        <w:pStyle w:val="BodyText"/>
      </w:pPr>
      <w:r>
        <w:rPr>
          <w:rFonts w:hint="eastAsia"/>
        </w:rPr>
        <w:t xml:space="preserve">寶貴的見解。儘管如此，董事會亦已透過展開公開招聘尋找合適人士加入董事會成為獨立非執行董事，並充份</w:t>
      </w:r>
    </w:p>
    <w:p>
      <w:pPr>
        <w:pStyle w:val="BodyText"/>
      </w:pPr>
      <w:r>
        <w:rPr>
          <w:rFonts w:hint="eastAsia"/>
        </w:rPr>
        <w:t xml:space="preserve">考慮董事提名政策和董事會多元化政策。董事會繼任計劃是本公司持續的流程。董事會定期通過會議、對話、</w:t>
      </w:r>
    </w:p>
    <w:p>
      <w:pPr>
        <w:pStyle w:val="BodyText"/>
      </w:pPr>
      <w:r>
        <w:rPr>
          <w:rFonts w:hint="eastAsia"/>
        </w:rPr>
        <w:t xml:space="preserve">社交互動來審閱和討論繼任計劃，並輔以在需要時積極搜尋具備合適技能和多元化的人員加入。</w:t>
      </w:r>
    </w:p>
    <w:p>
      <w:pPr>
        <w:pStyle w:val="BodyText"/>
      </w:pPr>
      <w:r>
        <w:t xml:space="preserve">098</w:t>
      </w:r>
    </w:p>
    <w:p>
      <w:pPr>
        <w:pStyle w:val="BodyText"/>
      </w:pPr>
      <w:r>
        <w:rPr>
          <w:rFonts w:hint="eastAsia"/>
        </w:rPr>
        <w:t xml:space="preserve">企業管治友邦保險控股有限公司企業管治報告</w:t>
      </w:r>
    </w:p>
    <w:p>
      <w:pPr>
        <w:pStyle w:val="BodyText"/>
      </w:pPr>
      <w:r>
        <w:rPr>
          <w:rFonts w:hint="eastAsia"/>
        </w:rPr>
        <w:t xml:space="preserve">儘管數名獨立非執行董事已經為董事會服務了超過或接近九年，但他們繼續不斷透過其他董事職務和任命，為</w:t>
      </w:r>
    </w:p>
    <w:p>
      <w:pPr>
        <w:pStyle w:val="BodyText"/>
      </w:pPr>
      <w:r>
        <w:rPr>
          <w:rFonts w:hint="eastAsia"/>
        </w:rPr>
        <w:t xml:space="preserve">董事會帶來的新觀點、技能和知識。他們豐富的技能、知識和經驗使他們能夠作為獨立非執行董事向董事會作出</w:t>
      </w:r>
    </w:p>
    <w:p>
      <w:pPr>
        <w:pStyle w:val="BodyText"/>
      </w:pPr>
      <w:r>
        <w:rPr>
          <w:rFonts w:hint="eastAsia"/>
        </w:rPr>
        <w:t xml:space="preserve">有意義和客觀的貢獻。董事會認為，長期服務的獨立非執行董事對管理層的獨立性並未有因其服務年期而減低。</w:t>
      </w:r>
    </w:p>
    <w:p>
      <w:pPr>
        <w:pStyle w:val="BodyText"/>
      </w:pPr>
      <w:r>
        <w:rPr>
          <w:rFonts w:hint="eastAsia"/>
        </w:rPr>
        <w:t xml:space="preserve">董事會程序</w:t>
      </w:r>
    </w:p>
    <w:p>
      <w:pPr>
        <w:pStyle w:val="BodyText"/>
      </w:pPr>
      <w:r>
        <w:rPr>
          <w:rFonts w:hint="eastAsia"/>
        </w:rPr>
        <w:t xml:space="preserve">董事會會議一年至少舉行四次，以釐定整體策略、收取管理層的最新資料、批核業務計劃以及中期及全年業績，</w:t>
      </w:r>
    </w:p>
    <w:p>
      <w:pPr>
        <w:pStyle w:val="BodyText"/>
      </w:pPr>
      <w:r>
        <w:rPr>
          <w:rFonts w:hint="eastAsia"/>
        </w:rPr>
        <w:t xml:space="preserve">並審議其他重大事項。於該等會議上，高級管理人員亦會就本集團業務活動及發展，以及監管及政策方面向</w:t>
      </w:r>
    </w:p>
    <w:p>
      <w:pPr>
        <w:pStyle w:val="BodyText"/>
      </w:pPr>
      <w:r>
        <w:rPr>
          <w:rFonts w:hint="eastAsia"/>
        </w:rPr>
        <w:t xml:space="preserve">董事會定期提供最新資料。</w:t>
      </w:r>
    </w:p>
    <w:p>
      <w:pPr>
        <w:pStyle w:val="BodyText"/>
      </w:pPr>
      <w:r>
        <w:rPr>
          <w:rFonts w:hint="eastAsia"/>
        </w:rPr>
        <w:t xml:space="preserve">根據相關職權範圍，董事獲授權於彼等認為適當時要求管理人員提供進一步資料。</w:t>
      </w:r>
    </w:p>
    <w:p>
      <w:pPr>
        <w:pStyle w:val="BodyText"/>
      </w:pPr>
      <w:r>
        <w:rPr>
          <w:rFonts w:hint="eastAsia"/>
        </w:rPr>
        <w:t xml:space="preserve">於回顧年度內，共舉行了六次董事會會議，所有董事會會議均按照本公司組織章程細則召開。</w:t>
      </w:r>
    </w:p>
    <w:p>
      <w:pPr>
        <w:pStyle w:val="BodyText"/>
      </w:pPr>
      <w:r>
        <w:rPr>
          <w:rFonts w:hint="eastAsia"/>
        </w:rPr>
        <w:t xml:space="preserve">於回顧年度內，個別董事（親自出席或透過電子通訊方式）出席董事會會議、委員會會議及2020年股東週年大會</w:t>
      </w:r>
    </w:p>
    <w:p>
      <w:pPr>
        <w:pStyle w:val="BodyText"/>
      </w:pPr>
      <w:r>
        <w:rPr>
          <w:rFonts w:hint="eastAsia"/>
        </w:rPr>
        <w:t xml:space="preserve">的記錄如下：</w:t>
      </w:r>
    </w:p>
    <w:p>
      <w:pPr>
        <w:pStyle w:val="BodyText"/>
      </w:pPr>
      <w:r>
        <w:rPr>
          <w:rFonts w:hint="eastAsia"/>
        </w:rPr>
        <w:t xml:space="preserve">董事姓名</w:t>
      </w:r>
    </w:p>
    <w:p>
      <w:pPr>
        <w:pStyle w:val="BodyText"/>
      </w:pPr>
      <w:r>
        <w:rPr>
          <w:rFonts w:hint="eastAsia"/>
        </w:rPr>
        <w:t xml:space="preserve">董事會</w:t>
      </w:r>
      <w:r>
        <w:t xml:space="preserve"> </w:t>
      </w:r>
      <w:r>
        <w:rPr>
          <w:rFonts w:hint="eastAsia"/>
        </w:rPr>
        <w:t xml:space="preserve">審核委員會</w:t>
      </w:r>
      <w:r>
        <w:t xml:space="preserve"> </w:t>
      </w:r>
      <w:r>
        <w:rPr>
          <w:rFonts w:hint="eastAsia"/>
        </w:rPr>
        <w:t xml:space="preserve">提名委員會</w:t>
      </w:r>
      <w:r>
        <w:t xml:space="preserve"> </w:t>
      </w:r>
      <w:r>
        <w:rPr>
          <w:rFonts w:hint="eastAsia"/>
        </w:rPr>
        <w:t xml:space="preserve">薪酬委員會</w:t>
      </w:r>
      <w:r>
        <w:t xml:space="preserve"> </w:t>
      </w:r>
      <w:r>
        <w:rPr>
          <w:rFonts w:hint="eastAsia"/>
        </w:rPr>
        <w:t xml:space="preserve">風險委員會</w:t>
      </w:r>
    </w:p>
    <w:p>
      <w:pPr>
        <w:pStyle w:val="BodyText"/>
      </w:pPr>
      <w:r>
        <w:rPr>
          <w:rFonts w:hint="eastAsia"/>
        </w:rPr>
        <w:t xml:space="preserve">2020年股東</w:t>
      </w:r>
      <w:r>
        <w:br/>
      </w:r>
      <w:r>
        <w:rPr>
          <w:rFonts w:hint="eastAsia"/>
        </w:rPr>
        <w:t xml:space="preserve">週年大會</w:t>
      </w:r>
    </w:p>
    <w:p>
      <w:pPr>
        <w:pStyle w:val="BodyText"/>
      </w:pPr>
      <w:r>
        <w:rPr>
          <w:rFonts w:hint="eastAsia"/>
        </w:rPr>
        <w:t xml:space="preserve">出席會議數目</w:t>
      </w:r>
      <w:r>
        <w:t xml:space="preserve"> / </w:t>
      </w:r>
      <w:r>
        <w:rPr>
          <w:rFonts w:hint="eastAsia"/>
        </w:rPr>
        <w:t xml:space="preserve">舉行會議數目</w:t>
      </w:r>
    </w:p>
    <w:p>
      <w:pPr>
        <w:pStyle w:val="BodyText"/>
      </w:pPr>
      <w:r>
        <w:rPr>
          <w:rFonts w:hint="eastAsia"/>
        </w:rPr>
        <w:t xml:space="preserve">獨立非執行主席及獨立非執行董事</w:t>
      </w:r>
    </w:p>
    <w:p>
      <w:pPr>
        <w:pStyle w:val="BodyText"/>
      </w:pPr>
      <w:r>
        <w:rPr>
          <w:rFonts w:hint="eastAsia"/>
        </w:rPr>
        <w:t xml:space="preserve">謝仕榮先生</w:t>
      </w:r>
    </w:p>
    <w:p>
      <w:pPr>
        <w:pStyle w:val="BodyText"/>
      </w:pPr>
      <w:r>
        <w:rPr>
          <w:rFonts w:hint="eastAsia"/>
        </w:rPr>
        <w:t xml:space="preserve">執行董事、集團首席執行官兼總裁</w:t>
      </w:r>
    </w:p>
    <w:p>
      <w:pPr>
        <w:pStyle w:val="BodyText"/>
      </w:pPr>
      <w:r>
        <w:rPr>
          <w:rFonts w:hint="eastAsia"/>
        </w:rPr>
        <w:t xml:space="preserve">李源祥先生(1)</w:t>
      </w:r>
    </w:p>
    <w:p>
      <w:pPr>
        <w:pStyle w:val="BodyText"/>
      </w:pPr>
      <w:r>
        <w:t xml:space="preserve">NG Keng </w:t>
      </w:r>
      <w:r>
        <w:rPr>
          <w:rFonts w:hint="eastAsia"/>
        </w:rPr>
        <w:t xml:space="preserve">Hooi先生(2)</w:t>
      </w:r>
    </w:p>
    <w:p>
      <w:pPr>
        <w:pStyle w:val="BodyText"/>
      </w:pPr>
      <w:r>
        <w:rPr>
          <w:rFonts w:hint="eastAsia"/>
        </w:rPr>
        <w:t xml:space="preserve">獨立非執行董事</w:t>
      </w:r>
    </w:p>
    <w:p>
      <w:pPr>
        <w:pStyle w:val="BodyText"/>
      </w:pPr>
      <w:r>
        <w:rPr>
          <w:rFonts w:hint="eastAsia"/>
        </w:rPr>
        <w:t xml:space="preserve">蘇澤光先生</w:t>
      </w:r>
    </w:p>
    <w:p>
      <w:pPr>
        <w:pStyle w:val="BodyText"/>
      </w:pPr>
      <w:r>
        <w:rPr>
          <w:rFonts w:hint="eastAsia"/>
        </w:rPr>
        <w:t xml:space="preserve">周松崗先生</w:t>
      </w:r>
    </w:p>
    <w:p>
      <w:pPr>
        <w:pStyle w:val="BodyText"/>
      </w:pPr>
      <w:r>
        <w:t xml:space="preserve">John Barrie </w:t>
      </w:r>
      <w:r>
        <w:rPr>
          <w:rFonts w:hint="eastAsia"/>
        </w:rPr>
        <w:t xml:space="preserve">HARRISON先生</w:t>
      </w:r>
    </w:p>
    <w:p>
      <w:pPr>
        <w:pStyle w:val="BodyText"/>
      </w:pPr>
      <w:r>
        <w:rPr>
          <w:rFonts w:hint="eastAsia"/>
        </w:rPr>
        <w:t xml:space="preserve">楊榮文先生</w:t>
      </w:r>
    </w:p>
    <w:p>
      <w:pPr>
        <w:pStyle w:val="BodyText"/>
      </w:pPr>
      <w:r>
        <w:t xml:space="preserve">Mohamed Azman </w:t>
      </w:r>
      <w:r>
        <w:rPr>
          <w:rFonts w:hint="eastAsia"/>
        </w:rPr>
        <w:t xml:space="preserve">YAHYA先生(3)</w:t>
      </w:r>
    </w:p>
    <w:p>
      <w:pPr>
        <w:pStyle w:val="BodyText"/>
      </w:pPr>
      <w:r>
        <w:rPr>
          <w:rFonts w:hint="eastAsia"/>
        </w:rPr>
        <w:t xml:space="preserve">劉遵義教授</w:t>
      </w:r>
    </w:p>
    <w:p>
      <w:pPr>
        <w:pStyle w:val="BodyText"/>
      </w:pPr>
      <w:r>
        <w:t xml:space="preserve">Swee-Lian </w:t>
      </w:r>
      <w:r>
        <w:rPr>
          <w:rFonts w:hint="eastAsia"/>
        </w:rPr>
        <w:t xml:space="preserve">TEO女士</w:t>
      </w:r>
    </w:p>
    <w:p>
      <w:pPr>
        <w:pStyle w:val="BodyText"/>
      </w:pPr>
      <w:r>
        <w:t xml:space="preserve">Narongchai </w:t>
      </w:r>
      <w:r>
        <w:rPr>
          <w:rFonts w:hint="eastAsia"/>
        </w:rPr>
        <w:t xml:space="preserve">AKRASANEE博士</w:t>
      </w:r>
    </w:p>
    <w:p>
      <w:pPr>
        <w:pStyle w:val="BodyText"/>
      </w:pPr>
      <w:r>
        <w:t xml:space="preserve">Cesar Velasquez </w:t>
      </w:r>
      <w:r>
        <w:rPr>
          <w:rFonts w:hint="eastAsia"/>
        </w:rPr>
        <w:t xml:space="preserve">PURISIMA先生(4)</w:t>
      </w:r>
    </w:p>
    <w:p>
      <w:pPr>
        <w:pStyle w:val="BodyText"/>
      </w:pPr>
      <w:r>
        <w:t xml:space="preserve">6/6</w:t>
      </w:r>
    </w:p>
    <w:p>
      <w:pPr>
        <w:pStyle w:val="BodyText"/>
      </w:pPr>
      <w:r>
        <w:t xml:space="preserve">4/4</w:t>
      </w:r>
    </w:p>
    <w:p>
      <w:pPr>
        <w:pStyle w:val="BodyText"/>
      </w:pPr>
      <w:r>
        <w:t xml:space="preserve">2/2</w:t>
      </w:r>
    </w:p>
    <w:p>
      <w:pPr>
        <w:pStyle w:val="BodyText"/>
      </w:pPr>
      <w:r>
        <w:t xml:space="preserve">6/6</w:t>
      </w:r>
    </w:p>
    <w:p>
      <w:pPr>
        <w:pStyle w:val="BodyText"/>
      </w:pPr>
      <w:r>
        <w:t xml:space="preserve">6/6</w:t>
      </w:r>
    </w:p>
    <w:p>
      <w:pPr>
        <w:pStyle w:val="BodyText"/>
      </w:pPr>
      <w:r>
        <w:t xml:space="preserve">6/6</w:t>
      </w:r>
    </w:p>
    <w:p>
      <w:pPr>
        <w:pStyle w:val="BodyText"/>
      </w:pPr>
      <w:r>
        <w:t xml:space="preserve">6/6</w:t>
      </w:r>
    </w:p>
    <w:p>
      <w:pPr>
        <w:pStyle w:val="BodyText"/>
      </w:pPr>
      <w:r>
        <w:t xml:space="preserve">2/2</w:t>
      </w:r>
    </w:p>
    <w:p>
      <w:pPr>
        <w:pStyle w:val="BodyText"/>
      </w:pPr>
      <w:r>
        <w:t xml:space="preserve">6/6</w:t>
      </w:r>
    </w:p>
    <w:p>
      <w:pPr>
        <w:pStyle w:val="BodyText"/>
      </w:pPr>
      <w:r>
        <w:t xml:space="preserve">6/6</w:t>
      </w:r>
    </w:p>
    <w:p>
      <w:pPr>
        <w:pStyle w:val="BodyText"/>
      </w:pPr>
      <w:r>
        <w:t xml:space="preserve">6/6</w:t>
      </w:r>
    </w:p>
    <w:p>
      <w:pPr>
        <w:pStyle w:val="BodyText"/>
      </w:pPr>
      <w:r>
        <w:t xml:space="preserve">6/6</w:t>
      </w:r>
    </w:p>
    <w:p>
      <w:pPr>
        <w:pStyle w:val="BodyText"/>
      </w:pPr>
      <w:r>
        <w:t xml:space="preserve">–</w:t>
      </w:r>
    </w:p>
    <w:p>
      <w:pPr>
        <w:pStyle w:val="BodyText"/>
      </w:pPr>
      <w:r>
        <w:t xml:space="preserve">–</w:t>
      </w:r>
    </w:p>
    <w:p>
      <w:pPr>
        <w:pStyle w:val="BodyText"/>
      </w:pPr>
      <w:r>
        <w:t xml:space="preserve">–</w:t>
      </w:r>
    </w:p>
    <w:p>
      <w:pPr>
        <w:pStyle w:val="BodyText"/>
      </w:pPr>
      <w:r>
        <w:t xml:space="preserve">4/4</w:t>
      </w:r>
    </w:p>
    <w:p>
      <w:pPr>
        <w:pStyle w:val="BodyText"/>
      </w:pPr>
      <w:r>
        <w:t xml:space="preserve">–</w:t>
      </w:r>
    </w:p>
    <w:p>
      <w:pPr>
        <w:pStyle w:val="BodyText"/>
      </w:pPr>
      <w:r>
        <w:t xml:space="preserve">4/4</w:t>
      </w:r>
    </w:p>
    <w:p>
      <w:pPr>
        <w:pStyle w:val="BodyText"/>
      </w:pPr>
      <w:r>
        <w:t xml:space="preserve">4/4</w:t>
      </w:r>
    </w:p>
    <w:p>
      <w:pPr>
        <w:pStyle w:val="BodyText"/>
      </w:pPr>
      <w:r>
        <w:t xml:space="preserve">–</w:t>
      </w:r>
    </w:p>
    <w:p>
      <w:pPr>
        <w:pStyle w:val="BodyText"/>
      </w:pPr>
      <w:r>
        <w:t xml:space="preserve">–</w:t>
      </w:r>
    </w:p>
    <w:p>
      <w:pPr>
        <w:pStyle w:val="BodyText"/>
      </w:pPr>
      <w:r>
        <w:t xml:space="preserve">–</w:t>
      </w:r>
    </w:p>
    <w:p>
      <w:pPr>
        <w:pStyle w:val="BodyText"/>
      </w:pPr>
      <w:r>
        <w:t xml:space="preserve">4/4</w:t>
      </w:r>
    </w:p>
    <w:p>
      <w:pPr>
        <w:pStyle w:val="BodyText"/>
      </w:pPr>
      <w:r>
        <w:t xml:space="preserve">–</w:t>
      </w:r>
    </w:p>
    <w:p>
      <w:pPr>
        <w:pStyle w:val="BodyText"/>
      </w:pPr>
      <w:r>
        <w:t xml:space="preserve">1/1</w:t>
      </w:r>
    </w:p>
    <w:p>
      <w:pPr>
        <w:pStyle w:val="BodyText"/>
      </w:pPr>
      <w:r>
        <w:t xml:space="preserve">5/5</w:t>
      </w:r>
    </w:p>
    <w:p>
      <w:pPr>
        <w:pStyle w:val="BodyText"/>
      </w:pPr>
      <w:r>
        <w:t xml:space="preserve">–</w:t>
      </w:r>
    </w:p>
    <w:p>
      <w:pPr>
        <w:pStyle w:val="BodyText"/>
      </w:pPr>
      <w:r>
        <w:t xml:space="preserve">–</w:t>
      </w:r>
    </w:p>
    <w:p>
      <w:pPr>
        <w:pStyle w:val="BodyText"/>
      </w:pPr>
      <w:r>
        <w:t xml:space="preserve">1/1</w:t>
      </w:r>
    </w:p>
    <w:p>
      <w:pPr>
        <w:pStyle w:val="BodyText"/>
      </w:pPr>
      <w:r>
        <w:t xml:space="preserve">1/1</w:t>
      </w:r>
    </w:p>
    <w:p>
      <w:pPr>
        <w:pStyle w:val="BodyText"/>
      </w:pPr>
      <w:r>
        <w:t xml:space="preserve">1/1</w:t>
      </w:r>
    </w:p>
    <w:p>
      <w:pPr>
        <w:pStyle w:val="BodyText"/>
      </w:pPr>
      <w:r>
        <w:t xml:space="preserve">1/1</w:t>
      </w:r>
    </w:p>
    <w:p>
      <w:pPr>
        <w:pStyle w:val="BodyText"/>
      </w:pPr>
      <w:r>
        <w:t xml:space="preserve">1/1</w:t>
      </w:r>
    </w:p>
    <w:p>
      <w:pPr>
        <w:pStyle w:val="BodyText"/>
      </w:pPr>
      <w:r>
        <w:t xml:space="preserve">1/1</w:t>
      </w:r>
    </w:p>
    <w:p>
      <w:pPr>
        <w:pStyle w:val="BodyText"/>
      </w:pPr>
      <w:r>
        <w:t xml:space="preserve">1/1</w:t>
      </w:r>
    </w:p>
    <w:p>
      <w:pPr>
        <w:pStyle w:val="BodyText"/>
      </w:pPr>
      <w:r>
        <w:t xml:space="preserve">1/1</w:t>
      </w:r>
    </w:p>
    <w:p>
      <w:pPr>
        <w:pStyle w:val="BodyText"/>
      </w:pPr>
      <w:r>
        <w:t xml:space="preserve">1/1</w:t>
      </w:r>
    </w:p>
    <w:p>
      <w:pPr>
        <w:pStyle w:val="BodyText"/>
      </w:pPr>
      <w:r>
        <w:t xml:space="preserve">–</w:t>
      </w:r>
    </w:p>
    <w:p>
      <w:pPr>
        <w:pStyle w:val="BodyText"/>
      </w:pPr>
      <w:r>
        <w:t xml:space="preserve">–</w:t>
      </w:r>
    </w:p>
    <w:p>
      <w:pPr>
        <w:pStyle w:val="BodyText"/>
      </w:pPr>
      <w:r>
        <w:t xml:space="preserve">5/5</w:t>
      </w:r>
    </w:p>
    <w:p>
      <w:pPr>
        <w:pStyle w:val="BodyText"/>
      </w:pPr>
      <w:r>
        <w:t xml:space="preserve">–</w:t>
      </w:r>
    </w:p>
    <w:p>
      <w:pPr>
        <w:pStyle w:val="BodyText"/>
      </w:pPr>
      <w:r>
        <w:t xml:space="preserve">–</w:t>
      </w:r>
    </w:p>
    <w:p>
      <w:pPr>
        <w:pStyle w:val="BodyText"/>
      </w:pPr>
      <w:r>
        <w:t xml:space="preserve">5/5</w:t>
      </w:r>
    </w:p>
    <w:p>
      <w:pPr>
        <w:pStyle w:val="BodyText"/>
      </w:pPr>
      <w:r>
        <w:t xml:space="preserve">2/2</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4/4</w:t>
      </w:r>
    </w:p>
    <w:p>
      <w:pPr>
        <w:pStyle w:val="BodyText"/>
      </w:pPr>
      <w:r>
        <w:t xml:space="preserve">2/2</w:t>
      </w:r>
    </w:p>
    <w:p>
      <w:pPr>
        <w:pStyle w:val="BodyText"/>
      </w:pPr>
      <w:r>
        <w:t xml:space="preserve">2/2</w:t>
      </w:r>
    </w:p>
    <w:p>
      <w:pPr>
        <w:pStyle w:val="BodyText"/>
      </w:pPr>
      <w:r>
        <w:t xml:space="preserve">–</w:t>
      </w:r>
    </w:p>
    <w:p>
      <w:pPr>
        <w:pStyle w:val="BodyText"/>
      </w:pPr>
      <w:r>
        <w:t xml:space="preserve">4/4</w:t>
      </w:r>
    </w:p>
    <w:p>
      <w:pPr>
        <w:pStyle w:val="BodyText"/>
      </w:pPr>
      <w:r>
        <w:t xml:space="preserve">4/4</w:t>
      </w:r>
    </w:p>
    <w:p>
      <w:pPr>
        <w:pStyle w:val="BodyText"/>
      </w:pPr>
      <w:r>
        <w:t xml:space="preserve">–</w:t>
      </w:r>
    </w:p>
    <w:p>
      <w:pPr>
        <w:pStyle w:val="BodyText"/>
      </w:pPr>
      <w:r>
        <w:t xml:space="preserve">–</w:t>
      </w:r>
    </w:p>
    <w:p>
      <w:pPr>
        <w:pStyle w:val="BodyText"/>
      </w:pPr>
      <w:r>
        <w:t xml:space="preserve">4/4</w:t>
      </w:r>
    </w:p>
    <w:p>
      <w:pPr>
        <w:pStyle w:val="BodyText"/>
      </w:pPr>
      <w:r>
        <w:t xml:space="preserve">4/4</w:t>
      </w:r>
    </w:p>
    <w:p>
      <w:pPr>
        <w:pStyle w:val="BodyText"/>
      </w:pPr>
      <w:r>
        <w:t xml:space="preserve">–</w:t>
      </w:r>
    </w:p>
    <w:p>
      <w:pPr>
        <w:pStyle w:val="BodyText"/>
      </w:pPr>
      <w:r>
        <w:t xml:space="preserve">–</w:t>
      </w:r>
    </w:p>
    <w:p>
      <w:pPr>
        <w:pStyle w:val="BodyText"/>
      </w:pPr>
      <w:r>
        <w:t xml:space="preserve">1/1</w:t>
      </w:r>
    </w:p>
    <w:p>
      <w:pPr>
        <w:pStyle w:val="BodyText"/>
      </w:pPr>
      <w:r>
        <w:t xml:space="preserve">–</w:t>
      </w:r>
    </w:p>
    <w:p>
      <w:pPr>
        <w:pStyle w:val="BodyText"/>
      </w:pPr>
      <w:r>
        <w:t xml:space="preserve">1/1</w:t>
      </w:r>
    </w:p>
    <w:p>
      <w:pPr>
        <w:pStyle w:val="BodyText"/>
      </w:pPr>
      <w:r>
        <w:t xml:space="preserve">1/1</w:t>
      </w:r>
    </w:p>
    <w:p>
      <w:pPr>
        <w:pStyle w:val="BodyText"/>
      </w:pPr>
      <w:r>
        <w:t xml:space="preserve">1/1</w:t>
      </w:r>
    </w:p>
    <w:p>
      <w:pPr>
        <w:pStyle w:val="BodyText"/>
      </w:pPr>
      <w:r>
        <w:t xml:space="preserve">1/1</w:t>
      </w:r>
    </w:p>
    <w:p>
      <w:pPr>
        <w:pStyle w:val="BodyText"/>
      </w:pPr>
      <w:r>
        <w:t xml:space="preserve">1/1</w:t>
      </w:r>
    </w:p>
    <w:p>
      <w:pPr>
        <w:pStyle w:val="BodyText"/>
      </w:pPr>
      <w:r>
        <w:t xml:space="preserve">1/1</w:t>
      </w:r>
    </w:p>
    <w:p>
      <w:pPr>
        <w:pStyle w:val="BodyText"/>
      </w:pPr>
      <w:r>
        <w:t xml:space="preserve">1/1</w:t>
      </w:r>
    </w:p>
    <w:p>
      <w:pPr>
        <w:pStyle w:val="BodyText"/>
      </w:pPr>
      <w:r>
        <w:t xml:space="preserve">1/1</w:t>
      </w:r>
    </w:p>
    <w:p>
      <w:pPr>
        <w:pStyle w:val="BodyText"/>
      </w:pPr>
      <w:r>
        <w:t xml:space="preserve">1/1</w:t>
      </w:r>
    </w:p>
    <w:p>
      <w:pPr>
        <w:pStyle w:val="BodyText"/>
      </w:pPr>
      <w:r>
        <w:t xml:space="preserve">1/1</w:t>
      </w:r>
    </w:p>
    <w:p>
      <w:pPr>
        <w:pStyle w:val="BodyText"/>
      </w:pPr>
      <w:r>
        <w:rPr>
          <w:rFonts w:hint="eastAsia"/>
        </w:rPr>
        <w:t xml:space="preserve">附註：</w:t>
      </w:r>
      <w:r>
        <w:br/>
      </w:r>
      <w:r>
        <w:t xml:space="preserve">(1) </w:t>
      </w:r>
      <w:r>
        <w:rPr>
          <w:rFonts w:hint="eastAsia"/>
        </w:rPr>
        <w:t xml:space="preserve">李源祥先生於2020年6月1日獲委任為本公司執行董事。</w:t>
      </w:r>
    </w:p>
    <w:p>
      <w:pPr>
        <w:numPr>
          <w:ilvl w:val="0"/>
          <w:numId w:val="1082"/>
        </w:numPr>
      </w:pPr>
      <w:r>
        <w:t xml:space="preserve">Ng Keng </w:t>
      </w:r>
      <w:r>
        <w:rPr>
          <w:rFonts w:hint="eastAsia"/>
        </w:rPr>
        <w:t xml:space="preserve">Hooi先生已於2020年</w:t>
      </w:r>
      <w:r>
        <w:t xml:space="preserve"> </w:t>
      </w:r>
      <w:r>
        <w:rPr>
          <w:rFonts w:hint="eastAsia"/>
        </w:rPr>
        <w:t xml:space="preserve">5月31日退任本公司執行董事。</w:t>
      </w:r>
    </w:p>
    <w:p>
      <w:pPr>
        <w:numPr>
          <w:ilvl w:val="0"/>
          <w:numId w:val="1082"/>
        </w:numPr>
      </w:pPr>
      <w:r>
        <w:t xml:space="preserve">Mohamed Azman </w:t>
      </w:r>
      <w:r>
        <w:rPr>
          <w:rFonts w:hint="eastAsia"/>
        </w:rPr>
        <w:t xml:space="preserve">Yahya先生已於2020年5月29日退任本公司獨立非執行董事。</w:t>
      </w:r>
    </w:p>
    <w:p>
      <w:pPr>
        <w:numPr>
          <w:ilvl w:val="0"/>
          <w:numId w:val="1082"/>
        </w:numPr>
      </w:pPr>
      <w:r>
        <w:t xml:space="preserve">Cesar Velasquez </w:t>
      </w:r>
      <w:r>
        <w:rPr>
          <w:rFonts w:hint="eastAsia"/>
        </w:rPr>
        <w:t xml:space="preserve">Purisima先生於2021年</w:t>
      </w:r>
      <w:r>
        <w:t xml:space="preserve"> </w:t>
      </w:r>
      <w:r>
        <w:rPr>
          <w:rFonts w:hint="eastAsia"/>
        </w:rPr>
        <w:t xml:space="preserve">3月12日獲委任為本公司審核委員會成員，故於回顧年度內並沒有出席審核委員會會議。</w:t>
      </w:r>
    </w:p>
    <w:p>
      <w:pPr>
        <w:pStyle w:val="FirstParagraph"/>
      </w:pPr>
      <w:r>
        <w:rPr>
          <w:rFonts w:hint="eastAsia"/>
        </w:rPr>
        <w:t xml:space="preserve">董事會及所有委員會的會議紀錄及已通過的書面決議案由公司秘書保存。該等會議紀錄及決議案可於任何董事</w:t>
      </w:r>
    </w:p>
    <w:p>
      <w:pPr>
        <w:pStyle w:val="BodyText"/>
      </w:pPr>
      <w:r>
        <w:rPr>
          <w:rFonts w:hint="eastAsia"/>
        </w:rPr>
        <w:t xml:space="preserve">提出合理通知後供其查閱。</w:t>
      </w:r>
    </w:p>
    <w:p>
      <w:pPr>
        <w:pStyle w:val="BodyText"/>
      </w:pPr>
      <w:r>
        <w:t xml:space="preserve">099</w:t>
      </w:r>
    </w:p>
    <w:p>
      <w:pPr>
        <w:pStyle w:val="BodyText"/>
      </w:pPr>
      <w:r>
        <w:rPr>
          <w:rFonts w:hint="eastAsia"/>
        </w:rPr>
        <w:t xml:space="preserve">概覽財務及營運回顧企業管治其他資料財務報表2020年報</w:t>
      </w:r>
    </w:p>
    <w:p>
      <w:pPr>
        <w:pStyle w:val="BodyText"/>
      </w:pPr>
      <w:r>
        <w:rPr>
          <w:rFonts w:hint="eastAsia"/>
        </w:rPr>
        <w:t xml:space="preserve">主席與集團首席執行官</w:t>
      </w:r>
    </w:p>
    <w:p>
      <w:pPr>
        <w:pStyle w:val="BodyText"/>
      </w:pPr>
      <w:r>
        <w:rPr>
          <w:rFonts w:hint="eastAsia"/>
        </w:rPr>
        <w:t xml:space="preserve">本公司獨立非執行主席謝仕榮先生於領導董事會履行其職責方面擔當重要角色。在集團首席執行官兼總裁及高級</w:t>
      </w:r>
    </w:p>
    <w:p>
      <w:pPr>
        <w:pStyle w:val="BodyText"/>
      </w:pPr>
      <w:r>
        <w:rPr>
          <w:rFonts w:hint="eastAsia"/>
        </w:rPr>
        <w:t xml:space="preserve">管理人員的輔助下，謝先生致力確保所有董事均就董事會會議上提出的事宜獲得適當的說明，並且能及時收到</w:t>
      </w:r>
    </w:p>
    <w:p>
      <w:pPr>
        <w:pStyle w:val="BodyText"/>
      </w:pPr>
      <w:r>
        <w:rPr>
          <w:rFonts w:hint="eastAsia"/>
        </w:rPr>
        <w:t xml:space="preserve">充分及可靠的資料。彼亦負責確保本公司遵循良好企業管治常規及程序。</w:t>
      </w:r>
    </w:p>
    <w:p>
      <w:pPr>
        <w:pStyle w:val="BodyText"/>
      </w:pPr>
      <w:r>
        <w:rPr>
          <w:rFonts w:hint="eastAsia"/>
        </w:rPr>
        <w:t xml:space="preserve">本公司集團首席執行官兼總裁李源祥先生向董事會匯報，並負責本集團的整體領導、策略及行政管理及盈利表現</w:t>
      </w:r>
    </w:p>
    <w:p>
      <w:pPr>
        <w:pStyle w:val="BodyText"/>
      </w:pPr>
      <w:r>
        <w:rPr>
          <w:rFonts w:hint="eastAsia"/>
        </w:rPr>
        <w:t xml:space="preserve">（包括所有營運及行政）。李先生以其為唯一的執行董事的身份出席董事會會議，並以集團首席執行官兼總裁的</w:t>
      </w:r>
    </w:p>
    <w:p>
      <w:pPr>
        <w:pStyle w:val="BodyText"/>
      </w:pPr>
      <w:r>
        <w:rPr>
          <w:rFonts w:hint="eastAsia"/>
        </w:rPr>
        <w:t xml:space="preserve">身份確保董事會至少每月獲得有關本公司於各重大方面表現的最新資料。李先生在本公司政策、所保留權力及</w:t>
      </w:r>
    </w:p>
    <w:p>
      <w:pPr>
        <w:pStyle w:val="BodyText"/>
      </w:pPr>
      <w:r>
        <w:rPr>
          <w:rFonts w:hint="eastAsia"/>
        </w:rPr>
        <w:t xml:space="preserve">定期報告規定的框架內履行其職責，亦獲得本集團高級管理人員的建議及協助。</w:t>
      </w:r>
    </w:p>
    <w:p>
      <w:pPr>
        <w:pStyle w:val="BodyText"/>
      </w:pPr>
      <w:r>
        <w:rPr>
          <w:rFonts w:hint="eastAsia"/>
        </w:rPr>
        <w:t xml:space="preserve">分工確保主席管理董事會的職責與集團首席執行官兼總裁管理本集團業務的職責有明確界定。</w:t>
      </w:r>
    </w:p>
    <w:p>
      <w:pPr>
        <w:pStyle w:val="BodyText"/>
      </w:pPr>
      <w:r>
        <w:rPr>
          <w:rFonts w:hint="eastAsia"/>
        </w:rPr>
        <w:t xml:space="preserve">董事會、董事會主席及集團首席執行官的角色及職責均載於本公司之董事會章程。</w:t>
      </w:r>
    </w:p>
    <w:p>
      <w:pPr>
        <w:pStyle w:val="BodyText"/>
      </w:pPr>
      <w:r>
        <w:rPr>
          <w:rFonts w:hint="eastAsia"/>
        </w:rPr>
        <w:t xml:space="preserve">董事的委任</w:t>
      </w:r>
    </w:p>
    <w:p>
      <w:pPr>
        <w:pStyle w:val="BodyText"/>
      </w:pPr>
      <w:r>
        <w:rPr>
          <w:rFonts w:hint="eastAsia"/>
        </w:rPr>
        <w:t xml:space="preserve">對於委任新董事，本公司採用一套正規及具透明度的程序。提名委員會會就新董事的委任向董事會提出建議</w:t>
      </w:r>
    </w:p>
    <w:p>
      <w:pPr>
        <w:pStyle w:val="BodyText"/>
      </w:pPr>
      <w:r>
        <w:rPr>
          <w:rFonts w:hint="eastAsia"/>
        </w:rPr>
        <w:t xml:space="preserve">（當中已考慮被推薦新董事的背景），董事會在參考及商議有關建議後方會批准委任。為提升此方面的透明度，</w:t>
      </w:r>
    </w:p>
    <w:p>
      <w:pPr>
        <w:pStyle w:val="BodyText"/>
      </w:pPr>
      <w:r>
        <w:rPr>
          <w:rFonts w:hint="eastAsia"/>
        </w:rPr>
        <w:t xml:space="preserve">董事會於2019年3月14日採納董事提名政策。董事提名政策的概要載於本報告中的董事委員會內提名委員會</w:t>
      </w:r>
    </w:p>
    <w:p>
      <w:pPr>
        <w:pStyle w:val="BodyText"/>
      </w:pPr>
      <w:r>
        <w:rPr>
          <w:rFonts w:hint="eastAsia"/>
        </w:rPr>
        <w:t xml:space="preserve">一節。</w:t>
      </w:r>
    </w:p>
    <w:p>
      <w:pPr>
        <w:pStyle w:val="BodyText"/>
      </w:pPr>
      <w:r>
        <w:rPr>
          <w:rFonts w:hint="eastAsia"/>
        </w:rPr>
        <w:t xml:space="preserve">所有董事（包括非執行董事）均須按照本公司的組織章程細則及企業管治守則每三年輪值告退一次，及須於</w:t>
      </w:r>
    </w:p>
    <w:p>
      <w:pPr>
        <w:pStyle w:val="BodyText"/>
      </w:pPr>
      <w:r>
        <w:rPr>
          <w:rFonts w:hint="eastAsia"/>
        </w:rPr>
        <w:t xml:space="preserve">本公司的股東大會上重選連任的規定。</w:t>
      </w:r>
    </w:p>
    <w:p>
      <w:pPr>
        <w:pStyle w:val="BodyText"/>
      </w:pPr>
      <w:r>
        <w:rPr>
          <w:rFonts w:hint="eastAsia"/>
        </w:rPr>
        <w:t xml:space="preserve">入職培訓及持續發展</w:t>
      </w:r>
    </w:p>
    <w:p>
      <w:pPr>
        <w:pStyle w:val="BodyText"/>
      </w:pPr>
      <w:r>
        <w:rPr>
          <w:rFonts w:hint="eastAsia"/>
        </w:rPr>
        <w:t xml:space="preserve">本公司為各董事提供個人化的入職培訓、培訓及發展。於委任時，每名董事均接受全面及度身訂制的入職培訓，</w:t>
      </w:r>
    </w:p>
    <w:p>
      <w:pPr>
        <w:pStyle w:val="BodyText"/>
      </w:pPr>
      <w:r>
        <w:rPr>
          <w:rFonts w:hint="eastAsia"/>
        </w:rPr>
        <w:t xml:space="preserve">涵蓋（其中包括）有關董事會及其主要委員會的角色、集團架構、管治架構，以及董事根據適用法例及規例的</w:t>
      </w:r>
    </w:p>
    <w:p>
      <w:pPr>
        <w:pStyle w:val="BodyText"/>
      </w:pPr>
      <w:r>
        <w:rPr>
          <w:rFonts w:hint="eastAsia"/>
        </w:rPr>
        <w:t xml:space="preserve">職責及責任等多個範疇。</w:t>
      </w:r>
    </w:p>
    <w:p>
      <w:pPr>
        <w:pStyle w:val="BodyText"/>
      </w:pPr>
      <w:r>
        <w:rPr>
          <w:rFonts w:hint="eastAsia"/>
        </w:rPr>
        <w:t xml:space="preserve">董事獲得有關本集團主要業務、其營運所在的市場及整體競爭環境的明細簡報。其他涉及的範疇包括影響金融</w:t>
      </w:r>
    </w:p>
    <w:p>
      <w:pPr>
        <w:pStyle w:val="BodyText"/>
      </w:pPr>
      <w:r>
        <w:rPr>
          <w:rFonts w:hint="eastAsia"/>
        </w:rPr>
        <w:t xml:space="preserve">服務公司董事的法律及合規事宜、本集團的管治安排、有關本集團業績的主要會計基準、內部審核及風險管理</w:t>
      </w:r>
    </w:p>
    <w:p>
      <w:pPr>
        <w:pStyle w:val="BodyText"/>
      </w:pPr>
      <w:r>
        <w:rPr>
          <w:rFonts w:hint="eastAsia"/>
        </w:rPr>
        <w:t xml:space="preserve">職能範圍、其投資者關係計劃，及其薪酬政策。董事經常獲提供有關本集團業務以及上市規則及其他適用法定</w:t>
      </w:r>
    </w:p>
    <w:p>
      <w:pPr>
        <w:pStyle w:val="BodyText"/>
      </w:pPr>
      <w:r>
        <w:rPr>
          <w:rFonts w:hint="eastAsia"/>
        </w:rPr>
        <w:t xml:space="preserve">規定的最新發展的相關資料，以確保本集團符合並持續保持良好企業管治常規。</w:t>
      </w:r>
    </w:p>
    <w:p>
      <w:pPr>
        <w:pStyle w:val="BodyText"/>
      </w:pPr>
      <w:r>
        <w:t xml:space="preserve">100</w:t>
      </w:r>
    </w:p>
    <w:p>
      <w:pPr>
        <w:pStyle w:val="BodyText"/>
      </w:pPr>
      <w:r>
        <w:rPr>
          <w:rFonts w:hint="eastAsia"/>
        </w:rPr>
        <w:t xml:space="preserve">企業管治友邦保險控股有限公司企業管治報告</w:t>
      </w:r>
    </w:p>
    <w:p>
      <w:pPr>
        <w:pStyle w:val="BodyText"/>
      </w:pPr>
      <w:r>
        <w:rPr>
          <w:rFonts w:hint="eastAsia"/>
        </w:rPr>
        <w:t xml:space="preserve">於回顧年度內，本公司舉辦了董事會策略日(Board</w:t>
      </w:r>
      <w:r>
        <w:t xml:space="preserve"> Strategy </w:t>
      </w:r>
      <w:r>
        <w:rPr>
          <w:rFonts w:hint="eastAsia"/>
        </w:rPr>
        <w:t xml:space="preserve">Day)並為各董事提供多項簡報，以向彼等提供有關</w:t>
      </w:r>
    </w:p>
    <w:p>
      <w:pPr>
        <w:pStyle w:val="BodyText"/>
      </w:pPr>
      <w:r>
        <w:rPr>
          <w:rFonts w:hint="eastAsia"/>
        </w:rPr>
        <w:t xml:space="preserve">本集團把握未來業務機遇策略的實施以及本集團主要業務及主要產品的最新發展之更新資料。</w:t>
      </w:r>
    </w:p>
    <w:p>
      <w:pPr>
        <w:pStyle w:val="BodyText"/>
      </w:pPr>
      <w:r>
        <w:rPr>
          <w:rFonts w:hint="eastAsia"/>
        </w:rPr>
        <w:t xml:space="preserve">本公司鼓勵所有董事參與持續專業發展，以拓展及更新其知識及技能，所有董事均須向本公司提供其培訓記錄。</w:t>
      </w:r>
    </w:p>
    <w:p>
      <w:pPr>
        <w:pStyle w:val="BodyText"/>
      </w:pPr>
      <w:r>
        <w:rPr>
          <w:rFonts w:hint="eastAsia"/>
        </w:rPr>
        <w:t xml:space="preserve">各董事於回顧年度內接受的培訓概述如下：</w:t>
      </w:r>
    </w:p>
    <w:p>
      <w:pPr>
        <w:pStyle w:val="BodyText"/>
      </w:pPr>
      <w:r>
        <w:rPr>
          <w:rFonts w:hint="eastAsia"/>
        </w:rPr>
        <w:t xml:space="preserve">董事姓名</w:t>
      </w:r>
    </w:p>
    <w:p>
      <w:pPr>
        <w:pStyle w:val="BodyText"/>
      </w:pPr>
      <w:r>
        <w:rPr>
          <w:rFonts w:hint="eastAsia"/>
        </w:rPr>
        <w:t xml:space="preserve">獨立非執行主席及獨立非執行董事</w:t>
      </w:r>
    </w:p>
    <w:p>
      <w:pPr>
        <w:pStyle w:val="BodyText"/>
      </w:pPr>
      <w:r>
        <w:rPr>
          <w:rFonts w:hint="eastAsia"/>
        </w:rPr>
        <w:t xml:space="preserve">謝仕榮先生</w:t>
      </w:r>
    </w:p>
    <w:p>
      <w:pPr>
        <w:pStyle w:val="BodyText"/>
      </w:pPr>
      <w:r>
        <w:rPr>
          <w:rFonts w:hint="eastAsia"/>
        </w:rPr>
        <w:t xml:space="preserve">執行董事、集團首席執行官兼總裁</w:t>
      </w:r>
    </w:p>
    <w:p>
      <w:pPr>
        <w:pStyle w:val="BodyText"/>
      </w:pPr>
      <w:r>
        <w:rPr>
          <w:rFonts w:hint="eastAsia"/>
        </w:rPr>
        <w:t xml:space="preserve">李源祥先生(1)</w:t>
      </w:r>
    </w:p>
    <w:p>
      <w:pPr>
        <w:pStyle w:val="BodyText"/>
      </w:pPr>
      <w:r>
        <w:t xml:space="preserve">NG Keng </w:t>
      </w:r>
      <w:r>
        <w:rPr>
          <w:rFonts w:hint="eastAsia"/>
        </w:rPr>
        <w:t xml:space="preserve">Hooi先生(2)</w:t>
      </w:r>
    </w:p>
    <w:p>
      <w:pPr>
        <w:pStyle w:val="BodyText"/>
      </w:pPr>
      <w:r>
        <w:rPr>
          <w:rFonts w:hint="eastAsia"/>
        </w:rPr>
        <w:t xml:space="preserve">獨立非執行董事</w:t>
      </w:r>
    </w:p>
    <w:p>
      <w:pPr>
        <w:pStyle w:val="BodyText"/>
      </w:pPr>
      <w:r>
        <w:rPr>
          <w:rFonts w:hint="eastAsia"/>
        </w:rPr>
        <w:t xml:space="preserve">蘇澤光先生</w:t>
      </w:r>
    </w:p>
    <w:p>
      <w:pPr>
        <w:pStyle w:val="BodyText"/>
      </w:pPr>
      <w:r>
        <w:rPr>
          <w:rFonts w:hint="eastAsia"/>
        </w:rPr>
        <w:t xml:space="preserve">周松崗先生</w:t>
      </w:r>
    </w:p>
    <w:p>
      <w:pPr>
        <w:pStyle w:val="BodyText"/>
      </w:pPr>
      <w:r>
        <w:t xml:space="preserve">John Barrie </w:t>
      </w:r>
      <w:r>
        <w:rPr>
          <w:rFonts w:hint="eastAsia"/>
        </w:rPr>
        <w:t xml:space="preserve">HARRISON先生</w:t>
      </w:r>
    </w:p>
    <w:p>
      <w:pPr>
        <w:pStyle w:val="BodyText"/>
      </w:pPr>
      <w:r>
        <w:rPr>
          <w:rFonts w:hint="eastAsia"/>
        </w:rPr>
        <w:t xml:space="preserve">楊榮文先生</w:t>
      </w:r>
    </w:p>
    <w:p>
      <w:pPr>
        <w:pStyle w:val="BodyText"/>
      </w:pPr>
      <w:r>
        <w:t xml:space="preserve">Mohamed Azman </w:t>
      </w:r>
      <w:r>
        <w:rPr>
          <w:rFonts w:hint="eastAsia"/>
        </w:rPr>
        <w:t xml:space="preserve">YAHYA先生(3)</w:t>
      </w:r>
    </w:p>
    <w:p>
      <w:pPr>
        <w:pStyle w:val="BodyText"/>
      </w:pPr>
      <w:r>
        <w:rPr>
          <w:rFonts w:hint="eastAsia"/>
        </w:rPr>
        <w:t xml:space="preserve">劉遵義教授</w:t>
      </w:r>
    </w:p>
    <w:p>
      <w:pPr>
        <w:pStyle w:val="BodyText"/>
      </w:pPr>
      <w:r>
        <w:t xml:space="preserve">Swee-Lian </w:t>
      </w:r>
      <w:r>
        <w:rPr>
          <w:rFonts w:hint="eastAsia"/>
        </w:rPr>
        <w:t xml:space="preserve">TEO女士</w:t>
      </w:r>
    </w:p>
    <w:p>
      <w:pPr>
        <w:pStyle w:val="BodyText"/>
      </w:pPr>
      <w:r>
        <w:t xml:space="preserve">Narongchai </w:t>
      </w:r>
      <w:r>
        <w:rPr>
          <w:rFonts w:hint="eastAsia"/>
        </w:rPr>
        <w:t xml:space="preserve">AKRASANEE博士</w:t>
      </w:r>
    </w:p>
    <w:p>
      <w:pPr>
        <w:pStyle w:val="BodyText"/>
      </w:pPr>
      <w:r>
        <w:t xml:space="preserve">Cesar Velasquez </w:t>
      </w:r>
      <w:r>
        <w:rPr>
          <w:rFonts w:hint="eastAsia"/>
        </w:rPr>
        <w:t xml:space="preserve">PURISIMA先生</w:t>
      </w:r>
    </w:p>
    <w:p>
      <w:pPr>
        <w:pStyle w:val="BodyText"/>
      </w:pPr>
      <w:r>
        <w:rPr>
          <w:rFonts w:hint="eastAsia"/>
        </w:rPr>
        <w:t xml:space="preserve">培訓類型</w:t>
      </w:r>
    </w:p>
    <w:p>
      <w:pPr>
        <w:pStyle w:val="BodyText"/>
      </w:pPr>
      <w:r>
        <w:rPr>
          <w:rFonts w:hint="eastAsia"/>
        </w:rPr>
        <w:t xml:space="preserve">閱讀監管及管治</w:t>
      </w:r>
      <w:r>
        <w:br/>
      </w:r>
      <w:r>
        <w:rPr>
          <w:rFonts w:hint="eastAsia"/>
        </w:rPr>
        <w:t xml:space="preserve">更新資料或出席與之</w:t>
      </w:r>
      <w:r>
        <w:br/>
      </w:r>
      <w:r>
        <w:rPr>
          <w:rFonts w:hint="eastAsia"/>
        </w:rPr>
        <w:t xml:space="preserve">相關的簡報會</w:t>
      </w:r>
      <w:r>
        <w:t xml:space="preserve"> /</w:t>
      </w:r>
      <w:r>
        <w:br/>
      </w:r>
      <w:r>
        <w:rPr>
          <w:rFonts w:hint="eastAsia"/>
        </w:rPr>
        <w:t xml:space="preserve">講座</w:t>
      </w:r>
      <w:r>
        <w:t xml:space="preserve"> / </w:t>
      </w:r>
      <w:r>
        <w:rPr>
          <w:rFonts w:hint="eastAsia"/>
        </w:rPr>
        <w:t xml:space="preserve">會議</w:t>
      </w:r>
    </w:p>
    <w:p>
      <w:pPr>
        <w:pStyle w:val="BodyText"/>
      </w:pPr>
      <w:r>
        <w:rPr>
          <w:rFonts w:hint="eastAsia"/>
        </w:rPr>
        <w:t xml:space="preserve">出席與本集團業務</w:t>
      </w:r>
      <w:r>
        <w:br/>
      </w:r>
      <w:r>
        <w:rPr>
          <w:rFonts w:hint="eastAsia"/>
        </w:rPr>
        <w:t xml:space="preserve">有關的公司活動</w:t>
      </w:r>
      <w:r>
        <w:t xml:space="preserve"> /</w:t>
      </w:r>
      <w:r>
        <w:br/>
      </w:r>
      <w:r>
        <w:rPr>
          <w:rFonts w:hint="eastAsia"/>
        </w:rPr>
        <w:t xml:space="preserve">高級行政人員簡報會</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rPr>
          <w:rFonts w:hint="eastAsia"/>
        </w:rPr>
        <w:t xml:space="preserve">附註：</w:t>
      </w:r>
      <w:r>
        <w:br/>
      </w:r>
      <w:r>
        <w:t xml:space="preserve">(1) </w:t>
      </w:r>
      <w:r>
        <w:rPr>
          <w:rFonts w:hint="eastAsia"/>
        </w:rPr>
        <w:t xml:space="preserve">李源祥先生於2020年6月1日獲委任為本公司執行董事。</w:t>
      </w:r>
    </w:p>
    <w:p>
      <w:pPr>
        <w:numPr>
          <w:ilvl w:val="0"/>
          <w:numId w:val="1083"/>
        </w:numPr>
      </w:pPr>
      <w:r>
        <w:t xml:space="preserve">Ng Keng </w:t>
      </w:r>
      <w:r>
        <w:rPr>
          <w:rFonts w:hint="eastAsia"/>
        </w:rPr>
        <w:t xml:space="preserve">Hooi先生已於2020年</w:t>
      </w:r>
      <w:r>
        <w:t xml:space="preserve"> </w:t>
      </w:r>
      <w:r>
        <w:rPr>
          <w:rFonts w:hint="eastAsia"/>
        </w:rPr>
        <w:t xml:space="preserve">5月31日退任本公司執行董事。</w:t>
      </w:r>
    </w:p>
    <w:p>
      <w:pPr>
        <w:numPr>
          <w:ilvl w:val="0"/>
          <w:numId w:val="1083"/>
        </w:numPr>
      </w:pPr>
      <w:r>
        <w:t xml:space="preserve">Mohamed Azman </w:t>
      </w:r>
      <w:r>
        <w:rPr>
          <w:rFonts w:hint="eastAsia"/>
        </w:rPr>
        <w:t xml:space="preserve">Yahya先生已於2020年5月29日退任本公司獨立非執行董事。</w:t>
      </w:r>
    </w:p>
    <w:p>
      <w:pPr>
        <w:pStyle w:val="FirstParagraph"/>
      </w:pPr>
      <w:r>
        <w:rPr>
          <w:rFonts w:hint="eastAsia"/>
        </w:rPr>
        <w:t xml:space="preserve">董事委員會</w:t>
      </w:r>
    </w:p>
    <w:p>
      <w:pPr>
        <w:pStyle w:val="BodyText"/>
      </w:pPr>
      <w:r>
        <w:rPr>
          <w:rFonts w:hint="eastAsia"/>
        </w:rPr>
        <w:t xml:space="preserve">本公司的企業管治乃透過具組織的層級系統推行，其包括董事會及董事會設立的四個委員會，即審核委員會、</w:t>
      </w:r>
    </w:p>
    <w:p>
      <w:pPr>
        <w:pStyle w:val="BodyText"/>
      </w:pPr>
      <w:r>
        <w:rPr>
          <w:rFonts w:hint="eastAsia"/>
        </w:rPr>
        <w:t xml:space="preserve">提名委員會、薪酬委員會及風險委員會。所有董事委員會的成員及職權範圍可於香港交易及結算所有限公司及</w:t>
      </w:r>
    </w:p>
    <w:p>
      <w:pPr>
        <w:pStyle w:val="BodyText"/>
      </w:pPr>
      <w:r>
        <w:rPr>
          <w:rFonts w:hint="eastAsia"/>
        </w:rPr>
        <w:t xml:space="preserve">本公司網站閱覽。除該四個董事委員會外，已設立若干管理委員會，其中包括執行委員會、集團營運風險委員會</w:t>
      </w:r>
    </w:p>
    <w:p>
      <w:pPr>
        <w:pStyle w:val="BodyText"/>
      </w:pPr>
      <w:r>
        <w:rPr>
          <w:rFonts w:hint="eastAsia"/>
        </w:rPr>
        <w:t xml:space="preserve">及集團財務風險委員會。</w:t>
      </w:r>
    </w:p>
    <w:p>
      <w:pPr>
        <w:pStyle w:val="BodyText"/>
      </w:pPr>
      <w:r>
        <w:t xml:space="preserve">101</w:t>
      </w:r>
    </w:p>
    <w:p>
      <w:pPr>
        <w:pStyle w:val="BodyText"/>
      </w:pPr>
      <w:r>
        <w:rPr>
          <w:rFonts w:hint="eastAsia"/>
        </w:rPr>
        <w:t xml:space="preserve">概覽財務及營運回顧企業管治其他資料財務報表2020年報</w:t>
      </w:r>
    </w:p>
    <w:p>
      <w:pPr>
        <w:pStyle w:val="BodyText"/>
      </w:pPr>
      <w:r>
        <w:rPr>
          <w:rFonts w:hint="eastAsia"/>
        </w:rPr>
        <w:t xml:space="preserve">審核委員會</w:t>
      </w:r>
    </w:p>
    <w:p>
      <w:pPr>
        <w:pStyle w:val="BodyText"/>
      </w:pPr>
      <w:r>
        <w:rPr>
          <w:rFonts w:hint="eastAsia"/>
        </w:rPr>
        <w:t xml:space="preserve">審核委員會由五名成員組成，全部均為獨立非執行董事。彼等為Harrison先生（審核委員會主席）、蘇先生、</w:t>
      </w:r>
    </w:p>
    <w:p>
      <w:pPr>
        <w:pStyle w:val="BodyText"/>
      </w:pPr>
      <w:r>
        <w:rPr>
          <w:rFonts w:hint="eastAsia"/>
        </w:rPr>
        <w:t xml:space="preserve">楊</w:t>
      </w:r>
      <w:r>
        <w:t xml:space="preserve"> </w:t>
      </w:r>
      <w:r>
        <w:rPr>
          <w:rFonts w:hint="eastAsia"/>
        </w:rPr>
        <w:t xml:space="preserve">先</w:t>
      </w:r>
      <w:r>
        <w:t xml:space="preserve"> </w:t>
      </w:r>
      <w:r>
        <w:rPr>
          <w:rFonts w:hint="eastAsia"/>
        </w:rPr>
        <w:t xml:space="preserve">生、Narongchai博</w:t>
      </w:r>
      <w:r>
        <w:t xml:space="preserve"> </w:t>
      </w:r>
      <w:r>
        <w:rPr>
          <w:rFonts w:hint="eastAsia"/>
        </w:rPr>
        <w:t xml:space="preserve">士</w:t>
      </w:r>
      <w:r>
        <w:t xml:space="preserve"> </w:t>
      </w:r>
      <w:r>
        <w:rPr>
          <w:rFonts w:hint="eastAsia"/>
        </w:rPr>
        <w:t xml:space="preserve">及Purisima先</w:t>
      </w:r>
      <w:r>
        <w:t xml:space="preserve"> </w:t>
      </w:r>
      <w:r>
        <w:rPr>
          <w:rFonts w:hint="eastAsia"/>
        </w:rPr>
        <w:t xml:space="preserve">生（其</w:t>
      </w:r>
      <w:r>
        <w:t xml:space="preserve"> </w:t>
      </w:r>
      <w:r>
        <w:rPr>
          <w:rFonts w:hint="eastAsia"/>
        </w:rPr>
        <w:t xml:space="preserve">於2021年3月12日</w:t>
      </w:r>
      <w:r>
        <w:t xml:space="preserve"> </w:t>
      </w:r>
      <w:r>
        <w:rPr>
          <w:rFonts w:hint="eastAsia"/>
        </w:rPr>
        <w:t xml:space="preserve">成</w:t>
      </w:r>
      <w:r>
        <w:t xml:space="preserve"> </w:t>
      </w:r>
      <w:r>
        <w:rPr>
          <w:rFonts w:hint="eastAsia"/>
        </w:rPr>
        <w:t xml:space="preserve">為</w:t>
      </w:r>
      <w:r>
        <w:t xml:space="preserve"> </w:t>
      </w:r>
      <w:r>
        <w:rPr>
          <w:rFonts w:hint="eastAsia"/>
        </w:rPr>
        <w:t xml:space="preserve">審</w:t>
      </w:r>
      <w:r>
        <w:t xml:space="preserve"> </w:t>
      </w:r>
      <w:r>
        <w:rPr>
          <w:rFonts w:hint="eastAsia"/>
        </w:rPr>
        <w:t xml:space="preserve">核</w:t>
      </w:r>
      <w:r>
        <w:t xml:space="preserve"> </w:t>
      </w:r>
      <w:r>
        <w:rPr>
          <w:rFonts w:hint="eastAsia"/>
        </w:rPr>
        <w:t xml:space="preserve">委</w:t>
      </w:r>
      <w:r>
        <w:t xml:space="preserve"> </w:t>
      </w:r>
      <w:r>
        <w:rPr>
          <w:rFonts w:hint="eastAsia"/>
        </w:rPr>
        <w:t xml:space="preserve">員</w:t>
      </w:r>
      <w:r>
        <w:t xml:space="preserve"> </w:t>
      </w:r>
      <w:r>
        <w:rPr>
          <w:rFonts w:hint="eastAsia"/>
        </w:rPr>
        <w:t xml:space="preserve">會</w:t>
      </w:r>
      <w:r>
        <w:t xml:space="preserve"> </w:t>
      </w:r>
      <w:r>
        <w:rPr>
          <w:rFonts w:hint="eastAsia"/>
        </w:rPr>
        <w:t xml:space="preserve">成</w:t>
      </w:r>
      <w:r>
        <w:t xml:space="preserve"> </w:t>
      </w:r>
      <w:r>
        <w:rPr>
          <w:rFonts w:hint="eastAsia"/>
        </w:rPr>
        <w:t xml:space="preserve">員）。</w:t>
      </w:r>
      <w:r>
        <w:t xml:space="preserve"> </w:t>
      </w:r>
      <w:r>
        <w:rPr>
          <w:rFonts w:hint="eastAsia"/>
        </w:rPr>
        <w:t xml:space="preserve">審</w:t>
      </w:r>
      <w:r>
        <w:t xml:space="preserve"> </w:t>
      </w:r>
      <w:r>
        <w:rPr>
          <w:rFonts w:hint="eastAsia"/>
        </w:rPr>
        <w:t xml:space="preserve">核</w:t>
      </w:r>
      <w:r>
        <w:t xml:space="preserve"> </w:t>
      </w:r>
      <w:r>
        <w:rPr>
          <w:rFonts w:hint="eastAsia"/>
        </w:rPr>
        <w:t xml:space="preserve">委</w:t>
      </w:r>
      <w:r>
        <w:t xml:space="preserve"> </w:t>
      </w:r>
      <w:r>
        <w:rPr>
          <w:rFonts w:hint="eastAsia"/>
        </w:rPr>
        <w:t xml:space="preserve">員</w:t>
      </w:r>
      <w:r>
        <w:t xml:space="preserve"> </w:t>
      </w:r>
      <w:r>
        <w:rPr>
          <w:rFonts w:hint="eastAsia"/>
        </w:rPr>
        <w:t xml:space="preserve">會</w:t>
      </w:r>
      <w:r>
        <w:t xml:space="preserve"> </w:t>
      </w:r>
      <w:r>
        <w:rPr>
          <w:rFonts w:hint="eastAsia"/>
        </w:rPr>
        <w:t xml:space="preserve">獲</w:t>
      </w:r>
      <w:r>
        <w:t xml:space="preserve"> </w:t>
      </w:r>
      <w:r>
        <w:rPr>
          <w:rFonts w:hint="eastAsia"/>
        </w:rPr>
        <w:t xml:space="preserve">董</w:t>
      </w:r>
      <w:r>
        <w:t xml:space="preserve"> </w:t>
      </w:r>
      <w:r>
        <w:rPr>
          <w:rFonts w:hint="eastAsia"/>
        </w:rPr>
        <w:t xml:space="preserve">事</w:t>
      </w:r>
      <w:r>
        <w:t xml:space="preserve"> </w:t>
      </w:r>
      <w:r>
        <w:rPr>
          <w:rFonts w:hint="eastAsia"/>
        </w:rPr>
        <w:t xml:space="preserve">會</w:t>
      </w:r>
    </w:p>
    <w:p>
      <w:pPr>
        <w:pStyle w:val="BodyText"/>
      </w:pPr>
      <w:r>
        <w:rPr>
          <w:rFonts w:hint="eastAsia"/>
        </w:rPr>
        <w:t xml:space="preserve">授權監督本集團的財務報告系統、內部控制系統及與本公司外聘核數師的關係，以審閱本集團的財務資料。</w:t>
      </w:r>
    </w:p>
    <w:p>
      <w:pPr>
        <w:pStyle w:val="BodyText"/>
      </w:pPr>
      <w:r>
        <w:rPr>
          <w:rFonts w:hint="eastAsia"/>
        </w:rPr>
        <w:t xml:space="preserve">審核委員會於回顧年度內已履行的職責包括監督本集團的財務報告系統、評核風險管理及內部監控系統；監察</w:t>
      </w:r>
    </w:p>
    <w:p>
      <w:pPr>
        <w:pStyle w:val="BodyText"/>
      </w:pPr>
      <w:r>
        <w:rPr>
          <w:rFonts w:hint="eastAsia"/>
        </w:rPr>
        <w:t xml:space="preserve">本公司準備財務資料（包括本集團的季度業務摘要、中期及全年業績）的完備性；檢討本集團的財務與會計政策</w:t>
      </w:r>
    </w:p>
    <w:p>
      <w:pPr>
        <w:pStyle w:val="BodyText"/>
      </w:pPr>
      <w:r>
        <w:rPr>
          <w:rFonts w:hint="eastAsia"/>
        </w:rPr>
        <w:t xml:space="preserve">和慣例以及其舉報制度；及監察內部審核職能的資源充足性及有效性。有關已進行的評核風險管理及內部監控</w:t>
      </w:r>
    </w:p>
    <w:p>
      <w:pPr>
        <w:pStyle w:val="BodyText"/>
      </w:pPr>
      <w:r>
        <w:rPr>
          <w:rFonts w:hint="eastAsia"/>
        </w:rPr>
        <w:t xml:space="preserve">系統有效性的詳情，載於本報告風險管理及內部監控一節。</w:t>
      </w:r>
    </w:p>
    <w:p>
      <w:pPr>
        <w:pStyle w:val="BodyText"/>
      </w:pPr>
      <w:r>
        <w:rPr>
          <w:rFonts w:hint="eastAsia"/>
        </w:rPr>
        <w:t xml:space="preserve">審核委員會亦監督及管理與本集團外聘核數師的關係，包括根據適用準則檢討及監察外聘核數師的獨立性與</w:t>
      </w:r>
    </w:p>
    <w:p>
      <w:pPr>
        <w:pStyle w:val="BodyText"/>
      </w:pPr>
      <w:r>
        <w:rPr>
          <w:rFonts w:hint="eastAsia"/>
        </w:rPr>
        <w:t xml:space="preserve">客觀性，以及審核程序的有效性。</w:t>
      </w:r>
    </w:p>
    <w:p>
      <w:pPr>
        <w:pStyle w:val="BodyText"/>
      </w:pPr>
      <w:r>
        <w:rPr>
          <w:rFonts w:hint="eastAsia"/>
        </w:rPr>
        <w:t xml:space="preserve">審</w:t>
      </w:r>
      <w:r>
        <w:t xml:space="preserve"> </w:t>
      </w:r>
      <w:r>
        <w:rPr>
          <w:rFonts w:hint="eastAsia"/>
        </w:rPr>
        <w:t xml:space="preserve">核</w:t>
      </w:r>
      <w:r>
        <w:t xml:space="preserve"> </w:t>
      </w:r>
      <w:r>
        <w:rPr>
          <w:rFonts w:hint="eastAsia"/>
        </w:rPr>
        <w:t xml:space="preserve">委</w:t>
      </w:r>
      <w:r>
        <w:t xml:space="preserve"> </w:t>
      </w:r>
      <w:r>
        <w:rPr>
          <w:rFonts w:hint="eastAsia"/>
        </w:rPr>
        <w:t xml:space="preserve">員</w:t>
      </w:r>
      <w:r>
        <w:t xml:space="preserve"> </w:t>
      </w:r>
      <w:r>
        <w:rPr>
          <w:rFonts w:hint="eastAsia"/>
        </w:rPr>
        <w:t xml:space="preserve">會</w:t>
      </w:r>
      <w:r>
        <w:t xml:space="preserve"> </w:t>
      </w:r>
      <w:r>
        <w:rPr>
          <w:rFonts w:hint="eastAsia"/>
        </w:rPr>
        <w:t xml:space="preserve">於</w:t>
      </w:r>
      <w:r>
        <w:t xml:space="preserve"> </w:t>
      </w:r>
      <w:r>
        <w:rPr>
          <w:rFonts w:hint="eastAsia"/>
        </w:rPr>
        <w:t xml:space="preserve">截</w:t>
      </w:r>
      <w:r>
        <w:t xml:space="preserve"> </w:t>
      </w:r>
      <w:r>
        <w:rPr>
          <w:rFonts w:hint="eastAsia"/>
        </w:rPr>
        <w:t xml:space="preserve">至2020年12月31日</w:t>
      </w:r>
      <w:r>
        <w:t xml:space="preserve"> </w:t>
      </w:r>
      <w:r>
        <w:rPr>
          <w:rFonts w:hint="eastAsia"/>
        </w:rPr>
        <w:t xml:space="preserve">止</w:t>
      </w:r>
      <w:r>
        <w:t xml:space="preserve"> </w:t>
      </w:r>
      <w:r>
        <w:rPr>
          <w:rFonts w:hint="eastAsia"/>
        </w:rPr>
        <w:t xml:space="preserve">年</w:t>
      </w:r>
      <w:r>
        <w:t xml:space="preserve"> </w:t>
      </w:r>
      <w:r>
        <w:rPr>
          <w:rFonts w:hint="eastAsia"/>
        </w:rPr>
        <w:t xml:space="preserve">度</w:t>
      </w:r>
      <w:r>
        <w:t xml:space="preserve"> </w:t>
      </w:r>
      <w:r>
        <w:rPr>
          <w:rFonts w:hint="eastAsia"/>
        </w:rPr>
        <w:t xml:space="preserve">共</w:t>
      </w:r>
      <w:r>
        <w:t xml:space="preserve"> </w:t>
      </w:r>
      <w:r>
        <w:rPr>
          <w:rFonts w:hint="eastAsia"/>
        </w:rPr>
        <w:t xml:space="preserve">舉</w:t>
      </w:r>
      <w:r>
        <w:t xml:space="preserve"> </w:t>
      </w:r>
      <w:r>
        <w:rPr>
          <w:rFonts w:hint="eastAsia"/>
        </w:rPr>
        <w:t xml:space="preserve">行</w:t>
      </w:r>
      <w:r>
        <w:t xml:space="preserve"> </w:t>
      </w:r>
      <w:r>
        <w:rPr>
          <w:rFonts w:hint="eastAsia"/>
        </w:rPr>
        <w:t xml:space="preserve">了</w:t>
      </w:r>
      <w:r>
        <w:t xml:space="preserve"> </w:t>
      </w:r>
      <w:r>
        <w:rPr>
          <w:rFonts w:hint="eastAsia"/>
        </w:rPr>
        <w:t xml:space="preserve">四</w:t>
      </w:r>
      <w:r>
        <w:t xml:space="preserve"> </w:t>
      </w:r>
      <w:r>
        <w:rPr>
          <w:rFonts w:hint="eastAsia"/>
        </w:rPr>
        <w:t xml:space="preserve">次</w:t>
      </w:r>
      <w:r>
        <w:t xml:space="preserve"> </w:t>
      </w:r>
      <w:r>
        <w:rPr>
          <w:rFonts w:hint="eastAsia"/>
        </w:rPr>
        <w:t xml:space="preserve">會</w:t>
      </w:r>
      <w:r>
        <w:t xml:space="preserve"> </w:t>
      </w:r>
      <w:r>
        <w:rPr>
          <w:rFonts w:hint="eastAsia"/>
        </w:rPr>
        <w:t xml:space="preserve">議。</w:t>
      </w:r>
      <w:r>
        <w:t xml:space="preserve"> </w:t>
      </w:r>
      <w:r>
        <w:rPr>
          <w:rFonts w:hint="eastAsia"/>
        </w:rPr>
        <w:t xml:space="preserve">個</w:t>
      </w:r>
      <w:r>
        <w:t xml:space="preserve"> </w:t>
      </w:r>
      <w:r>
        <w:rPr>
          <w:rFonts w:hint="eastAsia"/>
        </w:rPr>
        <w:t xml:space="preserve">別</w:t>
      </w:r>
      <w:r>
        <w:t xml:space="preserve"> </w:t>
      </w:r>
      <w:r>
        <w:rPr>
          <w:rFonts w:hint="eastAsia"/>
        </w:rPr>
        <w:t xml:space="preserve">審</w:t>
      </w:r>
      <w:r>
        <w:t xml:space="preserve"> </w:t>
      </w:r>
      <w:r>
        <w:rPr>
          <w:rFonts w:hint="eastAsia"/>
        </w:rPr>
        <w:t xml:space="preserve">核</w:t>
      </w:r>
      <w:r>
        <w:t xml:space="preserve"> </w:t>
      </w:r>
      <w:r>
        <w:rPr>
          <w:rFonts w:hint="eastAsia"/>
        </w:rPr>
        <w:t xml:space="preserve">委</w:t>
      </w:r>
      <w:r>
        <w:t xml:space="preserve"> </w:t>
      </w:r>
      <w:r>
        <w:rPr>
          <w:rFonts w:hint="eastAsia"/>
        </w:rPr>
        <w:t xml:space="preserve">員</w:t>
      </w:r>
      <w:r>
        <w:t xml:space="preserve"> </w:t>
      </w:r>
      <w:r>
        <w:rPr>
          <w:rFonts w:hint="eastAsia"/>
        </w:rPr>
        <w:t xml:space="preserve">會</w:t>
      </w:r>
      <w:r>
        <w:t xml:space="preserve"> </w:t>
      </w:r>
      <w:r>
        <w:rPr>
          <w:rFonts w:hint="eastAsia"/>
        </w:rPr>
        <w:t xml:space="preserve">成</w:t>
      </w:r>
      <w:r>
        <w:t xml:space="preserve"> </w:t>
      </w:r>
      <w:r>
        <w:rPr>
          <w:rFonts w:hint="eastAsia"/>
        </w:rPr>
        <w:t xml:space="preserve">員</w:t>
      </w:r>
      <w:r>
        <w:t xml:space="preserve"> </w:t>
      </w:r>
      <w:r>
        <w:rPr>
          <w:rFonts w:hint="eastAsia"/>
        </w:rPr>
        <w:t xml:space="preserve">的</w:t>
      </w:r>
      <w:r>
        <w:t xml:space="preserve"> </w:t>
      </w:r>
      <w:r>
        <w:rPr>
          <w:rFonts w:hint="eastAsia"/>
        </w:rPr>
        <w:t xml:space="preserve">出</w:t>
      </w:r>
      <w:r>
        <w:t xml:space="preserve"> </w:t>
      </w:r>
      <w:r>
        <w:rPr>
          <w:rFonts w:hint="eastAsia"/>
        </w:rPr>
        <w:t xml:space="preserve">席</w:t>
      </w:r>
      <w:r>
        <w:t xml:space="preserve"> </w:t>
      </w:r>
      <w:r>
        <w:rPr>
          <w:rFonts w:hint="eastAsia"/>
        </w:rPr>
        <w:t xml:space="preserve">記</w:t>
      </w:r>
      <w:r>
        <w:t xml:space="preserve"> </w:t>
      </w:r>
      <w:r>
        <w:rPr>
          <w:rFonts w:hint="eastAsia"/>
        </w:rPr>
        <w:t xml:space="preserve">錄</w:t>
      </w:r>
      <w:r>
        <w:t xml:space="preserve"> </w:t>
      </w:r>
      <w:r>
        <w:rPr>
          <w:rFonts w:hint="eastAsia"/>
        </w:rPr>
        <w:t xml:space="preserve">載</w:t>
      </w:r>
      <w:r>
        <w:t xml:space="preserve"> </w:t>
      </w:r>
      <w:r>
        <w:rPr>
          <w:rFonts w:hint="eastAsia"/>
        </w:rPr>
        <w:t xml:space="preserve">於</w:t>
      </w:r>
      <w:r>
        <w:t xml:space="preserve"> </w:t>
      </w:r>
      <w:r>
        <w:rPr>
          <w:rFonts w:hint="eastAsia"/>
        </w:rPr>
        <w:t xml:space="preserve">本</w:t>
      </w:r>
      <w:r>
        <w:t xml:space="preserve"> </w:t>
      </w:r>
      <w:r>
        <w:rPr>
          <w:rFonts w:hint="eastAsia"/>
        </w:rPr>
        <w:t xml:space="preserve">年</w:t>
      </w:r>
      <w:r>
        <w:t xml:space="preserve"> </w:t>
      </w:r>
      <w:r>
        <w:rPr>
          <w:rFonts w:hint="eastAsia"/>
        </w:rPr>
        <w:t xml:space="preserve">報</w:t>
      </w:r>
    </w:p>
    <w:p>
      <w:pPr>
        <w:pStyle w:val="BodyText"/>
      </w:pPr>
      <w:r>
        <w:rPr>
          <w:rFonts w:hint="eastAsia"/>
        </w:rPr>
        <w:t xml:space="preserve">第99頁。</w:t>
      </w:r>
    </w:p>
    <w:p>
      <w:pPr>
        <w:pStyle w:val="BodyText"/>
      </w:pPr>
      <w:r>
        <w:rPr>
          <w:rFonts w:hint="eastAsia"/>
        </w:rPr>
        <w:t xml:space="preserve">提名委員會</w:t>
      </w:r>
    </w:p>
    <w:p>
      <w:pPr>
        <w:pStyle w:val="BodyText"/>
      </w:pPr>
      <w:r>
        <w:rPr>
          <w:rFonts w:hint="eastAsia"/>
        </w:rPr>
        <w:t xml:space="preserve">提名委員會由九名成員組成，包括獨立非執行主席謝先生（彼擔任提名委員會主席），以及餘下八名獨立非執行</w:t>
      </w:r>
    </w:p>
    <w:p>
      <w:pPr>
        <w:pStyle w:val="BodyText"/>
      </w:pPr>
      <w:r>
        <w:rPr>
          <w:rFonts w:hint="eastAsia"/>
        </w:rPr>
        <w:t xml:space="preserve">董事蘇先生、周先生、Harrison先生、楊先生、劉教授、Teo女士、Narongchai博士及Purisima先生。提名委員會</w:t>
      </w:r>
    </w:p>
    <w:p>
      <w:pPr>
        <w:pStyle w:val="BodyText"/>
      </w:pPr>
      <w:r>
        <w:rPr>
          <w:rFonts w:hint="eastAsia"/>
        </w:rPr>
        <w:t xml:space="preserve">獲董事會授權審閱董事會的組成及多元化，制定及實施董事提名政策、就委聘</w:t>
      </w:r>
      <w:r>
        <w:t xml:space="preserve"> </w:t>
      </w:r>
      <w:r>
        <w:rPr>
          <w:rFonts w:hint="eastAsia"/>
        </w:rPr>
        <w:t xml:space="preserve">∕續聘董事及董事委員會成員向</w:t>
      </w:r>
    </w:p>
    <w:p>
      <w:pPr>
        <w:pStyle w:val="BodyText"/>
      </w:pPr>
      <w:r>
        <w:rPr>
          <w:rFonts w:hint="eastAsia"/>
        </w:rPr>
        <w:t xml:space="preserve">董事會提出建議及評估獨立非執行董事的獨立性。</w:t>
      </w:r>
    </w:p>
    <w:p>
      <w:pPr>
        <w:pStyle w:val="BodyText"/>
      </w:pPr>
      <w:r>
        <w:rPr>
          <w:rFonts w:hint="eastAsia"/>
        </w:rPr>
        <w:t xml:space="preserve">提名委員會於回顧年度已履行的職責包括檢討董事會的架構、規模及組成（包括其成員的技能、知識、經驗及</w:t>
      </w:r>
    </w:p>
    <w:p>
      <w:pPr>
        <w:pStyle w:val="BodyText"/>
      </w:pPr>
      <w:r>
        <w:rPr>
          <w:rFonts w:hint="eastAsia"/>
        </w:rPr>
        <w:t xml:space="preserve">多元化背景及經驗）並就此向董事會提出建議；監督候選董事候選人的挑選及評估；監督及釐定董事繼任計劃的</w:t>
      </w:r>
    </w:p>
    <w:p>
      <w:pPr>
        <w:pStyle w:val="BodyText"/>
      </w:pPr>
      <w:r>
        <w:rPr>
          <w:rFonts w:hint="eastAsia"/>
        </w:rPr>
        <w:t xml:space="preserve">方針及釐定董事委員會的組成。</w:t>
      </w:r>
    </w:p>
    <w:p>
      <w:pPr>
        <w:pStyle w:val="BodyText"/>
      </w:pPr>
      <w:r>
        <w:rPr>
          <w:rFonts w:hint="eastAsia"/>
        </w:rPr>
        <w:t xml:space="preserve">為提升提名委員會挑選董事及就董事委任、選任或重選向董事會提出建議的程序及標準的透明度，董事會根據</w:t>
      </w:r>
    </w:p>
    <w:p>
      <w:pPr>
        <w:pStyle w:val="BodyText"/>
      </w:pPr>
      <w:r>
        <w:rPr>
          <w:rFonts w:hint="eastAsia"/>
        </w:rPr>
        <w:t xml:space="preserve">提名委員會的建議於2019年3月14日採納了董事提名政策。</w:t>
      </w:r>
    </w:p>
    <w:p>
      <w:pPr>
        <w:pStyle w:val="BodyText"/>
      </w:pPr>
      <w:r>
        <w:rPr>
          <w:rFonts w:hint="eastAsia"/>
        </w:rPr>
        <w:t xml:space="preserve">董事提名政策的概要載列如下：</w:t>
      </w:r>
    </w:p>
    <w:p>
      <w:pPr>
        <w:pStyle w:val="BodyText"/>
      </w:pPr>
      <w:r>
        <w:t xml:space="preserve">• </w:t>
      </w:r>
      <w:r>
        <w:rPr>
          <w:rFonts w:hint="eastAsia"/>
        </w:rPr>
        <w:t xml:space="preserve">於評估候選人是否適合被提名委任、選任或重選為董事時，提名委員會應根據董事提名政策所載的挑選標準</w:t>
      </w:r>
    </w:p>
    <w:p>
      <w:pPr>
        <w:pStyle w:val="BodyText"/>
      </w:pPr>
      <w:r>
        <w:rPr>
          <w:rFonts w:hint="eastAsia"/>
        </w:rPr>
        <w:t xml:space="preserve">（其中包括其技能、知識、經驗及背景是否能夠增補及提升現有董事會成員在相關方面整體所需具的條件，</w:t>
      </w:r>
    </w:p>
    <w:p>
      <w:pPr>
        <w:pStyle w:val="BodyText"/>
      </w:pPr>
      <w:r>
        <w:rPr>
          <w:rFonts w:hint="eastAsia"/>
        </w:rPr>
        <w:t xml:space="preserve">並適當考慮董事會多元化政策所載的多元化角度的益處；其品格、聲譽、誠信及能力水平；以及為履行作為</w:t>
      </w:r>
    </w:p>
    <w:p>
      <w:pPr>
        <w:pStyle w:val="BodyText"/>
      </w:pPr>
      <w:r>
        <w:rPr>
          <w:rFonts w:hint="eastAsia"/>
        </w:rPr>
        <w:t xml:space="preserve">董事的職責可貢獻充足時間的能力）考慮候選人。就建議提名為獨立非執行董事的候選人而言，亦須符合</w:t>
      </w:r>
    </w:p>
    <w:p>
      <w:pPr>
        <w:pStyle w:val="BodyText"/>
      </w:pPr>
      <w:r>
        <w:rPr>
          <w:rFonts w:hint="eastAsia"/>
        </w:rPr>
        <w:t xml:space="preserve">上市規則第3.13條項下的獨立性規定。</w:t>
      </w:r>
    </w:p>
    <w:p>
      <w:pPr>
        <w:pStyle w:val="BodyText"/>
      </w:pPr>
      <w:r>
        <w:t xml:space="preserve">102</w:t>
      </w:r>
    </w:p>
    <w:p>
      <w:pPr>
        <w:pStyle w:val="BodyText"/>
      </w:pPr>
      <w:r>
        <w:rPr>
          <w:rFonts w:hint="eastAsia"/>
        </w:rPr>
        <w:t xml:space="preserve">企業管治友邦保險控股有限公司企業管治報告</w:t>
      </w:r>
    </w:p>
    <w:p>
      <w:pPr>
        <w:pStyle w:val="BodyText"/>
      </w:pPr>
      <w:r>
        <w:t xml:space="preserve">• </w:t>
      </w:r>
      <w:r>
        <w:rPr>
          <w:rFonts w:hint="eastAsia"/>
        </w:rPr>
        <w:t xml:space="preserve">就委任或選舉新董事而言，提名董事會應在物色合資格董事候選人方面發揮領導作用。其可根據董事提名</w:t>
      </w:r>
    </w:p>
    <w:p>
      <w:pPr>
        <w:pStyle w:val="BodyText"/>
      </w:pPr>
      <w:r>
        <w:rPr>
          <w:rFonts w:hint="eastAsia"/>
        </w:rPr>
        <w:t xml:space="preserve">政策所載的挑選標準考慮現有董事的引薦、利用公開招募或外部顧問的服務，協助物色人選。股東亦可在</w:t>
      </w:r>
    </w:p>
    <w:p>
      <w:pPr>
        <w:pStyle w:val="BodyText"/>
      </w:pPr>
      <w:r>
        <w:rPr>
          <w:rFonts w:hint="eastAsia"/>
        </w:rPr>
        <w:t xml:space="preserve">股東大會上提名人士選任為本公司董事，相關程序載於本公司網站。提名委員會應透過面談、背景調查、</w:t>
      </w:r>
    </w:p>
    <w:p>
      <w:pPr>
        <w:pStyle w:val="BodyText"/>
      </w:pPr>
      <w:r>
        <w:rPr>
          <w:rFonts w:hint="eastAsia"/>
        </w:rPr>
        <w:t xml:space="preserve">第三方征信調查及∕或其認為必要及適當的任何步驟評估候選人的合適性。</w:t>
      </w:r>
    </w:p>
    <w:p>
      <w:pPr>
        <w:pStyle w:val="BodyText"/>
      </w:pPr>
      <w:r>
        <w:t xml:space="preserve">• </w:t>
      </w:r>
      <w:r>
        <w:rPr>
          <w:rFonts w:hint="eastAsia"/>
        </w:rPr>
        <w:t xml:space="preserve">就重選退任董事而言，提名委員會將檢討退任董事對本公司的整體過往貢獻，並釐定其是否繼續符合董事</w:t>
      </w:r>
    </w:p>
    <w:p>
      <w:pPr>
        <w:pStyle w:val="BodyText"/>
      </w:pPr>
      <w:r>
        <w:rPr>
          <w:rFonts w:hint="eastAsia"/>
        </w:rPr>
        <w:t xml:space="preserve">提名政策所載的挑選標準。</w:t>
      </w:r>
    </w:p>
    <w:p>
      <w:pPr>
        <w:pStyle w:val="BodyText"/>
      </w:pPr>
      <w:r>
        <w:rPr>
          <w:rFonts w:hint="eastAsia"/>
        </w:rPr>
        <w:t xml:space="preserve">該等程序旨在確保每名董事具備所需的品格、經驗及誠信，且其能夠展現與其作為董事的職位相稱的能力水平。</w:t>
      </w:r>
    </w:p>
    <w:p>
      <w:pPr>
        <w:pStyle w:val="BodyText"/>
      </w:pPr>
      <w:r>
        <w:rPr>
          <w:rFonts w:hint="eastAsia"/>
        </w:rPr>
        <w:t xml:space="preserve">此</w:t>
      </w:r>
      <w:r>
        <w:t xml:space="preserve"> </w:t>
      </w:r>
      <w:r>
        <w:rPr>
          <w:rFonts w:hint="eastAsia"/>
        </w:rPr>
        <w:t xml:space="preserve">外，</w:t>
      </w:r>
      <w:r>
        <w:t xml:space="preserve"> </w:t>
      </w:r>
      <w:r>
        <w:rPr>
          <w:rFonts w:hint="eastAsia"/>
        </w:rPr>
        <w:t xml:space="preserve">由</w:t>
      </w:r>
      <w:r>
        <w:t xml:space="preserve"> </w:t>
      </w:r>
      <w:r>
        <w:rPr>
          <w:rFonts w:hint="eastAsia"/>
        </w:rPr>
        <w:t xml:space="preserve">董</w:t>
      </w:r>
      <w:r>
        <w:t xml:space="preserve"> </w:t>
      </w:r>
      <w:r>
        <w:rPr>
          <w:rFonts w:hint="eastAsia"/>
        </w:rPr>
        <w:t xml:space="preserve">事</w:t>
      </w:r>
      <w:r>
        <w:t xml:space="preserve"> </w:t>
      </w:r>
      <w:r>
        <w:rPr>
          <w:rFonts w:hint="eastAsia"/>
        </w:rPr>
        <w:t xml:space="preserve">會</w:t>
      </w:r>
      <w:r>
        <w:t xml:space="preserve"> </w:t>
      </w:r>
      <w:r>
        <w:rPr>
          <w:rFonts w:hint="eastAsia"/>
        </w:rPr>
        <w:t xml:space="preserve">於2013年</w:t>
      </w:r>
      <w:r>
        <w:t xml:space="preserve"> </w:t>
      </w:r>
      <w:r>
        <w:rPr>
          <w:rFonts w:hint="eastAsia"/>
        </w:rPr>
        <w:t xml:space="preserve">首</w:t>
      </w:r>
      <w:r>
        <w:t xml:space="preserve"> </w:t>
      </w:r>
      <w:r>
        <w:rPr>
          <w:rFonts w:hint="eastAsia"/>
        </w:rPr>
        <w:t xml:space="preserve">次</w:t>
      </w:r>
      <w:r>
        <w:t xml:space="preserve"> </w:t>
      </w:r>
      <w:r>
        <w:rPr>
          <w:rFonts w:hint="eastAsia"/>
        </w:rPr>
        <w:t xml:space="preserve">採</w:t>
      </w:r>
      <w:r>
        <w:t xml:space="preserve"> </w:t>
      </w:r>
      <w:r>
        <w:rPr>
          <w:rFonts w:hint="eastAsia"/>
        </w:rPr>
        <w:t xml:space="preserve">納</w:t>
      </w:r>
      <w:r>
        <w:t xml:space="preserve"> </w:t>
      </w:r>
      <w:r>
        <w:rPr>
          <w:rFonts w:hint="eastAsia"/>
        </w:rPr>
        <w:t xml:space="preserve">及</w:t>
      </w:r>
      <w:r>
        <w:t xml:space="preserve"> </w:t>
      </w:r>
      <w:r>
        <w:rPr>
          <w:rFonts w:hint="eastAsia"/>
        </w:rPr>
        <w:t xml:space="preserve">於2021年</w:t>
      </w:r>
      <w:r>
        <w:t xml:space="preserve"> </w:t>
      </w:r>
      <w:r>
        <w:rPr>
          <w:rFonts w:hint="eastAsia"/>
        </w:rPr>
        <w:t xml:space="preserve">修</w:t>
      </w:r>
      <w:r>
        <w:t xml:space="preserve"> </w:t>
      </w:r>
      <w:r>
        <w:rPr>
          <w:rFonts w:hint="eastAsia"/>
        </w:rPr>
        <w:t xml:space="preserve">訂</w:t>
      </w:r>
      <w:r>
        <w:t xml:space="preserve"> </w:t>
      </w:r>
      <w:r>
        <w:rPr>
          <w:rFonts w:hint="eastAsia"/>
        </w:rPr>
        <w:t xml:space="preserve">的</w:t>
      </w:r>
      <w:r>
        <w:t xml:space="preserve"> </w:t>
      </w:r>
      <w:r>
        <w:rPr>
          <w:rFonts w:hint="eastAsia"/>
        </w:rPr>
        <w:t xml:space="preserve">董</w:t>
      </w:r>
      <w:r>
        <w:t xml:space="preserve"> </w:t>
      </w:r>
      <w:r>
        <w:rPr>
          <w:rFonts w:hint="eastAsia"/>
        </w:rPr>
        <w:t xml:space="preserve">事</w:t>
      </w:r>
      <w:r>
        <w:t xml:space="preserve"> </w:t>
      </w:r>
      <w:r>
        <w:rPr>
          <w:rFonts w:hint="eastAsia"/>
        </w:rPr>
        <w:t xml:space="preserve">會</w:t>
      </w:r>
      <w:r>
        <w:t xml:space="preserve"> </w:t>
      </w:r>
      <w:r>
        <w:rPr>
          <w:rFonts w:hint="eastAsia"/>
        </w:rPr>
        <w:t xml:space="preserve">多</w:t>
      </w:r>
      <w:r>
        <w:t xml:space="preserve"> </w:t>
      </w:r>
      <w:r>
        <w:rPr>
          <w:rFonts w:hint="eastAsia"/>
        </w:rPr>
        <w:t xml:space="preserve">元</w:t>
      </w:r>
      <w:r>
        <w:t xml:space="preserve"> </w:t>
      </w:r>
      <w:r>
        <w:rPr>
          <w:rFonts w:hint="eastAsia"/>
        </w:rPr>
        <w:t xml:space="preserve">化</w:t>
      </w:r>
      <w:r>
        <w:t xml:space="preserve"> </w:t>
      </w:r>
      <w:r>
        <w:rPr>
          <w:rFonts w:hint="eastAsia"/>
        </w:rPr>
        <w:t xml:space="preserve">政</w:t>
      </w:r>
      <w:r>
        <w:t xml:space="preserve"> </w:t>
      </w:r>
      <w:r>
        <w:rPr>
          <w:rFonts w:hint="eastAsia"/>
        </w:rPr>
        <w:t xml:space="preserve">策</w:t>
      </w:r>
      <w:r>
        <w:t xml:space="preserve"> </w:t>
      </w:r>
      <w:r>
        <w:rPr>
          <w:rFonts w:hint="eastAsia"/>
        </w:rPr>
        <w:t xml:space="preserve">描</w:t>
      </w:r>
      <w:r>
        <w:t xml:space="preserve"> </w:t>
      </w:r>
      <w:r>
        <w:rPr>
          <w:rFonts w:hint="eastAsia"/>
        </w:rPr>
        <w:t xml:space="preserve">述</w:t>
      </w:r>
      <w:r>
        <w:t xml:space="preserve"> </w:t>
      </w:r>
      <w:r>
        <w:rPr>
          <w:rFonts w:hint="eastAsia"/>
        </w:rPr>
        <w:t xml:space="preserve">本</w:t>
      </w:r>
      <w:r>
        <w:t xml:space="preserve"> </w:t>
      </w:r>
      <w:r>
        <w:rPr>
          <w:rFonts w:hint="eastAsia"/>
        </w:rPr>
        <w:t xml:space="preserve">公</w:t>
      </w:r>
      <w:r>
        <w:t xml:space="preserve"> </w:t>
      </w:r>
      <w:r>
        <w:rPr>
          <w:rFonts w:hint="eastAsia"/>
        </w:rPr>
        <w:t xml:space="preserve">司</w:t>
      </w:r>
      <w:r>
        <w:t xml:space="preserve"> </w:t>
      </w:r>
      <w:r>
        <w:rPr>
          <w:rFonts w:hint="eastAsia"/>
        </w:rPr>
        <w:t xml:space="preserve">在</w:t>
      </w:r>
      <w:r>
        <w:t xml:space="preserve"> </w:t>
      </w:r>
      <w:r>
        <w:rPr>
          <w:rFonts w:hint="eastAsia"/>
        </w:rPr>
        <w:t xml:space="preserve">確</w:t>
      </w:r>
      <w:r>
        <w:t xml:space="preserve"> </w:t>
      </w:r>
      <w:r>
        <w:rPr>
          <w:rFonts w:hint="eastAsia"/>
        </w:rPr>
        <w:t xml:space="preserve">保</w:t>
      </w:r>
      <w:r>
        <w:t xml:space="preserve"> </w:t>
      </w:r>
      <w:r>
        <w:rPr>
          <w:rFonts w:hint="eastAsia"/>
        </w:rPr>
        <w:t xml:space="preserve">多</w:t>
      </w:r>
      <w:r>
        <w:t xml:space="preserve"> </w:t>
      </w:r>
      <w:r>
        <w:rPr>
          <w:rFonts w:hint="eastAsia"/>
        </w:rPr>
        <w:t xml:space="preserve">元</w:t>
      </w:r>
      <w:r>
        <w:t xml:space="preserve"> </w:t>
      </w:r>
      <w:r>
        <w:rPr>
          <w:rFonts w:hint="eastAsia"/>
        </w:rPr>
        <w:t xml:space="preserve">化</w:t>
      </w:r>
      <w:r>
        <w:t xml:space="preserve"> </w:t>
      </w:r>
      <w:r>
        <w:rPr>
          <w:rFonts w:hint="eastAsia"/>
        </w:rPr>
        <w:t xml:space="preserve">而</w:t>
      </w:r>
      <w:r>
        <w:t xml:space="preserve"> </w:t>
      </w:r>
      <w:r>
        <w:rPr>
          <w:rFonts w:hint="eastAsia"/>
        </w:rPr>
        <w:t xml:space="preserve">制</w:t>
      </w:r>
      <w:r>
        <w:t xml:space="preserve"> </w:t>
      </w:r>
      <w:r>
        <w:rPr>
          <w:rFonts w:hint="eastAsia"/>
        </w:rPr>
        <w:t xml:space="preserve">定</w:t>
      </w:r>
      <w:r>
        <w:t xml:space="preserve"> </w:t>
      </w:r>
      <w:r>
        <w:rPr>
          <w:rFonts w:hint="eastAsia"/>
        </w:rPr>
        <w:t xml:space="preserve">的</w:t>
      </w:r>
    </w:p>
    <w:p>
      <w:pPr>
        <w:pStyle w:val="BodyText"/>
      </w:pPr>
      <w:r>
        <w:rPr>
          <w:rFonts w:hint="eastAsia"/>
        </w:rPr>
        <w:t xml:space="preserve">方針。董事會多元化政策的概要載列如下：</w:t>
      </w:r>
    </w:p>
    <w:p>
      <w:pPr>
        <w:pStyle w:val="BodyText"/>
      </w:pPr>
      <w:r>
        <w:t xml:space="preserve">• </w:t>
      </w:r>
      <w:r>
        <w:rPr>
          <w:rFonts w:hint="eastAsia"/>
        </w:rPr>
        <w:t xml:space="preserve">本公司明白，除思想及背景多元化外，由具備廣泛相關經驗的合適合資格成員所組成的董事會，對其業務的</w:t>
      </w:r>
    </w:p>
    <w:p>
      <w:pPr>
        <w:pStyle w:val="BodyText"/>
      </w:pPr>
      <w:r>
        <w:rPr>
          <w:rFonts w:hint="eastAsia"/>
        </w:rPr>
        <w:t xml:space="preserve">有效管治及確保長期可持續增長至關重要；</w:t>
      </w:r>
    </w:p>
    <w:p>
      <w:pPr>
        <w:pStyle w:val="BodyText"/>
      </w:pPr>
      <w:r>
        <w:t xml:space="preserve">• </w:t>
      </w:r>
      <w:r>
        <w:rPr>
          <w:rFonts w:hint="eastAsia"/>
        </w:rPr>
        <w:t xml:space="preserve">本公司在其業務各方面致力遵從不歧視原則，包括委任董事會成員。本公司會以用人惟才為原則考慮及篩選</w:t>
      </w:r>
    </w:p>
    <w:p>
      <w:pPr>
        <w:pStyle w:val="BodyText"/>
      </w:pPr>
      <w:r>
        <w:rPr>
          <w:rFonts w:hint="eastAsia"/>
        </w:rPr>
        <w:t xml:space="preserve">董事候選人，包括審閱候選人的誠信度、經驗、教育背景，行業或相關經驗及其他普遍經驗；</w:t>
      </w:r>
    </w:p>
    <w:p>
      <w:pPr>
        <w:pStyle w:val="BodyText"/>
      </w:pPr>
      <w:r>
        <w:t xml:space="preserve">• </w:t>
      </w:r>
      <w:r>
        <w:rPr>
          <w:rFonts w:hint="eastAsia"/>
        </w:rPr>
        <w:t xml:space="preserve">在強調用人惟才的前提下，提名委員會在填補董事會空缺時，應從具備合適的背景及行業或相關專業知識</w:t>
      </w:r>
    </w:p>
    <w:p>
      <w:pPr>
        <w:pStyle w:val="BodyText"/>
      </w:pPr>
      <w:r>
        <w:rPr>
          <w:rFonts w:hint="eastAsia"/>
        </w:rPr>
        <w:t xml:space="preserve">及經驗的候選人中，積極考慮能帶來多元化背景及觀點的候選人。提名委員會的考慮應包括在性別、年齡、</w:t>
      </w:r>
    </w:p>
    <w:p>
      <w:pPr>
        <w:pStyle w:val="BodyText"/>
      </w:pPr>
      <w:r>
        <w:rPr>
          <w:rFonts w:hint="eastAsia"/>
        </w:rPr>
        <w:t xml:space="preserve">種族、國籍、文化及教育背景等因素上達至適度多元化；</w:t>
      </w:r>
    </w:p>
    <w:p>
      <w:pPr>
        <w:pStyle w:val="BodyText"/>
      </w:pPr>
      <w:r>
        <w:t xml:space="preserve">• </w:t>
      </w:r>
      <w:r>
        <w:rPr>
          <w:rFonts w:hint="eastAsia"/>
        </w:rPr>
        <w:t xml:space="preserve">提名委員會將</w:t>
      </w:r>
      <w:r>
        <w:t xml:space="preserve"> (a) </w:t>
      </w:r>
      <w:r>
        <w:rPr>
          <w:rFonts w:hint="eastAsia"/>
        </w:rPr>
        <w:t xml:space="preserve">在檢討董事會組成時，考慮在多元化各方面所帶來的益處（包括但不限於上述的考慮），</w:t>
      </w:r>
    </w:p>
    <w:p>
      <w:pPr>
        <w:pStyle w:val="BodyText"/>
      </w:pPr>
      <w:r>
        <w:rPr>
          <w:rFonts w:hint="eastAsia"/>
        </w:rPr>
        <w:t xml:space="preserve">使董事會成員在技能、經驗、知識及性格方面保持適當的範疇及平衡；及</w:t>
      </w:r>
      <w:r>
        <w:t xml:space="preserve"> (b) </w:t>
      </w:r>
      <w:r>
        <w:rPr>
          <w:rFonts w:hint="eastAsia"/>
        </w:rPr>
        <w:t xml:space="preserve">作為董事會績效考評的一部分，</w:t>
      </w:r>
    </w:p>
    <w:p>
      <w:pPr>
        <w:pStyle w:val="BodyText"/>
      </w:pPr>
      <w:r>
        <w:rPr>
          <w:rFonts w:hint="eastAsia"/>
        </w:rPr>
        <w:t xml:space="preserve">考慮董事會成員在技能、經驗、知識及獨立性方面的平衡；</w:t>
      </w:r>
    </w:p>
    <w:p>
      <w:pPr>
        <w:pStyle w:val="BodyText"/>
      </w:pPr>
      <w:r>
        <w:t xml:space="preserve">• </w:t>
      </w:r>
      <w:r>
        <w:rPr>
          <w:rFonts w:hint="eastAsia"/>
        </w:rPr>
        <w:t xml:space="preserve">在提名委員會對董事會架構、規模及組成進行年度檢討時，提名委員會將會明確考慮董事會成員多元化的</w:t>
      </w:r>
    </w:p>
    <w:p>
      <w:pPr>
        <w:pStyle w:val="BodyText"/>
      </w:pPr>
      <w:r>
        <w:rPr>
          <w:rFonts w:hint="eastAsia"/>
        </w:rPr>
        <w:t xml:space="preserve">因素及將有關評論呈交董事會；及</w:t>
      </w:r>
    </w:p>
    <w:p>
      <w:pPr>
        <w:pStyle w:val="BodyText"/>
      </w:pPr>
      <w:r>
        <w:t xml:space="preserve">• </w:t>
      </w:r>
      <w:r>
        <w:rPr>
          <w:rFonts w:hint="eastAsia"/>
        </w:rPr>
        <w:t xml:space="preserve">在董事會多元化政策下董事會多元化的可計量目標包括</w:t>
      </w:r>
      <w:r>
        <w:t xml:space="preserve"> (a) </w:t>
      </w:r>
      <w:r>
        <w:rPr>
          <w:rFonts w:hint="eastAsia"/>
        </w:rPr>
        <w:t xml:space="preserve">篩選提名為董事的候選人時應基於董事提名政策</w:t>
      </w:r>
    </w:p>
    <w:p>
      <w:pPr>
        <w:pStyle w:val="BodyText"/>
      </w:pPr>
      <w:r>
        <w:rPr>
          <w:rFonts w:hint="eastAsia"/>
        </w:rPr>
        <w:t xml:space="preserve">並充份顧及該政策所提出的多元化觀點；(b)</w:t>
      </w:r>
      <w:r>
        <w:t xml:space="preserve"> </w:t>
      </w:r>
      <w:r>
        <w:rPr>
          <w:rFonts w:hint="eastAsia"/>
        </w:rPr>
        <w:t xml:space="preserve">維持董事會由過半數獨立非執行董事組成；及</w:t>
      </w:r>
      <w:r>
        <w:t xml:space="preserve"> (c) </w:t>
      </w:r>
      <w:r>
        <w:rPr>
          <w:rFonts w:hint="eastAsia"/>
        </w:rPr>
        <w:t xml:space="preserve">確保董事會成員</w:t>
      </w:r>
    </w:p>
    <w:p>
      <w:pPr>
        <w:pStyle w:val="BodyText"/>
      </w:pPr>
      <w:r>
        <w:rPr>
          <w:rFonts w:hint="eastAsia"/>
        </w:rPr>
        <w:t xml:space="preserve">由背景及經驗多元化（包括國籍、種族及性別多元化）的成員組成，該等成員對本公司經營的市場及其業務</w:t>
      </w:r>
    </w:p>
    <w:p>
      <w:pPr>
        <w:pStyle w:val="BodyText"/>
      </w:pPr>
      <w:r>
        <w:rPr>
          <w:rFonts w:hint="eastAsia"/>
        </w:rPr>
        <w:t xml:space="preserve">具備適當知識、經驗及瞭解。</w:t>
      </w:r>
    </w:p>
    <w:p>
      <w:pPr>
        <w:pStyle w:val="BodyText"/>
      </w:pPr>
      <w:r>
        <w:rPr>
          <w:rFonts w:hint="eastAsia"/>
        </w:rPr>
        <w:t xml:space="preserve">提</w:t>
      </w:r>
      <w:r>
        <w:t xml:space="preserve"> </w:t>
      </w:r>
      <w:r>
        <w:rPr>
          <w:rFonts w:hint="eastAsia"/>
        </w:rPr>
        <w:t xml:space="preserve">名</w:t>
      </w:r>
      <w:r>
        <w:t xml:space="preserve"> </w:t>
      </w:r>
      <w:r>
        <w:rPr>
          <w:rFonts w:hint="eastAsia"/>
        </w:rPr>
        <w:t xml:space="preserve">委</w:t>
      </w:r>
      <w:r>
        <w:t xml:space="preserve"> </w:t>
      </w:r>
      <w:r>
        <w:rPr>
          <w:rFonts w:hint="eastAsia"/>
        </w:rPr>
        <w:t xml:space="preserve">員</w:t>
      </w:r>
      <w:r>
        <w:t xml:space="preserve"> </w:t>
      </w:r>
      <w:r>
        <w:rPr>
          <w:rFonts w:hint="eastAsia"/>
        </w:rPr>
        <w:t xml:space="preserve">會</w:t>
      </w:r>
      <w:r>
        <w:t xml:space="preserve"> </w:t>
      </w:r>
      <w:r>
        <w:rPr>
          <w:rFonts w:hint="eastAsia"/>
        </w:rPr>
        <w:t xml:space="preserve">於</w:t>
      </w:r>
      <w:r>
        <w:t xml:space="preserve"> </w:t>
      </w:r>
      <w:r>
        <w:rPr>
          <w:rFonts w:hint="eastAsia"/>
        </w:rPr>
        <w:t xml:space="preserve">截</w:t>
      </w:r>
      <w:r>
        <w:t xml:space="preserve"> </w:t>
      </w:r>
      <w:r>
        <w:rPr>
          <w:rFonts w:hint="eastAsia"/>
        </w:rPr>
        <w:t xml:space="preserve">至2020年12月31日</w:t>
      </w:r>
      <w:r>
        <w:t xml:space="preserve"> </w:t>
      </w:r>
      <w:r>
        <w:rPr>
          <w:rFonts w:hint="eastAsia"/>
        </w:rPr>
        <w:t xml:space="preserve">止</w:t>
      </w:r>
      <w:r>
        <w:t xml:space="preserve"> </w:t>
      </w:r>
      <w:r>
        <w:rPr>
          <w:rFonts w:hint="eastAsia"/>
        </w:rPr>
        <w:t xml:space="preserve">年</w:t>
      </w:r>
      <w:r>
        <w:t xml:space="preserve"> </w:t>
      </w:r>
      <w:r>
        <w:rPr>
          <w:rFonts w:hint="eastAsia"/>
        </w:rPr>
        <w:t xml:space="preserve">度</w:t>
      </w:r>
      <w:r>
        <w:t xml:space="preserve"> </w:t>
      </w:r>
      <w:r>
        <w:rPr>
          <w:rFonts w:hint="eastAsia"/>
        </w:rPr>
        <w:t xml:space="preserve">舉</w:t>
      </w:r>
      <w:r>
        <w:t xml:space="preserve"> </w:t>
      </w:r>
      <w:r>
        <w:rPr>
          <w:rFonts w:hint="eastAsia"/>
        </w:rPr>
        <w:t xml:space="preserve">行</w:t>
      </w:r>
      <w:r>
        <w:t xml:space="preserve"> </w:t>
      </w:r>
      <w:r>
        <w:rPr>
          <w:rFonts w:hint="eastAsia"/>
        </w:rPr>
        <w:t xml:space="preserve">了</w:t>
      </w:r>
      <w:r>
        <w:t xml:space="preserve"> </w:t>
      </w:r>
      <w:r>
        <w:rPr>
          <w:rFonts w:hint="eastAsia"/>
        </w:rPr>
        <w:t xml:space="preserve">一</w:t>
      </w:r>
      <w:r>
        <w:t xml:space="preserve"> </w:t>
      </w:r>
      <w:r>
        <w:rPr>
          <w:rFonts w:hint="eastAsia"/>
        </w:rPr>
        <w:t xml:space="preserve">次</w:t>
      </w:r>
      <w:r>
        <w:t xml:space="preserve"> </w:t>
      </w:r>
      <w:r>
        <w:rPr>
          <w:rFonts w:hint="eastAsia"/>
        </w:rPr>
        <w:t xml:space="preserve">會</w:t>
      </w:r>
      <w:r>
        <w:t xml:space="preserve"> </w:t>
      </w:r>
      <w:r>
        <w:rPr>
          <w:rFonts w:hint="eastAsia"/>
        </w:rPr>
        <w:t xml:space="preserve">議。</w:t>
      </w:r>
      <w:r>
        <w:t xml:space="preserve"> </w:t>
      </w:r>
      <w:r>
        <w:rPr>
          <w:rFonts w:hint="eastAsia"/>
        </w:rPr>
        <w:t xml:space="preserve">個</w:t>
      </w:r>
      <w:r>
        <w:t xml:space="preserve"> </w:t>
      </w:r>
      <w:r>
        <w:rPr>
          <w:rFonts w:hint="eastAsia"/>
        </w:rPr>
        <w:t xml:space="preserve">別</w:t>
      </w:r>
      <w:r>
        <w:t xml:space="preserve"> </w:t>
      </w:r>
      <w:r>
        <w:rPr>
          <w:rFonts w:hint="eastAsia"/>
        </w:rPr>
        <w:t xml:space="preserve">提</w:t>
      </w:r>
      <w:r>
        <w:t xml:space="preserve"> </w:t>
      </w:r>
      <w:r>
        <w:rPr>
          <w:rFonts w:hint="eastAsia"/>
        </w:rPr>
        <w:t xml:space="preserve">名</w:t>
      </w:r>
      <w:r>
        <w:t xml:space="preserve"> </w:t>
      </w:r>
      <w:r>
        <w:rPr>
          <w:rFonts w:hint="eastAsia"/>
        </w:rPr>
        <w:t xml:space="preserve">委</w:t>
      </w:r>
      <w:r>
        <w:t xml:space="preserve"> </w:t>
      </w:r>
      <w:r>
        <w:rPr>
          <w:rFonts w:hint="eastAsia"/>
        </w:rPr>
        <w:t xml:space="preserve">員</w:t>
      </w:r>
      <w:r>
        <w:t xml:space="preserve"> </w:t>
      </w:r>
      <w:r>
        <w:rPr>
          <w:rFonts w:hint="eastAsia"/>
        </w:rPr>
        <w:t xml:space="preserve">會</w:t>
      </w:r>
      <w:r>
        <w:t xml:space="preserve"> </w:t>
      </w:r>
      <w:r>
        <w:rPr>
          <w:rFonts w:hint="eastAsia"/>
        </w:rPr>
        <w:t xml:space="preserve">成</w:t>
      </w:r>
      <w:r>
        <w:t xml:space="preserve"> </w:t>
      </w:r>
      <w:r>
        <w:rPr>
          <w:rFonts w:hint="eastAsia"/>
        </w:rPr>
        <w:t xml:space="preserve">員</w:t>
      </w:r>
      <w:r>
        <w:t xml:space="preserve"> </w:t>
      </w:r>
      <w:r>
        <w:rPr>
          <w:rFonts w:hint="eastAsia"/>
        </w:rPr>
        <w:t xml:space="preserve">的</w:t>
      </w:r>
      <w:r>
        <w:t xml:space="preserve"> </w:t>
      </w:r>
      <w:r>
        <w:rPr>
          <w:rFonts w:hint="eastAsia"/>
        </w:rPr>
        <w:t xml:space="preserve">出</w:t>
      </w:r>
      <w:r>
        <w:t xml:space="preserve"> </w:t>
      </w:r>
      <w:r>
        <w:rPr>
          <w:rFonts w:hint="eastAsia"/>
        </w:rPr>
        <w:t xml:space="preserve">席</w:t>
      </w:r>
      <w:r>
        <w:t xml:space="preserve"> </w:t>
      </w:r>
      <w:r>
        <w:rPr>
          <w:rFonts w:hint="eastAsia"/>
        </w:rPr>
        <w:t xml:space="preserve">記</w:t>
      </w:r>
      <w:r>
        <w:t xml:space="preserve"> </w:t>
      </w:r>
      <w:r>
        <w:rPr>
          <w:rFonts w:hint="eastAsia"/>
        </w:rPr>
        <w:t xml:space="preserve">錄</w:t>
      </w:r>
      <w:r>
        <w:t xml:space="preserve"> </w:t>
      </w:r>
      <w:r>
        <w:rPr>
          <w:rFonts w:hint="eastAsia"/>
        </w:rPr>
        <w:t xml:space="preserve">載</w:t>
      </w:r>
      <w:r>
        <w:t xml:space="preserve"> </w:t>
      </w:r>
      <w:r>
        <w:rPr>
          <w:rFonts w:hint="eastAsia"/>
        </w:rPr>
        <w:t xml:space="preserve">於</w:t>
      </w:r>
      <w:r>
        <w:t xml:space="preserve"> </w:t>
      </w:r>
      <w:r>
        <w:rPr>
          <w:rFonts w:hint="eastAsia"/>
        </w:rPr>
        <w:t xml:space="preserve">本</w:t>
      </w:r>
      <w:r>
        <w:t xml:space="preserve"> </w:t>
      </w:r>
      <w:r>
        <w:rPr>
          <w:rFonts w:hint="eastAsia"/>
        </w:rPr>
        <w:t xml:space="preserve">年</w:t>
      </w:r>
      <w:r>
        <w:t xml:space="preserve"> </w:t>
      </w:r>
      <w:r>
        <w:rPr>
          <w:rFonts w:hint="eastAsia"/>
        </w:rPr>
        <w:t xml:space="preserve">報</w:t>
      </w:r>
    </w:p>
    <w:p>
      <w:pPr>
        <w:pStyle w:val="BodyText"/>
      </w:pPr>
      <w:r>
        <w:rPr>
          <w:rFonts w:hint="eastAsia"/>
        </w:rPr>
        <w:t xml:space="preserve">第99頁。</w:t>
      </w:r>
    </w:p>
    <w:p>
      <w:pPr>
        <w:pStyle w:val="BodyText"/>
      </w:pPr>
      <w:r>
        <w:t xml:space="preserve">103</w:t>
      </w:r>
    </w:p>
    <w:p>
      <w:pPr>
        <w:pStyle w:val="BodyText"/>
      </w:pPr>
      <w:r>
        <w:rPr>
          <w:rFonts w:hint="eastAsia"/>
        </w:rPr>
        <w:t xml:space="preserve">概覽財務及營運回顧企業管治其他資料財務報表2020年報</w:t>
      </w:r>
    </w:p>
    <w:p>
      <w:pPr>
        <w:pStyle w:val="BodyText"/>
      </w:pPr>
      <w:r>
        <w:rPr>
          <w:rFonts w:hint="eastAsia"/>
        </w:rPr>
        <w:t xml:space="preserve">薪酬委員會</w:t>
      </w:r>
    </w:p>
    <w:p>
      <w:pPr>
        <w:pStyle w:val="BodyText"/>
      </w:pPr>
      <w:r>
        <w:rPr>
          <w:rFonts w:hint="eastAsia"/>
        </w:rPr>
        <w:t xml:space="preserve">薪酬委員會由三名成員組成，全部均為獨立非執行董事。彼等為蘇先生（薪酬委員會主席）、楊先生及謝先生。</w:t>
      </w:r>
    </w:p>
    <w:p>
      <w:pPr>
        <w:pStyle w:val="BodyText"/>
      </w:pPr>
      <w:r>
        <w:rPr>
          <w:rFonts w:hint="eastAsia"/>
        </w:rPr>
        <w:t xml:space="preserve">薪酬委員會的職責為就涵蓋董事及本集團高級管理人員的薪酬政策向董事會提供建議以及評核及批准向執行董事</w:t>
      </w:r>
    </w:p>
    <w:p>
      <w:pPr>
        <w:pStyle w:val="BodyText"/>
      </w:pPr>
      <w:r>
        <w:rPr>
          <w:rFonts w:hint="eastAsia"/>
        </w:rPr>
        <w:t xml:space="preserve">及本集團高級管理人員提供的薪酬。</w:t>
      </w:r>
    </w:p>
    <w:p>
      <w:pPr>
        <w:pStyle w:val="BodyText"/>
      </w:pPr>
      <w:r>
        <w:rPr>
          <w:rFonts w:hint="eastAsia"/>
        </w:rPr>
        <w:t xml:space="preserve">薪酬委員會於截至2020年12月31日止年度舉行了五次會議。個別薪酬委員會成員的出席記錄載於本年報第99</w:t>
      </w:r>
    </w:p>
    <w:p>
      <w:pPr>
        <w:pStyle w:val="BodyText"/>
      </w:pPr>
      <w:r>
        <w:rPr>
          <w:rFonts w:hint="eastAsia"/>
        </w:rPr>
        <w:t xml:space="preserve">頁。薪酬委員會的角色及薪酬委員會於回顧年度進行的主要工作詳情載於薪酬報告內，該報告為組成本企業管治</w:t>
      </w:r>
    </w:p>
    <w:p>
      <w:pPr>
        <w:pStyle w:val="BodyText"/>
      </w:pPr>
      <w:r>
        <w:rPr>
          <w:rFonts w:hint="eastAsia"/>
        </w:rPr>
        <w:t xml:space="preserve">報告的一部分。</w:t>
      </w:r>
    </w:p>
    <w:p>
      <w:pPr>
        <w:pStyle w:val="BodyText"/>
      </w:pPr>
      <w:r>
        <w:rPr>
          <w:rFonts w:hint="eastAsia"/>
        </w:rPr>
        <w:t xml:space="preserve">風險委員會</w:t>
      </w:r>
    </w:p>
    <w:p>
      <w:pPr>
        <w:pStyle w:val="BodyText"/>
      </w:pPr>
      <w:r>
        <w:rPr>
          <w:rFonts w:hint="eastAsia"/>
        </w:rPr>
        <w:t xml:space="preserve">風險委員會由六名成員組成，其中五名為獨立非執行董事，包括周先生（彼擔任風險委員會主席）、Harrison</w:t>
      </w:r>
    </w:p>
    <w:p>
      <w:pPr>
        <w:pStyle w:val="BodyText"/>
      </w:pPr>
      <w:r>
        <w:rPr>
          <w:rFonts w:hint="eastAsia"/>
        </w:rPr>
        <w:t xml:space="preserve">先生、劉教授、Teo女士、謝先生及唯一一名執行董事李先生（其於2020年6月1日取代Ng先生成為風險委員會</w:t>
      </w:r>
    </w:p>
    <w:p>
      <w:pPr>
        <w:pStyle w:val="BodyText"/>
      </w:pPr>
      <w:r>
        <w:rPr>
          <w:rFonts w:hint="eastAsia"/>
        </w:rPr>
        <w:t xml:space="preserve">成員）。風險委員會獲董事會授權（其中包括）釐定本集團的風險胃納（包括風險胃納聲明、風險原則及風險承受</w:t>
      </w:r>
    </w:p>
    <w:p>
      <w:pPr>
        <w:pStyle w:val="BodyText"/>
      </w:pPr>
      <w:r>
        <w:rPr>
          <w:rFonts w:hint="eastAsia"/>
        </w:rPr>
        <w:t xml:space="preserve">能力）、監管及審閱本集團風險管理架構的適當性及有效性、確保本集團面臨的重大風險已確定及風險概況充分</w:t>
      </w:r>
    </w:p>
    <w:p>
      <w:pPr>
        <w:pStyle w:val="BodyText"/>
      </w:pPr>
      <w:r>
        <w:rPr>
          <w:rFonts w:hint="eastAsia"/>
        </w:rPr>
        <w:t xml:space="preserve">反應與本集團監控環境相關的任何重大事宜並採取緩解措施以及就風險相關問題向董事會提出建議。</w:t>
      </w:r>
    </w:p>
    <w:p>
      <w:pPr>
        <w:pStyle w:val="BodyText"/>
      </w:pPr>
      <w:r>
        <w:rPr>
          <w:rFonts w:hint="eastAsia"/>
        </w:rPr>
        <w:t xml:space="preserve">風險委員會於回顧年度已履行的職責包括就本集團的風險狀況及風險管理策略向董事會提供建議；審議及檢討</w:t>
      </w:r>
    </w:p>
    <w:p>
      <w:pPr>
        <w:pStyle w:val="BodyText"/>
      </w:pPr>
      <w:r>
        <w:rPr>
          <w:rFonts w:hint="eastAsia"/>
        </w:rPr>
        <w:t xml:space="preserve">中期報告及年報中所披露的資料、風險管理相關政策及指引以及法定償付能力、風險胃納及指標；監督風險管理</w:t>
      </w:r>
    </w:p>
    <w:p>
      <w:pPr>
        <w:pStyle w:val="BodyText"/>
      </w:pPr>
      <w:r>
        <w:rPr>
          <w:rFonts w:hint="eastAsia"/>
        </w:rPr>
        <w:t xml:space="preserve">及合規框架；評核風險管理及內部監控系統；認可本公司的風險管治架構；及檢討主要風險。有關風險委員會</w:t>
      </w:r>
    </w:p>
    <w:p>
      <w:pPr>
        <w:pStyle w:val="BodyText"/>
      </w:pPr>
      <w:r>
        <w:rPr>
          <w:rFonts w:hint="eastAsia"/>
        </w:rPr>
        <w:t xml:space="preserve">評核本集團風險管理及內部監控系統有效性的詳情，載於本報告風險管理及內部監控一節。</w:t>
      </w:r>
    </w:p>
    <w:p>
      <w:pPr>
        <w:pStyle w:val="BodyText"/>
      </w:pPr>
      <w:r>
        <w:rPr>
          <w:rFonts w:hint="eastAsia"/>
        </w:rPr>
        <w:t xml:space="preserve">風</w:t>
      </w:r>
      <w:r>
        <w:t xml:space="preserve"> </w:t>
      </w:r>
      <w:r>
        <w:rPr>
          <w:rFonts w:hint="eastAsia"/>
        </w:rPr>
        <w:t xml:space="preserve">險</w:t>
      </w:r>
      <w:r>
        <w:t xml:space="preserve"> </w:t>
      </w:r>
      <w:r>
        <w:rPr>
          <w:rFonts w:hint="eastAsia"/>
        </w:rPr>
        <w:t xml:space="preserve">委</w:t>
      </w:r>
      <w:r>
        <w:t xml:space="preserve"> </w:t>
      </w:r>
      <w:r>
        <w:rPr>
          <w:rFonts w:hint="eastAsia"/>
        </w:rPr>
        <w:t xml:space="preserve">員</w:t>
      </w:r>
      <w:r>
        <w:t xml:space="preserve"> </w:t>
      </w:r>
      <w:r>
        <w:rPr>
          <w:rFonts w:hint="eastAsia"/>
        </w:rPr>
        <w:t xml:space="preserve">會</w:t>
      </w:r>
      <w:r>
        <w:t xml:space="preserve"> </w:t>
      </w:r>
      <w:r>
        <w:rPr>
          <w:rFonts w:hint="eastAsia"/>
        </w:rPr>
        <w:t xml:space="preserve">於</w:t>
      </w:r>
      <w:r>
        <w:t xml:space="preserve"> </w:t>
      </w:r>
      <w:r>
        <w:rPr>
          <w:rFonts w:hint="eastAsia"/>
        </w:rPr>
        <w:t xml:space="preserve">截</w:t>
      </w:r>
      <w:r>
        <w:t xml:space="preserve"> </w:t>
      </w:r>
      <w:r>
        <w:rPr>
          <w:rFonts w:hint="eastAsia"/>
        </w:rPr>
        <w:t xml:space="preserve">至2020年12月31日</w:t>
      </w:r>
      <w:r>
        <w:t xml:space="preserve"> </w:t>
      </w:r>
      <w:r>
        <w:rPr>
          <w:rFonts w:hint="eastAsia"/>
        </w:rPr>
        <w:t xml:space="preserve">止</w:t>
      </w:r>
      <w:r>
        <w:t xml:space="preserve"> </w:t>
      </w:r>
      <w:r>
        <w:rPr>
          <w:rFonts w:hint="eastAsia"/>
        </w:rPr>
        <w:t xml:space="preserve">年</w:t>
      </w:r>
      <w:r>
        <w:t xml:space="preserve"> </w:t>
      </w:r>
      <w:r>
        <w:rPr>
          <w:rFonts w:hint="eastAsia"/>
        </w:rPr>
        <w:t xml:space="preserve">度</w:t>
      </w:r>
      <w:r>
        <w:t xml:space="preserve"> </w:t>
      </w:r>
      <w:r>
        <w:rPr>
          <w:rFonts w:hint="eastAsia"/>
        </w:rPr>
        <w:t xml:space="preserve">舉</w:t>
      </w:r>
      <w:r>
        <w:t xml:space="preserve"> </w:t>
      </w:r>
      <w:r>
        <w:rPr>
          <w:rFonts w:hint="eastAsia"/>
        </w:rPr>
        <w:t xml:space="preserve">行</w:t>
      </w:r>
      <w:r>
        <w:t xml:space="preserve"> </w:t>
      </w:r>
      <w:r>
        <w:rPr>
          <w:rFonts w:hint="eastAsia"/>
        </w:rPr>
        <w:t xml:space="preserve">了</w:t>
      </w:r>
      <w:r>
        <w:t xml:space="preserve"> </w:t>
      </w:r>
      <w:r>
        <w:rPr>
          <w:rFonts w:hint="eastAsia"/>
        </w:rPr>
        <w:t xml:space="preserve">四</w:t>
      </w:r>
      <w:r>
        <w:t xml:space="preserve"> </w:t>
      </w:r>
      <w:r>
        <w:rPr>
          <w:rFonts w:hint="eastAsia"/>
        </w:rPr>
        <w:t xml:space="preserve">次</w:t>
      </w:r>
      <w:r>
        <w:t xml:space="preserve"> </w:t>
      </w:r>
      <w:r>
        <w:rPr>
          <w:rFonts w:hint="eastAsia"/>
        </w:rPr>
        <w:t xml:space="preserve">會</w:t>
      </w:r>
      <w:r>
        <w:t xml:space="preserve"> </w:t>
      </w:r>
      <w:r>
        <w:rPr>
          <w:rFonts w:hint="eastAsia"/>
        </w:rPr>
        <w:t xml:space="preserve">議。</w:t>
      </w:r>
      <w:r>
        <w:t xml:space="preserve"> </w:t>
      </w:r>
      <w:r>
        <w:rPr>
          <w:rFonts w:hint="eastAsia"/>
        </w:rPr>
        <w:t xml:space="preserve">個</w:t>
      </w:r>
      <w:r>
        <w:t xml:space="preserve"> </w:t>
      </w:r>
      <w:r>
        <w:rPr>
          <w:rFonts w:hint="eastAsia"/>
        </w:rPr>
        <w:t xml:space="preserve">別</w:t>
      </w:r>
      <w:r>
        <w:t xml:space="preserve"> </w:t>
      </w:r>
      <w:r>
        <w:rPr>
          <w:rFonts w:hint="eastAsia"/>
        </w:rPr>
        <w:t xml:space="preserve">風</w:t>
      </w:r>
      <w:r>
        <w:t xml:space="preserve"> </w:t>
      </w:r>
      <w:r>
        <w:rPr>
          <w:rFonts w:hint="eastAsia"/>
        </w:rPr>
        <w:t xml:space="preserve">險</w:t>
      </w:r>
      <w:r>
        <w:t xml:space="preserve"> </w:t>
      </w:r>
      <w:r>
        <w:rPr>
          <w:rFonts w:hint="eastAsia"/>
        </w:rPr>
        <w:t xml:space="preserve">委</w:t>
      </w:r>
      <w:r>
        <w:t xml:space="preserve"> </w:t>
      </w:r>
      <w:r>
        <w:rPr>
          <w:rFonts w:hint="eastAsia"/>
        </w:rPr>
        <w:t xml:space="preserve">員</w:t>
      </w:r>
      <w:r>
        <w:t xml:space="preserve"> </w:t>
      </w:r>
      <w:r>
        <w:rPr>
          <w:rFonts w:hint="eastAsia"/>
        </w:rPr>
        <w:t xml:space="preserve">會</w:t>
      </w:r>
      <w:r>
        <w:t xml:space="preserve"> </w:t>
      </w:r>
      <w:r>
        <w:rPr>
          <w:rFonts w:hint="eastAsia"/>
        </w:rPr>
        <w:t xml:space="preserve">成</w:t>
      </w:r>
      <w:r>
        <w:t xml:space="preserve"> </w:t>
      </w:r>
      <w:r>
        <w:rPr>
          <w:rFonts w:hint="eastAsia"/>
        </w:rPr>
        <w:t xml:space="preserve">員</w:t>
      </w:r>
      <w:r>
        <w:t xml:space="preserve"> </w:t>
      </w:r>
      <w:r>
        <w:rPr>
          <w:rFonts w:hint="eastAsia"/>
        </w:rPr>
        <w:t xml:space="preserve">的</w:t>
      </w:r>
      <w:r>
        <w:t xml:space="preserve"> </w:t>
      </w:r>
      <w:r>
        <w:rPr>
          <w:rFonts w:hint="eastAsia"/>
        </w:rPr>
        <w:t xml:space="preserve">出</w:t>
      </w:r>
      <w:r>
        <w:t xml:space="preserve"> </w:t>
      </w:r>
      <w:r>
        <w:rPr>
          <w:rFonts w:hint="eastAsia"/>
        </w:rPr>
        <w:t xml:space="preserve">席</w:t>
      </w:r>
      <w:r>
        <w:t xml:space="preserve"> </w:t>
      </w:r>
      <w:r>
        <w:rPr>
          <w:rFonts w:hint="eastAsia"/>
        </w:rPr>
        <w:t xml:space="preserve">記</w:t>
      </w:r>
      <w:r>
        <w:t xml:space="preserve"> </w:t>
      </w:r>
      <w:r>
        <w:rPr>
          <w:rFonts w:hint="eastAsia"/>
        </w:rPr>
        <w:t xml:space="preserve">錄</w:t>
      </w:r>
      <w:r>
        <w:t xml:space="preserve"> </w:t>
      </w:r>
      <w:r>
        <w:rPr>
          <w:rFonts w:hint="eastAsia"/>
        </w:rPr>
        <w:t xml:space="preserve">載</w:t>
      </w:r>
      <w:r>
        <w:t xml:space="preserve"> </w:t>
      </w:r>
      <w:r>
        <w:rPr>
          <w:rFonts w:hint="eastAsia"/>
        </w:rPr>
        <w:t xml:space="preserve">於</w:t>
      </w:r>
      <w:r>
        <w:t xml:space="preserve"> </w:t>
      </w:r>
      <w:r>
        <w:rPr>
          <w:rFonts w:hint="eastAsia"/>
        </w:rPr>
        <w:t xml:space="preserve">本</w:t>
      </w:r>
      <w:r>
        <w:t xml:space="preserve"> </w:t>
      </w:r>
      <w:r>
        <w:rPr>
          <w:rFonts w:hint="eastAsia"/>
        </w:rPr>
        <w:t xml:space="preserve">年</w:t>
      </w:r>
      <w:r>
        <w:t xml:space="preserve"> </w:t>
      </w:r>
      <w:r>
        <w:rPr>
          <w:rFonts w:hint="eastAsia"/>
        </w:rPr>
        <w:t xml:space="preserve">報</w:t>
      </w:r>
    </w:p>
    <w:p>
      <w:pPr>
        <w:pStyle w:val="BodyText"/>
      </w:pPr>
      <w:r>
        <w:rPr>
          <w:rFonts w:hint="eastAsia"/>
        </w:rPr>
        <w:t xml:space="preserve">第99頁。</w:t>
      </w:r>
    </w:p>
    <w:p>
      <w:pPr>
        <w:pStyle w:val="BodyText"/>
      </w:pPr>
      <w:r>
        <w:rPr>
          <w:rFonts w:hint="eastAsia"/>
        </w:rPr>
        <w:t xml:space="preserve">外聘核數師</w:t>
      </w:r>
    </w:p>
    <w:p>
      <w:pPr>
        <w:pStyle w:val="BodyText"/>
      </w:pPr>
      <w:r>
        <w:rPr>
          <w:rFonts w:hint="eastAsia"/>
        </w:rPr>
        <w:t xml:space="preserve">本公司的外聘核數師為羅兵咸永道會計師事務所。審核委員會負責就外聘核數師的委任、重新委任及罷免向</w:t>
      </w:r>
    </w:p>
    <w:p>
      <w:pPr>
        <w:pStyle w:val="BodyText"/>
      </w:pPr>
      <w:r>
        <w:rPr>
          <w:rFonts w:hint="eastAsia"/>
        </w:rPr>
        <w:t xml:space="preserve">董事會提供建議，有關建議須經董事會及股東於本公司股東大會上批准通過。於評核外聘核數師時，審核委員會</w:t>
      </w:r>
    </w:p>
    <w:p>
      <w:pPr>
        <w:pStyle w:val="BodyText"/>
      </w:pPr>
      <w:r>
        <w:rPr>
          <w:rFonts w:hint="eastAsia"/>
        </w:rPr>
        <w:t xml:space="preserve">將考慮外聘核數師的相關經驗、表現、客觀性及獨立性。董事會已採納有關外聘核數師提名及委任以及其所提供</w:t>
      </w:r>
    </w:p>
    <w:p>
      <w:pPr>
        <w:pStyle w:val="BodyText"/>
      </w:pPr>
      <w:r>
        <w:rPr>
          <w:rFonts w:hint="eastAsia"/>
        </w:rPr>
        <w:t xml:space="preserve">服務的政策，以提升有關管治常規。</w:t>
      </w:r>
    </w:p>
    <w:p>
      <w:pPr>
        <w:pStyle w:val="BodyText"/>
      </w:pPr>
      <w:r>
        <w:t xml:space="preserve">104</w:t>
      </w:r>
    </w:p>
    <w:p>
      <w:pPr>
        <w:pStyle w:val="BodyText"/>
      </w:pPr>
      <w:r>
        <w:rPr>
          <w:rFonts w:hint="eastAsia"/>
        </w:rPr>
        <w:t xml:space="preserve">企業管治友邦保險控股有限公司企業管治報告</w:t>
      </w:r>
    </w:p>
    <w:p>
      <w:pPr>
        <w:pStyle w:val="BodyText"/>
      </w:pPr>
      <w:r>
        <w:rPr>
          <w:rFonts w:hint="eastAsia"/>
        </w:rPr>
        <w:t xml:space="preserve">審核委員會亦定期檢討外聘核數師所提供的非核數服務以及其酬金。截至2020年12月31日止年度，本集團應</w:t>
      </w:r>
    </w:p>
    <w:p>
      <w:pPr>
        <w:pStyle w:val="BodyText"/>
      </w:pPr>
      <w:r>
        <w:rPr>
          <w:rFonts w:hint="eastAsia"/>
        </w:rPr>
        <w:t xml:space="preserve">付予羅兵咸永道會計師事務所的酬金估計總額為2,520萬美元（2019年：2,600萬美元），總額細分如下：</w:t>
      </w:r>
    </w:p>
    <w:p>
      <w:pPr>
        <w:pStyle w:val="BodyText"/>
      </w:pPr>
      <w:r>
        <w:rPr>
          <w:rFonts w:hint="eastAsia"/>
        </w:rPr>
        <w:t xml:space="preserve">百萬美元</w:t>
      </w:r>
    </w:p>
    <w:p>
      <w:pPr>
        <w:pStyle w:val="BodyText"/>
      </w:pPr>
      <w:r>
        <w:rPr>
          <w:rFonts w:hint="eastAsia"/>
        </w:rPr>
        <w:t xml:space="preserve">核數服務</w:t>
      </w:r>
    </w:p>
    <w:p>
      <w:pPr>
        <w:pStyle w:val="BodyText"/>
      </w:pPr>
      <w:r>
        <w:rPr>
          <w:rFonts w:hint="eastAsia"/>
        </w:rPr>
        <w:t xml:space="preserve">非核數服務，其中包括：</w:t>
      </w:r>
    </w:p>
    <w:p>
      <w:pPr>
        <w:pStyle w:val="BodyText"/>
      </w:pPr>
      <w:r>
        <w:rPr>
          <w:rFonts w:hint="eastAsia"/>
        </w:rPr>
        <w:t xml:space="preserve">核數相關服務(1)</w:t>
      </w:r>
    </w:p>
    <w:p>
      <w:pPr>
        <w:pStyle w:val="BodyText"/>
      </w:pPr>
      <w:r>
        <w:rPr>
          <w:rFonts w:hint="eastAsia"/>
        </w:rPr>
        <w:t xml:space="preserve">稅務服務</w:t>
      </w:r>
    </w:p>
    <w:p>
      <w:pPr>
        <w:pStyle w:val="BodyText"/>
      </w:pPr>
      <w:r>
        <w:rPr>
          <w:rFonts w:hint="eastAsia"/>
        </w:rPr>
        <w:t xml:space="preserve">其他服務</w:t>
      </w:r>
    </w:p>
    <w:p>
      <w:pPr>
        <w:pStyle w:val="BodyText"/>
      </w:pPr>
      <w:r>
        <w:rPr>
          <w:rFonts w:hint="eastAsia"/>
        </w:rPr>
        <w:t xml:space="preserve">總計</w:t>
      </w:r>
    </w:p>
    <w:p>
      <w:pPr>
        <w:pStyle w:val="BodyText"/>
      </w:pPr>
      <w:r>
        <w:rPr>
          <w:rFonts w:hint="eastAsia"/>
        </w:rPr>
        <w:t xml:space="preserve">2020年</w:t>
      </w:r>
    </w:p>
    <w:p>
      <w:pPr>
        <w:pStyle w:val="BodyText"/>
      </w:pPr>
      <w:r>
        <w:rPr>
          <w:rFonts w:hint="eastAsia"/>
        </w:rPr>
        <w:t xml:space="preserve">2019年</w:t>
      </w:r>
    </w:p>
    <w:p>
      <w:pPr>
        <w:pStyle w:val="BodyText"/>
      </w:pPr>
      <w:r>
        <w:t xml:space="preserve">20.0</w:t>
      </w:r>
    </w:p>
    <w:p>
      <w:pPr>
        <w:pStyle w:val="BodyText"/>
      </w:pPr>
      <w:r>
        <w:t xml:space="preserve">3.9</w:t>
      </w:r>
    </w:p>
    <w:p>
      <w:pPr>
        <w:pStyle w:val="BodyText"/>
      </w:pPr>
      <w:r>
        <w:t xml:space="preserve">1.2</w:t>
      </w:r>
    </w:p>
    <w:p>
      <w:pPr>
        <w:pStyle w:val="BodyText"/>
      </w:pPr>
      <w:r>
        <w:t xml:space="preserve">0.1</w:t>
      </w:r>
    </w:p>
    <w:p>
      <w:pPr>
        <w:pStyle w:val="BodyText"/>
      </w:pPr>
      <w:r>
        <w:t xml:space="preserve">25.2</w:t>
      </w:r>
    </w:p>
    <w:p>
      <w:pPr>
        <w:pStyle w:val="BodyText"/>
      </w:pPr>
      <w:r>
        <w:t xml:space="preserve">18.9</w:t>
      </w:r>
    </w:p>
    <w:p>
      <w:pPr>
        <w:pStyle w:val="BodyText"/>
      </w:pPr>
      <w:r>
        <w:t xml:space="preserve">5.1</w:t>
      </w:r>
    </w:p>
    <w:p>
      <w:pPr>
        <w:pStyle w:val="BodyText"/>
      </w:pPr>
      <w:r>
        <w:t xml:space="preserve">1.4</w:t>
      </w:r>
    </w:p>
    <w:p>
      <w:pPr>
        <w:pStyle w:val="BodyText"/>
      </w:pPr>
      <w:r>
        <w:t xml:space="preserve">0.6</w:t>
      </w:r>
    </w:p>
    <w:p>
      <w:pPr>
        <w:pStyle w:val="BodyText"/>
      </w:pPr>
      <w:r>
        <w:t xml:space="preserve">26.0</w:t>
      </w:r>
    </w:p>
    <w:p>
      <w:pPr>
        <w:pStyle w:val="BodyText"/>
      </w:pPr>
      <w:r>
        <w:rPr>
          <w:rFonts w:hint="eastAsia"/>
        </w:rPr>
        <w:t xml:space="preserve">附註：</w:t>
      </w:r>
      <w:r>
        <w:br/>
      </w:r>
      <w:r>
        <w:t xml:space="preserve">(1) </w:t>
      </w:r>
      <w:r>
        <w:rPr>
          <w:rFonts w:hint="eastAsia"/>
        </w:rPr>
        <w:t xml:space="preserve">核數相關服務指與審核或審閱本集團財務報表合理相關的保證及相關服務，其中包括與潛在業務收購相關的盡職調查服務（不包括估值</w:t>
      </w:r>
    </w:p>
    <w:p>
      <w:pPr>
        <w:pStyle w:val="BodyText"/>
      </w:pPr>
      <w:r>
        <w:rPr>
          <w:rFonts w:hint="eastAsia"/>
        </w:rPr>
        <w:t xml:space="preserve">服務）；與實施監管機關的新會計及財務報告指引相關的服務；以及與財務、會計或監管報告合規事宜相關的約定或擴大審核程序。</w:t>
      </w:r>
    </w:p>
    <w:p>
      <w:pPr>
        <w:pStyle w:val="BodyText"/>
      </w:pPr>
      <w:r>
        <w:rPr>
          <w:rFonts w:hint="eastAsia"/>
        </w:rPr>
        <w:t xml:space="preserve">問責及核數</w:t>
      </w:r>
    </w:p>
    <w:p>
      <w:pPr>
        <w:pStyle w:val="BodyText"/>
      </w:pPr>
      <w:r>
        <w:rPr>
          <w:rFonts w:hint="eastAsia"/>
        </w:rPr>
        <w:t xml:space="preserve">財務報告</w:t>
      </w:r>
    </w:p>
    <w:p>
      <w:pPr>
        <w:pStyle w:val="BodyText"/>
      </w:pPr>
      <w:r>
        <w:rPr>
          <w:rFonts w:hint="eastAsia"/>
        </w:rPr>
        <w:t xml:space="preserve">本公司的全年業績及其他財務資料乃根據上市規則及其他適用規例及行業最佳慣例之規定刊發。於編製本公司的</w:t>
      </w:r>
    </w:p>
    <w:p>
      <w:pPr>
        <w:pStyle w:val="BodyText"/>
      </w:pPr>
      <w:r>
        <w:rPr>
          <w:rFonts w:hint="eastAsia"/>
        </w:rPr>
        <w:t xml:space="preserve">財務報告時，董事會致力以易於理解、資訊實用及方便閱覽的方式呈列該資料。</w:t>
      </w:r>
    </w:p>
    <w:p>
      <w:pPr>
        <w:pStyle w:val="BodyText"/>
      </w:pPr>
      <w:r>
        <w:rPr>
          <w:rFonts w:hint="eastAsia"/>
        </w:rPr>
        <w:t xml:space="preserve">董事確認彼等於編製本公司合併財務報表，以及確保本公司的合併財務報表乃按照相關規定及適用標準而編製之</w:t>
      </w:r>
    </w:p>
    <w:p>
      <w:pPr>
        <w:pStyle w:val="BodyText"/>
      </w:pPr>
      <w:r>
        <w:rPr>
          <w:rFonts w:hint="eastAsia"/>
        </w:rPr>
        <w:t xml:space="preserve">職責。</w:t>
      </w:r>
    </w:p>
    <w:p>
      <w:pPr>
        <w:pStyle w:val="BodyText"/>
      </w:pPr>
      <w:r>
        <w:rPr>
          <w:rFonts w:hint="eastAsia"/>
        </w:rPr>
        <w:t xml:space="preserve">本公司核數師就其對本公司合併財務報表的報告職責的聲明書載於本年報第125至131頁的獨立核數師報告內。</w:t>
      </w:r>
    </w:p>
    <w:p>
      <w:pPr>
        <w:pStyle w:val="BodyText"/>
      </w:pPr>
      <w:r>
        <w:rPr>
          <w:rFonts w:hint="eastAsia"/>
        </w:rPr>
        <w:t xml:space="preserve">風險管理及內部監控</w:t>
      </w:r>
    </w:p>
    <w:p>
      <w:pPr>
        <w:pStyle w:val="BodyText"/>
      </w:pPr>
      <w:r>
        <w:rPr>
          <w:rFonts w:hint="eastAsia"/>
        </w:rPr>
        <w:t xml:space="preserve">董事會在其委員會的協助下負責持續監督本集團的風險管理及內部監控系統。董事會每年檢討風險管理及內部</w:t>
      </w:r>
    </w:p>
    <w:p>
      <w:pPr>
        <w:pStyle w:val="BodyText"/>
      </w:pPr>
      <w:r>
        <w:rPr>
          <w:rFonts w:hint="eastAsia"/>
        </w:rPr>
        <w:t xml:space="preserve">監控系統的有效性。</w:t>
      </w:r>
    </w:p>
    <w:p>
      <w:pPr>
        <w:pStyle w:val="BodyText"/>
      </w:pPr>
      <w:r>
        <w:rPr>
          <w:rFonts w:hint="eastAsia"/>
        </w:rPr>
        <w:t xml:space="preserve">本集團之風險管理架構並不尋求排除所有風險，而是透過識別及瞭解，將其控制於可接受的範圍內，以便維持</w:t>
      </w:r>
    </w:p>
    <w:p>
      <w:pPr>
        <w:pStyle w:val="BodyText"/>
      </w:pPr>
      <w:r>
        <w:rPr>
          <w:rFonts w:hint="eastAsia"/>
        </w:rPr>
        <w:t xml:space="preserve">業務的可持續發展及創造長期價值，惟僅可對重大的失實陳述或損失作出合理而非絕對保證。風險管理架構之</w:t>
      </w:r>
    </w:p>
    <w:p>
      <w:pPr>
        <w:pStyle w:val="BodyText"/>
      </w:pPr>
      <w:r>
        <w:rPr>
          <w:rFonts w:hint="eastAsia"/>
        </w:rPr>
        <w:t xml:space="preserve">主要特色及其他資料以及用於識別、評估，管理主要風險之程序載列於本年報的風險管理一節。</w:t>
      </w:r>
    </w:p>
    <w:p>
      <w:pPr>
        <w:pStyle w:val="BodyText"/>
      </w:pPr>
      <w:r>
        <w:t xml:space="preserve">105</w:t>
      </w:r>
    </w:p>
    <w:p>
      <w:pPr>
        <w:pStyle w:val="BodyText"/>
      </w:pPr>
      <w:r>
        <w:rPr>
          <w:rFonts w:hint="eastAsia"/>
        </w:rPr>
        <w:t xml:space="preserve">概覽財務及營運回顧企業管治其他資料財務報表2020年報</w:t>
      </w:r>
    </w:p>
    <w:p>
      <w:pPr>
        <w:pStyle w:val="BodyText"/>
      </w:pPr>
      <w:r>
        <w:rPr>
          <w:rFonts w:hint="eastAsia"/>
        </w:rPr>
        <w:t xml:space="preserve">本公司設有內部審核職能（「內部審核部」）。本公司內部監控系統的主要特點包括對內部監控進行獨立評核及</w:t>
      </w:r>
    </w:p>
    <w:p>
      <w:pPr>
        <w:pStyle w:val="BodyText"/>
      </w:pPr>
      <w:r>
        <w:rPr>
          <w:rFonts w:hint="eastAsia"/>
        </w:rPr>
        <w:t xml:space="preserve">測試、以風險為本制訂年度審核計劃並呈交審核委員會。編製重大審核結果報告並傳達管理層及審核委員會；</w:t>
      </w:r>
    </w:p>
    <w:p>
      <w:pPr>
        <w:pStyle w:val="BodyText"/>
      </w:pPr>
      <w:r>
        <w:rPr>
          <w:rFonts w:hint="eastAsia"/>
        </w:rPr>
        <w:t xml:space="preserve">若發現監控薄弱環節或瑕疵，則應提供有關解決方案之建議。此處所述結果包括在內部審核、法理鑒證、監管</w:t>
      </w:r>
    </w:p>
    <w:p>
      <w:pPr>
        <w:pStyle w:val="BodyText"/>
      </w:pPr>
      <w:r>
        <w:rPr>
          <w:rFonts w:hint="eastAsia"/>
        </w:rPr>
        <w:t xml:space="preserve">報告及特別計劃中正式確認的問題。管理層負責設計、實施及評估各業務及流程的內部監控系統，包括持續紓減</w:t>
      </w:r>
    </w:p>
    <w:p>
      <w:pPr>
        <w:pStyle w:val="BodyText"/>
      </w:pPr>
      <w:r>
        <w:rPr>
          <w:rFonts w:hint="eastAsia"/>
        </w:rPr>
        <w:t xml:space="preserve">相關風險。</w:t>
      </w:r>
    </w:p>
    <w:p>
      <w:pPr>
        <w:pStyle w:val="BodyText"/>
      </w:pPr>
      <w:r>
        <w:rPr>
          <w:rFonts w:hint="eastAsia"/>
        </w:rPr>
        <w:t xml:space="preserve">董事會已透過風險委員會及審核委員會檢討本集團風險管理及內部監控系統（涵蓋所有重大監控，如財務、營運</w:t>
      </w:r>
    </w:p>
    <w:p>
      <w:pPr>
        <w:pStyle w:val="BodyText"/>
      </w:pPr>
      <w:r>
        <w:rPr>
          <w:rFonts w:hint="eastAsia"/>
        </w:rPr>
        <w:t xml:space="preserve">及合規監控）的足夠性及有效性，包括：</w:t>
      </w:r>
    </w:p>
    <w:p>
      <w:pPr>
        <w:pStyle w:val="BodyText"/>
      </w:pPr>
      <w:r>
        <w:t xml:space="preserve">• </w:t>
      </w:r>
      <w:r>
        <w:rPr>
          <w:rFonts w:hint="eastAsia"/>
        </w:rPr>
        <w:t xml:space="preserve">本</w:t>
      </w:r>
      <w:r>
        <w:t xml:space="preserve"> </w:t>
      </w:r>
      <w:r>
        <w:rPr>
          <w:rFonts w:hint="eastAsia"/>
        </w:rPr>
        <w:t xml:space="preserve">集</w:t>
      </w:r>
      <w:r>
        <w:t xml:space="preserve"> </w:t>
      </w:r>
      <w:r>
        <w:rPr>
          <w:rFonts w:hint="eastAsia"/>
        </w:rPr>
        <w:t xml:space="preserve">團</w:t>
      </w:r>
      <w:r>
        <w:t xml:space="preserve"> </w:t>
      </w:r>
      <w:r>
        <w:rPr>
          <w:rFonts w:hint="eastAsia"/>
        </w:rPr>
        <w:t xml:space="preserve">會</w:t>
      </w:r>
      <w:r>
        <w:t xml:space="preserve"> </w:t>
      </w:r>
      <w:r>
        <w:rPr>
          <w:rFonts w:hint="eastAsia"/>
        </w:rPr>
        <w:t xml:space="preserve">計、</w:t>
      </w:r>
      <w:r>
        <w:t xml:space="preserve"> </w:t>
      </w:r>
      <w:r>
        <w:rPr>
          <w:rFonts w:hint="eastAsia"/>
        </w:rPr>
        <w:t xml:space="preserve">內</w:t>
      </w:r>
      <w:r>
        <w:t xml:space="preserve"> </w:t>
      </w:r>
      <w:r>
        <w:rPr>
          <w:rFonts w:hint="eastAsia"/>
        </w:rPr>
        <w:t xml:space="preserve">部</w:t>
      </w:r>
      <w:r>
        <w:t xml:space="preserve"> </w:t>
      </w:r>
      <w:r>
        <w:rPr>
          <w:rFonts w:hint="eastAsia"/>
        </w:rPr>
        <w:t xml:space="preserve">審</w:t>
      </w:r>
      <w:r>
        <w:t xml:space="preserve"> </w:t>
      </w:r>
      <w:r>
        <w:rPr>
          <w:rFonts w:hint="eastAsia"/>
        </w:rPr>
        <w:t xml:space="preserve">核</w:t>
      </w:r>
      <w:r>
        <w:t xml:space="preserve"> </w:t>
      </w:r>
      <w:r>
        <w:rPr>
          <w:rFonts w:hint="eastAsia"/>
        </w:rPr>
        <w:t xml:space="preserve">及</w:t>
      </w:r>
      <w:r>
        <w:t xml:space="preserve"> </w:t>
      </w:r>
      <w:r>
        <w:rPr>
          <w:rFonts w:hint="eastAsia"/>
        </w:rPr>
        <w:t xml:space="preserve">財</w:t>
      </w:r>
      <w:r>
        <w:t xml:space="preserve"> </w:t>
      </w:r>
      <w:r>
        <w:rPr>
          <w:rFonts w:hint="eastAsia"/>
        </w:rPr>
        <w:t xml:space="preserve">務</w:t>
      </w:r>
      <w:r>
        <w:t xml:space="preserve"> </w:t>
      </w:r>
      <w:r>
        <w:rPr>
          <w:rFonts w:hint="eastAsia"/>
        </w:rPr>
        <w:t xml:space="preserve">匯</w:t>
      </w:r>
      <w:r>
        <w:t xml:space="preserve"> </w:t>
      </w:r>
      <w:r>
        <w:rPr>
          <w:rFonts w:hint="eastAsia"/>
        </w:rPr>
        <w:t xml:space="preserve">報</w:t>
      </w:r>
      <w:r>
        <w:t xml:space="preserve"> </w:t>
      </w:r>
      <w:r>
        <w:rPr>
          <w:rFonts w:hint="eastAsia"/>
        </w:rPr>
        <w:t xml:space="preserve">職</w:t>
      </w:r>
      <w:r>
        <w:t xml:space="preserve"> </w:t>
      </w:r>
      <w:r>
        <w:rPr>
          <w:rFonts w:hint="eastAsia"/>
        </w:rPr>
        <w:t xml:space="preserve">能</w:t>
      </w:r>
      <w:r>
        <w:t xml:space="preserve"> </w:t>
      </w:r>
      <w:r>
        <w:rPr>
          <w:rFonts w:hint="eastAsia"/>
        </w:rPr>
        <w:t xml:space="preserve">方</w:t>
      </w:r>
      <w:r>
        <w:t xml:space="preserve"> </w:t>
      </w:r>
      <w:r>
        <w:rPr>
          <w:rFonts w:hint="eastAsia"/>
        </w:rPr>
        <w:t xml:space="preserve">面</w:t>
      </w:r>
      <w:r>
        <w:t xml:space="preserve"> </w:t>
      </w:r>
      <w:r>
        <w:rPr>
          <w:rFonts w:hint="eastAsia"/>
        </w:rPr>
        <w:t xml:space="preserve">的</w:t>
      </w:r>
      <w:r>
        <w:t xml:space="preserve"> </w:t>
      </w:r>
      <w:r>
        <w:rPr>
          <w:rFonts w:hint="eastAsia"/>
        </w:rPr>
        <w:t xml:space="preserve">資</w:t>
      </w:r>
      <w:r>
        <w:t xml:space="preserve"> </w:t>
      </w:r>
      <w:r>
        <w:rPr>
          <w:rFonts w:hint="eastAsia"/>
        </w:rPr>
        <w:t xml:space="preserve">源、</w:t>
      </w:r>
      <w:r>
        <w:t xml:space="preserve"> </w:t>
      </w:r>
      <w:r>
        <w:rPr>
          <w:rFonts w:hint="eastAsia"/>
        </w:rPr>
        <w:t xml:space="preserve">員</w:t>
      </w:r>
      <w:r>
        <w:t xml:space="preserve"> </w:t>
      </w:r>
      <w:r>
        <w:rPr>
          <w:rFonts w:hint="eastAsia"/>
        </w:rPr>
        <w:t xml:space="preserve">工</w:t>
      </w:r>
      <w:r>
        <w:t xml:space="preserve"> </w:t>
      </w:r>
      <w:r>
        <w:rPr>
          <w:rFonts w:hint="eastAsia"/>
        </w:rPr>
        <w:t xml:space="preserve">資</w:t>
      </w:r>
      <w:r>
        <w:t xml:space="preserve"> </w:t>
      </w:r>
      <w:r>
        <w:rPr>
          <w:rFonts w:hint="eastAsia"/>
        </w:rPr>
        <w:t xml:space="preserve">歷</w:t>
      </w:r>
      <w:r>
        <w:t xml:space="preserve"> </w:t>
      </w:r>
      <w:r>
        <w:rPr>
          <w:rFonts w:hint="eastAsia"/>
        </w:rPr>
        <w:t xml:space="preserve">及</w:t>
      </w:r>
      <w:r>
        <w:t xml:space="preserve"> </w:t>
      </w:r>
      <w:r>
        <w:rPr>
          <w:rFonts w:hint="eastAsia"/>
        </w:rPr>
        <w:t xml:space="preserve">經</w:t>
      </w:r>
      <w:r>
        <w:t xml:space="preserve"> </w:t>
      </w:r>
      <w:r>
        <w:rPr>
          <w:rFonts w:hint="eastAsia"/>
        </w:rPr>
        <w:t xml:space="preserve">驗</w:t>
      </w:r>
      <w:r>
        <w:t xml:space="preserve"> </w:t>
      </w:r>
      <w:r>
        <w:rPr>
          <w:rFonts w:hint="eastAsia"/>
        </w:rPr>
        <w:t xml:space="preserve">以</w:t>
      </w:r>
      <w:r>
        <w:t xml:space="preserve"> </w:t>
      </w:r>
      <w:r>
        <w:rPr>
          <w:rFonts w:hint="eastAsia"/>
        </w:rPr>
        <w:t xml:space="preserve">及</w:t>
      </w:r>
      <w:r>
        <w:t xml:space="preserve"> </w:t>
      </w:r>
      <w:r>
        <w:rPr>
          <w:rFonts w:hint="eastAsia"/>
        </w:rPr>
        <w:t xml:space="preserve">相</w:t>
      </w:r>
      <w:r>
        <w:t xml:space="preserve"> </w:t>
      </w:r>
      <w:r>
        <w:rPr>
          <w:rFonts w:hint="eastAsia"/>
        </w:rPr>
        <w:t xml:space="preserve">關</w:t>
      </w:r>
      <w:r>
        <w:t xml:space="preserve"> </w:t>
      </w:r>
      <w:r>
        <w:rPr>
          <w:rFonts w:hint="eastAsia"/>
        </w:rPr>
        <w:t xml:space="preserve">培</w:t>
      </w:r>
      <w:r>
        <w:t xml:space="preserve"> </w:t>
      </w:r>
      <w:r>
        <w:rPr>
          <w:rFonts w:hint="eastAsia"/>
        </w:rPr>
        <w:t xml:space="preserve">訓</w:t>
      </w:r>
      <w:r>
        <w:t xml:space="preserve"> </w:t>
      </w:r>
      <w:r>
        <w:rPr>
          <w:rFonts w:hint="eastAsia"/>
        </w:rPr>
        <w:t xml:space="preserve">課</w:t>
      </w:r>
      <w:r>
        <w:t xml:space="preserve"> </w:t>
      </w:r>
      <w:r>
        <w:rPr>
          <w:rFonts w:hint="eastAsia"/>
        </w:rPr>
        <w:t xml:space="preserve">程</w:t>
      </w:r>
      <w:r>
        <w:t xml:space="preserve"> </w:t>
      </w:r>
      <w:r>
        <w:rPr>
          <w:rFonts w:hint="eastAsia"/>
        </w:rPr>
        <w:t xml:space="preserve">及</w:t>
      </w:r>
      <w:r>
        <w:t xml:space="preserve"> </w:t>
      </w:r>
      <w:r>
        <w:rPr>
          <w:rFonts w:hint="eastAsia"/>
        </w:rPr>
        <w:t xml:space="preserve">有</w:t>
      </w:r>
      <w:r>
        <w:t xml:space="preserve"> </w:t>
      </w:r>
      <w:r>
        <w:rPr>
          <w:rFonts w:hint="eastAsia"/>
        </w:rPr>
        <w:t xml:space="preserve">關</w:t>
      </w:r>
      <w:r>
        <w:t xml:space="preserve"> </w:t>
      </w:r>
      <w:r>
        <w:rPr>
          <w:rFonts w:hint="eastAsia"/>
        </w:rPr>
        <w:t xml:space="preserve">預</w:t>
      </w:r>
      <w:r>
        <w:t xml:space="preserve"> </w:t>
      </w:r>
      <w:r>
        <w:rPr>
          <w:rFonts w:hint="eastAsia"/>
        </w:rPr>
        <w:t xml:space="preserve">算</w:t>
      </w:r>
      <w:r>
        <w:t xml:space="preserve"> </w:t>
      </w:r>
      <w:r>
        <w:rPr>
          <w:rFonts w:hint="eastAsia"/>
        </w:rPr>
        <w:t xml:space="preserve">的</w:t>
      </w:r>
    </w:p>
    <w:p>
      <w:pPr>
        <w:pStyle w:val="BodyText"/>
      </w:pPr>
      <w:r>
        <w:rPr>
          <w:rFonts w:hint="eastAsia"/>
        </w:rPr>
        <w:t xml:space="preserve">足夠性；</w:t>
      </w:r>
    </w:p>
    <w:p>
      <w:pPr>
        <w:pStyle w:val="BodyText"/>
      </w:pPr>
      <w:r>
        <w:t xml:space="preserve">• </w:t>
      </w:r>
      <w:r>
        <w:rPr>
          <w:rFonts w:hint="eastAsia"/>
        </w:rPr>
        <w:t xml:space="preserve">管理層識別的風險範圍以及管理層對各項風險及風險管理系統進行持續監控的質素及範圍；</w:t>
      </w:r>
    </w:p>
    <w:p>
      <w:pPr>
        <w:pStyle w:val="BodyText"/>
      </w:pPr>
      <w:r>
        <w:t xml:space="preserve">• </w:t>
      </w:r>
      <w:r>
        <w:rPr>
          <w:rFonts w:hint="eastAsia"/>
        </w:rPr>
        <w:t xml:space="preserve">自上次檢討後，重大風險的性質及嚴重程度的轉變，以及本集團應付外在環境及其業務轉變的能力；</w:t>
      </w:r>
    </w:p>
    <w:p>
      <w:pPr>
        <w:pStyle w:val="BodyText"/>
      </w:pPr>
      <w:r>
        <w:t xml:space="preserve">• </w:t>
      </w:r>
      <w:r>
        <w:rPr>
          <w:rFonts w:hint="eastAsia"/>
        </w:rPr>
        <w:t xml:space="preserve">管理層所實施內部監控系統的質素及範圍、內部審核部的工作及效率以及內部審核部匯報的重大風險；</w:t>
      </w:r>
    </w:p>
    <w:p>
      <w:pPr>
        <w:pStyle w:val="BodyText"/>
      </w:pPr>
      <w:r>
        <w:t xml:space="preserve">• </w:t>
      </w:r>
      <w:r>
        <w:rPr>
          <w:rFonts w:hint="eastAsia"/>
        </w:rPr>
        <w:t xml:space="preserve">向董事會及其委員會匯報監控結果的詳盡程度及頻密度，以便彼等能就本集團風險管理及內部監控系統的</w:t>
      </w:r>
    </w:p>
    <w:p>
      <w:pPr>
        <w:pStyle w:val="BodyText"/>
      </w:pPr>
      <w:r>
        <w:rPr>
          <w:rFonts w:hint="eastAsia"/>
        </w:rPr>
        <w:t xml:space="preserve">有效性進行評估；</w:t>
      </w:r>
    </w:p>
    <w:p>
      <w:pPr>
        <w:pStyle w:val="BodyText"/>
      </w:pPr>
      <w:r>
        <w:t xml:space="preserve">• </w:t>
      </w:r>
      <w:r>
        <w:rPr>
          <w:rFonts w:hint="eastAsia"/>
        </w:rPr>
        <w:t xml:space="preserve">年內所發現的重大監控失效或監控弱點的次數，及彼等對本集團財務表現或狀況所產生影響的嚴重程度；</w:t>
      </w:r>
    </w:p>
    <w:p>
      <w:pPr>
        <w:pStyle w:val="BodyText"/>
      </w:pPr>
      <w:r>
        <w:t xml:space="preserve">• </w:t>
      </w:r>
      <w:r>
        <w:rPr>
          <w:rFonts w:hint="eastAsia"/>
        </w:rPr>
        <w:t xml:space="preserve">本集團財務匯報及監管合規相關程序的有效性；</w:t>
      </w:r>
    </w:p>
    <w:p>
      <w:pPr>
        <w:pStyle w:val="BodyText"/>
      </w:pPr>
      <w:r>
        <w:t xml:space="preserve">• </w:t>
      </w:r>
      <w:r>
        <w:rPr>
          <w:rFonts w:hint="eastAsia"/>
        </w:rPr>
        <w:t xml:space="preserve">內部及外聘核數師的工作範圍以及由內部及外聘核數師報告所指出的重大事項；及</w:t>
      </w:r>
    </w:p>
    <w:p>
      <w:pPr>
        <w:pStyle w:val="BodyText"/>
      </w:pPr>
      <w:r>
        <w:t xml:space="preserve">• </w:t>
      </w:r>
      <w:r>
        <w:rPr>
          <w:rFonts w:hint="eastAsia"/>
        </w:rPr>
        <w:t xml:space="preserve">管理層的監控自評工作結果。</w:t>
      </w:r>
    </w:p>
    <w:p>
      <w:pPr>
        <w:pStyle w:val="BodyText"/>
      </w:pPr>
      <w:r>
        <w:rPr>
          <w:rFonts w:hint="eastAsia"/>
        </w:rPr>
        <w:t xml:space="preserve">本集團風險管理及內部監控系統的年度評核的結果得到由本公司管理層（本公司及附屬公司層面）、風險與合規</w:t>
      </w:r>
    </w:p>
    <w:p>
      <w:pPr>
        <w:pStyle w:val="BodyText"/>
      </w:pPr>
      <w:r>
        <w:rPr>
          <w:rFonts w:hint="eastAsia"/>
        </w:rPr>
        <w:t xml:space="preserve">職能部門及內部審核部提供的內部核證程序所支持。</w:t>
      </w:r>
    </w:p>
    <w:p>
      <w:pPr>
        <w:pStyle w:val="BodyText"/>
      </w:pPr>
      <w:r>
        <w:rPr>
          <w:rFonts w:hint="eastAsia"/>
        </w:rPr>
        <w:t xml:space="preserve">管理層已向董事會確認，本集團的風險管理及內部監控系統足夠且有效。根據有關檢討結果及管理層的確認，</w:t>
      </w:r>
    </w:p>
    <w:p>
      <w:pPr>
        <w:pStyle w:val="BodyText"/>
      </w:pPr>
      <w:r>
        <w:rPr>
          <w:rFonts w:hint="eastAsia"/>
        </w:rPr>
        <w:t xml:space="preserve">董事會認為本集團的風險管理及內部監控系統就截至2020年12月31日止年度而言足夠且有效。</w:t>
      </w:r>
    </w:p>
    <w:p>
      <w:pPr>
        <w:pStyle w:val="BodyText"/>
      </w:pPr>
      <w:r>
        <w:t xml:space="preserve">106</w:t>
      </w:r>
    </w:p>
    <w:p>
      <w:pPr>
        <w:pStyle w:val="BodyText"/>
      </w:pPr>
      <w:r>
        <w:rPr>
          <w:rFonts w:hint="eastAsia"/>
        </w:rPr>
        <w:t xml:space="preserve">企業管治友邦保險控股有限公司企業管治報告</w:t>
      </w:r>
    </w:p>
    <w:p>
      <w:pPr>
        <w:pStyle w:val="BodyText"/>
      </w:pPr>
      <w:r>
        <w:rPr>
          <w:rFonts w:hint="eastAsia"/>
        </w:rPr>
        <w:t xml:space="preserve">內部消息</w:t>
      </w:r>
    </w:p>
    <w:p>
      <w:pPr>
        <w:pStyle w:val="BodyText"/>
      </w:pPr>
      <w:r>
        <w:rPr>
          <w:rFonts w:hint="eastAsia"/>
        </w:rPr>
        <w:t xml:space="preserve">本公司已就處理及發佈內部消息實施適當程序及內部監控：</w:t>
      </w:r>
    </w:p>
    <w:p>
      <w:pPr>
        <w:pStyle w:val="BodyText"/>
      </w:pPr>
      <w:r>
        <w:t xml:space="preserve">• </w:t>
      </w:r>
      <w:r>
        <w:rPr>
          <w:rFonts w:hint="eastAsia"/>
        </w:rPr>
        <w:t xml:space="preserve">本公司已制定有關內部消息披露的政策，以確保本公司向所有目前及潛在投資者、市場參與者及公眾及時</w:t>
      </w:r>
    </w:p>
    <w:p>
      <w:pPr>
        <w:pStyle w:val="BodyText"/>
      </w:pPr>
      <w:r>
        <w:rPr>
          <w:rFonts w:hint="eastAsia"/>
        </w:rPr>
        <w:t xml:space="preserve">並同步收到有關本集團的適當資料。該政策已傳達至所有相關員工，該等員工亦已接受有關培訓；及</w:t>
      </w:r>
    </w:p>
    <w:p>
      <w:pPr>
        <w:pStyle w:val="BodyText"/>
      </w:pPr>
      <w:r>
        <w:t xml:space="preserve">• </w:t>
      </w:r>
      <w:r>
        <w:rPr>
          <w:rFonts w:hint="eastAsia"/>
        </w:rPr>
        <w:t xml:space="preserve">本集團已訂立書面溝通規則以實施本集團內的監控程序，以管理與眾多內部及外部權益人的溝通。該規則</w:t>
      </w:r>
    </w:p>
    <w:p>
      <w:pPr>
        <w:pStyle w:val="BodyText"/>
      </w:pPr>
      <w:r>
        <w:rPr>
          <w:rFonts w:hint="eastAsia"/>
        </w:rPr>
        <w:t xml:space="preserve">界定一系列獲授權向有關權益人提供有關本集團資料的代言人。本公司的行為守則進一步載有嚴格禁止未獲</w:t>
      </w:r>
    </w:p>
    <w:p>
      <w:pPr>
        <w:pStyle w:val="BodyText"/>
      </w:pPr>
      <w:r>
        <w:rPr>
          <w:rFonts w:hint="eastAsia"/>
        </w:rPr>
        <w:t xml:space="preserve">授權使用保密或非公開資料之規定。</w:t>
      </w:r>
    </w:p>
    <w:p>
      <w:pPr>
        <w:pStyle w:val="BodyText"/>
      </w:pPr>
      <w:r>
        <w:rPr>
          <w:rFonts w:hint="eastAsia"/>
        </w:rPr>
        <w:t xml:space="preserve">公司秘書</w:t>
      </w:r>
    </w:p>
    <w:p>
      <w:pPr>
        <w:pStyle w:val="BodyText"/>
      </w:pPr>
      <w:r>
        <w:rPr>
          <w:rFonts w:hint="eastAsia"/>
        </w:rPr>
        <w:t xml:space="preserve">所有董事均可隨時就其職責及董事會及董事委員會的有效運作獲得公司秘書的建議及服務。公司秘書就所有</w:t>
      </w:r>
    </w:p>
    <w:p>
      <w:pPr>
        <w:pStyle w:val="BodyText"/>
      </w:pPr>
      <w:r>
        <w:rPr>
          <w:rFonts w:hint="eastAsia"/>
        </w:rPr>
        <w:t xml:space="preserve">企業管治事宜向董事會提供建議、安排董事的入職培訓及專業發展，並確保董事會及其委員會內以及管理層與</w:t>
      </w:r>
    </w:p>
    <w:p>
      <w:pPr>
        <w:pStyle w:val="BodyText"/>
      </w:pPr>
      <w:r>
        <w:rPr>
          <w:rFonts w:hint="eastAsia"/>
        </w:rPr>
        <w:t xml:space="preserve">非執行董事之間的良好資訊交流及溝通。公司秘書亦在確保董事會及董事委員會於遵循其政策及程序以及董事會</w:t>
      </w:r>
    </w:p>
    <w:p>
      <w:pPr>
        <w:pStyle w:val="BodyText"/>
      </w:pPr>
      <w:r>
        <w:rPr>
          <w:rFonts w:hint="eastAsia"/>
        </w:rPr>
        <w:t xml:space="preserve">根據上市規則向股東履行責任方面發揮重要作用。於回顧年度內，包婷婷女士已接受至少15小時的相關持續專業</w:t>
      </w:r>
    </w:p>
    <w:p>
      <w:pPr>
        <w:pStyle w:val="BodyText"/>
      </w:pPr>
      <w:r>
        <w:rPr>
          <w:rFonts w:hint="eastAsia"/>
        </w:rPr>
        <w:t xml:space="preserve">教育。</w:t>
      </w:r>
    </w:p>
    <w:p>
      <w:pPr>
        <w:pStyle w:val="BodyText"/>
      </w:pPr>
      <w:r>
        <w:rPr>
          <w:rFonts w:hint="eastAsia"/>
        </w:rPr>
        <w:t xml:space="preserve">與股東的聯繫</w:t>
      </w:r>
    </w:p>
    <w:p>
      <w:pPr>
        <w:pStyle w:val="BodyText"/>
      </w:pPr>
      <w:r>
        <w:rPr>
          <w:rFonts w:hint="eastAsia"/>
        </w:rPr>
        <w:t xml:space="preserve">董事會重視透過股東大會、新聞稿、公告及公司通訊（如年報、中期報告及通函）與本公司股東持續保持對話。</w:t>
      </w:r>
    </w:p>
    <w:p>
      <w:pPr>
        <w:pStyle w:val="BodyText"/>
      </w:pPr>
      <w:r>
        <w:rPr>
          <w:rFonts w:hint="eastAsia"/>
        </w:rPr>
        <w:t xml:space="preserve">董事會致力及時披露資料。有關本集團的活動、公告、業績簡報、網上直播及公司通訊的最新資料均及時刊載於</w:t>
      </w:r>
    </w:p>
    <w:p>
      <w:pPr>
        <w:pStyle w:val="BodyText"/>
      </w:pPr>
      <w:r>
        <w:rPr>
          <w:rFonts w:hint="eastAsia"/>
        </w:rPr>
        <w:t xml:space="preserve">本公司網站www.aia.com。載有重要日期以供股東參考的財務日誌載於本年報第295頁。</w:t>
      </w:r>
    </w:p>
    <w:p>
      <w:pPr>
        <w:pStyle w:val="BodyText"/>
      </w:pPr>
      <w:r>
        <w:rPr>
          <w:rFonts w:hint="eastAsia"/>
        </w:rPr>
        <w:t xml:space="preserve">投資者關係職能部門主管本公司與投資者的聯繫。本公司機構股東基礎的地域分佈呈多元化，同時本公司亦深受</w:t>
      </w:r>
    </w:p>
    <w:p>
      <w:pPr>
        <w:pStyle w:val="BodyText"/>
      </w:pPr>
      <w:r>
        <w:rPr>
          <w:rFonts w:hint="eastAsia"/>
        </w:rPr>
        <w:t xml:space="preserve">各大經紀行的研究分析師關注。本公司透過與投資者的定期互動（包括會議、投資者論壇及路演）與機構投資者</w:t>
      </w:r>
    </w:p>
    <w:p>
      <w:pPr>
        <w:pStyle w:val="BodyText"/>
      </w:pPr>
      <w:r>
        <w:rPr>
          <w:rFonts w:hint="eastAsia"/>
        </w:rPr>
        <w:t xml:space="preserve">保持積極及開放的對話。投資者的回饋及分析師就本公司所作出的報告均定期及有系統地傳閱至董事會及執行</w:t>
      </w:r>
    </w:p>
    <w:p>
      <w:pPr>
        <w:pStyle w:val="BodyText"/>
      </w:pPr>
      <w:r>
        <w:rPr>
          <w:rFonts w:hint="eastAsia"/>
        </w:rPr>
        <w:t xml:space="preserve">委員會，以增進其對外界有關本公司表現的看法之瞭解。</w:t>
      </w:r>
    </w:p>
    <w:p>
      <w:pPr>
        <w:pStyle w:val="BodyText"/>
      </w:pPr>
      <w:r>
        <w:rPr>
          <w:rFonts w:hint="eastAsia"/>
        </w:rPr>
        <w:t xml:space="preserve">董事會採納了股東通訊政策，並將定期檢討該政策，以確保其有效性。董事會歡迎股東及其他權益人提出觀點、</w:t>
      </w:r>
    </w:p>
    <w:p>
      <w:pPr>
        <w:pStyle w:val="BodyText"/>
      </w:pPr>
      <w:r>
        <w:rPr>
          <w:rFonts w:hint="eastAsia"/>
        </w:rPr>
        <w:t xml:space="preserve">問題及疑慮。股東及其他權益人可向董事會寄發其詢問及疑慮。聯繫詳情載於本年報第296頁。</w:t>
      </w:r>
    </w:p>
    <w:p>
      <w:pPr>
        <w:pStyle w:val="BodyText"/>
      </w:pPr>
      <w:r>
        <w:t xml:space="preserve">107</w:t>
      </w:r>
    </w:p>
    <w:p>
      <w:pPr>
        <w:pStyle w:val="BodyText"/>
      </w:pPr>
      <w:r>
        <w:rPr>
          <w:rFonts w:hint="eastAsia"/>
        </w:rPr>
        <w:t xml:space="preserve">概覽財務及營運回顧企業管治其他資料財務報表2020年報</w:t>
      </w:r>
    </w:p>
    <w:p>
      <w:pPr>
        <w:pStyle w:val="BodyText"/>
      </w:pPr>
      <w:r>
        <w:rPr>
          <w:rFonts w:hint="eastAsia"/>
        </w:rPr>
        <w:t xml:space="preserve">2020年股東週年大會</w:t>
      </w:r>
    </w:p>
    <w:p>
      <w:pPr>
        <w:pStyle w:val="BodyText"/>
      </w:pPr>
      <w:r>
        <w:rPr>
          <w:rFonts w:hint="eastAsia"/>
        </w:rPr>
        <w:t xml:space="preserve">本公司最近期的股東大會為於2020年5月29日假座香港九龍尖沙咀東部麼地道64號九龍香格里拉大酒店地下</w:t>
      </w:r>
    </w:p>
    <w:p>
      <w:pPr>
        <w:pStyle w:val="BodyText"/>
      </w:pPr>
      <w:r>
        <w:rPr>
          <w:rFonts w:hint="eastAsia"/>
        </w:rPr>
        <w:t xml:space="preserve">1層宴會廳舉行的2020年股東週年大會。董事會主席及當時所有其他董事會成員，連同本集團高級管理人員及</w:t>
      </w:r>
    </w:p>
    <w:p>
      <w:pPr>
        <w:pStyle w:val="BodyText"/>
      </w:pPr>
      <w:r>
        <w:rPr>
          <w:rFonts w:hint="eastAsia"/>
        </w:rPr>
        <w:t xml:space="preserve">外聘核數師均有出席2020年股東週年大會。該大會的投票結果可於本公司及香港交易及結算所有限公司網站</w:t>
      </w:r>
    </w:p>
    <w:p>
      <w:pPr>
        <w:pStyle w:val="BodyText"/>
      </w:pPr>
      <w:r>
        <w:rPr>
          <w:rFonts w:hint="eastAsia"/>
        </w:rPr>
        <w:t xml:space="preserve">查閱，2020年股東週年大會上所決議的事項概括如下：</w:t>
      </w:r>
    </w:p>
    <w:p>
      <w:pPr>
        <w:pStyle w:val="BodyText"/>
      </w:pPr>
      <w:r>
        <w:t xml:space="preserve">• </w:t>
      </w:r>
      <w:r>
        <w:rPr>
          <w:rFonts w:hint="eastAsia"/>
        </w:rPr>
        <w:t xml:space="preserve">接納截至2019年12月31日止年度本公司經審核合併財務報表、董事會報告及獨立核數師報告；</w:t>
      </w:r>
    </w:p>
    <w:p>
      <w:pPr>
        <w:pStyle w:val="BodyText"/>
      </w:pPr>
      <w:r>
        <w:t xml:space="preserve">• </w:t>
      </w:r>
      <w:r>
        <w:rPr>
          <w:rFonts w:hint="eastAsia"/>
        </w:rPr>
        <w:t xml:space="preserve">宣派截至2019年12月31日止年度每股93.30港仙的末期股息；</w:t>
      </w:r>
    </w:p>
    <w:p>
      <w:pPr>
        <w:pStyle w:val="BodyText"/>
      </w:pPr>
      <w:r>
        <w:t xml:space="preserve">• </w:t>
      </w:r>
      <w:r>
        <w:rPr>
          <w:rFonts w:hint="eastAsia"/>
        </w:rPr>
        <w:t xml:space="preserve">通過單獨的普通決議案重選謝先生及蘇先生為本公司獨立非執行董事；</w:t>
      </w:r>
    </w:p>
    <w:p>
      <w:pPr>
        <w:pStyle w:val="BodyText"/>
      </w:pPr>
      <w:r>
        <w:t xml:space="preserve">• </w:t>
      </w:r>
      <w:r>
        <w:rPr>
          <w:rFonts w:hint="eastAsia"/>
        </w:rPr>
        <w:t xml:space="preserve">續聘羅兵咸永道會計師事務所為本公司核數師，任期直至下屆股東週年大會結束時，並授權董事會釐定其</w:t>
      </w:r>
    </w:p>
    <w:p>
      <w:pPr>
        <w:pStyle w:val="BodyText"/>
      </w:pPr>
      <w:r>
        <w:rPr>
          <w:rFonts w:hint="eastAsia"/>
        </w:rPr>
        <w:t xml:space="preserve">酬金；</w:t>
      </w:r>
    </w:p>
    <w:p>
      <w:pPr>
        <w:pStyle w:val="BodyText"/>
      </w:pPr>
      <w:r>
        <w:t xml:space="preserve">• </w:t>
      </w:r>
      <w:r>
        <w:rPr>
          <w:rFonts w:hint="eastAsia"/>
        </w:rPr>
        <w:t xml:space="preserve">授予董事一般授權使本公司額外發行不超過於2020年股東週年大會舉行日期本公司已發行股份總數10%</w:t>
      </w:r>
      <w:r>
        <w:t xml:space="preserve"> </w:t>
      </w:r>
      <w:r>
        <w:rPr>
          <w:rFonts w:hint="eastAsia"/>
        </w:rPr>
        <w:t xml:space="preserve">的</w:t>
      </w:r>
    </w:p>
    <w:p>
      <w:pPr>
        <w:pStyle w:val="BodyText"/>
      </w:pPr>
      <w:r>
        <w:rPr>
          <w:rFonts w:hint="eastAsia"/>
        </w:rPr>
        <w:t xml:space="preserve">本公司股份，惟將發行的任何股份可作出的折讓不得超過基準價格的10%；</w:t>
      </w:r>
    </w:p>
    <w:p>
      <w:pPr>
        <w:pStyle w:val="BodyText"/>
      </w:pPr>
      <w:r>
        <w:t xml:space="preserve">• </w:t>
      </w:r>
      <w:r>
        <w:rPr>
          <w:rFonts w:hint="eastAsia"/>
        </w:rPr>
        <w:t xml:space="preserve">授予董事一般授權使本公司購回不超過於2020年股東週年大會舉行日期本公司已發行股份總數10%</w:t>
      </w:r>
      <w:r>
        <w:t xml:space="preserve"> </w:t>
      </w:r>
      <w:r>
        <w:rPr>
          <w:rFonts w:hint="eastAsia"/>
        </w:rPr>
        <w:t xml:space="preserve">的本公司</w:t>
      </w:r>
    </w:p>
    <w:p>
      <w:pPr>
        <w:pStyle w:val="BodyText"/>
      </w:pPr>
      <w:r>
        <w:rPr>
          <w:rFonts w:hint="eastAsia"/>
        </w:rPr>
        <w:t xml:space="preserve">股份；及</w:t>
      </w:r>
    </w:p>
    <w:p>
      <w:pPr>
        <w:pStyle w:val="BodyText"/>
      </w:pPr>
      <w:r>
        <w:t xml:space="preserve">• </w:t>
      </w:r>
      <w:r>
        <w:rPr>
          <w:rFonts w:hint="eastAsia"/>
        </w:rPr>
        <w:t xml:space="preserve">批准2020年購股權計劃及終止2010年購股權計劃。</w:t>
      </w:r>
    </w:p>
    <w:p>
      <w:pPr>
        <w:pStyle w:val="BodyText"/>
      </w:pPr>
      <w:r>
        <w:rPr>
          <w:rFonts w:hint="eastAsia"/>
        </w:rPr>
        <w:t xml:space="preserve">本公司應屆股東週年大會將於2021年5月20日（星期四）舉行。進一步資料詳情載於本公司將就股東週年大會向</w:t>
      </w:r>
    </w:p>
    <w:p>
      <w:pPr>
        <w:pStyle w:val="BodyText"/>
      </w:pPr>
      <w:r>
        <w:rPr>
          <w:rFonts w:hint="eastAsia"/>
        </w:rPr>
        <w:t xml:space="preserve">本公司股東發出的通函內。</w:t>
      </w:r>
    </w:p>
    <w:p>
      <w:pPr>
        <w:pStyle w:val="BodyText"/>
      </w:pPr>
      <w:r>
        <w:rPr>
          <w:rFonts w:hint="eastAsia"/>
        </w:rPr>
        <w:t xml:space="preserve">股東權利</w:t>
      </w:r>
    </w:p>
    <w:p>
      <w:pPr>
        <w:pStyle w:val="BodyText"/>
      </w:pPr>
      <w:r>
        <w:rPr>
          <w:rFonts w:hint="eastAsia"/>
        </w:rPr>
        <w:t xml:space="preserve">股東大會</w:t>
      </w:r>
    </w:p>
    <w:p>
      <w:pPr>
        <w:pStyle w:val="BodyText"/>
      </w:pPr>
      <w:r>
        <w:rPr>
          <w:rFonts w:hint="eastAsia"/>
        </w:rPr>
        <w:t xml:space="preserve">持有不少於有權於股東大會上投票之本公司所有股東總投票權5%之股東可請求召開股東大會。如作出有關</w:t>
      </w:r>
    </w:p>
    <w:p>
      <w:pPr>
        <w:pStyle w:val="BodyText"/>
      </w:pPr>
      <w:r>
        <w:rPr>
          <w:rFonts w:hint="eastAsia"/>
        </w:rPr>
        <w:t xml:space="preserve">請求，股東大會須予召開。有關請求（不論為印本形式或電子形式）在獲請求人認證後須送交本公司註冊辦事處</w:t>
      </w:r>
    </w:p>
    <w:p>
      <w:pPr>
        <w:pStyle w:val="BodyText"/>
      </w:pPr>
      <w:r>
        <w:rPr>
          <w:rFonts w:hint="eastAsia"/>
        </w:rPr>
        <w:t xml:space="preserve">（地址為香港中環干諾道中1號友邦金融中心35樓）或透過電子郵件發送至ir@aia.com，註明公司秘書收啟。</w:t>
      </w:r>
    </w:p>
    <w:p>
      <w:pPr>
        <w:pStyle w:val="BodyText"/>
      </w:pPr>
      <w:r>
        <w:rPr>
          <w:rFonts w:hint="eastAsia"/>
        </w:rPr>
        <w:t xml:space="preserve">本公司股東於請求召開股東大會須參照香港《公司條例》第566至568條的規定。</w:t>
      </w:r>
    </w:p>
    <w:p>
      <w:pPr>
        <w:pStyle w:val="BodyText"/>
      </w:pPr>
      <w:r>
        <w:rPr>
          <w:rFonts w:hint="eastAsia"/>
        </w:rPr>
        <w:t xml:space="preserve">於股東週年大會上提呈決議案</w:t>
      </w:r>
    </w:p>
    <w:p>
      <w:pPr>
        <w:pStyle w:val="BodyText"/>
      </w:pPr>
      <w:r>
        <w:rPr>
          <w:rFonts w:hint="eastAsia"/>
        </w:rPr>
        <w:t xml:space="preserve">本公司股東可請求本公司發出決議案通知並於股東週年大會上提呈有關決議案。如本公司已收到下列請求，則</w:t>
      </w:r>
    </w:p>
    <w:p>
      <w:pPr>
        <w:pStyle w:val="BodyText"/>
      </w:pPr>
      <w:r>
        <w:rPr>
          <w:rFonts w:hint="eastAsia"/>
        </w:rPr>
        <w:t xml:space="preserve">本公司須發出有關決議案通知：</w:t>
      </w:r>
    </w:p>
    <w:p>
      <w:pPr>
        <w:pStyle w:val="Compact"/>
        <w:numPr>
          <w:ilvl w:val="0"/>
          <w:numId w:val="1084"/>
        </w:numPr>
      </w:pPr>
      <w:r>
        <w:rPr>
          <w:rFonts w:hint="eastAsia"/>
        </w:rPr>
        <w:t xml:space="preserve">持有不少於所有有權於該股東週年大會上就請求所涉及的決議案投票之本公司所有股東總投票權2.5%</w:t>
      </w:r>
      <w:r>
        <w:t xml:space="preserve"> </w:t>
      </w:r>
      <w:r>
        <w:rPr>
          <w:rFonts w:hint="eastAsia"/>
        </w:rPr>
        <w:t xml:space="preserve">之</w:t>
      </w:r>
    </w:p>
    <w:p>
      <w:pPr>
        <w:pStyle w:val="FirstParagraph"/>
      </w:pPr>
      <w:r>
        <w:rPr>
          <w:rFonts w:hint="eastAsia"/>
        </w:rPr>
        <w:t xml:space="preserve">本公司股東；或</w:t>
      </w:r>
    </w:p>
    <w:p>
      <w:pPr>
        <w:pStyle w:val="Compact"/>
        <w:numPr>
          <w:ilvl w:val="0"/>
          <w:numId w:val="1085"/>
        </w:numPr>
      </w:pPr>
      <w:r>
        <w:rPr>
          <w:rFonts w:hint="eastAsia"/>
        </w:rPr>
        <w:t xml:space="preserve">不少於50名有權於該股東週年大會上就請求所涉及的決議案投票之本公司股東。</w:t>
      </w:r>
    </w:p>
    <w:p>
      <w:pPr>
        <w:pStyle w:val="FirstParagraph"/>
      </w:pPr>
      <w:r>
        <w:t xml:space="preserve">108</w:t>
      </w:r>
    </w:p>
    <w:p>
      <w:pPr>
        <w:pStyle w:val="BodyText"/>
      </w:pPr>
      <w:r>
        <w:rPr>
          <w:rFonts w:hint="eastAsia"/>
        </w:rPr>
        <w:t xml:space="preserve">企業管治友邦保險控股有限公司企業管治報告</w:t>
      </w:r>
    </w:p>
    <w:p>
      <w:pPr>
        <w:pStyle w:val="BodyText"/>
      </w:pPr>
      <w:r>
        <w:rPr>
          <w:rFonts w:hint="eastAsia"/>
        </w:rPr>
        <w:t xml:space="preserve">有關請求（不論為印本形式或電子形式）須列明將予發出決議案通知所載之決議案，在獲請求人認證後須不遲於</w:t>
      </w:r>
    </w:p>
    <w:p>
      <w:pPr>
        <w:pStyle w:val="BodyText"/>
      </w:pPr>
      <w:r>
        <w:rPr>
          <w:rFonts w:hint="eastAsia"/>
        </w:rPr>
        <w:t xml:space="preserve">請求所涉及的股東週年大會舉行前六個星期（或更遲，則於該大會通告發出之時）送達本公司。該請求須送交</w:t>
      </w:r>
    </w:p>
    <w:p>
      <w:pPr>
        <w:pStyle w:val="BodyText"/>
      </w:pPr>
      <w:r>
        <w:rPr>
          <w:rFonts w:hint="eastAsia"/>
        </w:rPr>
        <w:t xml:space="preserve">本公司註冊辦事處（地址為香港中環干諾道中1號友邦金融中心35樓）或透過電子郵件發送至ir@aia.com，註明</w:t>
      </w:r>
    </w:p>
    <w:p>
      <w:pPr>
        <w:pStyle w:val="BodyText"/>
      </w:pPr>
      <w:r>
        <w:rPr>
          <w:rFonts w:hint="eastAsia"/>
        </w:rPr>
        <w:t xml:space="preserve">公司秘書收啟。本公司股東於股東週年大會上提呈決議案之有關程序須參照香港《公司條例》第615及616條的</w:t>
      </w:r>
    </w:p>
    <w:p>
      <w:pPr>
        <w:pStyle w:val="BodyText"/>
      </w:pPr>
      <w:r>
        <w:rPr>
          <w:rFonts w:hint="eastAsia"/>
        </w:rPr>
        <w:t xml:space="preserve">規定。</w:t>
      </w:r>
    </w:p>
    <w:p>
      <w:pPr>
        <w:pStyle w:val="BodyText"/>
      </w:pPr>
      <w:r>
        <w:rPr>
          <w:rFonts w:hint="eastAsia"/>
        </w:rPr>
        <w:t xml:space="preserve">股東提名候選董事</w:t>
      </w:r>
    </w:p>
    <w:p>
      <w:pPr>
        <w:pStyle w:val="BodyText"/>
      </w:pPr>
      <w:r>
        <w:rPr>
          <w:rFonts w:hint="eastAsia"/>
        </w:rPr>
        <w:t xml:space="preserve">股</w:t>
      </w:r>
      <w:r>
        <w:t xml:space="preserve"> </w:t>
      </w:r>
      <w:r>
        <w:rPr>
          <w:rFonts w:hint="eastAsia"/>
        </w:rPr>
        <w:t xml:space="preserve">東</w:t>
      </w:r>
      <w:r>
        <w:t xml:space="preserve"> </w:t>
      </w:r>
      <w:r>
        <w:rPr>
          <w:rFonts w:hint="eastAsia"/>
        </w:rPr>
        <w:t xml:space="preserve">可</w:t>
      </w:r>
      <w:r>
        <w:t xml:space="preserve"> </w:t>
      </w:r>
      <w:r>
        <w:rPr>
          <w:rFonts w:hint="eastAsia"/>
        </w:rPr>
        <w:t xml:space="preserve">提</w:t>
      </w:r>
      <w:r>
        <w:t xml:space="preserve"> </w:t>
      </w:r>
      <w:r>
        <w:rPr>
          <w:rFonts w:hint="eastAsia"/>
        </w:rPr>
        <w:t xml:space="preserve">名</w:t>
      </w:r>
      <w:r>
        <w:t xml:space="preserve"> </w:t>
      </w:r>
      <w:r>
        <w:rPr>
          <w:rFonts w:hint="eastAsia"/>
        </w:rPr>
        <w:t xml:space="preserve">任</w:t>
      </w:r>
      <w:r>
        <w:t xml:space="preserve"> </w:t>
      </w:r>
      <w:r>
        <w:rPr>
          <w:rFonts w:hint="eastAsia"/>
        </w:rPr>
        <w:t xml:space="preserve">何</w:t>
      </w:r>
      <w:r>
        <w:t xml:space="preserve"> </w:t>
      </w:r>
      <w:r>
        <w:rPr>
          <w:rFonts w:hint="eastAsia"/>
        </w:rPr>
        <w:t xml:space="preserve">人</w:t>
      </w:r>
      <w:r>
        <w:t xml:space="preserve"> </w:t>
      </w:r>
      <w:r>
        <w:rPr>
          <w:rFonts w:hint="eastAsia"/>
        </w:rPr>
        <w:t xml:space="preserve">士（退</w:t>
      </w:r>
      <w:r>
        <w:t xml:space="preserve"> </w:t>
      </w:r>
      <w:r>
        <w:rPr>
          <w:rFonts w:hint="eastAsia"/>
        </w:rPr>
        <w:t xml:space="preserve">任</w:t>
      </w:r>
      <w:r>
        <w:t xml:space="preserve"> </w:t>
      </w:r>
      <w:r>
        <w:rPr>
          <w:rFonts w:hint="eastAsia"/>
        </w:rPr>
        <w:t xml:space="preserve">董</w:t>
      </w:r>
      <w:r>
        <w:t xml:space="preserve"> </w:t>
      </w:r>
      <w:r>
        <w:rPr>
          <w:rFonts w:hint="eastAsia"/>
        </w:rPr>
        <w:t xml:space="preserve">事</w:t>
      </w:r>
      <w:r>
        <w:t xml:space="preserve"> </w:t>
      </w:r>
      <w:r>
        <w:rPr>
          <w:rFonts w:hint="eastAsia"/>
        </w:rPr>
        <w:t xml:space="preserve">本</w:t>
      </w:r>
      <w:r>
        <w:t xml:space="preserve"> </w:t>
      </w:r>
      <w:r>
        <w:rPr>
          <w:rFonts w:hint="eastAsia"/>
        </w:rPr>
        <w:t xml:space="preserve">人</w:t>
      </w:r>
      <w:r>
        <w:t xml:space="preserve"> </w:t>
      </w:r>
      <w:r>
        <w:rPr>
          <w:rFonts w:hint="eastAsia"/>
        </w:rPr>
        <w:t xml:space="preserve">除</w:t>
      </w:r>
      <w:r>
        <w:t xml:space="preserve"> </w:t>
      </w:r>
      <w:r>
        <w:rPr>
          <w:rFonts w:hint="eastAsia"/>
        </w:rPr>
        <w:t xml:space="preserve">外）於</w:t>
      </w:r>
      <w:r>
        <w:t xml:space="preserve"> </w:t>
      </w:r>
      <w:r>
        <w:rPr>
          <w:rFonts w:hint="eastAsia"/>
        </w:rPr>
        <w:t xml:space="preserve">本</w:t>
      </w:r>
      <w:r>
        <w:t xml:space="preserve"> </w:t>
      </w:r>
      <w:r>
        <w:rPr>
          <w:rFonts w:hint="eastAsia"/>
        </w:rPr>
        <w:t xml:space="preserve">公</w:t>
      </w:r>
      <w:r>
        <w:t xml:space="preserve"> </w:t>
      </w:r>
      <w:r>
        <w:rPr>
          <w:rFonts w:hint="eastAsia"/>
        </w:rPr>
        <w:t xml:space="preserve">司</w:t>
      </w:r>
      <w:r>
        <w:t xml:space="preserve"> </w:t>
      </w:r>
      <w:r>
        <w:rPr>
          <w:rFonts w:hint="eastAsia"/>
        </w:rPr>
        <w:t xml:space="preserve">股</w:t>
      </w:r>
      <w:r>
        <w:t xml:space="preserve"> </w:t>
      </w:r>
      <w:r>
        <w:rPr>
          <w:rFonts w:hint="eastAsia"/>
        </w:rPr>
        <w:t xml:space="preserve">東</w:t>
      </w:r>
      <w:r>
        <w:t xml:space="preserve"> </w:t>
      </w:r>
      <w:r>
        <w:rPr>
          <w:rFonts w:hint="eastAsia"/>
        </w:rPr>
        <w:t xml:space="preserve">大</w:t>
      </w:r>
      <w:r>
        <w:t xml:space="preserve"> </w:t>
      </w:r>
      <w:r>
        <w:rPr>
          <w:rFonts w:hint="eastAsia"/>
        </w:rPr>
        <w:t xml:space="preserve">會</w:t>
      </w:r>
      <w:r>
        <w:t xml:space="preserve"> </w:t>
      </w:r>
      <w:r>
        <w:rPr>
          <w:rFonts w:hint="eastAsia"/>
        </w:rPr>
        <w:t xml:space="preserve">上</w:t>
      </w:r>
      <w:r>
        <w:t xml:space="preserve"> </w:t>
      </w:r>
      <w:r>
        <w:rPr>
          <w:rFonts w:hint="eastAsia"/>
        </w:rPr>
        <w:t xml:space="preserve">選</w:t>
      </w:r>
      <w:r>
        <w:t xml:space="preserve"> </w:t>
      </w:r>
      <w:r>
        <w:rPr>
          <w:rFonts w:hint="eastAsia"/>
        </w:rPr>
        <w:t xml:space="preserve">任</w:t>
      </w:r>
      <w:r>
        <w:t xml:space="preserve"> </w:t>
      </w:r>
      <w:r>
        <w:rPr>
          <w:rFonts w:hint="eastAsia"/>
        </w:rPr>
        <w:t xml:space="preserve">為</w:t>
      </w:r>
      <w:r>
        <w:t xml:space="preserve"> </w:t>
      </w:r>
      <w:r>
        <w:rPr>
          <w:rFonts w:hint="eastAsia"/>
        </w:rPr>
        <w:t xml:space="preserve">董</w:t>
      </w:r>
      <w:r>
        <w:t xml:space="preserve"> </w:t>
      </w:r>
      <w:r>
        <w:rPr>
          <w:rFonts w:hint="eastAsia"/>
        </w:rPr>
        <w:t xml:space="preserve">事。</w:t>
      </w:r>
      <w:r>
        <w:t xml:space="preserve"> </w:t>
      </w:r>
      <w:r>
        <w:rPr>
          <w:rFonts w:hint="eastAsia"/>
        </w:rPr>
        <w:t xml:space="preserve">有</w:t>
      </w:r>
      <w:r>
        <w:t xml:space="preserve"> </w:t>
      </w:r>
      <w:r>
        <w:rPr>
          <w:rFonts w:hint="eastAsia"/>
        </w:rPr>
        <w:t xml:space="preserve">關</w:t>
      </w:r>
      <w:r>
        <w:t xml:space="preserve"> </w:t>
      </w:r>
      <w:r>
        <w:rPr>
          <w:rFonts w:hint="eastAsia"/>
        </w:rPr>
        <w:t xml:space="preserve">程</w:t>
      </w:r>
      <w:r>
        <w:t xml:space="preserve"> </w:t>
      </w:r>
      <w:r>
        <w:rPr>
          <w:rFonts w:hint="eastAsia"/>
        </w:rPr>
        <w:t xml:space="preserve">序</w:t>
      </w:r>
      <w:r>
        <w:t xml:space="preserve"> </w:t>
      </w:r>
      <w:r>
        <w:rPr>
          <w:rFonts w:hint="eastAsia"/>
        </w:rPr>
        <w:t xml:space="preserve">可</w:t>
      </w:r>
      <w:r>
        <w:t xml:space="preserve"> </w:t>
      </w:r>
      <w:r>
        <w:rPr>
          <w:rFonts w:hint="eastAsia"/>
        </w:rPr>
        <w:t xml:space="preserve">於</w:t>
      </w:r>
      <w:r>
        <w:t xml:space="preserve"> </w:t>
      </w:r>
      <w:r>
        <w:rPr>
          <w:rFonts w:hint="eastAsia"/>
        </w:rPr>
        <w:t xml:space="preserve">本</w:t>
      </w:r>
      <w:r>
        <w:t xml:space="preserve"> </w:t>
      </w:r>
      <w:r>
        <w:rPr>
          <w:rFonts w:hint="eastAsia"/>
        </w:rPr>
        <w:t xml:space="preserve">公</w:t>
      </w:r>
      <w:r>
        <w:t xml:space="preserve"> </w:t>
      </w:r>
      <w:r>
        <w:rPr>
          <w:rFonts w:hint="eastAsia"/>
        </w:rPr>
        <w:t xml:space="preserve">司</w:t>
      </w:r>
      <w:r>
        <w:t xml:space="preserve"> </w:t>
      </w:r>
      <w:r>
        <w:rPr>
          <w:rFonts w:hint="eastAsia"/>
        </w:rPr>
        <w:t xml:space="preserve">網</w:t>
      </w:r>
      <w:r>
        <w:t xml:space="preserve"> </w:t>
      </w:r>
      <w:r>
        <w:rPr>
          <w:rFonts w:hint="eastAsia"/>
        </w:rPr>
        <w:t xml:space="preserve">站</w:t>
      </w:r>
    </w:p>
    <w:p>
      <w:pPr>
        <w:pStyle w:val="BodyText"/>
      </w:pPr>
      <w:r>
        <w:rPr>
          <w:rFonts w:hint="eastAsia"/>
        </w:rPr>
        <w:t xml:space="preserve">www.aia.com閱覽。</w:t>
      </w:r>
    </w:p>
    <w:p>
      <w:pPr>
        <w:pStyle w:val="BodyText"/>
      </w:pPr>
      <w:r>
        <w:rPr>
          <w:rFonts w:hint="eastAsia"/>
        </w:rPr>
        <w:t xml:space="preserve">組織章程文件</w:t>
      </w:r>
    </w:p>
    <w:p>
      <w:pPr>
        <w:pStyle w:val="BodyText"/>
      </w:pPr>
      <w:r>
        <w:rPr>
          <w:rFonts w:hint="eastAsia"/>
        </w:rPr>
        <w:t xml:space="preserve">本公司組織章程細則（英文版本及中文版本）可於本公司及香港交易及結算所有限公司網站閱覽。於回顧年</w:t>
      </w:r>
    </w:p>
    <w:p>
      <w:pPr>
        <w:pStyle w:val="BodyText"/>
      </w:pPr>
      <w:r>
        <w:rPr>
          <w:rFonts w:hint="eastAsia"/>
        </w:rPr>
        <w:t xml:space="preserve">度內，本公司組織章程細則並無變動。</w:t>
      </w:r>
    </w:p>
    <w:p>
      <w:pPr>
        <w:pStyle w:val="BodyText"/>
      </w:pPr>
      <w:r>
        <w:rPr>
          <w:rFonts w:hint="eastAsia"/>
        </w:rPr>
        <w:t xml:space="preserve">承董事會命</w:t>
      </w:r>
    </w:p>
    <w:p>
      <w:pPr>
        <w:pStyle w:val="BodyText"/>
      </w:pPr>
      <w:r>
        <w:rPr>
          <w:rFonts w:hint="eastAsia"/>
        </w:rPr>
        <w:t xml:space="preserve">包婷婷</w:t>
      </w:r>
    </w:p>
    <w:p>
      <w:pPr>
        <w:pStyle w:val="BodyText"/>
      </w:pPr>
      <w:r>
        <w:rPr>
          <w:rFonts w:hint="eastAsia"/>
        </w:rPr>
        <w:t xml:space="preserve">公司秘書</w:t>
      </w:r>
    </w:p>
    <w:p>
      <w:pPr>
        <w:pStyle w:val="BodyText"/>
      </w:pPr>
      <w:r>
        <w:rPr>
          <w:rFonts w:hint="eastAsia"/>
        </w:rPr>
        <w:t xml:space="preserve">2021年3月12日</w:t>
      </w:r>
    </w:p>
    <w:p>
      <w:pPr>
        <w:pStyle w:val="BodyText"/>
      </w:pPr>
      <w:r>
        <w:t xml:space="preserve">109</w:t>
      </w:r>
    </w:p>
    <w:p>
      <w:pPr>
        <w:pStyle w:val="BodyText"/>
      </w:pPr>
      <w:r>
        <w:rPr>
          <w:rFonts w:hint="eastAsia"/>
        </w:rPr>
        <w:t xml:space="preserve">概覽財務及營運回顧企業管治其他資料財務報表2020年報</w:t>
      </w:r>
    </w:p>
    <w:p>
      <w:pPr>
        <w:pStyle w:val="BodyText"/>
      </w:pPr>
      <w:r>
        <w:rPr>
          <w:rFonts w:hint="eastAsia"/>
        </w:rPr>
        <w:t xml:space="preserve">薪酬報告</w:t>
      </w:r>
    </w:p>
    <w:p>
      <w:pPr>
        <w:pStyle w:val="BodyText"/>
      </w:pPr>
      <w:r>
        <w:rPr>
          <w:rFonts w:hint="eastAsia"/>
        </w:rPr>
        <w:t xml:space="preserve">薪酬委員會主席報告</w:t>
      </w:r>
    </w:p>
    <w:p>
      <w:pPr>
        <w:pStyle w:val="BodyText"/>
      </w:pPr>
      <w:r>
        <w:rPr>
          <w:rFonts w:hint="eastAsia"/>
        </w:rPr>
        <w:t xml:space="preserve">本人謹代表薪酬委員會發表截至2020年12月31日止年度的</w:t>
      </w:r>
    </w:p>
    <w:p>
      <w:pPr>
        <w:pStyle w:val="BodyText"/>
      </w:pPr>
      <w:r>
        <w:rPr>
          <w:rFonts w:hint="eastAsia"/>
        </w:rPr>
        <w:t xml:space="preserve">董事及主要管理人員薪酬報告。</w:t>
      </w:r>
    </w:p>
    <w:p>
      <w:pPr>
        <w:pStyle w:val="BodyText"/>
      </w:pPr>
      <w:r>
        <w:rPr>
          <w:rFonts w:hint="eastAsia"/>
        </w:rPr>
        <w:t xml:space="preserve">薪酬委員會的工作繼續專注於確保本集團的薪酬架構配合其體現價值及貫徹內部公平性的原則。符合表現指標的</w:t>
      </w:r>
    </w:p>
    <w:p>
      <w:pPr>
        <w:pStyle w:val="BodyText"/>
      </w:pPr>
      <w:r>
        <w:rPr>
          <w:rFonts w:hint="eastAsia"/>
        </w:rPr>
        <w:t xml:space="preserve">高級管理人員的薪酬架構設計與本集團的策略一致，使我們能夠認可高級管理人員鼓勵其良好行為表現。</w:t>
      </w:r>
    </w:p>
    <w:p>
      <w:pPr>
        <w:pStyle w:val="BodyText"/>
      </w:pPr>
      <w:r>
        <w:rPr>
          <w:rFonts w:hint="eastAsia"/>
        </w:rPr>
        <w:t xml:space="preserve">薪酬委員會繼續對本集團管理人員薪酬進行嚴謹的年度審核，並考慮監管環境、友邦保險的風險管理架構、市場</w:t>
      </w:r>
    </w:p>
    <w:p>
      <w:pPr>
        <w:pStyle w:val="BodyText"/>
      </w:pPr>
      <w:r>
        <w:rPr>
          <w:rFonts w:hint="eastAsia"/>
        </w:rPr>
        <w:t xml:space="preserve">慣例及持份者的利益。</w:t>
      </w:r>
    </w:p>
    <w:p>
      <w:pPr>
        <w:pStyle w:val="BodyText"/>
      </w:pPr>
      <w:r>
        <w:rPr>
          <w:rFonts w:hint="eastAsia"/>
        </w:rPr>
        <w:t xml:space="preserve">2020年期間，薪酬委員會與其獨立顧問合作，以審閱及評估2019冠狀病毒病大流行對全球保險業及我們的主要</w:t>
      </w:r>
    </w:p>
    <w:p>
      <w:pPr>
        <w:pStyle w:val="BodyText"/>
      </w:pPr>
      <w:r>
        <w:rPr>
          <w:rFonts w:hint="eastAsia"/>
        </w:rPr>
        <w:t xml:space="preserve">市場的薪酬趨勢的影響，並持續監察業內不斷發展的科技焦點等其他外界因素。</w:t>
      </w:r>
    </w:p>
    <w:p>
      <w:pPr>
        <w:pStyle w:val="BodyText"/>
      </w:pPr>
      <w:r>
        <w:rPr>
          <w:rFonts w:hint="eastAsia"/>
        </w:rPr>
        <w:t xml:space="preserve">薪酬委員會隨時緊貼香港保監局轄下香港市場的監管情況，以及友邦保險其他營運市場的規管發展，例如澳洲</w:t>
      </w:r>
    </w:p>
    <w:p>
      <w:pPr>
        <w:pStyle w:val="BodyText"/>
      </w:pPr>
      <w:r>
        <w:rPr>
          <w:rFonts w:hint="eastAsia"/>
        </w:rPr>
        <w:t xml:space="preserve">和中國內地。一如往年，薪酬委員會將與其獨立顧問合作，以監控和應對整個地區可能會影響友邦保險高級管理</w:t>
      </w:r>
    </w:p>
    <w:p>
      <w:pPr>
        <w:pStyle w:val="BodyText"/>
      </w:pPr>
      <w:r>
        <w:rPr>
          <w:rFonts w:hint="eastAsia"/>
        </w:rPr>
        <w:t xml:space="preserve">人員及主要管理人員薪酬的新規例。</w:t>
      </w:r>
    </w:p>
    <w:p>
      <w:pPr>
        <w:pStyle w:val="BodyText"/>
      </w:pPr>
      <w:r>
        <w:rPr>
          <w:rFonts w:hint="eastAsia"/>
        </w:rPr>
        <w:t xml:space="preserve">於2020年，本集團的股份掛鈎計劃已達到或即將達到其擬定的10年期限。於本年度的集團薪酬政策檢視中，薪酬</w:t>
      </w:r>
    </w:p>
    <w:p>
      <w:pPr>
        <w:pStyle w:val="BodyText"/>
      </w:pPr>
      <w:r>
        <w:rPr>
          <w:rFonts w:hint="eastAsia"/>
        </w:rPr>
        <w:t xml:space="preserve">委員會審議並批准了四項新股份掛鈎計劃以替代過期的計劃，各項計劃自其各自採納日期起計將有效期為10年。</w:t>
      </w:r>
    </w:p>
    <w:p>
      <w:pPr>
        <w:pStyle w:val="BodyText"/>
      </w:pPr>
      <w:r>
        <w:rPr>
          <w:rFonts w:hint="eastAsia"/>
        </w:rPr>
        <w:t xml:space="preserve">該四項計劃為：</w:t>
      </w:r>
    </w:p>
    <w:p>
      <w:pPr>
        <w:pStyle w:val="BodyText"/>
      </w:pPr>
      <w:r>
        <w:t xml:space="preserve">• </w:t>
      </w:r>
      <w:r>
        <w:rPr>
          <w:rFonts w:hint="eastAsia"/>
        </w:rPr>
        <w:t xml:space="preserve">受限制股份單位計劃（2020年受限制股份單位計劃）主要授出以業績表現為歸屬條件的多年遞延股份單位，</w:t>
      </w:r>
    </w:p>
    <w:p>
      <w:pPr>
        <w:pStyle w:val="BodyText"/>
      </w:pPr>
      <w:r>
        <w:rPr>
          <w:rFonts w:hint="eastAsia"/>
        </w:rPr>
        <w:t xml:space="preserve">使得高級管理人員及其他關鍵人才與股東的長期利益保持一致；</w:t>
      </w:r>
    </w:p>
    <w:p>
      <w:pPr>
        <w:pStyle w:val="BodyText"/>
      </w:pPr>
      <w:r>
        <w:t xml:space="preserve">• </w:t>
      </w:r>
      <w:r>
        <w:rPr>
          <w:rFonts w:hint="eastAsia"/>
        </w:rPr>
        <w:t xml:space="preserve">股東批准的購股權計劃（2020年購股權計劃）透過授出有效期為10年的購股權令高級管理人員專注於長期、</w:t>
      </w:r>
    </w:p>
    <w:p>
      <w:pPr>
        <w:pStyle w:val="BodyText"/>
      </w:pPr>
      <w:r>
        <w:rPr>
          <w:rFonts w:hint="eastAsia"/>
        </w:rPr>
        <w:t xml:space="preserve">可持續股東回報；</w:t>
      </w:r>
    </w:p>
    <w:p>
      <w:pPr>
        <w:pStyle w:val="BodyText"/>
      </w:pPr>
      <w:r>
        <w:t xml:space="preserve">• </w:t>
      </w:r>
      <w:r>
        <w:rPr>
          <w:rFonts w:hint="eastAsia"/>
        </w:rPr>
        <w:t xml:space="preserve">僱員購股計劃（2020年僱員購股計劃）允許僱員於每月預設限額內購買本公司股份，並向僱員在本集團持續</w:t>
      </w:r>
    </w:p>
    <w:p>
      <w:pPr>
        <w:pStyle w:val="BodyText"/>
      </w:pPr>
      <w:r>
        <w:rPr>
          <w:rFonts w:hint="eastAsia"/>
        </w:rPr>
        <w:t xml:space="preserve">任職三年時提供配送股份，以鼓勵其長期擁有本公司股份；及</w:t>
      </w:r>
    </w:p>
    <w:p>
      <w:pPr>
        <w:pStyle w:val="BodyText"/>
      </w:pPr>
      <w:r>
        <w:t xml:space="preserve">• </w:t>
      </w:r>
      <w:r>
        <w:rPr>
          <w:rFonts w:hint="eastAsia"/>
        </w:rPr>
        <w:t xml:space="preserve">代理購股計劃（2021年代理購股計劃）向表現極佳的代理人員及代理主管提供購買本公司股份的機會，以肯定</w:t>
      </w:r>
    </w:p>
    <w:p>
      <w:pPr>
        <w:pStyle w:val="BodyText"/>
      </w:pPr>
      <w:r>
        <w:rPr>
          <w:rFonts w:hint="eastAsia"/>
        </w:rPr>
        <w:t xml:space="preserve">其對本集團成功所作出的貢獻、挽留人才，及激勵未來銷售表現。</w:t>
      </w:r>
    </w:p>
    <w:p>
      <w:pPr>
        <w:pStyle w:val="BodyText"/>
      </w:pPr>
      <w:r>
        <w:t xml:space="preserve">110</w:t>
      </w:r>
    </w:p>
    <w:p>
      <w:pPr>
        <w:pStyle w:val="BodyText"/>
      </w:pPr>
      <w:r>
        <w:rPr>
          <w:rFonts w:hint="eastAsia"/>
        </w:rPr>
        <w:t xml:space="preserve">企業管治友邦保險控股有限公司</w:t>
      </w:r>
    </w:p>
    <w:p>
      <w:pPr>
        <w:pStyle w:val="BodyText"/>
      </w:pPr>
      <w:r>
        <w:rPr>
          <w:rFonts w:hint="eastAsia"/>
        </w:rPr>
        <w:t xml:space="preserve">新計劃取代了基本相似的先前計劃，且仍然符合相關法規、確保股東最佳利益、與市場最佳慣例保持一致，並將</w:t>
      </w:r>
    </w:p>
    <w:p>
      <w:pPr>
        <w:pStyle w:val="BodyText"/>
      </w:pPr>
      <w:r>
        <w:rPr>
          <w:rFonts w:hint="eastAsia"/>
        </w:rPr>
        <w:t xml:space="preserve">使我們繼續能夠持續吸引和調動關鍵人才，包括僱員和優秀代理人員。</w:t>
      </w:r>
    </w:p>
    <w:p>
      <w:pPr>
        <w:pStyle w:val="BodyText"/>
      </w:pPr>
      <w:r>
        <w:rPr>
          <w:rFonts w:hint="eastAsia"/>
        </w:rPr>
        <w:t xml:space="preserve">於2019年宣佈李源祥先生將接替Ng</w:t>
      </w:r>
      <w:r>
        <w:t xml:space="preserve"> Keng </w:t>
      </w:r>
      <w:r>
        <w:rPr>
          <w:rFonts w:hint="eastAsia"/>
        </w:rPr>
        <w:t xml:space="preserve">Hooi先生成為集團首席執行官兼總裁後，薪酬委員會亦審閱並隨後批</w:t>
      </w:r>
    </w:p>
    <w:p>
      <w:pPr>
        <w:pStyle w:val="BodyText"/>
      </w:pPr>
      <w:r>
        <w:rPr>
          <w:rFonts w:hint="eastAsia"/>
        </w:rPr>
        <w:t xml:space="preserve">准了向Ng</w:t>
      </w:r>
      <w:r>
        <w:t xml:space="preserve"> Keng </w:t>
      </w:r>
      <w:r>
        <w:rPr>
          <w:rFonts w:hint="eastAsia"/>
        </w:rPr>
        <w:t xml:space="preserve">Hooi先生於友邦保險擔任多個領導職位逾10年後所提供的退休條款及條件。</w:t>
      </w:r>
    </w:p>
    <w:p>
      <w:pPr>
        <w:pStyle w:val="BodyText"/>
      </w:pPr>
      <w:r>
        <w:rPr>
          <w:rFonts w:hint="eastAsia"/>
        </w:rPr>
        <w:t xml:space="preserve">高級管理人員的整體薪酬架構於2020年基本保持不變，並將於2021年繼續適用，同時薪酬委員會仍會持續改進</w:t>
      </w:r>
    </w:p>
    <w:p>
      <w:pPr>
        <w:pStyle w:val="BodyText"/>
      </w:pPr>
      <w:r>
        <w:rPr>
          <w:rFonts w:hint="eastAsia"/>
        </w:rPr>
        <w:t xml:space="preserve">以加強薪酬管治、鼓勵旨在創造可持續價值的行為及阻止涉入過度風險。為此，薪酬委員會於2020年批准了一項</w:t>
      </w:r>
    </w:p>
    <w:p>
      <w:pPr>
        <w:pStyle w:val="BodyText"/>
      </w:pPr>
      <w:r>
        <w:rPr>
          <w:rFonts w:hint="eastAsia"/>
        </w:rPr>
        <w:t xml:space="preserve">針對集團首席執行官兼總裁的股份持有政策，並更新了長期獎勵所附帶的扣減及撤回條文。</w:t>
      </w:r>
    </w:p>
    <w:p>
      <w:pPr>
        <w:pStyle w:val="BodyText"/>
      </w:pPr>
      <w:r>
        <w:rPr>
          <w:rFonts w:hint="eastAsia"/>
        </w:rPr>
        <w:t xml:space="preserve">一如往年，於2020年授出的薪酬總額，大部分以多年表現作為歸屬條件，從而確保我們管理人員的利益與長期</w:t>
      </w:r>
    </w:p>
    <w:p>
      <w:pPr>
        <w:pStyle w:val="BodyText"/>
      </w:pPr>
      <w:r>
        <w:rPr>
          <w:rFonts w:hint="eastAsia"/>
        </w:rPr>
        <w:t xml:space="preserve">持份者保持緊密一致。此外，我們於2020年期間就薪酬委員會的主要活動向董事會風險委員會作出年度簡報。</w:t>
      </w:r>
    </w:p>
    <w:p>
      <w:pPr>
        <w:pStyle w:val="BodyText"/>
      </w:pPr>
      <w:r>
        <w:rPr>
          <w:rFonts w:hint="eastAsia"/>
        </w:rPr>
        <w:t xml:space="preserve">總體而言，薪酬委員會認為本集團目前的薪酬架構及高級管理人員的個人薪酬安排符合並支持我們的策略。</w:t>
      </w:r>
    </w:p>
    <w:p>
      <w:pPr>
        <w:pStyle w:val="BodyText"/>
      </w:pPr>
      <w:r>
        <w:rPr>
          <w:rFonts w:hint="eastAsia"/>
        </w:rPr>
        <w:t xml:space="preserve">蘇澤光</w:t>
      </w:r>
    </w:p>
    <w:p>
      <w:pPr>
        <w:pStyle w:val="BodyText"/>
      </w:pPr>
      <w:r>
        <w:rPr>
          <w:rFonts w:hint="eastAsia"/>
        </w:rPr>
        <w:t xml:space="preserve">薪酬委員會主席</w:t>
      </w:r>
    </w:p>
    <w:p>
      <w:pPr>
        <w:pStyle w:val="BodyText"/>
      </w:pPr>
      <w:r>
        <w:rPr>
          <w:rFonts w:hint="eastAsia"/>
        </w:rPr>
        <w:t xml:space="preserve">2021年3月12日</w:t>
      </w:r>
    </w:p>
    <w:p>
      <w:pPr>
        <w:pStyle w:val="BodyText"/>
      </w:pPr>
      <w:r>
        <w:t xml:space="preserve">111</w:t>
      </w:r>
    </w:p>
    <w:p>
      <w:pPr>
        <w:pStyle w:val="BodyText"/>
      </w:pPr>
      <w:r>
        <w:rPr>
          <w:rFonts w:hint="eastAsia"/>
        </w:rPr>
        <w:t xml:space="preserve">概覽財務及營運回顧企業管治其他資料財務報表2020年報</w:t>
      </w:r>
    </w:p>
    <w:p>
      <w:pPr>
        <w:pStyle w:val="BodyText"/>
      </w:pPr>
      <w:r>
        <w:rPr>
          <w:rFonts w:hint="eastAsia"/>
        </w:rPr>
        <w:t xml:space="preserve">薪酬管治</w:t>
      </w:r>
    </w:p>
    <w:p>
      <w:pPr>
        <w:pStyle w:val="BodyText"/>
      </w:pPr>
      <w:r>
        <w:rPr>
          <w:rFonts w:hint="eastAsia"/>
        </w:rPr>
        <w:t xml:space="preserve">薪酬委員會的角色</w:t>
      </w:r>
    </w:p>
    <w:p>
      <w:pPr>
        <w:pStyle w:val="BodyText"/>
      </w:pPr>
      <w:r>
        <w:rPr>
          <w:rFonts w:hint="eastAsia"/>
        </w:rPr>
        <w:t xml:space="preserve">薪酬委員會負責釐定集團首席執行官兼總裁的僱傭條款及條件（包括薪酬）以及批准主要管理人員（按各自職位</w:t>
      </w:r>
    </w:p>
    <w:p>
      <w:pPr>
        <w:pStyle w:val="BodyText"/>
      </w:pPr>
      <w:r>
        <w:rPr>
          <w:rFonts w:hint="eastAsia"/>
        </w:rPr>
        <w:t xml:space="preserve">的性質及職責直接參與制定、執行、監控及匯報本集團整體業務策略的本集團執行委員會成員）的相關條款及</w:t>
      </w:r>
    </w:p>
    <w:p>
      <w:pPr>
        <w:pStyle w:val="BodyText"/>
      </w:pPr>
      <w:r>
        <w:rPr>
          <w:rFonts w:hint="eastAsia"/>
        </w:rPr>
        <w:t xml:space="preserve">條件。此外，薪酬委員會就主席及非執行董事的薪酬政策及架構向董事會提供建議。</w:t>
      </w:r>
    </w:p>
    <w:p>
      <w:pPr>
        <w:pStyle w:val="BodyText"/>
      </w:pPr>
      <w:r>
        <w:rPr>
          <w:rFonts w:hint="eastAsia"/>
        </w:rPr>
        <w:t xml:space="preserve">薪酬委員會以正規及具透明度的程序來制定薪酬政策及架構。於作出決定或提出建議時，薪酬委員會將考慮</w:t>
      </w:r>
    </w:p>
    <w:p>
      <w:pPr>
        <w:pStyle w:val="BodyText"/>
      </w:pPr>
      <w:r>
        <w:rPr>
          <w:rFonts w:hint="eastAsia"/>
        </w:rPr>
        <w:t xml:space="preserve">一系列因素，如集團首席執行官兼總裁及主要管理人員的職責、可資比較公司的薪酬水平、本集團內部的薪酬</w:t>
      </w:r>
    </w:p>
    <w:p>
      <w:pPr>
        <w:pStyle w:val="BodyText"/>
      </w:pPr>
      <w:r>
        <w:rPr>
          <w:rFonts w:hint="eastAsia"/>
        </w:rPr>
        <w:t xml:space="preserve">水平，以及與表現掛鈎的薪酬計劃的運用等。</w:t>
      </w:r>
    </w:p>
    <w:p>
      <w:pPr>
        <w:pStyle w:val="BodyText"/>
      </w:pPr>
      <w:r>
        <w:rPr>
          <w:rFonts w:hint="eastAsia"/>
        </w:rPr>
        <w:t xml:space="preserve">薪酬委員會亦監督本公司股票掛鈎及其他集團獎勵計劃的設計及運作，建議有關以股票為基礎的僱員獎勵事宜予</w:t>
      </w:r>
    </w:p>
    <w:p>
      <w:pPr>
        <w:pStyle w:val="BodyText"/>
      </w:pPr>
      <w:r>
        <w:rPr>
          <w:rFonts w:hint="eastAsia"/>
        </w:rPr>
        <w:t xml:space="preserve">董事會作審批，以及對該等計劃的條款進行審閱，並在需要時作出適當的修訂。</w:t>
      </w:r>
    </w:p>
    <w:p>
      <w:pPr>
        <w:pStyle w:val="BodyText"/>
      </w:pPr>
      <w:r>
        <w:rPr>
          <w:rFonts w:hint="eastAsia"/>
        </w:rPr>
        <w:t xml:space="preserve">薪酬委員會獲董事會授權履行其職權範圍所列的責任，亦獲授權向集團首席執行官兼總裁及</w:t>
      </w:r>
      <w:r>
        <w:t xml:space="preserve"> </w:t>
      </w:r>
      <w:r>
        <w:rPr>
          <w:rFonts w:hint="eastAsia"/>
        </w:rPr>
        <w:t xml:space="preserve">∕或主要管理人員</w:t>
      </w:r>
    </w:p>
    <w:p>
      <w:pPr>
        <w:pStyle w:val="BodyText"/>
      </w:pPr>
      <w:r>
        <w:rPr>
          <w:rFonts w:hint="eastAsia"/>
        </w:rPr>
        <w:t xml:space="preserve">查詢任何所需的薪酬資料，並可在有需要時諮詢外界的獨立專業意見。</w:t>
      </w:r>
    </w:p>
    <w:p>
      <w:pPr>
        <w:pStyle w:val="BodyText"/>
      </w:pPr>
      <w:r>
        <w:rPr>
          <w:rFonts w:hint="eastAsia"/>
        </w:rPr>
        <w:t xml:space="preserve">有關薪酬委員會職權範圍的詳情請瀏覽</w:t>
      </w:r>
      <w:r>
        <w:t xml:space="preserve"> www.aia.com。</w:t>
      </w:r>
    </w:p>
    <w:p>
      <w:pPr>
        <w:pStyle w:val="BodyText"/>
      </w:pPr>
      <w:r>
        <w:rPr>
          <w:rFonts w:hint="eastAsia"/>
        </w:rPr>
        <w:t xml:space="preserve">成員及會議</w:t>
      </w:r>
    </w:p>
    <w:p>
      <w:pPr>
        <w:pStyle w:val="BodyText"/>
      </w:pPr>
      <w:r>
        <w:rPr>
          <w:rFonts w:hint="eastAsia"/>
        </w:rPr>
        <w:t xml:space="preserve">於2020年12月31日，薪酬委員會由三名獨立非執行董事組成，分別為蘇澤光先生（薪酬委員會主席）、楊榮文</w:t>
      </w:r>
    </w:p>
    <w:p>
      <w:pPr>
        <w:pStyle w:val="BodyText"/>
      </w:pPr>
      <w:r>
        <w:rPr>
          <w:rFonts w:hint="eastAsia"/>
        </w:rPr>
        <w:t xml:space="preserve">先生以及謝仕榮先生。</w:t>
      </w:r>
    </w:p>
    <w:p>
      <w:pPr>
        <w:pStyle w:val="BodyText"/>
      </w:pPr>
      <w:r>
        <w:rPr>
          <w:rFonts w:hint="eastAsia"/>
        </w:rPr>
        <w:t xml:space="preserve">截至2020年12月31日止年度期間，薪酬委員會共舉行五次會議。個別薪酬委員會成員的出席記錄載於本年報</w:t>
      </w:r>
    </w:p>
    <w:p>
      <w:pPr>
        <w:pStyle w:val="BodyText"/>
      </w:pPr>
      <w:r>
        <w:rPr>
          <w:rFonts w:hint="eastAsia"/>
        </w:rPr>
        <w:t xml:space="preserve">第99頁。</w:t>
      </w:r>
    </w:p>
    <w:p>
      <w:pPr>
        <w:pStyle w:val="BodyText"/>
      </w:pPr>
      <w:r>
        <w:t xml:space="preserve">112</w:t>
      </w:r>
    </w:p>
    <w:p>
      <w:pPr>
        <w:pStyle w:val="BodyText"/>
      </w:pPr>
      <w:r>
        <w:rPr>
          <w:rFonts w:hint="eastAsia"/>
        </w:rPr>
        <w:t xml:space="preserve">企業管治友邦保險控股有限公司薪酬報告</w:t>
      </w:r>
    </w:p>
    <w:p>
      <w:pPr>
        <w:pStyle w:val="BodyText"/>
      </w:pPr>
      <w:r>
        <w:rPr>
          <w:rFonts w:hint="eastAsia"/>
        </w:rPr>
        <w:t xml:space="preserve">薪酬委員會的工作概要</w:t>
      </w:r>
    </w:p>
    <w:p>
      <w:pPr>
        <w:pStyle w:val="BodyText"/>
      </w:pPr>
      <w:r>
        <w:rPr>
          <w:rFonts w:hint="eastAsia"/>
        </w:rPr>
        <w:t xml:space="preserve">於2020年，薪酬委員會進行了以下主要工作。</w:t>
      </w:r>
    </w:p>
    <w:p>
      <w:pPr>
        <w:pStyle w:val="BodyText"/>
      </w:pPr>
      <w:r>
        <w:rPr>
          <w:rFonts w:hint="eastAsia"/>
        </w:rPr>
        <w:t xml:space="preserve">領域</w:t>
      </w:r>
    </w:p>
    <w:p>
      <w:pPr>
        <w:pStyle w:val="BodyText"/>
      </w:pPr>
      <w:r>
        <w:rPr>
          <w:rFonts w:hint="eastAsia"/>
        </w:rPr>
        <w:t xml:space="preserve">工作概要</w:t>
      </w:r>
    </w:p>
    <w:p>
      <w:pPr>
        <w:pStyle w:val="BodyText"/>
      </w:pPr>
      <w:r>
        <w:rPr>
          <w:rFonts w:hint="eastAsia"/>
        </w:rPr>
        <w:t xml:space="preserve">集團首席執行官兼總裁及</w:t>
      </w:r>
      <w:r>
        <w:br/>
      </w:r>
      <w:r>
        <w:rPr>
          <w:rFonts w:hint="eastAsia"/>
        </w:rPr>
        <w:t xml:space="preserve">主要管理人員的薪酬決策</w:t>
      </w:r>
    </w:p>
    <w:p>
      <w:pPr>
        <w:pStyle w:val="BodyText"/>
      </w:pPr>
      <w:r>
        <w:t xml:space="preserve">• </w:t>
      </w:r>
      <w:r>
        <w:rPr>
          <w:rFonts w:hint="eastAsia"/>
        </w:rPr>
        <w:t xml:space="preserve">審議及批准僱傭條款及條件，包括新任集團首席執行官兼總裁的薪酬以及於</w:t>
      </w:r>
    </w:p>
    <w:p>
      <w:pPr>
        <w:pStyle w:val="BodyText"/>
      </w:pPr>
      <w:r>
        <w:rPr>
          <w:rFonts w:hint="eastAsia"/>
        </w:rPr>
        <w:t xml:space="preserve">年初審議及批准主要管理人員的2020年薪酬</w:t>
      </w:r>
    </w:p>
    <w:p>
      <w:pPr>
        <w:pStyle w:val="BodyText"/>
      </w:pPr>
      <w:r>
        <w:t xml:space="preserve">• </w:t>
      </w:r>
      <w:r>
        <w:rPr>
          <w:rFonts w:hint="eastAsia"/>
        </w:rPr>
        <w:t xml:space="preserve">就集團首席執行官兼總裁的2020年長期獎勵提出建議，並獲董事會獨立非執行</w:t>
      </w:r>
    </w:p>
    <w:p>
      <w:pPr>
        <w:pStyle w:val="BodyText"/>
      </w:pPr>
      <w:r>
        <w:rPr>
          <w:rFonts w:hint="eastAsia"/>
        </w:rPr>
        <w:t xml:space="preserve">董事批准</w:t>
      </w:r>
    </w:p>
    <w:p>
      <w:pPr>
        <w:pStyle w:val="BodyText"/>
      </w:pPr>
      <w:r>
        <w:t xml:space="preserve">• </w:t>
      </w:r>
      <w:r>
        <w:rPr>
          <w:rFonts w:hint="eastAsia"/>
        </w:rPr>
        <w:t xml:space="preserve">審議及批准退任集團首席執行官兼總裁的2020年薪酬和退休條款及條件</w:t>
      </w:r>
    </w:p>
    <w:p>
      <w:pPr>
        <w:pStyle w:val="BodyText"/>
      </w:pPr>
      <w:r>
        <w:t xml:space="preserve">• </w:t>
      </w:r>
      <w:r>
        <w:rPr>
          <w:rFonts w:hint="eastAsia"/>
        </w:rPr>
        <w:t xml:space="preserve">於2020/21年度薪酬檢討週期前，檢視管理人員薪酬水準市場調查的結果</w:t>
      </w:r>
    </w:p>
    <w:p>
      <w:pPr>
        <w:pStyle w:val="BodyText"/>
      </w:pPr>
      <w:r>
        <w:rPr>
          <w:rFonts w:hint="eastAsia"/>
        </w:rPr>
        <w:t xml:space="preserve">本集團獎勵計劃的設計及運作</w:t>
      </w:r>
      <w:r>
        <w:t xml:space="preserve"> • </w:t>
      </w:r>
      <w:r>
        <w:rPr>
          <w:rFonts w:hint="eastAsia"/>
        </w:rPr>
        <w:t xml:space="preserve">審議及批准2019年短期獎勵計劃的支付金額及2017年長期獎勵內屬於集團首席</w:t>
      </w:r>
    </w:p>
    <w:p>
      <w:pPr>
        <w:pStyle w:val="BodyText"/>
      </w:pPr>
      <w:r>
        <w:rPr>
          <w:rFonts w:hint="eastAsia"/>
        </w:rPr>
        <w:t xml:space="preserve">執行官兼總裁、主要管理人員及所有其他計劃參與者的歸屬</w:t>
      </w:r>
    </w:p>
    <w:p>
      <w:pPr>
        <w:pStyle w:val="BodyText"/>
      </w:pPr>
      <w:r>
        <w:t xml:space="preserve">• </w:t>
      </w:r>
      <w:r>
        <w:rPr>
          <w:rFonts w:hint="eastAsia"/>
        </w:rPr>
        <w:t xml:space="preserve">審議及批准長期獎勵計劃項下的獎勵，包括2020年至2023年歸屬期的購股權</w:t>
      </w:r>
    </w:p>
    <w:p>
      <w:pPr>
        <w:pStyle w:val="BodyText"/>
      </w:pPr>
      <w:r>
        <w:rPr>
          <w:rFonts w:hint="eastAsia"/>
        </w:rPr>
        <w:t xml:space="preserve">獎勵及按表現歸屬的受限制股份單位獎勵</w:t>
      </w:r>
    </w:p>
    <w:p>
      <w:pPr>
        <w:pStyle w:val="BodyText"/>
      </w:pPr>
      <w:r>
        <w:t xml:space="preserve">• </w:t>
      </w:r>
      <w:r>
        <w:rPr>
          <w:rFonts w:hint="eastAsia"/>
        </w:rPr>
        <w:t xml:space="preserve">審議及批准2021年短期及長期獎勵計劃的表現指標及目標</w:t>
      </w:r>
    </w:p>
    <w:p>
      <w:pPr>
        <w:pStyle w:val="BodyText"/>
      </w:pPr>
      <w:r>
        <w:t xml:space="preserve">• </w:t>
      </w:r>
      <w:r>
        <w:rPr>
          <w:rFonts w:hint="eastAsia"/>
        </w:rPr>
        <w:t xml:space="preserve">更新及批准四項新股票掛鈎計劃以取代即將屆滿的計劃，確保與監管規定、</w:t>
      </w:r>
    </w:p>
    <w:p>
      <w:pPr>
        <w:pStyle w:val="BodyText"/>
      </w:pPr>
      <w:r>
        <w:rPr>
          <w:rFonts w:hint="eastAsia"/>
        </w:rPr>
        <w:t xml:space="preserve">市場慣例、友邦保險的業務策略及股東利益保持一致</w:t>
      </w:r>
    </w:p>
    <w:p>
      <w:pPr>
        <w:pStyle w:val="BodyText"/>
      </w:pPr>
      <w:r>
        <w:rPr>
          <w:rFonts w:hint="eastAsia"/>
        </w:rPr>
        <w:t xml:space="preserve">薪酬管治及披露</w:t>
      </w:r>
    </w:p>
    <w:p>
      <w:pPr>
        <w:pStyle w:val="BodyText"/>
      </w:pPr>
      <w:r>
        <w:t xml:space="preserve">• </w:t>
      </w:r>
      <w:r>
        <w:rPr>
          <w:rFonts w:hint="eastAsia"/>
        </w:rPr>
        <w:t xml:space="preserve">審閱及批准2019年薪酬報告</w:t>
      </w:r>
    </w:p>
    <w:p>
      <w:pPr>
        <w:pStyle w:val="BodyText"/>
      </w:pPr>
      <w:r>
        <w:t xml:space="preserve">• </w:t>
      </w:r>
      <w:r>
        <w:rPr>
          <w:rFonts w:hint="eastAsia"/>
        </w:rPr>
        <w:t xml:space="preserve">推出適用於集團首席執行官兼總裁的股份持有政策</w:t>
      </w:r>
    </w:p>
    <w:p>
      <w:pPr>
        <w:pStyle w:val="BodyText"/>
      </w:pPr>
      <w:r>
        <w:t xml:space="preserve">• </w:t>
      </w:r>
      <w:r>
        <w:rPr>
          <w:rFonts w:hint="eastAsia"/>
        </w:rPr>
        <w:t xml:space="preserve">強化長期獎勵計劃項下適用於所有計劃參與者的扣減及撤回規定</w:t>
      </w:r>
    </w:p>
    <w:p>
      <w:pPr>
        <w:pStyle w:val="BodyText"/>
      </w:pPr>
      <w:r>
        <w:t xml:space="preserve">• </w:t>
      </w:r>
      <w:r>
        <w:rPr>
          <w:rFonts w:hint="eastAsia"/>
        </w:rPr>
        <w:t xml:space="preserve">審閱本集團薪酬福利的安排及慣例，以確保與各持份者的利益一致及避免涉及</w:t>
      </w:r>
    </w:p>
    <w:p>
      <w:pPr>
        <w:pStyle w:val="BodyText"/>
      </w:pPr>
      <w:r>
        <w:rPr>
          <w:rFonts w:hint="eastAsia"/>
        </w:rPr>
        <w:t xml:space="preserve">過度風險，並向董事會的風險委員會提供該次審閱的概要</w:t>
      </w:r>
    </w:p>
    <w:p>
      <w:pPr>
        <w:pStyle w:val="BodyText"/>
      </w:pPr>
      <w:r>
        <w:t xml:space="preserve">• </w:t>
      </w:r>
      <w:r>
        <w:rPr>
          <w:rFonts w:hint="eastAsia"/>
        </w:rPr>
        <w:t xml:space="preserve">檢視影響香港、中國內地及澳洲等本集團主要市場的管理人員薪酬慣例及管治</w:t>
      </w:r>
    </w:p>
    <w:p>
      <w:pPr>
        <w:pStyle w:val="BodyText"/>
      </w:pPr>
      <w:r>
        <w:rPr>
          <w:rFonts w:hint="eastAsia"/>
        </w:rPr>
        <w:t xml:space="preserve">的監管及企業管治環境</w:t>
      </w:r>
    </w:p>
    <w:p>
      <w:pPr>
        <w:pStyle w:val="BodyText"/>
      </w:pPr>
      <w:r>
        <w:t xml:space="preserve">• </w:t>
      </w:r>
      <w:r>
        <w:rPr>
          <w:rFonts w:hint="eastAsia"/>
        </w:rPr>
        <w:t xml:space="preserve">檢視友邦保險的國際保險同業公司以及亞洲及其他地區的薪酬趨勢（尤其是在</w:t>
      </w:r>
    </w:p>
    <w:p>
      <w:pPr>
        <w:pStyle w:val="BodyText"/>
      </w:pPr>
      <w:r>
        <w:rPr>
          <w:rFonts w:hint="eastAsia"/>
        </w:rPr>
        <w:t xml:space="preserve">2019冠狀病毒病大流行的背景下）</w:t>
      </w:r>
    </w:p>
    <w:p>
      <w:pPr>
        <w:pStyle w:val="BodyText"/>
      </w:pPr>
      <w:r>
        <w:rPr>
          <w:rFonts w:hint="eastAsia"/>
        </w:rPr>
        <w:t xml:space="preserve">管理人員的薪酬政策</w:t>
      </w:r>
    </w:p>
    <w:p>
      <w:pPr>
        <w:pStyle w:val="BodyText"/>
      </w:pPr>
      <w:r>
        <w:rPr>
          <w:rFonts w:hint="eastAsia"/>
        </w:rPr>
        <w:t xml:space="preserve">管理人員薪酬政策的目的</w:t>
      </w:r>
    </w:p>
    <w:p>
      <w:pPr>
        <w:pStyle w:val="BodyText"/>
      </w:pPr>
      <w:r>
        <w:rPr>
          <w:rFonts w:hint="eastAsia"/>
        </w:rPr>
        <w:t xml:space="preserve">本公司的管理人員薪酬政策及慣例設計為提供公平、具激勵性及具有競爭力的薪酬，務求於穩健風險管理架構下</w:t>
      </w:r>
    </w:p>
    <w:p>
      <w:pPr>
        <w:pStyle w:val="BodyText"/>
      </w:pPr>
      <w:r>
        <w:rPr>
          <w:rFonts w:hint="eastAsia"/>
        </w:rPr>
        <w:t xml:space="preserve">推動以表現為本的文化。</w:t>
      </w:r>
    </w:p>
    <w:p>
      <w:pPr>
        <w:pStyle w:val="BodyText"/>
      </w:pPr>
      <w:r>
        <w:rPr>
          <w:rFonts w:hint="eastAsia"/>
        </w:rPr>
        <w:t xml:space="preserve">本政策旨在確保所有報酬（包括獎勵）直接與個人表現、其服務或負責的業務和職能、及本集團的整體業績表現</w:t>
      </w:r>
    </w:p>
    <w:p>
      <w:pPr>
        <w:pStyle w:val="BodyText"/>
      </w:pPr>
      <w:r>
        <w:rPr>
          <w:rFonts w:hint="eastAsia"/>
        </w:rPr>
        <w:t xml:space="preserve">相掛鈎。本政策下制定的薪酬及福利安排提供與本公司各持份者的利益相一致的獎勵，並且不鼓勵管理人員涉入</w:t>
      </w:r>
    </w:p>
    <w:p>
      <w:pPr>
        <w:pStyle w:val="BodyText"/>
      </w:pPr>
      <w:r>
        <w:rPr>
          <w:rFonts w:hint="eastAsia"/>
        </w:rPr>
        <w:t xml:space="preserve">可能危害本集團可持續性或長期價值的過度風險。</w:t>
      </w:r>
    </w:p>
    <w:p>
      <w:pPr>
        <w:pStyle w:val="BodyText"/>
      </w:pPr>
      <w:r>
        <w:t xml:space="preserve">113</w:t>
      </w:r>
    </w:p>
    <w:p>
      <w:pPr>
        <w:pStyle w:val="BodyText"/>
      </w:pPr>
      <w:r>
        <w:rPr>
          <w:rFonts w:hint="eastAsia"/>
        </w:rPr>
        <w:t xml:space="preserve">概覽財務及營運回顧企業管治其他資料財務報表2020年報</w:t>
      </w:r>
    </w:p>
    <w:p>
      <w:pPr>
        <w:pStyle w:val="BodyText"/>
      </w:pPr>
      <w:r>
        <w:rPr>
          <w:rFonts w:hint="eastAsia"/>
        </w:rPr>
        <w:t xml:space="preserve">管理人員薪酬政策的組成部分</w:t>
      </w:r>
    </w:p>
    <w:p>
      <w:pPr>
        <w:pStyle w:val="BodyText"/>
      </w:pPr>
      <w:r>
        <w:rPr>
          <w:rFonts w:hint="eastAsia"/>
        </w:rPr>
        <w:t xml:space="preserve">下表概述了截至2020年12月31日止，集團首席執行官兼總裁及主要管理人員的的薪酬組成部分，並於2021年</w:t>
      </w:r>
    </w:p>
    <w:p>
      <w:pPr>
        <w:pStyle w:val="BodyText"/>
      </w:pPr>
      <w:r>
        <w:rPr>
          <w:rFonts w:hint="eastAsia"/>
        </w:rPr>
        <w:t xml:space="preserve">繼續適用。</w:t>
      </w:r>
    </w:p>
    <w:p>
      <w:pPr>
        <w:pStyle w:val="BodyText"/>
      </w:pPr>
      <w:r>
        <w:rPr>
          <w:rFonts w:hint="eastAsia"/>
        </w:rPr>
        <w:t xml:space="preserve">組成部分</w:t>
      </w:r>
    </w:p>
    <w:p>
      <w:pPr>
        <w:pStyle w:val="BodyText"/>
      </w:pPr>
      <w:r>
        <w:rPr>
          <w:rFonts w:hint="eastAsia"/>
        </w:rPr>
        <w:t xml:space="preserve">基本薪金</w:t>
      </w:r>
    </w:p>
    <w:p>
      <w:pPr>
        <w:pStyle w:val="BodyText"/>
      </w:pPr>
      <w:r>
        <w:rPr>
          <w:rFonts w:hint="eastAsia"/>
        </w:rPr>
        <w:t xml:space="preserve">薪酬的固定現金部分，以招聘</w:t>
      </w:r>
      <w:r>
        <w:br/>
      </w:r>
      <w:r>
        <w:rPr>
          <w:rFonts w:hint="eastAsia"/>
        </w:rPr>
        <w:t xml:space="preserve">及挽留人才</w:t>
      </w:r>
    </w:p>
    <w:p>
      <w:pPr>
        <w:pStyle w:val="BodyText"/>
      </w:pPr>
      <w:r>
        <w:rPr>
          <w:rFonts w:hint="eastAsia"/>
        </w:rPr>
        <w:t xml:space="preserve">短期獎勵</w:t>
      </w:r>
    </w:p>
    <w:p>
      <w:pPr>
        <w:pStyle w:val="BodyText"/>
      </w:pPr>
      <w:r>
        <w:rPr>
          <w:rFonts w:hint="eastAsia"/>
        </w:rPr>
        <w:t xml:space="preserve">按表現酌情以現金形式支付，</w:t>
      </w:r>
      <w:r>
        <w:br/>
      </w:r>
      <w:r>
        <w:rPr>
          <w:rFonts w:hint="eastAsia"/>
        </w:rPr>
        <w:t xml:space="preserve">以激勵、肯定及獎勵達致</w:t>
      </w:r>
      <w:r>
        <w:br/>
      </w:r>
      <w:r>
        <w:rPr>
          <w:rFonts w:hint="eastAsia"/>
        </w:rPr>
        <w:t xml:space="preserve">本集團目標及個人的貢獻</w:t>
      </w:r>
    </w:p>
    <w:p>
      <w:pPr>
        <w:pStyle w:val="BodyText"/>
      </w:pPr>
      <w:r>
        <w:rPr>
          <w:rFonts w:hint="eastAsia"/>
        </w:rPr>
        <w:t xml:space="preserve">長期獎勵</w:t>
      </w:r>
    </w:p>
    <w:p>
      <w:pPr>
        <w:pStyle w:val="BodyText"/>
      </w:pPr>
      <w:r>
        <w:rPr>
          <w:rFonts w:hint="eastAsia"/>
        </w:rPr>
        <w:t xml:space="preserve">以受限制股份單位及購股權</w:t>
      </w:r>
      <w:r>
        <w:br/>
      </w:r>
      <w:r>
        <w:rPr>
          <w:rFonts w:hint="eastAsia"/>
        </w:rPr>
        <w:t xml:space="preserve">形式授出</w:t>
      </w:r>
    </w:p>
    <w:p>
      <w:pPr>
        <w:pStyle w:val="BodyText"/>
      </w:pPr>
      <w:r>
        <w:rPr>
          <w:rFonts w:hint="eastAsia"/>
        </w:rPr>
        <w:t xml:space="preserve">兩種獎勵方式旨在結合管理</w:t>
      </w:r>
      <w:r>
        <w:br/>
      </w:r>
      <w:r>
        <w:rPr>
          <w:rFonts w:hint="eastAsia"/>
        </w:rPr>
        <w:t xml:space="preserve">人員與股東的長期利益，</w:t>
      </w:r>
      <w:r>
        <w:br/>
      </w:r>
      <w:r>
        <w:rPr>
          <w:rFonts w:hint="eastAsia"/>
        </w:rPr>
        <w:t xml:space="preserve">及獎勵和激勵為本集團的成功</w:t>
      </w:r>
      <w:r>
        <w:br/>
      </w:r>
      <w:r>
        <w:rPr>
          <w:rFonts w:hint="eastAsia"/>
        </w:rPr>
        <w:t xml:space="preserve">作出重要貢獻或預計將在未來</w:t>
      </w:r>
      <w:r>
        <w:br/>
      </w:r>
      <w:r>
        <w:rPr>
          <w:rFonts w:hint="eastAsia"/>
        </w:rPr>
        <w:t xml:space="preserve">作出重要貢獻的參與者</w:t>
      </w:r>
    </w:p>
    <w:p>
      <w:pPr>
        <w:pStyle w:val="BodyText"/>
      </w:pPr>
      <w:r>
        <w:rPr>
          <w:rFonts w:hint="eastAsia"/>
        </w:rPr>
        <w:t xml:space="preserve">福利及津貼</w:t>
      </w:r>
    </w:p>
    <w:p>
      <w:pPr>
        <w:pStyle w:val="BodyText"/>
      </w:pPr>
      <w:r>
        <w:rPr>
          <w:rFonts w:hint="eastAsia"/>
        </w:rPr>
        <w:t xml:space="preserve">包括相關法規及</w:t>
      </w:r>
      <w:r>
        <w:t xml:space="preserve"> </w:t>
      </w:r>
      <w:r>
        <w:rPr>
          <w:rFonts w:hint="eastAsia"/>
        </w:rPr>
        <w:t xml:space="preserve">∕或當地市場</w:t>
      </w:r>
      <w:r>
        <w:br/>
      </w:r>
      <w:r>
        <w:rPr>
          <w:rFonts w:hint="eastAsia"/>
        </w:rPr>
        <w:t xml:space="preserve">慣例可能規定的福利及津貼，</w:t>
      </w:r>
      <w:r>
        <w:br/>
      </w:r>
      <w:r>
        <w:rPr>
          <w:rFonts w:hint="eastAsia"/>
        </w:rPr>
        <w:t xml:space="preserve">是總體薪酬價值的組成部份</w:t>
      </w:r>
    </w:p>
    <w:p>
      <w:pPr>
        <w:pStyle w:val="BodyText"/>
      </w:pPr>
      <w:r>
        <w:rPr>
          <w:rFonts w:hint="eastAsia"/>
        </w:rPr>
        <w:t xml:space="preserve">僱員購股計劃</w:t>
      </w:r>
    </w:p>
    <w:p>
      <w:pPr>
        <w:pStyle w:val="BodyText"/>
      </w:pPr>
      <w:r>
        <w:rPr>
          <w:rFonts w:hint="eastAsia"/>
        </w:rPr>
        <w:t xml:space="preserve">為僱員提供股份投資及獲得</w:t>
      </w:r>
      <w:r>
        <w:br/>
      </w:r>
      <w:r>
        <w:rPr>
          <w:rFonts w:hint="eastAsia"/>
        </w:rPr>
        <w:t xml:space="preserve">相應配送股份的機會，旨在</w:t>
      </w:r>
      <w:r>
        <w:br/>
      </w:r>
      <w:r>
        <w:rPr>
          <w:rFonts w:hint="eastAsia"/>
        </w:rPr>
        <w:t xml:space="preserve">促進及鼓勵持有友邦保險股份</w:t>
      </w:r>
    </w:p>
    <w:p>
      <w:pPr>
        <w:pStyle w:val="BodyText"/>
      </w:pPr>
      <w:r>
        <w:rPr>
          <w:rFonts w:hint="eastAsia"/>
        </w:rPr>
        <w:t xml:space="preserve">釐定基準</w:t>
      </w:r>
    </w:p>
    <w:p>
      <w:pPr>
        <w:pStyle w:val="BodyText"/>
      </w:pPr>
      <w:r>
        <w:rPr>
          <w:rFonts w:hint="eastAsia"/>
        </w:rPr>
        <w:t xml:space="preserve">慣例附註</w:t>
      </w:r>
    </w:p>
    <w:p>
      <w:pPr>
        <w:pStyle w:val="BodyText"/>
      </w:pPr>
      <w:r>
        <w:rPr>
          <w:rFonts w:hint="eastAsia"/>
        </w:rPr>
        <w:t xml:space="preserve">基本薪金乃根據職位的規模及</w:t>
      </w:r>
      <w:r>
        <w:br/>
      </w:r>
      <w:r>
        <w:rPr>
          <w:rFonts w:hint="eastAsia"/>
        </w:rPr>
        <w:t xml:space="preserve">性質、地理位置、範圍及相關個人</w:t>
      </w:r>
      <w:r>
        <w:br/>
      </w:r>
      <w:r>
        <w:rPr>
          <w:rFonts w:hint="eastAsia"/>
        </w:rPr>
        <w:t xml:space="preserve">經驗而釐定，同時亦考慮具競爭力</w:t>
      </w:r>
      <w:r>
        <w:br/>
      </w:r>
      <w:r>
        <w:rPr>
          <w:rFonts w:hint="eastAsia"/>
        </w:rPr>
        <w:t xml:space="preserve">的市場定位及內部股權，以吸引</w:t>
      </w:r>
      <w:r>
        <w:br/>
      </w:r>
      <w:r>
        <w:rPr>
          <w:rFonts w:hint="eastAsia"/>
        </w:rPr>
        <w:t xml:space="preserve">及挽留具備所需能力以達致集團</w:t>
      </w:r>
      <w:r>
        <w:br/>
      </w:r>
      <w:r>
        <w:rPr>
          <w:rFonts w:hint="eastAsia"/>
        </w:rPr>
        <w:t xml:space="preserve">業務目標的僱員</w:t>
      </w:r>
    </w:p>
    <w:p>
      <w:pPr>
        <w:pStyle w:val="BodyText"/>
      </w:pPr>
      <w:r>
        <w:rPr>
          <w:rFonts w:hint="eastAsia"/>
        </w:rPr>
        <w:t xml:space="preserve">薪酬委員會每年對照友邦保險的</w:t>
      </w:r>
      <w:r>
        <w:br/>
      </w:r>
      <w:r>
        <w:rPr>
          <w:rFonts w:hint="eastAsia"/>
        </w:rPr>
        <w:t xml:space="preserve">國際保險同業公司及廣泛市場水準</w:t>
      </w:r>
      <w:r>
        <w:br/>
      </w:r>
      <w:r>
        <w:rPr>
          <w:rFonts w:hint="eastAsia"/>
        </w:rPr>
        <w:t xml:space="preserve">檢討基本薪金</w:t>
      </w:r>
    </w:p>
    <w:p>
      <w:pPr>
        <w:pStyle w:val="BodyText"/>
      </w:pPr>
      <w:r>
        <w:rPr>
          <w:rFonts w:hint="eastAsia"/>
        </w:rPr>
        <w:t xml:space="preserve">基本薪金調整（如適用）一般於</w:t>
      </w:r>
      <w:r>
        <w:br/>
      </w:r>
      <w:r>
        <w:rPr>
          <w:rFonts w:hint="eastAsia"/>
        </w:rPr>
        <w:t xml:space="preserve">3月1日起生效</w:t>
      </w:r>
    </w:p>
    <w:p>
      <w:pPr>
        <w:pStyle w:val="BodyText"/>
      </w:pPr>
      <w:r>
        <w:rPr>
          <w:rFonts w:hint="eastAsia"/>
        </w:rPr>
        <w:t xml:space="preserve">短期獎勵的目標金額乃依據個人的</w:t>
      </w:r>
      <w:r>
        <w:br/>
      </w:r>
      <w:r>
        <w:rPr>
          <w:rFonts w:hint="eastAsia"/>
        </w:rPr>
        <w:t xml:space="preserve">職務及責任，以及可變及總體薪酬</w:t>
      </w:r>
      <w:r>
        <w:br/>
      </w:r>
      <w:r>
        <w:rPr>
          <w:rFonts w:hint="eastAsia"/>
        </w:rPr>
        <w:t xml:space="preserve">待遇的競爭力而釐定</w:t>
      </w:r>
    </w:p>
    <w:p>
      <w:pPr>
        <w:pStyle w:val="BodyText"/>
      </w:pPr>
      <w:r>
        <w:rPr>
          <w:rFonts w:hint="eastAsia"/>
        </w:rPr>
        <w:t xml:space="preserve">短期獎勵的支付金額乃基於本集團</w:t>
      </w:r>
      <w:r>
        <w:br/>
      </w:r>
      <w:r>
        <w:rPr>
          <w:rFonts w:hint="eastAsia"/>
        </w:rPr>
        <w:t xml:space="preserve">已制定的財務表現指標和個人的</w:t>
      </w:r>
      <w:r>
        <w:br/>
      </w:r>
      <w:r>
        <w:rPr>
          <w:rFonts w:hint="eastAsia"/>
        </w:rPr>
        <w:t xml:space="preserve">貢獻而定</w:t>
      </w:r>
    </w:p>
    <w:p>
      <w:pPr>
        <w:pStyle w:val="BodyText"/>
      </w:pPr>
      <w:r>
        <w:rPr>
          <w:rFonts w:hint="eastAsia"/>
        </w:rPr>
        <w:t xml:space="preserve">長期獎勵的授出價值乃依據個人</w:t>
      </w:r>
      <w:r>
        <w:br/>
      </w:r>
      <w:r>
        <w:rPr>
          <w:rFonts w:hint="eastAsia"/>
        </w:rPr>
        <w:t xml:space="preserve">的職務及責任、表現及潛力，</w:t>
      </w:r>
      <w:r>
        <w:br/>
      </w:r>
      <w:r>
        <w:rPr>
          <w:rFonts w:hint="eastAsia"/>
        </w:rPr>
        <w:t xml:space="preserve">以及可變及總體薪酬待遇的競爭力</w:t>
      </w:r>
      <w:r>
        <w:br/>
      </w:r>
      <w:r>
        <w:rPr>
          <w:rFonts w:hint="eastAsia"/>
        </w:rPr>
        <w:t xml:space="preserve">而釐定</w:t>
      </w:r>
    </w:p>
    <w:p>
      <w:pPr>
        <w:pStyle w:val="BodyText"/>
      </w:pPr>
      <w:r>
        <w:rPr>
          <w:rFonts w:hint="eastAsia"/>
        </w:rPr>
        <w:t xml:space="preserve">集團首席執行官兼總裁及主要管理</w:t>
      </w:r>
      <w:r>
        <w:br/>
      </w:r>
      <w:r>
        <w:rPr>
          <w:rFonts w:hint="eastAsia"/>
        </w:rPr>
        <w:t xml:space="preserve">人員薪酬的重要部份乃以長期獎勵</w:t>
      </w:r>
      <w:r>
        <w:br/>
      </w:r>
      <w:r>
        <w:rPr>
          <w:rFonts w:hint="eastAsia"/>
        </w:rPr>
        <w:t xml:space="preserve">提供</w:t>
      </w:r>
    </w:p>
    <w:p>
      <w:pPr>
        <w:pStyle w:val="BodyText"/>
      </w:pPr>
      <w:r>
        <w:rPr>
          <w:rFonts w:hint="eastAsia"/>
        </w:rPr>
        <w:t xml:space="preserve">長期獎勵乃酌情授出，並逐年釐定</w:t>
      </w:r>
      <w:r>
        <w:br/>
      </w:r>
      <w:r>
        <w:rPr>
          <w:rFonts w:hint="eastAsia"/>
        </w:rPr>
        <w:t xml:space="preserve">參與者</w:t>
      </w:r>
    </w:p>
    <w:p>
      <w:pPr>
        <w:pStyle w:val="BodyText"/>
      </w:pPr>
      <w:r>
        <w:rPr>
          <w:rFonts w:hint="eastAsia"/>
        </w:rPr>
        <w:t xml:space="preserve">獎勵乃以受限制股份單位及購股權</w:t>
      </w:r>
      <w:r>
        <w:br/>
      </w:r>
      <w:r>
        <w:rPr>
          <w:rFonts w:hint="eastAsia"/>
        </w:rPr>
        <w:t xml:space="preserve">形式授出，旨在於所有權和獎勵</w:t>
      </w:r>
      <w:r>
        <w:br/>
      </w:r>
      <w:r>
        <w:rPr>
          <w:rFonts w:hint="eastAsia"/>
        </w:rPr>
        <w:t xml:space="preserve">之間取得平衡，及獎勵管理人員的</w:t>
      </w:r>
      <w:r>
        <w:br/>
      </w:r>
      <w:r>
        <w:rPr>
          <w:rFonts w:hint="eastAsia"/>
        </w:rPr>
        <w:t xml:space="preserve">持續表現，通常於三年後歸屬</w:t>
      </w:r>
    </w:p>
    <w:p>
      <w:pPr>
        <w:pStyle w:val="BodyText"/>
      </w:pPr>
      <w:r>
        <w:rPr>
          <w:rFonts w:hint="eastAsia"/>
        </w:rPr>
        <w:t xml:space="preserve">受限制股份單位的歸屬須符合預設</w:t>
      </w:r>
      <w:r>
        <w:br/>
      </w:r>
      <w:r>
        <w:rPr>
          <w:rFonts w:hint="eastAsia"/>
        </w:rPr>
        <w:t xml:space="preserve">的表現要求</w:t>
      </w:r>
    </w:p>
    <w:p>
      <w:pPr>
        <w:pStyle w:val="BodyText"/>
      </w:pPr>
      <w:r>
        <w:rPr>
          <w:rFonts w:hint="eastAsia"/>
        </w:rPr>
        <w:t xml:space="preserve">福利計劃及津貼的設計確保整體</w:t>
      </w:r>
      <w:r>
        <w:br/>
      </w:r>
      <w:r>
        <w:rPr>
          <w:rFonts w:hint="eastAsia"/>
        </w:rPr>
        <w:t xml:space="preserve">報酬的市場競爭力並完全符合當地</w:t>
      </w:r>
      <w:r>
        <w:br/>
      </w:r>
      <w:r>
        <w:rPr>
          <w:rFonts w:hint="eastAsia"/>
        </w:rPr>
        <w:t xml:space="preserve">法規</w:t>
      </w:r>
    </w:p>
    <w:p>
      <w:pPr>
        <w:pStyle w:val="BodyText"/>
      </w:pPr>
      <w:r>
        <w:rPr>
          <w:rFonts w:hint="eastAsia"/>
        </w:rPr>
        <w:t xml:space="preserve">集團首席執行官兼總裁及主要管理</w:t>
      </w:r>
      <w:r>
        <w:br/>
      </w:r>
      <w:r>
        <w:rPr>
          <w:rFonts w:hint="eastAsia"/>
        </w:rPr>
        <w:t xml:space="preserve">人員參與退休計劃，並獲得醫療</w:t>
      </w:r>
      <w:r>
        <w:br/>
      </w:r>
      <w:r>
        <w:rPr>
          <w:rFonts w:hint="eastAsia"/>
        </w:rPr>
        <w:t xml:space="preserve">及人壽保險等福利利益</w:t>
      </w:r>
    </w:p>
    <w:p>
      <w:pPr>
        <w:pStyle w:val="BodyText"/>
      </w:pPr>
      <w:r>
        <w:rPr>
          <w:rFonts w:hint="eastAsia"/>
        </w:rPr>
        <w:t xml:space="preserve">除非地方法規禁止，已通過試用期</w:t>
      </w:r>
      <w:r>
        <w:br/>
      </w:r>
      <w:r>
        <w:rPr>
          <w:rFonts w:hint="eastAsia"/>
        </w:rPr>
        <w:t xml:space="preserve">的所有僱員均可參與僱員購股</w:t>
      </w:r>
      <w:r>
        <w:br/>
      </w:r>
      <w:r>
        <w:rPr>
          <w:rFonts w:hint="eastAsia"/>
        </w:rPr>
        <w:t xml:space="preserve">計劃，最高出資額為基本薪金的</w:t>
      </w:r>
      <w:r>
        <w:br/>
      </w:r>
      <w:r>
        <w:rPr>
          <w:rFonts w:hint="eastAsia"/>
        </w:rPr>
        <w:t xml:space="preserve">某一百分比或計劃的最高限額</w:t>
      </w:r>
    </w:p>
    <w:p>
      <w:pPr>
        <w:pStyle w:val="BodyText"/>
      </w:pPr>
      <w:r>
        <w:rPr>
          <w:rFonts w:hint="eastAsia"/>
        </w:rPr>
        <w:t xml:space="preserve">參與者可就在薪酬委員會所批准</w:t>
      </w:r>
      <w:r>
        <w:br/>
      </w:r>
      <w:r>
        <w:rPr>
          <w:rFonts w:hint="eastAsia"/>
        </w:rPr>
        <w:t xml:space="preserve">的投資限額內購買並持有三年</w:t>
      </w:r>
      <w:r>
        <w:br/>
      </w:r>
      <w:r>
        <w:rPr>
          <w:rFonts w:hint="eastAsia"/>
        </w:rPr>
        <w:t xml:space="preserve">的本公司股份獲得配送股份</w:t>
      </w:r>
    </w:p>
    <w:p>
      <w:pPr>
        <w:pStyle w:val="BodyText"/>
      </w:pPr>
      <w:r>
        <w:rPr>
          <w:rFonts w:hint="eastAsia"/>
        </w:rPr>
        <w:t xml:space="preserve">配送股份於三年後歸屬</w:t>
      </w:r>
    </w:p>
    <w:p>
      <w:pPr>
        <w:pStyle w:val="BodyText"/>
      </w:pPr>
      <w:r>
        <w:rPr>
          <w:rFonts w:hint="eastAsia"/>
        </w:rPr>
        <w:t xml:space="preserve">有關短期及長期獎勵運作以及僱員購股計劃的進一步詳情，請參閱以下頁面。</w:t>
      </w:r>
    </w:p>
    <w:p>
      <w:pPr>
        <w:pStyle w:val="BodyText"/>
      </w:pPr>
      <w:r>
        <w:t xml:space="preserve">114</w:t>
      </w:r>
    </w:p>
    <w:p>
      <w:pPr>
        <w:pStyle w:val="BodyText"/>
      </w:pPr>
      <w:r>
        <w:rPr>
          <w:rFonts w:hint="eastAsia"/>
        </w:rPr>
        <w:t xml:space="preserve">企業管治友邦保險控股有限公司薪酬報告</w:t>
      </w:r>
    </w:p>
    <w:p>
      <w:pPr>
        <w:pStyle w:val="BodyText"/>
      </w:pPr>
      <w:r>
        <w:rPr>
          <w:rFonts w:hint="eastAsia"/>
        </w:rPr>
        <w:t xml:space="preserve">浮動薪酬</w:t>
      </w:r>
    </w:p>
    <w:p>
      <w:pPr>
        <w:pStyle w:val="BodyText"/>
      </w:pPr>
      <w:r>
        <w:rPr>
          <w:rFonts w:hint="eastAsia"/>
        </w:rPr>
        <w:t xml:space="preserve">浮動薪酬旨在激勵僱員達成主要的短期及長期目標。視乎業務及個人表現業績，該等激勵可能導致高於或低於</w:t>
      </w:r>
    </w:p>
    <w:p>
      <w:pPr>
        <w:pStyle w:val="BodyText"/>
      </w:pPr>
      <w:r>
        <w:rPr>
          <w:rFonts w:hint="eastAsia"/>
        </w:rPr>
        <w:t xml:space="preserve">目標的回報，分別反映卓越表現及未如理想的表現。</w:t>
      </w:r>
    </w:p>
    <w:p>
      <w:pPr>
        <w:pStyle w:val="BodyText"/>
      </w:pPr>
      <w:r>
        <w:rPr>
          <w:rFonts w:hint="eastAsia"/>
        </w:rPr>
        <w:t xml:space="preserve">友邦保險的短期及長期獎勵計劃載述如下。</w:t>
      </w:r>
    </w:p>
    <w:p>
      <w:pPr>
        <w:pStyle w:val="BodyText"/>
      </w:pPr>
      <w:r>
        <w:rPr>
          <w:rFonts w:hint="eastAsia"/>
        </w:rPr>
        <w:t xml:space="preserve">短期獎勵計劃</w:t>
      </w:r>
    </w:p>
    <w:p>
      <w:pPr>
        <w:pStyle w:val="BodyText"/>
      </w:pPr>
      <w:r>
        <w:rPr>
          <w:rFonts w:hint="eastAsia"/>
        </w:rPr>
        <w:t xml:space="preserve">短期獎勵鼓勵僱員專注於達成年初制定的重要目標，與相關財政年度的財務、營運及個人表現掛鈎。</w:t>
      </w:r>
    </w:p>
    <w:p>
      <w:pPr>
        <w:pStyle w:val="BodyText"/>
      </w:pPr>
      <w:r>
        <w:rPr>
          <w:rFonts w:hint="eastAsia"/>
        </w:rPr>
        <w:t xml:space="preserve">2020年度的短期獎勵計劃的業績要求連同目標及最高獎勵金額已於截至2020年12月31日止財政年度初期由薪酬</w:t>
      </w:r>
    </w:p>
    <w:p>
      <w:pPr>
        <w:pStyle w:val="BodyText"/>
      </w:pPr>
      <w:r>
        <w:rPr>
          <w:rFonts w:hint="eastAsia"/>
        </w:rPr>
        <w:t xml:space="preserve">委員會釐定並傳達至集團首席執行官兼總裁及主要管理人員。</w:t>
      </w:r>
    </w:p>
    <w:p>
      <w:pPr>
        <w:pStyle w:val="BodyText"/>
      </w:pPr>
      <w:r>
        <w:rPr>
          <w:rFonts w:hint="eastAsia"/>
        </w:rPr>
        <w:t xml:space="preserve">表現指標及獎勵</w:t>
      </w:r>
    </w:p>
    <w:p>
      <w:pPr>
        <w:pStyle w:val="BodyText"/>
      </w:pPr>
      <w:r>
        <w:rPr>
          <w:rFonts w:hint="eastAsia"/>
        </w:rPr>
        <w:t xml:space="preserve">2020年短期獎勵計劃使用的表現指標載列如下：</w:t>
      </w:r>
    </w:p>
    <w:p>
      <w:pPr>
        <w:pStyle w:val="BodyText"/>
      </w:pPr>
      <w:r>
        <w:rPr>
          <w:rFonts w:hint="eastAsia"/>
        </w:rPr>
        <w:t xml:space="preserve">新業務價值</w:t>
      </w:r>
    </w:p>
    <w:p>
      <w:pPr>
        <w:pStyle w:val="BodyText"/>
      </w:pPr>
      <w:r>
        <w:rPr>
          <w:rFonts w:hint="eastAsia"/>
        </w:rPr>
        <w:t xml:space="preserve">產生的基本</w:t>
      </w:r>
      <w:r>
        <w:br/>
      </w:r>
      <w:r>
        <w:rPr>
          <w:rFonts w:hint="eastAsia"/>
        </w:rPr>
        <w:t xml:space="preserve">自由盈餘</w:t>
      </w:r>
    </w:p>
    <w:p>
      <w:pPr>
        <w:pStyle w:val="BodyText"/>
      </w:pPr>
      <w:r>
        <w:rPr>
          <w:rFonts w:hint="eastAsia"/>
        </w:rPr>
        <w:t xml:space="preserve">稅後營運溢利</w:t>
      </w:r>
    </w:p>
    <w:p>
      <w:pPr>
        <w:pStyle w:val="BodyText"/>
      </w:pPr>
      <w:r>
        <w:t xml:space="preserve">60%</w:t>
      </w:r>
      <w:r>
        <w:br/>
      </w:r>
      <w:r>
        <w:rPr>
          <w:rFonts w:hint="eastAsia"/>
        </w:rPr>
        <w:t xml:space="preserve">比重</w:t>
      </w:r>
    </w:p>
    <w:p>
      <w:pPr>
        <w:pStyle w:val="BodyText"/>
      </w:pPr>
      <w:r>
        <w:t xml:space="preserve">15%</w:t>
      </w:r>
      <w:r>
        <w:br/>
      </w:r>
      <w:r>
        <w:rPr>
          <w:rFonts w:hint="eastAsia"/>
        </w:rPr>
        <w:t xml:space="preserve">比重</w:t>
      </w:r>
    </w:p>
    <w:p>
      <w:pPr>
        <w:pStyle w:val="BodyText"/>
      </w:pPr>
      <w:r>
        <w:t xml:space="preserve">25%</w:t>
      </w:r>
      <w:r>
        <w:br/>
      </w:r>
      <w:r>
        <w:rPr>
          <w:rFonts w:hint="eastAsia"/>
        </w:rPr>
        <w:t xml:space="preserve">比重</w:t>
      </w:r>
    </w:p>
    <w:p>
      <w:pPr>
        <w:pStyle w:val="BodyText"/>
      </w:pPr>
      <w:r>
        <w:rPr>
          <w:rFonts w:hint="eastAsia"/>
        </w:rPr>
        <w:t xml:space="preserve">新業務價值為本公司所公佈一年銷售額的估計經濟價值</w:t>
      </w:r>
    </w:p>
    <w:p>
      <w:pPr>
        <w:pStyle w:val="BodyText"/>
      </w:pPr>
      <w:r>
        <w:rPr>
          <w:rFonts w:hint="eastAsia"/>
        </w:rPr>
        <w:t xml:space="preserve">產生的基本自由盈餘為業務產生的自由盈餘，但不包括投資新業務產生的</w:t>
      </w:r>
      <w:r>
        <w:br/>
      </w:r>
      <w:r>
        <w:rPr>
          <w:rFonts w:hint="eastAsia"/>
        </w:rPr>
        <w:t xml:space="preserve">自由盈餘、投資回報差異及其他項目自由盈餘</w:t>
      </w:r>
    </w:p>
    <w:p>
      <w:pPr>
        <w:pStyle w:val="BodyText"/>
      </w:pPr>
      <w:r>
        <w:rPr>
          <w:rFonts w:hint="eastAsia"/>
        </w:rPr>
        <w:t xml:space="preserve">稅後營運溢利為本公司根據國際財務報告準則業績計算而公佈的稅後營運</w:t>
      </w:r>
      <w:r>
        <w:br/>
      </w:r>
      <w:r>
        <w:rPr>
          <w:rFonts w:hint="eastAsia"/>
        </w:rPr>
        <w:t xml:space="preserve">溢利</w:t>
      </w:r>
    </w:p>
    <w:p>
      <w:pPr>
        <w:pStyle w:val="BodyText"/>
      </w:pPr>
      <w:r>
        <w:rPr>
          <w:rFonts w:hint="eastAsia"/>
        </w:rPr>
        <w:t xml:space="preserve">一如往年，釐定向集團首席執行官兼總裁及主要管理人員支付的金額時亦會考慮個人的表現及貢獻</w:t>
      </w:r>
    </w:p>
    <w:p>
      <w:pPr>
        <w:pStyle w:val="BodyText"/>
      </w:pPr>
      <w:r>
        <w:rPr>
          <w:rFonts w:hint="eastAsia"/>
        </w:rPr>
        <w:t xml:space="preserve">于截至2020年12月31日止年度，李源祥先生（集團首席執行官兼總裁）、Ng</w:t>
      </w:r>
      <w:r>
        <w:t xml:space="preserve"> Keng </w:t>
      </w:r>
      <w:r>
        <w:rPr>
          <w:rFonts w:hint="eastAsia"/>
        </w:rPr>
        <w:t xml:space="preserve">Hooi先生（已退任集團首席</w:t>
      </w:r>
    </w:p>
    <w:p>
      <w:pPr>
        <w:pStyle w:val="BodyText"/>
      </w:pPr>
      <w:r>
        <w:rPr>
          <w:rFonts w:hint="eastAsia"/>
        </w:rPr>
        <w:t xml:space="preserve">執行官兼總裁）以及主要管理人員即將獲支付的短期獎勵總價值為15,215,600美元。</w:t>
      </w:r>
    </w:p>
    <w:p>
      <w:pPr>
        <w:pStyle w:val="BodyText"/>
      </w:pPr>
      <w:r>
        <w:rPr>
          <w:rFonts w:hint="eastAsia"/>
        </w:rPr>
        <w:t xml:space="preserve">截至2020年12月31日止年度即將支付的短期獎勵金額於財務報表附註41內入賬，列作向李源祥先生及Ng</w:t>
      </w:r>
      <w:r>
        <w:t xml:space="preserve"> Keng</w:t>
      </w:r>
    </w:p>
    <w:p>
      <w:pPr>
        <w:pStyle w:val="BodyText"/>
      </w:pPr>
      <w:r>
        <w:rPr>
          <w:rFonts w:hint="eastAsia"/>
        </w:rPr>
        <w:t xml:space="preserve">Hooi先生支付的「花紅」及作為向主要管理人員支付的「薪金及其他短期僱員福利」的一部分。</w:t>
      </w:r>
    </w:p>
    <w:p>
      <w:pPr>
        <w:pStyle w:val="BodyText"/>
      </w:pPr>
      <w:r>
        <w:rPr>
          <w:rFonts w:hint="eastAsia"/>
        </w:rPr>
        <w:t xml:space="preserve">長期獎勵計劃</w:t>
      </w:r>
    </w:p>
    <w:p>
      <w:pPr>
        <w:pStyle w:val="BodyText"/>
      </w:pPr>
      <w:r>
        <w:rPr>
          <w:rFonts w:hint="eastAsia"/>
        </w:rPr>
        <w:t xml:space="preserve">友邦保險的長期獎勵計劃旨在挽留主要僱員，並在顧及經營業務的長期性質的同時，使多數高級人員的行為及</w:t>
      </w:r>
    </w:p>
    <w:p>
      <w:pPr>
        <w:pStyle w:val="BodyText"/>
      </w:pPr>
      <w:r>
        <w:rPr>
          <w:rFonts w:hint="eastAsia"/>
        </w:rPr>
        <w:t xml:space="preserve">薪酬與友邦保險及其持份者的主要利益一致。</w:t>
      </w:r>
    </w:p>
    <w:p>
      <w:pPr>
        <w:pStyle w:val="BodyText"/>
      </w:pPr>
      <w:r>
        <w:rPr>
          <w:rFonts w:hint="eastAsia"/>
        </w:rPr>
        <w:t xml:space="preserve">長期獎勵授予本集團中最高級職位的人員，這些人員對本集團的可持續財務業績和整體風險狀況有重大的影響。</w:t>
      </w:r>
    </w:p>
    <w:p>
      <w:pPr>
        <w:pStyle w:val="BodyText"/>
      </w:pPr>
      <w:r>
        <w:rPr>
          <w:rFonts w:hint="eastAsia"/>
        </w:rPr>
        <w:t xml:space="preserve">長期獎勵亦可考慮授予其他個人成員，如憑藉他們的技能和專長領域，在市場上具有競爭力的人士。</w:t>
      </w:r>
    </w:p>
    <w:p>
      <w:pPr>
        <w:pStyle w:val="BodyText"/>
      </w:pPr>
      <w:r>
        <w:t xml:space="preserve">115</w:t>
      </w:r>
    </w:p>
    <w:p>
      <w:pPr>
        <w:pStyle w:val="BodyText"/>
      </w:pPr>
      <w:r>
        <w:rPr>
          <w:rFonts w:hint="eastAsia"/>
        </w:rPr>
        <w:t xml:space="preserve">概覽財務及營運回顧企業管治其他資料財務報表2020年報</w:t>
      </w:r>
    </w:p>
    <w:p>
      <w:pPr>
        <w:pStyle w:val="BodyText"/>
      </w:pPr>
      <w:r>
        <w:rPr>
          <w:rFonts w:hint="eastAsia"/>
        </w:rPr>
        <w:t xml:space="preserve">長期獎勵乃酌情授出，並根據個人的整體浮動薪酬、總體薪酬的競爭力、職務及責任，以及表現和潛力逐年</w:t>
      </w:r>
    </w:p>
    <w:p>
      <w:pPr>
        <w:pStyle w:val="BodyText"/>
      </w:pPr>
      <w:r>
        <w:rPr>
          <w:rFonts w:hint="eastAsia"/>
        </w:rPr>
        <w:t xml:space="preserve">釐定。</w:t>
      </w:r>
    </w:p>
    <w:p>
      <w:pPr>
        <w:pStyle w:val="BodyText"/>
      </w:pPr>
      <w:r>
        <w:rPr>
          <w:rFonts w:hint="eastAsia"/>
        </w:rPr>
        <w:t xml:space="preserve">長期獎勵計劃以按表現歸屬的受限制股份單位及按時間歸屬的購股權形式授出，在獎勵和所有權之間取得平衡。</w:t>
      </w:r>
    </w:p>
    <w:p>
      <w:pPr>
        <w:pStyle w:val="BodyText"/>
      </w:pPr>
      <w:r>
        <w:rPr>
          <w:rFonts w:hint="eastAsia"/>
        </w:rPr>
        <w:t xml:space="preserve">獎勵一般於三年後歸屬，而受限制股份單位於表現目標達成時歸屬。一如其他薪酬支出，長期獎勵的歸屬須取得</w:t>
      </w:r>
    </w:p>
    <w:p>
      <w:pPr>
        <w:pStyle w:val="BodyText"/>
      </w:pPr>
      <w:r>
        <w:rPr>
          <w:rFonts w:hint="eastAsia"/>
        </w:rPr>
        <w:t xml:space="preserve">薪酬委員會批准，且長期獎勵計劃經定期檢討以確保其設計、流程、架構及管治相輔相成，在風險與獎勵之間</w:t>
      </w:r>
    </w:p>
    <w:p>
      <w:pPr>
        <w:pStyle w:val="BodyText"/>
      </w:pPr>
      <w:r>
        <w:rPr>
          <w:rFonts w:hint="eastAsia"/>
        </w:rPr>
        <w:t xml:space="preserve">取得平衡。</w:t>
      </w:r>
    </w:p>
    <w:p>
      <w:pPr>
        <w:pStyle w:val="BodyText"/>
      </w:pPr>
      <w:r>
        <w:rPr>
          <w:rFonts w:hint="eastAsia"/>
        </w:rPr>
        <w:t xml:space="preserve">2010年受限制股份單位計劃及2010年購股權計劃均於2010年</w:t>
      </w:r>
      <w:r>
        <w:t xml:space="preserve"> </w:t>
      </w:r>
      <w:r>
        <w:rPr>
          <w:rFonts w:hint="eastAsia"/>
        </w:rPr>
        <w:t xml:space="preserve">9月28日獲本公司採納，自採納日起有效期為10年。</w:t>
      </w:r>
    </w:p>
    <w:p>
      <w:pPr>
        <w:pStyle w:val="BodyText"/>
      </w:pPr>
      <w:r>
        <w:rPr>
          <w:rFonts w:hint="eastAsia"/>
        </w:rPr>
        <w:t xml:space="preserve">本公司於2020年8月1日採納與2010年受限制股份單位計劃條款基本相同的2020年受限制股份單位計劃，以取代</w:t>
      </w:r>
    </w:p>
    <w:p>
      <w:pPr>
        <w:pStyle w:val="BodyText"/>
      </w:pPr>
      <w:r>
        <w:rPr>
          <w:rFonts w:hint="eastAsia"/>
        </w:rPr>
        <w:t xml:space="preserve">2010年受限制股份單位計劃。2020年受限制股份單位計劃自採納日起有效期為10年。</w:t>
      </w:r>
    </w:p>
    <w:p>
      <w:pPr>
        <w:pStyle w:val="BodyText"/>
      </w:pPr>
      <w:r>
        <w:rPr>
          <w:rFonts w:hint="eastAsia"/>
        </w:rPr>
        <w:t xml:space="preserve">由於2010年購股權計劃於2020年到期，本公司在於2020年5月29日舉行的股東週年大會上就終止2010年購股權</w:t>
      </w:r>
    </w:p>
    <w:p>
      <w:pPr>
        <w:pStyle w:val="BodyText"/>
      </w:pPr>
      <w:r>
        <w:rPr>
          <w:rFonts w:hint="eastAsia"/>
        </w:rPr>
        <w:t xml:space="preserve">計劃及採納2020年購股權計劃尋求並獲得其股東批准，終止及採納均於2020年5月29日完成。2020年購股權計劃</w:t>
      </w:r>
    </w:p>
    <w:p>
      <w:pPr>
        <w:pStyle w:val="BodyText"/>
      </w:pPr>
      <w:r>
        <w:rPr>
          <w:rFonts w:hint="eastAsia"/>
        </w:rPr>
        <w:t xml:space="preserve">亦由採納日期起10年有效。</w:t>
      </w:r>
    </w:p>
    <w:p>
      <w:pPr>
        <w:pStyle w:val="BodyText"/>
      </w:pPr>
      <w:r>
        <w:rPr>
          <w:rFonts w:hint="eastAsia"/>
        </w:rPr>
        <w:t xml:space="preserve">2010年受限制股份單位計劃、2020年受限制股份單位計劃（統稱受限制股份單位計劃）、2010年購股權計劃及</w:t>
      </w:r>
    </w:p>
    <w:p>
      <w:pPr>
        <w:pStyle w:val="BodyText"/>
      </w:pPr>
      <w:r>
        <w:rPr>
          <w:rFonts w:hint="eastAsia"/>
        </w:rPr>
        <w:t xml:space="preserve">2020年購股權計劃（統稱購股權計劃）的概要載於本節下文及財務報表附註40。</w:t>
      </w:r>
    </w:p>
    <w:p>
      <w:pPr>
        <w:pStyle w:val="BodyText"/>
      </w:pPr>
      <w:r>
        <w:rPr>
          <w:rFonts w:hint="eastAsia"/>
        </w:rPr>
        <w:t xml:space="preserve">受限制股份單位計劃</w:t>
      </w:r>
    </w:p>
    <w:p>
      <w:pPr>
        <w:pStyle w:val="BodyText"/>
      </w:pPr>
      <w:r>
        <w:rPr>
          <w:rFonts w:hint="eastAsia"/>
        </w:rPr>
        <w:t xml:space="preserve">受限制股份單位計劃旨在通過於達到嚴格的表現條件時授予參與者本公司股份以使計劃參與者與本公司股東的</w:t>
      </w:r>
    </w:p>
    <w:p>
      <w:pPr>
        <w:pStyle w:val="BodyText"/>
      </w:pPr>
      <w:r>
        <w:rPr>
          <w:rFonts w:hint="eastAsia"/>
        </w:rPr>
        <w:t xml:space="preserve">利益一致，並鼓勵計劃參與者創造可持續價值。</w:t>
      </w:r>
    </w:p>
    <w:p>
      <w:pPr>
        <w:pStyle w:val="BodyText"/>
      </w:pPr>
      <w:r>
        <w:rPr>
          <w:rFonts w:hint="eastAsia"/>
        </w:rPr>
        <w:t xml:space="preserve">根據受限制股份單位計劃，本公司可向本公司及任何附屬公司的僱員、董事（不包括獨立非執行董事）或主管</w:t>
      </w:r>
    </w:p>
    <w:p>
      <w:pPr>
        <w:pStyle w:val="BodyText"/>
      </w:pPr>
      <w:r>
        <w:rPr>
          <w:rFonts w:hint="eastAsia"/>
        </w:rPr>
        <w:t xml:space="preserve">授予受限制股份單位。2010年受限制股份單位計劃繼續具有十足效力並維持在其終止之前已授出的受限制股份</w:t>
      </w:r>
    </w:p>
    <w:p>
      <w:pPr>
        <w:pStyle w:val="BodyText"/>
      </w:pPr>
      <w:r>
        <w:rPr>
          <w:rFonts w:hint="eastAsia"/>
        </w:rPr>
        <w:t xml:space="preserve">單位持續有效，但不得再根據2010年受限制股份單位計劃授出受限制股份單位。</w:t>
      </w:r>
    </w:p>
    <w:p>
      <w:pPr>
        <w:pStyle w:val="BodyText"/>
      </w:pPr>
      <w:r>
        <w:rPr>
          <w:rFonts w:hint="eastAsia"/>
        </w:rPr>
        <w:t xml:space="preserve">於截至2020年12月31日止年度內，本公司根據2010年受限制股份單位計劃共授出13,451,940個受限制股份單位。</w:t>
      </w:r>
    </w:p>
    <w:p>
      <w:pPr>
        <w:pStyle w:val="BodyText"/>
      </w:pPr>
      <w:r>
        <w:rPr>
          <w:rFonts w:hint="eastAsia"/>
        </w:rPr>
        <w:t xml:space="preserve">自2010年9月28日採納2010年受限制股份單位計劃起直至2020年12月31日，2010年受限制股份單位計劃下累計共</w:t>
      </w:r>
    </w:p>
    <w:p>
      <w:pPr>
        <w:pStyle w:val="BodyText"/>
      </w:pPr>
      <w:r>
        <w:rPr>
          <w:rFonts w:hint="eastAsia"/>
        </w:rPr>
        <w:t xml:space="preserve">歸屬99,780,673個受限制股份單位，相當於本公司上市日發行股份約0.828%。自採納2010年受限制股份單位計劃</w:t>
      </w:r>
    </w:p>
    <w:p>
      <w:pPr>
        <w:pStyle w:val="BodyText"/>
      </w:pPr>
      <w:r>
        <w:rPr>
          <w:rFonts w:hint="eastAsia"/>
        </w:rPr>
        <w:t xml:space="preserve">起，本公司並無據其發行任何新股份。</w:t>
      </w:r>
    </w:p>
    <w:p>
      <w:pPr>
        <w:pStyle w:val="BodyText"/>
      </w:pPr>
      <w:r>
        <w:rPr>
          <w:rFonts w:hint="eastAsia"/>
        </w:rPr>
        <w:t xml:space="preserve">自採納2020年受限制股份單位計劃起直至2020年</w:t>
      </w:r>
      <w:r>
        <w:t xml:space="preserve"> </w:t>
      </w:r>
      <w:r>
        <w:rPr>
          <w:rFonts w:hint="eastAsia"/>
        </w:rPr>
        <w:t xml:space="preserve">12月31日，本公司並無據其授出任何受限制股份單位。</w:t>
      </w:r>
    </w:p>
    <w:p>
      <w:pPr>
        <w:pStyle w:val="BodyText"/>
      </w:pPr>
      <w:r>
        <w:t xml:space="preserve">116</w:t>
      </w:r>
    </w:p>
    <w:p>
      <w:pPr>
        <w:pStyle w:val="BodyText"/>
      </w:pPr>
      <w:r>
        <w:rPr>
          <w:rFonts w:hint="eastAsia"/>
        </w:rPr>
        <w:t xml:space="preserve">企業管治友邦保險控股有限公司薪酬報告</w:t>
      </w:r>
    </w:p>
    <w:p>
      <w:pPr>
        <w:pStyle w:val="BodyText"/>
      </w:pPr>
      <w:r>
        <w:rPr>
          <w:rFonts w:hint="eastAsia"/>
        </w:rPr>
        <w:t xml:space="preserve">2020年授出的受限制股份單位</w:t>
      </w:r>
    </w:p>
    <w:p>
      <w:pPr>
        <w:pStyle w:val="BodyText"/>
      </w:pPr>
      <w:r>
        <w:rPr>
          <w:rFonts w:hint="eastAsia"/>
        </w:rPr>
        <w:t xml:space="preserve">一如往年，2020年與表現掛鈎的受限制股份單位獎勵的歸屬將受服務年限要求並取決於下列三項表現指標的三年</w:t>
      </w:r>
    </w:p>
    <w:p>
      <w:pPr>
        <w:pStyle w:val="BodyText"/>
      </w:pPr>
      <w:r>
        <w:rPr>
          <w:rFonts w:hint="eastAsia"/>
        </w:rPr>
        <w:t xml:space="preserve">目標達成程度：</w:t>
      </w:r>
    </w:p>
    <w:p>
      <w:pPr>
        <w:pStyle w:val="BodyText"/>
      </w:pPr>
      <w:r>
        <w:rPr>
          <w:rFonts w:hint="eastAsia"/>
        </w:rPr>
        <w:t xml:space="preserve">新業務價值</w:t>
      </w:r>
    </w:p>
    <w:p>
      <w:pPr>
        <w:pStyle w:val="BodyText"/>
      </w:pPr>
      <w:r>
        <w:rPr>
          <w:rFonts w:hint="eastAsia"/>
        </w:rPr>
        <w:t xml:space="preserve">內涵價值權益</w:t>
      </w:r>
    </w:p>
    <w:p>
      <w:pPr>
        <w:pStyle w:val="BodyText"/>
      </w:pPr>
      <w:r>
        <w:rPr>
          <w:rFonts w:hint="eastAsia"/>
        </w:rPr>
        <w:t xml:space="preserve">股東總回報</w:t>
      </w:r>
    </w:p>
    <w:p>
      <w:pPr>
        <w:pStyle w:val="BodyText"/>
      </w:pPr>
      <w:r>
        <w:t xml:space="preserve">1/3</w:t>
      </w:r>
      <w:r>
        <w:br/>
      </w:r>
      <w:r>
        <w:rPr>
          <w:rFonts w:hint="eastAsia"/>
        </w:rPr>
        <w:t xml:space="preserve">比重</w:t>
      </w:r>
    </w:p>
    <w:p>
      <w:pPr>
        <w:pStyle w:val="BodyText"/>
      </w:pPr>
      <w:r>
        <w:t xml:space="preserve">1/3</w:t>
      </w:r>
      <w:r>
        <w:br/>
      </w:r>
      <w:r>
        <w:rPr>
          <w:rFonts w:hint="eastAsia"/>
        </w:rPr>
        <w:t xml:space="preserve">比重</w:t>
      </w:r>
    </w:p>
    <w:p>
      <w:pPr>
        <w:pStyle w:val="BodyText"/>
      </w:pPr>
      <w:r>
        <w:t xml:space="preserve">1/3</w:t>
      </w:r>
      <w:r>
        <w:br/>
      </w:r>
      <w:r>
        <w:rPr>
          <w:rFonts w:hint="eastAsia"/>
        </w:rPr>
        <w:t xml:space="preserve">比重</w:t>
      </w:r>
    </w:p>
    <w:p>
      <w:pPr>
        <w:pStyle w:val="BodyText"/>
      </w:pPr>
      <w:r>
        <w:rPr>
          <w:rFonts w:hint="eastAsia"/>
        </w:rPr>
        <w:t xml:space="preserve">新業務價值為本公司所公佈一年銷售額的估計經濟價值</w:t>
      </w:r>
    </w:p>
    <w:p>
      <w:pPr>
        <w:pStyle w:val="BodyText"/>
      </w:pPr>
      <w:r>
        <w:rPr>
          <w:rFonts w:hint="eastAsia"/>
        </w:rPr>
        <w:t xml:space="preserve">按內涵價值基準本公司股東應佔權益（內涵價值權益）為本公司所公佈內涵價</w:t>
      </w:r>
      <w:r>
        <w:br/>
      </w:r>
      <w:r>
        <w:rPr>
          <w:rFonts w:hint="eastAsia"/>
        </w:rPr>
        <w:t xml:space="preserve">值、商譽及其他無形資產的總和。內涵價值為有效壽險業務的估計經濟價值，</w:t>
      </w:r>
      <w:r>
        <w:br/>
      </w:r>
      <w:r>
        <w:rPr>
          <w:rFonts w:hint="eastAsia"/>
        </w:rPr>
        <w:t xml:space="preserve">包括本集團資產負債表的淨值，但不包括未來新業務應佔的任何經濟價值</w:t>
      </w:r>
    </w:p>
    <w:p>
      <w:pPr>
        <w:pStyle w:val="BodyText"/>
      </w:pPr>
      <w:r>
        <w:rPr>
          <w:rFonts w:hint="eastAsia"/>
        </w:rPr>
        <w:t xml:space="preserve">相對股東總回報（股東總回報）為股份於表現期間內的複合年度回報，包括</w:t>
      </w:r>
      <w:r>
        <w:br/>
      </w:r>
      <w:r>
        <w:rPr>
          <w:rFonts w:hint="eastAsia"/>
        </w:rPr>
        <w:t xml:space="preserve">該期間股價變動及所收取（及再投資）股息總值。此指標以友邦保險與</w:t>
      </w:r>
      <w:r>
        <w:br/>
      </w:r>
      <w:r>
        <w:rPr>
          <w:rFonts w:hint="eastAsia"/>
        </w:rPr>
        <w:t xml:space="preserve">各同業公司*於表現期內股東總回報進行比較</w:t>
      </w:r>
    </w:p>
    <w:p>
      <w:pPr>
        <w:pStyle w:val="Compact"/>
        <w:numPr>
          <w:ilvl w:val="0"/>
          <w:numId w:val="1086"/>
        </w:numPr>
      </w:pPr>
      <w:r>
        <w:rPr>
          <w:rFonts w:hint="eastAsia"/>
        </w:rPr>
        <w:t xml:space="preserve">就2020年與表現掛鈎的受限制股份單位而言，相對股東總回報所對比的同業公司包括於表現期初名列Dow</w:t>
      </w:r>
      <w:r>
        <w:t xml:space="preserve"> Jones Insurance Titans 30 index</w:t>
      </w:r>
    </w:p>
    <w:p>
      <w:pPr>
        <w:pStyle w:val="FirstParagraph"/>
      </w:pPr>
      <w:r>
        <w:rPr>
          <w:rFonts w:hint="eastAsia"/>
        </w:rPr>
        <w:t xml:space="preserve">(DJTINN)指數成分股內的19家人壽及醫療或綜合保險公司。</w:t>
      </w:r>
    </w:p>
    <w:p>
      <w:pPr>
        <w:pStyle w:val="BodyText"/>
      </w:pPr>
      <w:r>
        <w:rPr>
          <w:rFonts w:hint="eastAsia"/>
        </w:rPr>
        <w:t xml:space="preserve">於三年表現期末，我們會評估與表現掛鈎的受限制股份單位的預設目標達成情況。每項表現指標的達成程度將</w:t>
      </w:r>
    </w:p>
    <w:p>
      <w:pPr>
        <w:pStyle w:val="BodyText"/>
      </w:pPr>
      <w:r>
        <w:rPr>
          <w:rFonts w:hint="eastAsia"/>
        </w:rPr>
        <w:t xml:space="preserve">獨立決定三分之一獎勵的歸屬。</w:t>
      </w:r>
    </w:p>
    <w:p>
      <w:pPr>
        <w:pStyle w:val="BodyText"/>
      </w:pPr>
      <w:r>
        <w:t xml:space="preserve">• </w:t>
      </w:r>
      <w:r>
        <w:rPr>
          <w:rFonts w:hint="eastAsia"/>
        </w:rPr>
        <w:t xml:space="preserve">受限制股份單位的歸屬要求表現須最少達致門檻水準（就股東總回報而言，為各同業公司表現的25分位）。</w:t>
      </w:r>
    </w:p>
    <w:p>
      <w:pPr>
        <w:pStyle w:val="BodyText"/>
      </w:pPr>
      <w:r>
        <w:t xml:space="preserve">• </w:t>
      </w:r>
      <w:r>
        <w:rPr>
          <w:rFonts w:hint="eastAsia"/>
        </w:rPr>
        <w:t xml:space="preserve">當表現達致目標水準（就股東總回報而言，為各同業公司表現的中位數）時，50%</w:t>
      </w:r>
      <w:r>
        <w:t xml:space="preserve"> </w:t>
      </w:r>
      <w:r>
        <w:rPr>
          <w:rFonts w:hint="eastAsia"/>
        </w:rPr>
        <w:t xml:space="preserve">的受限制股份單位將獲</w:t>
      </w:r>
    </w:p>
    <w:p>
      <w:pPr>
        <w:pStyle w:val="BodyText"/>
      </w:pPr>
      <w:r>
        <w:rPr>
          <w:rFonts w:hint="eastAsia"/>
        </w:rPr>
        <w:t xml:space="preserve">歸屬。</w:t>
      </w:r>
    </w:p>
    <w:p>
      <w:pPr>
        <w:pStyle w:val="BodyText"/>
      </w:pPr>
      <w:r>
        <w:t xml:space="preserve">• </w:t>
      </w:r>
      <w:r>
        <w:rPr>
          <w:rFonts w:hint="eastAsia"/>
        </w:rPr>
        <w:t xml:space="preserve">當表現達致最高水準（就股東總回報而言，為各同業公司表現的75分位或以上）時，獲分配的全部受限制股份</w:t>
      </w:r>
    </w:p>
    <w:p>
      <w:pPr>
        <w:pStyle w:val="BodyText"/>
      </w:pPr>
      <w:r>
        <w:rPr>
          <w:rFonts w:hint="eastAsia"/>
        </w:rPr>
        <w:t xml:space="preserve">單位將獲歸屬。</w:t>
      </w:r>
    </w:p>
    <w:p>
      <w:pPr>
        <w:pStyle w:val="BodyText"/>
      </w:pPr>
      <w:r>
        <w:rPr>
          <w:rFonts w:hint="eastAsia"/>
        </w:rPr>
        <w:t xml:space="preserve">2020年受限制股份單位獎勵歸屬的表現指標將就自2020年</w:t>
      </w:r>
      <w:r>
        <w:t xml:space="preserve"> </w:t>
      </w:r>
      <w:r>
        <w:rPr>
          <w:rFonts w:hint="eastAsia"/>
        </w:rPr>
        <w:t xml:space="preserve">1月1日起至2022年12月31日止的三年表現期評估。</w:t>
      </w:r>
    </w:p>
    <w:p>
      <w:pPr>
        <w:pStyle w:val="BodyText"/>
      </w:pPr>
      <w:r>
        <w:rPr>
          <w:rFonts w:hint="eastAsia"/>
        </w:rPr>
        <w:t xml:space="preserve">2020年歸屬的受限制股份單位</w:t>
      </w:r>
    </w:p>
    <w:p>
      <w:pPr>
        <w:pStyle w:val="BodyText"/>
      </w:pPr>
      <w:r>
        <w:rPr>
          <w:rFonts w:hint="eastAsia"/>
        </w:rPr>
        <w:t xml:space="preserve">2017年授出的與表現掛鈎的受限制股份單位於2020年3月13日歸屬。在評估本公司2016年12月1日至2019年11月</w:t>
      </w:r>
    </w:p>
    <w:p>
      <w:pPr>
        <w:pStyle w:val="BodyText"/>
      </w:pPr>
      <w:r>
        <w:rPr>
          <w:rFonts w:hint="eastAsia"/>
        </w:rPr>
        <w:t xml:space="preserve">30日三年期間新業務價值、內涵價值權益及相對股東總回報指標（各指標均佔相等的比重）與預設目標相比的</w:t>
      </w:r>
    </w:p>
    <w:p>
      <w:pPr>
        <w:pStyle w:val="BodyText"/>
      </w:pPr>
      <w:r>
        <w:rPr>
          <w:rFonts w:hint="eastAsia"/>
        </w:rPr>
        <w:t xml:space="preserve">表現後，薪酬委員會批准2017年與表現掛鈎的受限制股份單位按目標獎勵的185.28%歸屬。</w:t>
      </w:r>
    </w:p>
    <w:p>
      <w:pPr>
        <w:pStyle w:val="BodyText"/>
      </w:pPr>
      <w:r>
        <w:rPr>
          <w:rFonts w:hint="eastAsia"/>
        </w:rPr>
        <w:t xml:space="preserve">2021年將授出及歸屬的受限制股份單位</w:t>
      </w:r>
    </w:p>
    <w:p>
      <w:pPr>
        <w:pStyle w:val="BodyText"/>
      </w:pPr>
      <w:r>
        <w:rPr>
          <w:rFonts w:hint="eastAsia"/>
        </w:rPr>
        <w:t xml:space="preserve">薪酬委員會將於本公司公佈年終財務業績後，向特選參與者授出與表現掛鈎的受限制股份單位。有關授出的詳情</w:t>
      </w:r>
    </w:p>
    <w:p>
      <w:pPr>
        <w:pStyle w:val="BodyText"/>
      </w:pPr>
      <w:r>
        <w:rPr>
          <w:rFonts w:hint="eastAsia"/>
        </w:rPr>
        <w:t xml:space="preserve">將於本公司的2021年年報內披露。</w:t>
      </w:r>
    </w:p>
    <w:p>
      <w:pPr>
        <w:pStyle w:val="BodyText"/>
      </w:pPr>
      <w:r>
        <w:rPr>
          <w:rFonts w:hint="eastAsia"/>
        </w:rPr>
        <w:t xml:space="preserve">一如往年，新業務價值、內涵價值權益及相對股東總回報目標將繼續用於評估將於2021年授出的受限制股份單位</w:t>
      </w:r>
    </w:p>
    <w:p>
      <w:pPr>
        <w:pStyle w:val="BodyText"/>
      </w:pPr>
      <w:r>
        <w:rPr>
          <w:rFonts w:hint="eastAsia"/>
        </w:rPr>
        <w:t xml:space="preserve">獎勵的表現結果。三項表現指標的計算比重將維持相同，且其三年表現期將於2021年1月1日起計算。</w:t>
      </w:r>
    </w:p>
    <w:p>
      <w:pPr>
        <w:pStyle w:val="BodyText"/>
      </w:pPr>
      <w:r>
        <w:rPr>
          <w:rFonts w:hint="eastAsia"/>
        </w:rPr>
        <w:t xml:space="preserve">與2020年與表現掛鈎的受限制股份單位相若，相對股東總回報評估將僅採納DJTINN指數成分股內的人壽及醫療</w:t>
      </w:r>
    </w:p>
    <w:p>
      <w:pPr>
        <w:pStyle w:val="BodyText"/>
      </w:pPr>
      <w:r>
        <w:rPr>
          <w:rFonts w:hint="eastAsia"/>
        </w:rPr>
        <w:t xml:space="preserve">或綜合保險公司作為可資比較同業公司（共19家公司）。</w:t>
      </w:r>
    </w:p>
    <w:p>
      <w:pPr>
        <w:pStyle w:val="BodyText"/>
      </w:pPr>
      <w:r>
        <w:t xml:space="preserve">117</w:t>
      </w:r>
    </w:p>
    <w:p>
      <w:pPr>
        <w:pStyle w:val="BodyText"/>
      </w:pPr>
      <w:r>
        <w:rPr>
          <w:rFonts w:hint="eastAsia"/>
        </w:rPr>
        <w:t xml:space="preserve">概覽財務及營運回顧企業管治其他資料財務報表2020年報</w:t>
      </w:r>
    </w:p>
    <w:p>
      <w:pPr>
        <w:pStyle w:val="BodyText"/>
      </w:pPr>
      <w:r>
        <w:rPr>
          <w:rFonts w:hint="eastAsia"/>
        </w:rPr>
        <w:t xml:space="preserve">薪酬委員會充分認同眾多友邦員工在這前所未有和充滿挑戰的2020年所做出的卓越貢獻以及這些努力對本公司</w:t>
      </w:r>
    </w:p>
    <w:p>
      <w:pPr>
        <w:pStyle w:val="BodyText"/>
      </w:pPr>
      <w:r>
        <w:rPr>
          <w:rFonts w:hint="eastAsia"/>
        </w:rPr>
        <w:t xml:space="preserve">運作所產生的積極影響。為肯定和獎勵這些貢獻，本集團將於2021年初向獲選員工授予額外獎勵，此獎勵以受</w:t>
      </w:r>
    </w:p>
    <w:p>
      <w:pPr>
        <w:pStyle w:val="BodyText"/>
      </w:pPr>
      <w:r>
        <w:rPr>
          <w:rFonts w:hint="eastAsia"/>
        </w:rPr>
        <w:t xml:space="preserve">限制股份單位形式授出，其歸屬謹以公司服務年限為基準。本集團的首席執行官兼總裁將不會獲此額外獎勵。</w:t>
      </w:r>
    </w:p>
    <w:p>
      <w:pPr>
        <w:pStyle w:val="BodyText"/>
      </w:pPr>
      <w:r>
        <w:rPr>
          <w:rFonts w:hint="eastAsia"/>
        </w:rPr>
        <w:t xml:space="preserve">有關授出的詳情將於本公司的2021年年報內披露。</w:t>
      </w:r>
    </w:p>
    <w:p>
      <w:pPr>
        <w:pStyle w:val="BodyText"/>
      </w:pPr>
      <w:r>
        <w:rPr>
          <w:rFonts w:hint="eastAsia"/>
        </w:rPr>
        <w:t xml:space="preserve">2018年授出的與表現掛鈎的受限制股份單位將於本公司公佈年終財務業績後在2021年3月歸屬。最終歸屬結果</w:t>
      </w:r>
    </w:p>
    <w:p>
      <w:pPr>
        <w:pStyle w:val="BodyText"/>
      </w:pPr>
      <w:r>
        <w:rPr>
          <w:rFonts w:hint="eastAsia"/>
        </w:rPr>
        <w:t xml:space="preserve">將於本公司2021年年報內披露。</w:t>
      </w:r>
    </w:p>
    <w:p>
      <w:pPr>
        <w:pStyle w:val="BodyText"/>
      </w:pPr>
      <w:r>
        <w:rPr>
          <w:rFonts w:hint="eastAsia"/>
        </w:rPr>
        <w:t xml:space="preserve">截至2020年12月31日止年度的受限制股份單位變動</w:t>
      </w:r>
    </w:p>
    <w:p>
      <w:pPr>
        <w:pStyle w:val="BodyText"/>
      </w:pPr>
      <w:r>
        <w:rPr>
          <w:rFonts w:hint="eastAsia"/>
        </w:rPr>
        <w:t xml:space="preserve">下表概述2010年受限制股份單位計劃下受限制股份單位於截至2020年</w:t>
      </w:r>
      <w:r>
        <w:t xml:space="preserve"> </w:t>
      </w:r>
      <w:r>
        <w:rPr>
          <w:rFonts w:hint="eastAsia"/>
        </w:rPr>
        <w:t xml:space="preserve">12月31日止年度內的變動。</w:t>
      </w:r>
    </w:p>
    <w:p>
      <w:pPr>
        <w:pStyle w:val="BodyText"/>
      </w:pPr>
      <w:r>
        <w:rPr>
          <w:rFonts w:hint="eastAsia"/>
        </w:rPr>
        <w:t xml:space="preserve">集團首席執行官兼總裁、</w:t>
      </w:r>
      <w:r>
        <w:br/>
      </w:r>
      <w:r>
        <w:rPr>
          <w:rFonts w:hint="eastAsia"/>
        </w:rPr>
        <w:t xml:space="preserve">主要管理人員及其他合資格</w:t>
      </w:r>
      <w:r>
        <w:br/>
      </w:r>
      <w:r>
        <w:rPr>
          <w:rFonts w:hint="eastAsia"/>
        </w:rPr>
        <w:t xml:space="preserve">僱員及參與者</w:t>
      </w:r>
    </w:p>
    <w:p>
      <w:pPr>
        <w:pStyle w:val="BodyText"/>
      </w:pPr>
      <w:r>
        <w:rPr>
          <w:rFonts w:hint="eastAsia"/>
        </w:rPr>
        <w:t xml:space="preserve">授出日期</w:t>
      </w:r>
      <w:r>
        <w:br/>
      </w:r>
      <w:r>
        <w:rPr>
          <w:rFonts w:hint="eastAsia"/>
        </w:rPr>
        <w:t xml:space="preserve">（日/月/年）</w:t>
      </w:r>
      <w:r>
        <w:t xml:space="preserve"> (3)</w:t>
      </w:r>
    </w:p>
    <w:p>
      <w:pPr>
        <w:pStyle w:val="BodyText"/>
      </w:pPr>
      <w:r>
        <w:rPr>
          <w:rFonts w:hint="eastAsia"/>
        </w:rPr>
        <w:t xml:space="preserve">歸屬日期</w:t>
      </w:r>
      <w:r>
        <w:br/>
      </w:r>
      <w:r>
        <w:rPr>
          <w:rFonts w:hint="eastAsia"/>
        </w:rPr>
        <w:t xml:space="preserve">（日/月/年）(4)</w:t>
      </w:r>
    </w:p>
    <w:p>
      <w:pPr>
        <w:pStyle w:val="BodyText"/>
      </w:pPr>
      <w:r>
        <w:rPr>
          <w:rFonts w:hint="eastAsia"/>
        </w:rPr>
        <w:t xml:space="preserve">於2020年</w:t>
      </w:r>
      <w:r>
        <w:br/>
      </w:r>
      <w:r>
        <w:rPr>
          <w:rFonts w:hint="eastAsia"/>
        </w:rPr>
        <w:t xml:space="preserve">1月1日</w:t>
      </w:r>
      <w:r>
        <w:br/>
      </w:r>
      <w:r>
        <w:rPr>
          <w:rFonts w:hint="eastAsia"/>
        </w:rPr>
        <w:t xml:space="preserve">尚未歸屬</w:t>
      </w:r>
      <w:r>
        <w:br/>
      </w:r>
      <w:r>
        <w:rPr>
          <w:rFonts w:hint="eastAsia"/>
        </w:rPr>
        <w:t xml:space="preserve">的受限制</w:t>
      </w:r>
      <w:r>
        <w:br/>
      </w:r>
      <w:r>
        <w:rPr>
          <w:rFonts w:hint="eastAsia"/>
        </w:rPr>
        <w:t xml:space="preserve">股份單位</w:t>
      </w:r>
      <w:r>
        <w:br/>
      </w:r>
      <w:r>
        <w:rPr>
          <w:rFonts w:hint="eastAsia"/>
        </w:rPr>
        <w:t xml:space="preserve">數目</w:t>
      </w:r>
    </w:p>
    <w:p>
      <w:pPr>
        <w:pStyle w:val="BodyText"/>
      </w:pPr>
      <w:r>
        <w:rPr>
          <w:rFonts w:hint="eastAsia"/>
        </w:rPr>
        <w:t xml:space="preserve">截至2020年</w:t>
      </w:r>
      <w:r>
        <w:br/>
      </w:r>
      <w:r>
        <w:rPr>
          <w:rFonts w:hint="eastAsia"/>
        </w:rPr>
        <w:t xml:space="preserve">12月31日止</w:t>
      </w:r>
      <w:r>
        <w:br/>
      </w:r>
      <w:r>
        <w:rPr>
          <w:rFonts w:hint="eastAsia"/>
        </w:rPr>
        <w:t xml:space="preserve">年度內</w:t>
      </w:r>
      <w:r>
        <w:br/>
      </w:r>
      <w:r>
        <w:rPr>
          <w:rFonts w:hint="eastAsia"/>
        </w:rPr>
        <w:t xml:space="preserve">授出的受限制</w:t>
      </w:r>
      <w:r>
        <w:br/>
      </w:r>
      <w:r>
        <w:rPr>
          <w:rFonts w:hint="eastAsia"/>
        </w:rPr>
        <w:t xml:space="preserve">股份單位</w:t>
      </w:r>
      <w:r>
        <w:br/>
      </w:r>
      <w:r>
        <w:rPr>
          <w:rFonts w:hint="eastAsia"/>
        </w:rPr>
        <w:t xml:space="preserve">數目</w:t>
      </w:r>
    </w:p>
    <w:p>
      <w:pPr>
        <w:pStyle w:val="BodyText"/>
      </w:pPr>
      <w:r>
        <w:rPr>
          <w:rFonts w:hint="eastAsia"/>
        </w:rPr>
        <w:t xml:space="preserve">截至2020年</w:t>
      </w:r>
      <w:r>
        <w:br/>
      </w:r>
      <w:r>
        <w:rPr>
          <w:rFonts w:hint="eastAsia"/>
        </w:rPr>
        <w:t xml:space="preserve">12月31日止</w:t>
      </w:r>
      <w:r>
        <w:br/>
      </w:r>
      <w:r>
        <w:rPr>
          <w:rFonts w:hint="eastAsia"/>
        </w:rPr>
        <w:t xml:space="preserve">年度內</w:t>
      </w:r>
      <w:r>
        <w:br/>
      </w:r>
      <w:r>
        <w:rPr>
          <w:rFonts w:hint="eastAsia"/>
        </w:rPr>
        <w:t xml:space="preserve">歸屬的受限制</w:t>
      </w:r>
      <w:r>
        <w:br/>
      </w:r>
      <w:r>
        <w:rPr>
          <w:rFonts w:hint="eastAsia"/>
        </w:rPr>
        <w:t xml:space="preserve">股份單位</w:t>
      </w:r>
      <w:r>
        <w:br/>
      </w:r>
      <w:r>
        <w:rPr>
          <w:rFonts w:hint="eastAsia"/>
        </w:rPr>
        <w:t xml:space="preserve">數目</w:t>
      </w:r>
    </w:p>
    <w:p>
      <w:pPr>
        <w:pStyle w:val="BodyText"/>
      </w:pPr>
      <w:r>
        <w:rPr>
          <w:rFonts w:hint="eastAsia"/>
        </w:rPr>
        <w:t xml:space="preserve">截至2020年</w:t>
      </w:r>
      <w:r>
        <w:br/>
      </w:r>
      <w:r>
        <w:rPr>
          <w:rFonts w:hint="eastAsia"/>
        </w:rPr>
        <w:t xml:space="preserve">12月31日</w:t>
      </w:r>
      <w:r>
        <w:br/>
      </w:r>
      <w:r>
        <w:rPr>
          <w:rFonts w:hint="eastAsia"/>
        </w:rPr>
        <w:t xml:space="preserve">年度內</w:t>
      </w:r>
      <w:r>
        <w:br/>
      </w:r>
      <w:r>
        <w:rPr>
          <w:rFonts w:hint="eastAsia"/>
        </w:rPr>
        <w:t xml:space="preserve">註銷</w:t>
      </w:r>
      <w:r>
        <w:t xml:space="preserve"> / </w:t>
      </w:r>
      <w:r>
        <w:rPr>
          <w:rFonts w:hint="eastAsia"/>
        </w:rPr>
        <w:t xml:space="preserve">失效</w:t>
      </w:r>
      <w:r>
        <w:t xml:space="preserve"> /</w:t>
      </w:r>
      <w:r>
        <w:br/>
      </w:r>
      <w:r>
        <w:rPr>
          <w:rFonts w:hint="eastAsia"/>
        </w:rPr>
        <w:t xml:space="preserve">重新分類的</w:t>
      </w:r>
      <w:r>
        <w:br/>
      </w:r>
      <w:r>
        <w:rPr>
          <w:rFonts w:hint="eastAsia"/>
        </w:rPr>
        <w:t xml:space="preserve">受限制股份單位</w:t>
      </w:r>
    </w:p>
    <w:p>
      <w:pPr>
        <w:pStyle w:val="BodyText"/>
      </w:pPr>
      <w:r>
        <w:rPr>
          <w:rFonts w:hint="eastAsia"/>
        </w:rPr>
        <w:t xml:space="preserve">於2020年</w:t>
      </w:r>
      <w:r>
        <w:br/>
      </w:r>
      <w:r>
        <w:rPr>
          <w:rFonts w:hint="eastAsia"/>
        </w:rPr>
        <w:t xml:space="preserve">12月31日</w:t>
      </w:r>
      <w:r>
        <w:br/>
      </w:r>
      <w:r>
        <w:rPr>
          <w:rFonts w:hint="eastAsia"/>
        </w:rPr>
        <w:t xml:space="preserve">尚未歸屬</w:t>
      </w:r>
      <w:r>
        <w:br/>
      </w:r>
      <w:r>
        <w:rPr>
          <w:rFonts w:hint="eastAsia"/>
        </w:rPr>
        <w:t xml:space="preserve">的受限制</w:t>
      </w:r>
      <w:r>
        <w:br/>
      </w:r>
      <w:r>
        <w:rPr>
          <w:rFonts w:hint="eastAsia"/>
        </w:rPr>
        <w:t xml:space="preserve">股份單位</w:t>
      </w:r>
    </w:p>
    <w:p>
      <w:pPr>
        <w:pStyle w:val="BodyText"/>
      </w:pPr>
      <w:r>
        <w:rPr>
          <w:rFonts w:hint="eastAsia"/>
        </w:rPr>
        <w:t xml:space="preserve">數目(9)</w:t>
      </w:r>
    </w:p>
    <w:p>
      <w:pPr>
        <w:pStyle w:val="BodyText"/>
      </w:pPr>
      <w:r>
        <w:rPr>
          <w:rFonts w:hint="eastAsia"/>
        </w:rPr>
        <w:t xml:space="preserve">數目</w:t>
      </w:r>
      <w:r>
        <w:t xml:space="preserve"> (10)</w:t>
      </w:r>
    </w:p>
    <w:p>
      <w:pPr>
        <w:pStyle w:val="BodyText"/>
      </w:pPr>
      <w:r>
        <w:t xml:space="preserve">13/3/2020</w:t>
      </w:r>
    </w:p>
    <w:p>
      <w:pPr>
        <w:pStyle w:val="BodyText"/>
      </w:pPr>
      <w:r>
        <w:t xml:space="preserve">21/2/2025 (5)</w:t>
      </w:r>
    </w:p>
    <w:p>
      <w:pPr>
        <w:pStyle w:val="BodyText"/>
      </w:pPr>
      <w:r>
        <w:t xml:space="preserve">13/3/2020</w:t>
      </w:r>
    </w:p>
    <w:p>
      <w:pPr>
        <w:pStyle w:val="BodyText"/>
      </w:pPr>
      <w:r>
        <w:rPr>
          <w:rFonts w:hint="eastAsia"/>
        </w:rPr>
        <w:t xml:space="preserve">見附註</w:t>
      </w:r>
      <w:r>
        <w:t xml:space="preserve"> (6)</w:t>
      </w:r>
    </w:p>
    <w:p>
      <w:pPr>
        <w:pStyle w:val="BodyText"/>
      </w:pPr>
      <w:r>
        <w:t xml:space="preserve">25/3/2020</w:t>
      </w:r>
    </w:p>
    <w:p>
      <w:pPr>
        <w:pStyle w:val="BodyText"/>
      </w:pPr>
      <w:r>
        <w:t xml:space="preserve">25/3/2023 (7)</w:t>
      </w:r>
    </w:p>
    <w:p>
      <w:pPr>
        <w:pStyle w:val="BodyText"/>
      </w:pPr>
      <w:r>
        <w:t xml:space="preserve">–</w:t>
      </w:r>
    </w:p>
    <w:p>
      <w:pPr>
        <w:pStyle w:val="BodyText"/>
      </w:pPr>
      <w:r>
        <w:t xml:space="preserve">–</w:t>
      </w:r>
    </w:p>
    <w:p>
      <w:pPr>
        <w:pStyle w:val="BodyText"/>
      </w:pPr>
      <w:r>
        <w:t xml:space="preserve">–</w:t>
      </w:r>
    </w:p>
    <w:p>
      <w:pPr>
        <w:pStyle w:val="BodyText"/>
      </w:pPr>
      <w:r>
        <w:t xml:space="preserve">206,470</w:t>
      </w:r>
    </w:p>
    <w:p>
      <w:pPr>
        <w:pStyle w:val="BodyText"/>
      </w:pPr>
      <w:r>
        <w:t xml:space="preserve">–</w:t>
      </w:r>
    </w:p>
    <w:p>
      <w:pPr>
        <w:pStyle w:val="BodyText"/>
      </w:pPr>
      <w:r>
        <w:t xml:space="preserve">1,893,366</w:t>
      </w:r>
    </w:p>
    <w:p>
      <w:pPr>
        <w:pStyle w:val="BodyText"/>
      </w:pPr>
      <w:r>
        <w:t xml:space="preserve">(315,561)</w:t>
      </w:r>
    </w:p>
    <w:p>
      <w:pPr>
        <w:pStyle w:val="BodyText"/>
      </w:pPr>
      <w:r>
        <w:t xml:space="preserve">420,426</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206,470</w:t>
      </w:r>
    </w:p>
    <w:p>
      <w:pPr>
        <w:pStyle w:val="BodyText"/>
      </w:pPr>
      <w:r>
        <w:t xml:space="preserve">1,577,805</w:t>
      </w:r>
    </w:p>
    <w:p>
      <w:pPr>
        <w:pStyle w:val="BodyText"/>
      </w:pPr>
      <w:r>
        <w:t xml:space="preserve">420,426</w:t>
      </w:r>
    </w:p>
    <w:p>
      <w:pPr>
        <w:pStyle w:val="BodyText"/>
      </w:pPr>
      <w:r>
        <w:rPr>
          <w:rFonts w:hint="eastAsia"/>
        </w:rPr>
        <w:t xml:space="preserve">集團首席執行官兼總裁</w:t>
      </w:r>
      <w:r>
        <w:br/>
      </w:r>
      <w:r>
        <w:rPr>
          <w:rFonts w:hint="eastAsia"/>
        </w:rPr>
        <w:t xml:space="preserve">李源祥先生</w:t>
      </w:r>
    </w:p>
    <w:p>
      <w:pPr>
        <w:pStyle w:val="BodyText"/>
      </w:pPr>
      <w:r>
        <w:rPr>
          <w:rFonts w:hint="eastAsia"/>
        </w:rPr>
        <w:t xml:space="preserve">已退任集團首席執行官</w:t>
      </w:r>
      <w:r>
        <w:br/>
      </w:r>
      <w:r>
        <w:rPr>
          <w:rFonts w:hint="eastAsia"/>
        </w:rPr>
        <w:t xml:space="preserve">兼總裁(1)</w:t>
      </w:r>
      <w:r>
        <w:br/>
      </w:r>
      <w:r>
        <w:t xml:space="preserve">Ng Keng </w:t>
      </w:r>
      <w:r>
        <w:rPr>
          <w:rFonts w:hint="eastAsia"/>
        </w:rPr>
        <w:t xml:space="preserve">Hooi先生</w:t>
      </w:r>
    </w:p>
    <w:p>
      <w:pPr>
        <w:pStyle w:val="BodyText"/>
      </w:pPr>
      <w:r>
        <w:rPr>
          <w:rFonts w:hint="eastAsia"/>
        </w:rPr>
        <w:t xml:space="preserve">主要管理人員</w:t>
      </w:r>
      <w:r>
        <w:br/>
      </w:r>
      <w:r>
        <w:rPr>
          <w:rFonts w:hint="eastAsia"/>
        </w:rPr>
        <w:t xml:space="preserve">（不包括現任及已退任</w:t>
      </w:r>
      <w:r>
        <w:br/>
      </w:r>
      <w:r>
        <w:rPr>
          <w:rFonts w:hint="eastAsia"/>
        </w:rPr>
        <w:t xml:space="preserve">集團首席執行官兼總裁）</w:t>
      </w:r>
    </w:p>
    <w:p>
      <w:pPr>
        <w:pStyle w:val="BodyText"/>
      </w:pPr>
      <w:r>
        <w:rPr>
          <w:rFonts w:hint="eastAsia"/>
        </w:rPr>
        <w:t xml:space="preserve">其他合資格僱員及</w:t>
      </w:r>
      <w:r>
        <w:br/>
      </w:r>
      <w:r>
        <w:rPr>
          <w:rFonts w:hint="eastAsia"/>
        </w:rPr>
        <w:t xml:space="preserve">參與者(2)</w:t>
      </w:r>
    </w:p>
    <w:p>
      <w:pPr>
        <w:pStyle w:val="BodyText"/>
      </w:pPr>
      <w:r>
        <w:t xml:space="preserve">10/3/2017</w:t>
      </w:r>
    </w:p>
    <w:p>
      <w:pPr>
        <w:pStyle w:val="BodyText"/>
      </w:pPr>
      <w:r>
        <w:t xml:space="preserve">10/3/2020 (7)</w:t>
      </w:r>
    </w:p>
    <w:p>
      <w:pPr>
        <w:pStyle w:val="BodyText"/>
      </w:pPr>
      <w:r>
        <w:t xml:space="preserve">267,659</w:t>
      </w:r>
    </w:p>
    <w:p>
      <w:pPr>
        <w:pStyle w:val="BodyText"/>
      </w:pPr>
      <w:r>
        <w:t xml:space="preserve">31/7/2017</w:t>
      </w:r>
    </w:p>
    <w:p>
      <w:pPr>
        <w:pStyle w:val="BodyText"/>
      </w:pPr>
      <w:r>
        <w:t xml:space="preserve">1/6/2020 (7)</w:t>
      </w:r>
    </w:p>
    <w:p>
      <w:pPr>
        <w:pStyle w:val="BodyText"/>
      </w:pPr>
      <w:r>
        <w:t xml:space="preserve">213,164</w:t>
      </w:r>
    </w:p>
    <w:p>
      <w:pPr>
        <w:pStyle w:val="BodyText"/>
      </w:pPr>
      <w:r>
        <w:t xml:space="preserve">15/3/2018</w:t>
      </w:r>
    </w:p>
    <w:p>
      <w:pPr>
        <w:pStyle w:val="BodyText"/>
      </w:pPr>
      <w:r>
        <w:t xml:space="preserve">15/3/2021 (7)</w:t>
      </w:r>
    </w:p>
    <w:p>
      <w:pPr>
        <w:pStyle w:val="BodyText"/>
      </w:pPr>
      <w:r>
        <w:t xml:space="preserve">439,258</w:t>
      </w:r>
    </w:p>
    <w:p>
      <w:pPr>
        <w:pStyle w:val="BodyText"/>
      </w:pPr>
      <w:r>
        <w:t xml:space="preserve">27/3/2019</w:t>
      </w:r>
    </w:p>
    <w:p>
      <w:pPr>
        <w:pStyle w:val="BodyText"/>
      </w:pPr>
      <w:r>
        <w:t xml:space="preserve">27/3/2022 (7)</w:t>
      </w:r>
    </w:p>
    <w:p>
      <w:pPr>
        <w:pStyle w:val="BodyText"/>
      </w:pPr>
      <w:r>
        <w:t xml:space="preserve">403,768</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25/3/2020</w:t>
      </w:r>
    </w:p>
    <w:p>
      <w:pPr>
        <w:pStyle w:val="BodyText"/>
      </w:pPr>
      <w:r>
        <w:t xml:space="preserve">25/3/2023 (7)</w:t>
      </w:r>
    </w:p>
    <w:p>
      <w:pPr>
        <w:pStyle w:val="BodyText"/>
      </w:pPr>
      <w:r>
        <w:t xml:space="preserve">–</w:t>
      </w:r>
    </w:p>
    <w:p>
      <w:pPr>
        <w:pStyle w:val="BodyText"/>
      </w:pPr>
      <w:r>
        <w:t xml:space="preserve">477,758</w:t>
      </w:r>
    </w:p>
    <w:p>
      <w:pPr>
        <w:pStyle w:val="BodyText"/>
      </w:pPr>
      <w:r>
        <w:t xml:space="preserve">10/3/2017</w:t>
      </w:r>
    </w:p>
    <w:p>
      <w:pPr>
        <w:pStyle w:val="BodyText"/>
      </w:pPr>
      <w:r>
        <w:t xml:space="preserve">10/3/2020 (7)</w:t>
      </w:r>
    </w:p>
    <w:p>
      <w:pPr>
        <w:pStyle w:val="BodyText"/>
      </w:pPr>
      <w:r>
        <w:t xml:space="preserve">1,156,660</w:t>
      </w:r>
    </w:p>
    <w:p>
      <w:pPr>
        <w:pStyle w:val="BodyText"/>
      </w:pPr>
      <w:r>
        <w:t xml:space="preserve">31/7/2017</w:t>
      </w:r>
    </w:p>
    <w:p>
      <w:pPr>
        <w:pStyle w:val="BodyText"/>
      </w:pPr>
      <w:r>
        <w:t xml:space="preserve">1/6/2020 (7)</w:t>
      </w:r>
    </w:p>
    <w:p>
      <w:pPr>
        <w:pStyle w:val="BodyText"/>
      </w:pPr>
      <w:r>
        <w:t xml:space="preserve">311,947</w:t>
      </w:r>
    </w:p>
    <w:p>
      <w:pPr>
        <w:pStyle w:val="BodyText"/>
      </w:pPr>
      <w:r>
        <w:t xml:space="preserve">15/3/2018</w:t>
      </w:r>
    </w:p>
    <w:p>
      <w:pPr>
        <w:pStyle w:val="BodyText"/>
      </w:pPr>
      <w:r>
        <w:t xml:space="preserve">15/3/2021 (7)</w:t>
      </w:r>
    </w:p>
    <w:p>
      <w:pPr>
        <w:pStyle w:val="BodyText"/>
      </w:pPr>
      <w:r>
        <w:t xml:space="preserve">1,090,256</w:t>
      </w:r>
    </w:p>
    <w:p>
      <w:pPr>
        <w:pStyle w:val="BodyText"/>
      </w:pPr>
      <w:r>
        <w:t xml:space="preserve">12/9/2018</w:t>
      </w:r>
    </w:p>
    <w:p>
      <w:pPr>
        <w:pStyle w:val="BodyText"/>
      </w:pPr>
      <w:r>
        <w:t xml:space="preserve">12/9/2021 (7)</w:t>
      </w:r>
    </w:p>
    <w:p>
      <w:pPr>
        <w:pStyle w:val="BodyText"/>
      </w:pPr>
      <w:r>
        <w:t xml:space="preserve">61,010</w:t>
      </w:r>
    </w:p>
    <w:p>
      <w:pPr>
        <w:pStyle w:val="BodyText"/>
      </w:pPr>
      <w:r>
        <w:t xml:space="preserve">27/3/2019</w:t>
      </w:r>
    </w:p>
    <w:p>
      <w:pPr>
        <w:pStyle w:val="BodyText"/>
      </w:pPr>
      <w:r>
        <w:t xml:space="preserve">27/3/2022 (7)</w:t>
      </w:r>
    </w:p>
    <w:p>
      <w:pPr>
        <w:pStyle w:val="BodyText"/>
      </w:pPr>
      <w:r>
        <w:t xml:space="preserve">970,244</w:t>
      </w:r>
    </w:p>
    <w:p>
      <w:pPr>
        <w:pStyle w:val="BodyText"/>
      </w:pPr>
      <w:r>
        <w:t xml:space="preserve">15/5/2019</w:t>
      </w:r>
    </w:p>
    <w:p>
      <w:pPr>
        <w:pStyle w:val="BodyText"/>
      </w:pPr>
      <w:r>
        <w:t xml:space="preserve">1/5/2022 (7)</w:t>
      </w:r>
    </w:p>
    <w:p>
      <w:pPr>
        <w:pStyle w:val="BodyText"/>
      </w:pPr>
      <w:r>
        <w:t xml:space="preserve">27,182</w:t>
      </w:r>
    </w:p>
    <w:p>
      <w:pPr>
        <w:pStyle w:val="BodyText"/>
      </w:pPr>
      <w:r>
        <w:t xml:space="preserve">30/12/2019</w:t>
      </w:r>
    </w:p>
    <w:p>
      <w:pPr>
        <w:pStyle w:val="BodyText"/>
      </w:pPr>
      <w:r>
        <w:t xml:space="preserve">30/12/2022 (8)</w:t>
      </w:r>
    </w:p>
    <w:p>
      <w:pPr>
        <w:pStyle w:val="BodyText"/>
      </w:pPr>
      <w:r>
        <w:t xml:space="preserve">445,308</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25/3/2020</w:t>
      </w:r>
    </w:p>
    <w:p>
      <w:pPr>
        <w:pStyle w:val="BodyText"/>
      </w:pPr>
      <w:r>
        <w:t xml:space="preserve">25/3/2023 (7)</w:t>
      </w:r>
    </w:p>
    <w:p>
      <w:pPr>
        <w:pStyle w:val="BodyText"/>
      </w:pPr>
      <w:r>
        <w:t xml:space="preserve">–</w:t>
      </w:r>
    </w:p>
    <w:p>
      <w:pPr>
        <w:pStyle w:val="BodyText"/>
      </w:pPr>
      <w:r>
        <w:t xml:space="preserve">963,062</w:t>
      </w:r>
    </w:p>
    <w:p>
      <w:pPr>
        <w:pStyle w:val="BodyText"/>
      </w:pPr>
      <w:r>
        <w:t xml:space="preserve">(247,960)</w:t>
      </w:r>
    </w:p>
    <w:p>
      <w:pPr>
        <w:pStyle w:val="BodyText"/>
      </w:pPr>
      <w:r>
        <w:t xml:space="preserve">(197,476)</w:t>
      </w:r>
    </w:p>
    <w:p>
      <w:pPr>
        <w:pStyle w:val="BodyText"/>
      </w:pPr>
      <w:r>
        <w:t xml:space="preserve">–</w:t>
      </w:r>
    </w:p>
    <w:p>
      <w:pPr>
        <w:pStyle w:val="BodyText"/>
      </w:pPr>
      <w:r>
        <w:t xml:space="preserve">–</w:t>
      </w:r>
    </w:p>
    <w:p>
      <w:pPr>
        <w:pStyle w:val="BodyText"/>
      </w:pPr>
      <w:r>
        <w:t xml:space="preserve">–</w:t>
      </w:r>
    </w:p>
    <w:p>
      <w:pPr>
        <w:pStyle w:val="BodyText"/>
      </w:pPr>
      <w:r>
        <w:t xml:space="preserve">(1,071,535)</w:t>
      </w:r>
    </w:p>
    <w:p>
      <w:pPr>
        <w:pStyle w:val="BodyText"/>
      </w:pPr>
      <w:r>
        <w:t xml:space="preserve">(217,637)</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(19,699)</w:t>
      </w:r>
    </w:p>
    <w:p>
      <w:pPr>
        <w:pStyle w:val="BodyText"/>
      </w:pPr>
      <w:r>
        <w:t xml:space="preserve">(15,688)</w:t>
      </w:r>
    </w:p>
    <w:p>
      <w:pPr>
        <w:pStyle w:val="BodyText"/>
      </w:pPr>
      <w:r>
        <w:t xml:space="preserve">(439,258)</w:t>
      </w:r>
    </w:p>
    <w:p>
      <w:pPr>
        <w:pStyle w:val="BodyText"/>
      </w:pPr>
      <w:r>
        <w:t xml:space="preserve">(403,768)</w:t>
      </w:r>
    </w:p>
    <w:p>
      <w:pPr>
        <w:pStyle w:val="BodyText"/>
      </w:pPr>
      <w:r>
        <w:t xml:space="preserve">(477,758)</w:t>
      </w:r>
    </w:p>
    <w:p>
      <w:pPr>
        <w:pStyle w:val="BodyText"/>
      </w:pPr>
      <w:r>
        <w:t xml:space="preserve">(85,125)</w:t>
      </w:r>
    </w:p>
    <w:p>
      <w:pPr>
        <w:pStyle w:val="BodyText"/>
      </w:pPr>
      <w:r>
        <w:t xml:space="preserve">(94,310)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(109,816)</w:t>
      </w:r>
    </w:p>
    <w:p>
      <w:pPr>
        <w:pStyle w:val="BodyText"/>
      </w:pPr>
      <w:r>
        <w:t xml:space="preserve">980,440</w:t>
      </w:r>
    </w:p>
    <w:p>
      <w:pPr>
        <w:pStyle w:val="BodyText"/>
      </w:pPr>
      <w:r>
        <w:t xml:space="preserve">(61,010)</w:t>
      </w:r>
    </w:p>
    <w:p>
      <w:pPr>
        <w:pStyle w:val="BodyText"/>
      </w:pPr>
      <w:r>
        <w:t xml:space="preserve">–</w:t>
      </w:r>
    </w:p>
    <w:p>
      <w:pPr>
        <w:pStyle w:val="BodyText"/>
      </w:pPr>
      <w:r>
        <w:t xml:space="preserve">(137,650)</w:t>
      </w:r>
    </w:p>
    <w:p>
      <w:pPr>
        <w:pStyle w:val="BodyText"/>
      </w:pPr>
      <w:r>
        <w:t xml:space="preserve">832,594</w:t>
      </w:r>
    </w:p>
    <w:p>
      <w:pPr>
        <w:pStyle w:val="BodyText"/>
      </w:pPr>
      <w:r>
        <w:t xml:space="preserve">–</w:t>
      </w:r>
    </w:p>
    <w:p>
      <w:pPr>
        <w:pStyle w:val="BodyText"/>
      </w:pPr>
      <w:r>
        <w:t xml:space="preserve">–</w:t>
      </w:r>
    </w:p>
    <w:p>
      <w:pPr>
        <w:pStyle w:val="BodyText"/>
      </w:pPr>
      <w:r>
        <w:t xml:space="preserve">–</w:t>
      </w:r>
    </w:p>
    <w:p>
      <w:pPr>
        <w:pStyle w:val="BodyText"/>
      </w:pPr>
      <w:r>
        <w:t xml:space="preserve">27,182</w:t>
      </w:r>
    </w:p>
    <w:p>
      <w:pPr>
        <w:pStyle w:val="BodyText"/>
      </w:pPr>
      <w:r>
        <w:t xml:space="preserve">445,308</w:t>
      </w:r>
    </w:p>
    <w:p>
      <w:pPr>
        <w:pStyle w:val="BodyText"/>
      </w:pPr>
      <w:r>
        <w:t xml:space="preserve">963,062</w:t>
      </w:r>
    </w:p>
    <w:p>
      <w:pPr>
        <w:pStyle w:val="BodyText"/>
      </w:pPr>
      <w:r>
        <w:t xml:space="preserve">–</w:t>
      </w:r>
    </w:p>
    <w:p>
      <w:pPr>
        <w:pStyle w:val="BodyText"/>
      </w:pPr>
      <w:r>
        <w:t xml:space="preserve">–</w:t>
      </w:r>
    </w:p>
    <w:p>
      <w:pPr>
        <w:pStyle w:val="BodyText"/>
      </w:pPr>
      <w:r>
        <w:t xml:space="preserve">10/3/2017</w:t>
      </w:r>
    </w:p>
    <w:p>
      <w:pPr>
        <w:pStyle w:val="BodyText"/>
      </w:pPr>
      <w:r>
        <w:t xml:space="preserve">10/3/2020 (7)</w:t>
      </w:r>
    </w:p>
    <w:p>
      <w:pPr>
        <w:pStyle w:val="BodyText"/>
      </w:pPr>
      <w:r>
        <w:t xml:space="preserve">10,232,397</w:t>
      </w:r>
    </w:p>
    <w:p>
      <w:pPr>
        <w:pStyle w:val="BodyText"/>
      </w:pPr>
      <w:r>
        <w:t xml:space="preserve">31/7/2017</w:t>
      </w:r>
    </w:p>
    <w:p>
      <w:pPr>
        <w:pStyle w:val="BodyText"/>
      </w:pPr>
      <w:r>
        <w:t xml:space="preserve">1/6/2020 (7)</w:t>
      </w:r>
    </w:p>
    <w:p>
      <w:pPr>
        <w:pStyle w:val="BodyText"/>
      </w:pPr>
      <w:r>
        <w:t xml:space="preserve">28,519</w:t>
      </w:r>
    </w:p>
    <w:p>
      <w:pPr>
        <w:pStyle w:val="BodyText"/>
      </w:pPr>
      <w:r>
        <w:t xml:space="preserve">15/3/2018</w:t>
      </w:r>
    </w:p>
    <w:p>
      <w:pPr>
        <w:pStyle w:val="BodyText"/>
      </w:pPr>
      <w:r>
        <w:t xml:space="preserve">15/3/2021 (7)</w:t>
      </w:r>
    </w:p>
    <w:p>
      <w:pPr>
        <w:pStyle w:val="BodyText"/>
      </w:pPr>
      <w:r>
        <w:t xml:space="preserve">8,626,971</w:t>
      </w:r>
    </w:p>
    <w:p>
      <w:pPr>
        <w:pStyle w:val="BodyText"/>
      </w:pPr>
      <w:r>
        <w:t xml:space="preserve">29/6/2018</w:t>
      </w:r>
    </w:p>
    <w:p>
      <w:pPr>
        <w:pStyle w:val="BodyText"/>
      </w:pPr>
      <w:r>
        <w:t xml:space="preserve">15/3/2021 (7)</w:t>
      </w:r>
    </w:p>
    <w:p>
      <w:pPr>
        <w:pStyle w:val="BodyText"/>
      </w:pPr>
      <w:r>
        <w:t xml:space="preserve">108,956</w:t>
      </w:r>
    </w:p>
    <w:p>
      <w:pPr>
        <w:pStyle w:val="BodyText"/>
      </w:pPr>
      <w:r>
        <w:t xml:space="preserve">27/3/2019</w:t>
      </w:r>
    </w:p>
    <w:p>
      <w:pPr>
        <w:pStyle w:val="BodyText"/>
      </w:pPr>
      <w:r>
        <w:t xml:space="preserve">27/3/2022 (7)</w:t>
      </w:r>
    </w:p>
    <w:p>
      <w:pPr>
        <w:pStyle w:val="BodyText"/>
      </w:pPr>
      <w:r>
        <w:t xml:space="preserve">8,334,202</w:t>
      </w:r>
    </w:p>
    <w:p>
      <w:pPr>
        <w:pStyle w:val="BodyText"/>
      </w:pPr>
      <w:r>
        <w:t xml:space="preserve">15/5/2019</w:t>
      </w:r>
    </w:p>
    <w:p>
      <w:pPr>
        <w:pStyle w:val="BodyText"/>
      </w:pPr>
      <w:r>
        <w:t xml:space="preserve">1/5/2022 (7)</w:t>
      </w:r>
    </w:p>
    <w:p>
      <w:pPr>
        <w:pStyle w:val="BodyText"/>
      </w:pPr>
      <w:r>
        <w:t xml:space="preserve">16,480</w:t>
      </w:r>
    </w:p>
    <w:p>
      <w:pPr>
        <w:pStyle w:val="BodyText"/>
      </w:pPr>
      <w:r>
        <w:t xml:space="preserve">25/3/2020</w:t>
      </w:r>
    </w:p>
    <w:p>
      <w:pPr>
        <w:pStyle w:val="BodyText"/>
      </w:pPr>
      <w:r>
        <w:t xml:space="preserve">25/3/2023 (7)</w:t>
      </w:r>
    </w:p>
    <w:p>
      <w:pPr>
        <w:pStyle w:val="BodyText"/>
      </w:pPr>
      <w:r>
        <w:t xml:space="preserve">10/6/2020</w:t>
      </w:r>
    </w:p>
    <w:p>
      <w:pPr>
        <w:pStyle w:val="BodyText"/>
      </w:pPr>
      <w:r>
        <w:t xml:space="preserve">10/6/2023 (7)</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(9,387,319)</w:t>
      </w:r>
    </w:p>
    <w:p>
      <w:pPr>
        <w:pStyle w:val="BodyText"/>
      </w:pPr>
      <w:r>
        <w:t xml:space="preserve">(845,078)</w:t>
      </w:r>
    </w:p>
    <w:p>
      <w:pPr>
        <w:pStyle w:val="BodyText"/>
      </w:pPr>
      <w:r>
        <w:t xml:space="preserve">(26,421)</w:t>
      </w:r>
    </w:p>
    <w:p>
      <w:pPr>
        <w:pStyle w:val="BodyText"/>
      </w:pPr>
      <w:r>
        <w:t xml:space="preserve">(66,531)</w:t>
      </w:r>
    </w:p>
    <w:p>
      <w:pPr>
        <w:pStyle w:val="BodyText"/>
      </w:pPr>
      <w:r>
        <w:t xml:space="preserve">–</w:t>
      </w:r>
    </w:p>
    <w:p>
      <w:pPr>
        <w:pStyle w:val="BodyText"/>
      </w:pPr>
      <w:r>
        <w:t xml:space="preserve">(2,098)</w:t>
      </w:r>
    </w:p>
    <w:p>
      <w:pPr>
        <w:pStyle w:val="BodyText"/>
      </w:pPr>
      <w:r>
        <w:t xml:space="preserve">(117,251)</w:t>
      </w:r>
    </w:p>
    <w:p>
      <w:pPr>
        <w:pStyle w:val="BodyText"/>
      </w:pPr>
      <w:r>
        <w:t xml:space="preserve">8,443,189</w:t>
      </w:r>
    </w:p>
    <w:p>
      <w:pPr>
        <w:pStyle w:val="BodyText"/>
      </w:pPr>
      <w:r>
        <w:t xml:space="preserve">–</w:t>
      </w:r>
    </w:p>
    <w:p>
      <w:pPr>
        <w:pStyle w:val="BodyText"/>
      </w:pPr>
      <w:r>
        <w:t xml:space="preserve">108,956</w:t>
      </w:r>
    </w:p>
    <w:p>
      <w:pPr>
        <w:pStyle w:val="BodyText"/>
      </w:pPr>
      <w:r>
        <w:t xml:space="preserve">(27,453)</w:t>
      </w:r>
    </w:p>
    <w:p>
      <w:pPr>
        <w:pStyle w:val="BodyText"/>
      </w:pPr>
      <w:r>
        <w:t xml:space="preserve">(175,330)</w:t>
      </w:r>
    </w:p>
    <w:p>
      <w:pPr>
        <w:pStyle w:val="BodyText"/>
      </w:pPr>
      <w:r>
        <w:t xml:space="preserve">8,131,419</w:t>
      </w:r>
    </w:p>
    <w:p>
      <w:pPr>
        <w:pStyle w:val="BodyText"/>
      </w:pPr>
      <w:r>
        <w:t xml:space="preserve">–</w:t>
      </w:r>
    </w:p>
    <w:p>
      <w:pPr>
        <w:pStyle w:val="BodyText"/>
      </w:pPr>
      <w:r>
        <w:t xml:space="preserve">–</w:t>
      </w:r>
    </w:p>
    <w:p>
      <w:pPr>
        <w:pStyle w:val="BodyText"/>
      </w:pPr>
      <w:r>
        <w:t xml:space="preserve">16,480</w:t>
      </w:r>
    </w:p>
    <w:p>
      <w:pPr>
        <w:pStyle w:val="BodyText"/>
      </w:pPr>
      <w:r>
        <w:t xml:space="preserve">9,459,716</w:t>
      </w:r>
    </w:p>
    <w:p>
      <w:pPr>
        <w:pStyle w:val="BodyText"/>
      </w:pPr>
      <w:r>
        <w:t xml:space="preserve">(4,566)</w:t>
      </w:r>
    </w:p>
    <w:p>
      <w:pPr>
        <w:pStyle w:val="BodyText"/>
      </w:pPr>
      <w:r>
        <w:t xml:space="preserve">147,444</w:t>
      </w:r>
    </w:p>
    <w:p>
      <w:pPr>
        <w:pStyle w:val="BodyText"/>
      </w:pPr>
      <w:r>
        <w:t xml:space="preserve">9,602,594</w:t>
      </w:r>
    </w:p>
    <w:p>
      <w:pPr>
        <w:pStyle w:val="BodyText"/>
      </w:pPr>
      <w:r>
        <w:t xml:space="preserve">31,142</w:t>
      </w:r>
    </w:p>
    <w:p>
      <w:pPr>
        <w:pStyle w:val="BodyText"/>
      </w:pPr>
      <w:r>
        <w:t xml:space="preserve">–</w:t>
      </w:r>
    </w:p>
    <w:p>
      <w:pPr>
        <w:pStyle w:val="BodyText"/>
      </w:pPr>
      <w:r>
        <w:t xml:space="preserve">–</w:t>
      </w:r>
    </w:p>
    <w:p>
      <w:pPr>
        <w:pStyle w:val="BodyText"/>
      </w:pPr>
      <w:r>
        <w:t xml:space="preserve">31,142</w:t>
      </w:r>
    </w:p>
    <w:p>
      <w:pPr>
        <w:pStyle w:val="BodyText"/>
      </w:pPr>
      <w:r>
        <w:rPr>
          <w:rFonts w:hint="eastAsia"/>
        </w:rPr>
        <w:t xml:space="preserve">附註：</w:t>
      </w:r>
      <w:r>
        <w:br/>
      </w:r>
      <w:r>
        <w:t xml:space="preserve">(1) Ng Keng </w:t>
      </w:r>
      <w:r>
        <w:rPr>
          <w:rFonts w:hint="eastAsia"/>
        </w:rPr>
        <w:t xml:space="preserve">Hooi先生已於2020年5月31日退任集團首席執行官兼總裁以及董事會成員。Ng</w:t>
      </w:r>
      <w:r>
        <w:t xml:space="preserve"> Keng </w:t>
      </w:r>
      <w:r>
        <w:rPr>
          <w:rFonts w:hint="eastAsia"/>
        </w:rPr>
        <w:t xml:space="preserve">Hooi先生於2020年</w:t>
      </w:r>
      <w:r>
        <w:t xml:space="preserve"> </w:t>
      </w:r>
      <w:r>
        <w:rPr>
          <w:rFonts w:hint="eastAsia"/>
        </w:rPr>
        <w:t xml:space="preserve">6月1日的尚未歸屬的受限制</w:t>
      </w:r>
    </w:p>
    <w:p>
      <w:pPr>
        <w:pStyle w:val="BodyText"/>
      </w:pPr>
      <w:r>
        <w:rPr>
          <w:rFonts w:hint="eastAsia"/>
        </w:rPr>
        <w:t xml:space="preserve">股份單位已由「已退任集團首席執行官兼總裁」重新分類至「其他合資格僱員及參與者」。</w:t>
      </w:r>
    </w:p>
    <w:p>
      <w:pPr>
        <w:numPr>
          <w:ilvl w:val="0"/>
          <w:numId w:val="1087"/>
        </w:numPr>
      </w:pPr>
      <w:r>
        <w:rPr>
          <w:rFonts w:hint="eastAsia"/>
        </w:rPr>
        <w:t xml:space="preserve">包括已退任集團首席執行官兼總裁Mark</w:t>
      </w:r>
      <w:r>
        <w:t xml:space="preserve"> Edward </w:t>
      </w:r>
      <w:r>
        <w:rPr>
          <w:rFonts w:hint="eastAsia"/>
        </w:rPr>
        <w:t xml:space="preserve">Tucker先生於2020年</w:t>
      </w:r>
      <w:r>
        <w:t xml:space="preserve"> </w:t>
      </w:r>
      <w:r>
        <w:rPr>
          <w:rFonts w:hint="eastAsia"/>
        </w:rPr>
        <w:t xml:space="preserve">1月1日尚未歸屬的受限制股份單位。</w:t>
      </w:r>
    </w:p>
    <w:p>
      <w:pPr>
        <w:numPr>
          <w:ilvl w:val="0"/>
          <w:numId w:val="1087"/>
        </w:numPr>
      </w:pPr>
      <w:r>
        <w:rPr>
          <w:rFonts w:hint="eastAsia"/>
        </w:rPr>
        <w:t xml:space="preserve">截至2017年11月30日止年度授出獎勵的計量日期（用於釐定該授予會計價值的日期）為2017年3月10日及2017年7月31日。截至2018年12月</w:t>
      </w:r>
      <w:r>
        <w:br/>
      </w:r>
      <w:r>
        <w:rPr>
          <w:rFonts w:hint="eastAsia"/>
        </w:rPr>
        <w:t xml:space="preserve">31日止十三個月授出獎勵的計量日期為2018年3月15日、2018年6月29日及2018年9月12日。截至2019年12月31日止財政年度授出獎勵的</w:t>
      </w:r>
      <w:r>
        <w:br/>
      </w:r>
      <w:r>
        <w:rPr>
          <w:rFonts w:hint="eastAsia"/>
        </w:rPr>
        <w:t xml:space="preserve">計</w:t>
      </w:r>
      <w:r>
        <w:t xml:space="preserve"> </w:t>
      </w:r>
      <w:r>
        <w:rPr>
          <w:rFonts w:hint="eastAsia"/>
        </w:rPr>
        <w:t xml:space="preserve">量</w:t>
      </w:r>
      <w:r>
        <w:t xml:space="preserve"> </w:t>
      </w:r>
      <w:r>
        <w:rPr>
          <w:rFonts w:hint="eastAsia"/>
        </w:rPr>
        <w:t xml:space="preserve">日</w:t>
      </w:r>
      <w:r>
        <w:t xml:space="preserve"> </w:t>
      </w:r>
      <w:r>
        <w:rPr>
          <w:rFonts w:hint="eastAsia"/>
        </w:rPr>
        <w:t xml:space="preserve">期</w:t>
      </w:r>
      <w:r>
        <w:t xml:space="preserve"> </w:t>
      </w:r>
      <w:r>
        <w:rPr>
          <w:rFonts w:hint="eastAsia"/>
        </w:rPr>
        <w:t xml:space="preserve">為2019年3月27日、2019年</w:t>
      </w:r>
      <w:r>
        <w:t xml:space="preserve"> </w:t>
      </w:r>
      <w:r>
        <w:rPr>
          <w:rFonts w:hint="eastAsia"/>
        </w:rPr>
        <w:t xml:space="preserve">5月15日</w:t>
      </w:r>
      <w:r>
        <w:t xml:space="preserve"> </w:t>
      </w:r>
      <w:r>
        <w:rPr>
          <w:rFonts w:hint="eastAsia"/>
        </w:rPr>
        <w:t xml:space="preserve">及2019年12月30日。</w:t>
      </w:r>
      <w:r>
        <w:t xml:space="preserve"> </w:t>
      </w:r>
      <w:r>
        <w:rPr>
          <w:rFonts w:hint="eastAsia"/>
        </w:rPr>
        <w:t xml:space="preserve">於</w:t>
      </w:r>
      <w:r>
        <w:t xml:space="preserve"> </w:t>
      </w:r>
      <w:r>
        <w:rPr>
          <w:rFonts w:hint="eastAsia"/>
        </w:rPr>
        <w:t xml:space="preserve">截</w:t>
      </w:r>
      <w:r>
        <w:t xml:space="preserve"> </w:t>
      </w:r>
      <w:r>
        <w:rPr>
          <w:rFonts w:hint="eastAsia"/>
        </w:rPr>
        <w:t xml:space="preserve">至2020年12月31日</w:t>
      </w:r>
      <w:r>
        <w:t xml:space="preserve"> </w:t>
      </w:r>
      <w:r>
        <w:rPr>
          <w:rFonts w:hint="eastAsia"/>
        </w:rPr>
        <w:t xml:space="preserve">止</w:t>
      </w:r>
      <w:r>
        <w:t xml:space="preserve"> </w:t>
      </w:r>
      <w:r>
        <w:rPr>
          <w:rFonts w:hint="eastAsia"/>
        </w:rPr>
        <w:t xml:space="preserve">年</w:t>
      </w:r>
      <w:r>
        <w:t xml:space="preserve"> </w:t>
      </w:r>
      <w:r>
        <w:rPr>
          <w:rFonts w:hint="eastAsia"/>
        </w:rPr>
        <w:t xml:space="preserve">度</w:t>
      </w:r>
      <w:r>
        <w:t xml:space="preserve"> </w:t>
      </w:r>
      <w:r>
        <w:rPr>
          <w:rFonts w:hint="eastAsia"/>
        </w:rPr>
        <w:t xml:space="preserve">期</w:t>
      </w:r>
      <w:r>
        <w:t xml:space="preserve"> </w:t>
      </w:r>
      <w:r>
        <w:rPr>
          <w:rFonts w:hint="eastAsia"/>
        </w:rPr>
        <w:t xml:space="preserve">間</w:t>
      </w:r>
      <w:r>
        <w:t xml:space="preserve"> </w:t>
      </w:r>
      <w:r>
        <w:rPr>
          <w:rFonts w:hint="eastAsia"/>
        </w:rPr>
        <w:t xml:space="preserve">授</w:t>
      </w:r>
      <w:r>
        <w:t xml:space="preserve"> </w:t>
      </w:r>
      <w:r>
        <w:rPr>
          <w:rFonts w:hint="eastAsia"/>
        </w:rPr>
        <w:t xml:space="preserve">出</w:t>
      </w:r>
      <w:r>
        <w:t xml:space="preserve"> </w:t>
      </w:r>
      <w:r>
        <w:rPr>
          <w:rFonts w:hint="eastAsia"/>
        </w:rPr>
        <w:t xml:space="preserve">獎</w:t>
      </w:r>
      <w:r>
        <w:t xml:space="preserve"> </w:t>
      </w:r>
      <w:r>
        <w:rPr>
          <w:rFonts w:hint="eastAsia"/>
        </w:rPr>
        <w:t xml:space="preserve">勵</w:t>
      </w:r>
      <w:r>
        <w:t xml:space="preserve"> </w:t>
      </w:r>
      <w:r>
        <w:rPr>
          <w:rFonts w:hint="eastAsia"/>
        </w:rPr>
        <w:t xml:space="preserve">的</w:t>
      </w:r>
      <w:r>
        <w:t xml:space="preserve"> </w:t>
      </w:r>
      <w:r>
        <w:rPr>
          <w:rFonts w:hint="eastAsia"/>
        </w:rPr>
        <w:t xml:space="preserve">計</w:t>
      </w:r>
      <w:r>
        <w:t xml:space="preserve"> </w:t>
      </w:r>
      <w:r>
        <w:rPr>
          <w:rFonts w:hint="eastAsia"/>
        </w:rPr>
        <w:t xml:space="preserve">量</w:t>
      </w:r>
      <w:r>
        <w:t xml:space="preserve"> </w:t>
      </w:r>
      <w:r>
        <w:rPr>
          <w:rFonts w:hint="eastAsia"/>
        </w:rPr>
        <w:t xml:space="preserve">日</w:t>
      </w:r>
      <w:r>
        <w:t xml:space="preserve"> </w:t>
      </w:r>
      <w:r>
        <w:rPr>
          <w:rFonts w:hint="eastAsia"/>
        </w:rPr>
        <w:t xml:space="preserve">期</w:t>
      </w:r>
      <w:r>
        <w:t xml:space="preserve"> </w:t>
      </w:r>
      <w:r>
        <w:rPr>
          <w:rFonts w:hint="eastAsia"/>
        </w:rPr>
        <w:t xml:space="preserve">為2020年3月</w:t>
      </w:r>
      <w:r>
        <w:br/>
      </w:r>
      <w:r>
        <w:rPr>
          <w:rFonts w:hint="eastAsia"/>
        </w:rPr>
        <w:t xml:space="preserve">13日、2020年</w:t>
      </w:r>
      <w:r>
        <w:t xml:space="preserve"> </w:t>
      </w:r>
      <w:r>
        <w:rPr>
          <w:rFonts w:hint="eastAsia"/>
        </w:rPr>
        <w:t xml:space="preserve">3月25日及2020年</w:t>
      </w:r>
      <w:r>
        <w:t xml:space="preserve"> </w:t>
      </w:r>
      <w:r>
        <w:rPr>
          <w:rFonts w:hint="eastAsia"/>
        </w:rPr>
        <w:t xml:space="preserve">6月10日。該等計量日期乃根據國際財務報告準則第2號釐定。</w:t>
      </w:r>
    </w:p>
    <w:p>
      <w:pPr>
        <w:numPr>
          <w:ilvl w:val="0"/>
          <w:numId w:val="1087"/>
        </w:numPr>
      </w:pPr>
      <w:r>
        <w:rPr>
          <w:rFonts w:hint="eastAsia"/>
        </w:rPr>
        <w:t xml:space="preserve">歸屬日期須受制於相關之交易限制。</w:t>
      </w:r>
    </w:p>
    <w:p>
      <w:pPr>
        <w:pStyle w:val="FirstParagraph"/>
      </w:pPr>
      <w:r>
        <w:t xml:space="preserve">118</w:t>
      </w:r>
    </w:p>
    <w:p>
      <w:pPr>
        <w:pStyle w:val="BodyText"/>
      </w:pPr>
      <w:r>
        <w:rPr>
          <w:rFonts w:hint="eastAsia"/>
        </w:rPr>
        <w:t xml:space="preserve">企業管治友邦保險控股有限公司薪酬報告</w:t>
      </w:r>
    </w:p>
    <w:p>
      <w:pPr>
        <w:pStyle w:val="Compact"/>
        <w:numPr>
          <w:ilvl w:val="0"/>
          <w:numId w:val="1088"/>
        </w:numPr>
      </w:pPr>
      <w:r>
        <w:rPr>
          <w:rFonts w:hint="eastAsia"/>
        </w:rPr>
        <w:t xml:space="preserve">請參閱本公司日期為2019年11月22日的公告。該等受限制股份單位的歸屬僅以公司服務年限為基準（即除持續受僱外並無附帶其他業績表現</w:t>
      </w:r>
    </w:p>
    <w:p>
      <w:pPr>
        <w:pStyle w:val="FirstParagraph"/>
      </w:pPr>
      <w:r>
        <w:rPr>
          <w:rFonts w:hint="eastAsia"/>
        </w:rPr>
        <w:t xml:space="preserve">條件）。在持續受僱的前提下，所有受限制股份單位將於2025年2月21日歸屬。</w:t>
      </w:r>
    </w:p>
    <w:p>
      <w:pPr>
        <w:numPr>
          <w:ilvl w:val="0"/>
          <w:numId w:val="1089"/>
        </w:numPr>
      </w:pPr>
      <w:r>
        <w:rPr>
          <w:rFonts w:hint="eastAsia"/>
        </w:rPr>
        <w:t xml:space="preserve">請參閱本公司日期為2019年11月22日的公告。該等受限制股份單位的歸屬僅以公司服務年限為基準（即除持續受僱外並無附帶其他業績表現</w:t>
      </w:r>
      <w:r>
        <w:br/>
      </w:r>
      <w:r>
        <w:rPr>
          <w:rFonts w:hint="eastAsia"/>
        </w:rPr>
        <w:t xml:space="preserve">條件）。在持續受僱的前提下，受限制股份單位將分六個相等批次（即每批次315,561個單位）歸屬。第一批次已於2020年9月13日歸屬，餘下</w:t>
      </w:r>
      <w:r>
        <w:br/>
      </w:r>
      <w:r>
        <w:rPr>
          <w:rFonts w:hint="eastAsia"/>
        </w:rPr>
        <w:t xml:space="preserve">批次按計劃分別於2021年2月21日、2022年</w:t>
      </w:r>
      <w:r>
        <w:t xml:space="preserve"> </w:t>
      </w:r>
      <w:r>
        <w:rPr>
          <w:rFonts w:hint="eastAsia"/>
        </w:rPr>
        <w:t xml:space="preserve">2月21日、2023年2月21日、2024年2月21日及2025年2月21日歸屬。</w:t>
      </w:r>
    </w:p>
    <w:p>
      <w:pPr>
        <w:numPr>
          <w:ilvl w:val="0"/>
          <w:numId w:val="1089"/>
        </w:numPr>
      </w:pPr>
      <w:r>
        <w:rPr>
          <w:rFonts w:hint="eastAsia"/>
        </w:rPr>
        <w:t xml:space="preserve">該等受限制股份單位的歸屬須待達成服務年限要求及本年報117頁所述的業績表現條件後方可作實。</w:t>
      </w:r>
    </w:p>
    <w:p>
      <w:pPr>
        <w:numPr>
          <w:ilvl w:val="0"/>
          <w:numId w:val="1089"/>
        </w:numPr>
      </w:pPr>
      <w:r>
        <w:rPr>
          <w:rFonts w:hint="eastAsia"/>
        </w:rPr>
        <w:t xml:space="preserve">該等受限制股份單位的歸屬僅以公司服務年限為基準（即除持續受僱外並無附帶其他業績表現條件）。在持續受僱的前提下，所有受限制</w:t>
      </w:r>
    </w:p>
    <w:p>
      <w:pPr>
        <w:pStyle w:val="FirstParagraph"/>
      </w:pPr>
      <w:r>
        <w:rPr>
          <w:rFonts w:hint="eastAsia"/>
        </w:rPr>
        <w:t xml:space="preserve">股份單位將於2022年12月30日歸屬。</w:t>
      </w:r>
    </w:p>
    <w:p>
      <w:pPr>
        <w:pStyle w:val="Compact"/>
        <w:numPr>
          <w:ilvl w:val="0"/>
          <w:numId w:val="1090"/>
        </w:numPr>
      </w:pPr>
      <w:r>
        <w:rPr>
          <w:rFonts w:hint="eastAsia"/>
        </w:rPr>
        <w:t xml:space="preserve">該等受限制股份單位於截至2020年12月31日止年度內失效或被重新分類。因期內Ng</w:t>
      </w:r>
      <w:r>
        <w:t xml:space="preserve"> Keng </w:t>
      </w:r>
      <w:r>
        <w:rPr>
          <w:rFonts w:hint="eastAsia"/>
        </w:rPr>
        <w:t xml:space="preserve">Hooi先生退任集團首席執行官兼總裁，故須重新</w:t>
      </w:r>
    </w:p>
    <w:p>
      <w:pPr>
        <w:pStyle w:val="FirstParagraph"/>
      </w:pPr>
      <w:r>
        <w:rPr>
          <w:rFonts w:hint="eastAsia"/>
        </w:rPr>
        <w:t xml:space="preserve">分類受限制股份單位。截至2020年12月31日止年度內並無任何受限制股份單位被註銷。</w:t>
      </w:r>
    </w:p>
    <w:p>
      <w:pPr>
        <w:pStyle w:val="Compact"/>
        <w:numPr>
          <w:ilvl w:val="0"/>
          <w:numId w:val="1091"/>
        </w:numPr>
      </w:pPr>
      <w:r>
        <w:rPr>
          <w:rFonts w:hint="eastAsia"/>
        </w:rPr>
        <w:t xml:space="preserve">包括根據2010年受限制股份單位計劃規則，於2020年</w:t>
      </w:r>
      <w:r>
        <w:t xml:space="preserve"> </w:t>
      </w:r>
      <w:r>
        <w:rPr>
          <w:rFonts w:hint="eastAsia"/>
        </w:rPr>
        <w:t xml:space="preserve">12月31日尚未歸屬並將於各歸屬日期或之前失效的受限制股份單位。</w:t>
      </w:r>
    </w:p>
    <w:p>
      <w:pPr>
        <w:pStyle w:val="FirstParagraph"/>
      </w:pPr>
      <w:r>
        <w:rPr>
          <w:rFonts w:hint="eastAsia"/>
        </w:rPr>
        <w:t xml:space="preserve">購股權計劃</w:t>
      </w:r>
    </w:p>
    <w:p>
      <w:pPr>
        <w:pStyle w:val="BodyText"/>
      </w:pPr>
      <w:r>
        <w:rPr>
          <w:rFonts w:hint="eastAsia"/>
        </w:rPr>
        <w:t xml:space="preserve">購股權計劃的目的乃通過允許參與者分享為股東創造的長期及可持續價值，從而使計劃參與者與本公司股東的</w:t>
      </w:r>
    </w:p>
    <w:p>
      <w:pPr>
        <w:pStyle w:val="BodyText"/>
      </w:pPr>
      <w:r>
        <w:rPr>
          <w:rFonts w:hint="eastAsia"/>
        </w:rPr>
        <w:t xml:space="preserve">利益一致。</w:t>
      </w:r>
    </w:p>
    <w:p>
      <w:pPr>
        <w:pStyle w:val="BodyText"/>
      </w:pPr>
      <w:r>
        <w:rPr>
          <w:rFonts w:hint="eastAsia"/>
        </w:rPr>
        <w:t xml:space="preserve">根據2020年購股權計劃，本公司可向本公司或任何附屬公司的僱員、董事（不包括獨立非執行董事）或主管授予</w:t>
      </w:r>
    </w:p>
    <w:p>
      <w:pPr>
        <w:pStyle w:val="BodyText"/>
      </w:pPr>
      <w:r>
        <w:rPr>
          <w:rFonts w:hint="eastAsia"/>
        </w:rPr>
        <w:t xml:space="preserve">購股權。2010年購股權計劃繼續具有十足效力並維持在其終止之前已授出的購股權持續有效，但不得再根據</w:t>
      </w:r>
    </w:p>
    <w:p>
      <w:pPr>
        <w:pStyle w:val="BodyText"/>
      </w:pPr>
      <w:r>
        <w:rPr>
          <w:rFonts w:hint="eastAsia"/>
        </w:rPr>
        <w:t xml:space="preserve">2010年購股權計劃授出購股權。根據2010年購股權計劃授出的所有購股權的行使須受其授出條款及上市規則</w:t>
      </w:r>
    </w:p>
    <w:p>
      <w:pPr>
        <w:pStyle w:val="BodyText"/>
      </w:pPr>
      <w:r>
        <w:rPr>
          <w:rFonts w:hint="eastAsia"/>
        </w:rPr>
        <w:t xml:space="preserve">所規限，並須按照該等條款及規則行使。</w:t>
      </w:r>
    </w:p>
    <w:p>
      <w:pPr>
        <w:pStyle w:val="BodyText"/>
      </w:pPr>
      <w:r>
        <w:rPr>
          <w:rFonts w:hint="eastAsia"/>
        </w:rPr>
        <w:t xml:space="preserve">參與者無須就接納購股權支付任何費用。合資格參與者每持有一份購股權即可認購本公司一股普通股。變現收益</w:t>
      </w:r>
    </w:p>
    <w:p>
      <w:pPr>
        <w:pStyle w:val="BodyText"/>
      </w:pPr>
      <w:r>
        <w:rPr>
          <w:rFonts w:hint="eastAsia"/>
        </w:rPr>
        <w:t xml:space="preserve">僅限於股價超過行使價的部分。釐定該等購股權行使價的規定公式為(i)股份於授出日的收市價及(ii)股份於緊接</w:t>
      </w:r>
    </w:p>
    <w:p>
      <w:pPr>
        <w:pStyle w:val="BodyText"/>
      </w:pPr>
      <w:r>
        <w:rPr>
          <w:rFonts w:hint="eastAsia"/>
        </w:rPr>
        <w:t xml:space="preserve">授出日前五個交易日的平均收市價的較高者。</w:t>
      </w:r>
    </w:p>
    <w:p>
      <w:pPr>
        <w:pStyle w:val="BodyText"/>
      </w:pPr>
      <w:r>
        <w:rPr>
          <w:rFonts w:hint="eastAsia"/>
        </w:rPr>
        <w:t xml:space="preserve">根據購股權計劃規則，購股權的最短持有期為自接納之日起計六個月，而購股權自授出起至到期前的最長期限</w:t>
      </w:r>
    </w:p>
    <w:p>
      <w:pPr>
        <w:pStyle w:val="BodyText"/>
      </w:pPr>
      <w:r>
        <w:rPr>
          <w:rFonts w:hint="eastAsia"/>
        </w:rPr>
        <w:t xml:space="preserve">為10年。本公司授出的購股權通常於授出日期三年後即可行使，並於隨後七年中仍可予行使，惟參與者須仍處於</w:t>
      </w:r>
    </w:p>
    <w:p>
      <w:pPr>
        <w:pStyle w:val="BodyText"/>
      </w:pPr>
      <w:r>
        <w:rPr>
          <w:rFonts w:hint="eastAsia"/>
        </w:rPr>
        <w:t xml:space="preserve">受僱期間（並且無不良記錄）或退休。</w:t>
      </w:r>
    </w:p>
    <w:p>
      <w:pPr>
        <w:pStyle w:val="BodyText"/>
      </w:pPr>
      <w:r>
        <w:rPr>
          <w:rFonts w:hint="eastAsia"/>
        </w:rPr>
        <w:t xml:space="preserve">於截至2020年12月31日止年度內，本公司根據2010年購股權計劃向集團首席執行官兼總裁和本公司及多間附屬</w:t>
      </w:r>
    </w:p>
    <w:p>
      <w:pPr>
        <w:pStyle w:val="BodyText"/>
      </w:pPr>
      <w:r>
        <w:rPr>
          <w:rFonts w:hint="eastAsia"/>
        </w:rPr>
        <w:t xml:space="preserve">公司的若干僱員及主管授出5,856,668份購股權。並無根據2020年購股權計劃授出購股權。</w:t>
      </w:r>
    </w:p>
    <w:p>
      <w:pPr>
        <w:pStyle w:val="BodyText"/>
      </w:pPr>
      <w:r>
        <w:rPr>
          <w:rFonts w:hint="eastAsia"/>
        </w:rPr>
        <w:t xml:space="preserve">根據本公司所有購股權計劃（即2010年及2020年購股權計劃），因行使本公司授出的所有購股權而發行的股份</w:t>
      </w:r>
    </w:p>
    <w:p>
      <w:pPr>
        <w:pStyle w:val="BodyText"/>
      </w:pPr>
      <w:r>
        <w:rPr>
          <w:rFonts w:hint="eastAsia"/>
        </w:rPr>
        <w:t xml:space="preserve">總數（不包括已失效的購股權）不得超過於2020年5月29日（2020年購股權計劃的採納日期）已發行股份數目的</w:t>
      </w:r>
    </w:p>
    <w:p>
      <w:pPr>
        <w:pStyle w:val="BodyText"/>
      </w:pPr>
      <w:r>
        <w:t xml:space="preserve">2.5%。 </w:t>
      </w:r>
      <w:r>
        <w:rPr>
          <w:rFonts w:hint="eastAsia"/>
        </w:rPr>
        <w:t xml:space="preserve">自</w:t>
      </w:r>
      <w:r>
        <w:t xml:space="preserve"> </w:t>
      </w:r>
      <w:r>
        <w:rPr>
          <w:rFonts w:hint="eastAsia"/>
        </w:rPr>
        <w:t xml:space="preserve">採</w:t>
      </w:r>
      <w:r>
        <w:t xml:space="preserve"> </w:t>
      </w:r>
      <w:r>
        <w:rPr>
          <w:rFonts w:hint="eastAsia"/>
        </w:rPr>
        <w:t xml:space="preserve">納2020年</w:t>
      </w:r>
      <w:r>
        <w:t xml:space="preserve"> </w:t>
      </w:r>
      <w:r>
        <w:rPr>
          <w:rFonts w:hint="eastAsia"/>
        </w:rPr>
        <w:t xml:space="preserve">購</w:t>
      </w:r>
      <w:r>
        <w:t xml:space="preserve"> </w:t>
      </w:r>
      <w:r>
        <w:rPr>
          <w:rFonts w:hint="eastAsia"/>
        </w:rPr>
        <w:t xml:space="preserve">股</w:t>
      </w:r>
      <w:r>
        <w:t xml:space="preserve"> </w:t>
      </w:r>
      <w:r>
        <w:rPr>
          <w:rFonts w:hint="eastAsia"/>
        </w:rPr>
        <w:t xml:space="preserve">權</w:t>
      </w:r>
      <w:r>
        <w:t xml:space="preserve"> </w:t>
      </w:r>
      <w:r>
        <w:rPr>
          <w:rFonts w:hint="eastAsia"/>
        </w:rPr>
        <w:t xml:space="preserve">計</w:t>
      </w:r>
      <w:r>
        <w:t xml:space="preserve"> </w:t>
      </w:r>
      <w:r>
        <w:rPr>
          <w:rFonts w:hint="eastAsia"/>
        </w:rPr>
        <w:t xml:space="preserve">劃</w:t>
      </w:r>
      <w:r>
        <w:t xml:space="preserve"> </w:t>
      </w:r>
      <w:r>
        <w:rPr>
          <w:rFonts w:hint="eastAsia"/>
        </w:rPr>
        <w:t xml:space="preserve">起</w:t>
      </w:r>
      <w:r>
        <w:t xml:space="preserve"> </w:t>
      </w:r>
      <w:r>
        <w:rPr>
          <w:rFonts w:hint="eastAsia"/>
        </w:rPr>
        <w:t xml:space="preserve">直</w:t>
      </w:r>
      <w:r>
        <w:t xml:space="preserve"> </w:t>
      </w:r>
      <w:r>
        <w:rPr>
          <w:rFonts w:hint="eastAsia"/>
        </w:rPr>
        <w:t xml:space="preserve">至2020年12月31日，</w:t>
      </w:r>
      <w:r>
        <w:t xml:space="preserve"> </w:t>
      </w:r>
      <w:r>
        <w:rPr>
          <w:rFonts w:hint="eastAsia"/>
        </w:rPr>
        <w:t xml:space="preserve">根</w:t>
      </w:r>
      <w:r>
        <w:t xml:space="preserve"> </w:t>
      </w:r>
      <w:r>
        <w:rPr>
          <w:rFonts w:hint="eastAsia"/>
        </w:rPr>
        <w:t xml:space="preserve">據2010年</w:t>
      </w:r>
      <w:r>
        <w:t xml:space="preserve"> </w:t>
      </w:r>
      <w:r>
        <w:rPr>
          <w:rFonts w:hint="eastAsia"/>
        </w:rPr>
        <w:t xml:space="preserve">購</w:t>
      </w:r>
      <w:r>
        <w:t xml:space="preserve"> </w:t>
      </w:r>
      <w:r>
        <w:rPr>
          <w:rFonts w:hint="eastAsia"/>
        </w:rPr>
        <w:t xml:space="preserve">股</w:t>
      </w:r>
      <w:r>
        <w:t xml:space="preserve"> </w:t>
      </w:r>
      <w:r>
        <w:rPr>
          <w:rFonts w:hint="eastAsia"/>
        </w:rPr>
        <w:t xml:space="preserve">權</w:t>
      </w:r>
      <w:r>
        <w:t xml:space="preserve"> </w:t>
      </w:r>
      <w:r>
        <w:rPr>
          <w:rFonts w:hint="eastAsia"/>
        </w:rPr>
        <w:t xml:space="preserve">計</w:t>
      </w:r>
      <w:r>
        <w:t xml:space="preserve"> </w:t>
      </w:r>
      <w:r>
        <w:rPr>
          <w:rFonts w:hint="eastAsia"/>
        </w:rPr>
        <w:t xml:space="preserve">劃</w:t>
      </w:r>
      <w:r>
        <w:t xml:space="preserve"> </w:t>
      </w:r>
      <w:r>
        <w:rPr>
          <w:rFonts w:hint="eastAsia"/>
        </w:rPr>
        <w:t xml:space="preserve">累</w:t>
      </w:r>
      <w:r>
        <w:t xml:space="preserve"> </w:t>
      </w:r>
      <w:r>
        <w:rPr>
          <w:rFonts w:hint="eastAsia"/>
        </w:rPr>
        <w:t xml:space="preserve">計</w:t>
      </w:r>
      <w:r>
        <w:t xml:space="preserve"> </w:t>
      </w:r>
      <w:r>
        <w:rPr>
          <w:rFonts w:hint="eastAsia"/>
        </w:rPr>
        <w:t xml:space="preserve">發</w:t>
      </w:r>
      <w:r>
        <w:t xml:space="preserve"> </w:t>
      </w:r>
      <w:r>
        <w:rPr>
          <w:rFonts w:hint="eastAsia"/>
        </w:rPr>
        <w:t xml:space="preserve">行</w:t>
      </w:r>
      <w:r>
        <w:t xml:space="preserve"> </w:t>
      </w:r>
      <w:r>
        <w:rPr>
          <w:rFonts w:hint="eastAsia"/>
        </w:rPr>
        <w:t xml:space="preserve">合</w:t>
      </w:r>
      <w:r>
        <w:t xml:space="preserve"> </w:t>
      </w:r>
      <w:r>
        <w:rPr>
          <w:rFonts w:hint="eastAsia"/>
        </w:rPr>
        <w:t xml:space="preserve">共4,340,018股</w:t>
      </w:r>
    </w:p>
    <w:p>
      <w:pPr>
        <w:pStyle w:val="BodyText"/>
      </w:pPr>
      <w:r>
        <w:rPr>
          <w:rFonts w:hint="eastAsia"/>
        </w:rPr>
        <w:t xml:space="preserve">新股份，相當於2020年購股權計劃採納日期已發行股份約0.036%。自採納2020年購股權計劃起直至2020年12月</w:t>
      </w:r>
    </w:p>
    <w:p>
      <w:pPr>
        <w:pStyle w:val="BodyText"/>
      </w:pPr>
      <w:r>
        <w:rPr>
          <w:rFonts w:hint="eastAsia"/>
        </w:rPr>
        <w:t xml:space="preserve">31日，並無根據2020年購股權計劃授出購股權。</w:t>
      </w:r>
    </w:p>
    <w:p>
      <w:pPr>
        <w:pStyle w:val="BodyText"/>
      </w:pPr>
      <w:r>
        <w:rPr>
          <w:rFonts w:hint="eastAsia"/>
        </w:rPr>
        <w:t xml:space="preserve">購股權計劃下已授出但尚未行使的購股權及日後可授出的購股權的可發行股份總數為297,919,960，約佔截至本</w:t>
      </w:r>
    </w:p>
    <w:p>
      <w:pPr>
        <w:pStyle w:val="BodyText"/>
      </w:pPr>
      <w:r>
        <w:rPr>
          <w:rFonts w:hint="eastAsia"/>
        </w:rPr>
        <w:t xml:space="preserve">報告日期已發行股份數目的2.46%。</w:t>
      </w:r>
    </w:p>
    <w:p>
      <w:pPr>
        <w:pStyle w:val="BodyText"/>
      </w:pPr>
      <w:r>
        <w:rPr>
          <w:rFonts w:hint="eastAsia"/>
        </w:rPr>
        <w:t xml:space="preserve">除非已根據上市規則有關程序規定取得股東批准，否則於截至建議授出日期（包括該日）止的任何12個月期間</w:t>
      </w:r>
    </w:p>
    <w:p>
      <w:pPr>
        <w:pStyle w:val="BodyText"/>
      </w:pPr>
      <w:r>
        <w:rPr>
          <w:rFonts w:hint="eastAsia"/>
        </w:rPr>
        <w:t xml:space="preserve">可向任何參與者授出的購股權所涉及的最大股份數目為截至建議授出日期已發行股份數目的0.25%(於公司主要</w:t>
      </w:r>
    </w:p>
    <w:p>
      <w:pPr>
        <w:pStyle w:val="BodyText"/>
      </w:pPr>
      <w:r>
        <w:rPr>
          <w:rFonts w:hint="eastAsia"/>
        </w:rPr>
        <w:t xml:space="preserve">股東而言不得超過0.1%)。自採納購股權計劃起，本公司既無根據該計劃向主要股東授出購股權，亦無根據該</w:t>
      </w:r>
    </w:p>
    <w:p>
      <w:pPr>
        <w:pStyle w:val="BodyText"/>
      </w:pPr>
      <w:r>
        <w:rPr>
          <w:rFonts w:hint="eastAsia"/>
        </w:rPr>
        <w:t xml:space="preserve">計劃授出任何超出個人限額的購股權。</w:t>
      </w:r>
    </w:p>
    <w:p>
      <w:pPr>
        <w:pStyle w:val="BodyText"/>
      </w:pPr>
      <w:r>
        <w:t xml:space="preserve">119</w:t>
      </w:r>
    </w:p>
    <w:p>
      <w:pPr>
        <w:pStyle w:val="BodyText"/>
      </w:pPr>
      <w:r>
        <w:rPr>
          <w:rFonts w:hint="eastAsia"/>
        </w:rPr>
        <w:t xml:space="preserve">概覽財務及營運回顧企業管治其他資料財務報表2020年報</w:t>
      </w:r>
    </w:p>
    <w:p>
      <w:pPr>
        <w:pStyle w:val="BodyText"/>
      </w:pPr>
      <w:r>
        <w:rPr>
          <w:rFonts w:hint="eastAsia"/>
        </w:rPr>
        <w:t xml:space="preserve">2020年授出的購股權</w:t>
      </w:r>
    </w:p>
    <w:p>
      <w:pPr>
        <w:pStyle w:val="BodyText"/>
      </w:pPr>
      <w:r>
        <w:rPr>
          <w:rFonts w:hint="eastAsia"/>
        </w:rPr>
        <w:t xml:space="preserve">如符合所有公司服務年限規定，則於2020年根據2010年購股權計劃授出的購股權將於2023年歸屬。購股權估值</w:t>
      </w:r>
    </w:p>
    <w:p>
      <w:pPr>
        <w:pStyle w:val="BodyText"/>
      </w:pPr>
      <w:r>
        <w:rPr>
          <w:rFonts w:hint="eastAsia"/>
        </w:rPr>
        <w:t xml:space="preserve">的詳情載於財務報表附註40。</w:t>
      </w:r>
    </w:p>
    <w:p>
      <w:pPr>
        <w:pStyle w:val="BodyText"/>
      </w:pPr>
      <w:r>
        <w:rPr>
          <w:rFonts w:hint="eastAsia"/>
        </w:rPr>
        <w:t xml:space="preserve">2020年歸屬的購股權</w:t>
      </w:r>
    </w:p>
    <w:p>
      <w:pPr>
        <w:pStyle w:val="BodyText"/>
      </w:pPr>
      <w:r>
        <w:rPr>
          <w:rFonts w:hint="eastAsia"/>
        </w:rPr>
        <w:t xml:space="preserve">於2017年</w:t>
      </w:r>
      <w:r>
        <w:t xml:space="preserve"> </w:t>
      </w:r>
      <w:r>
        <w:rPr>
          <w:rFonts w:hint="eastAsia"/>
        </w:rPr>
        <w:t xml:space="preserve">授</w:t>
      </w:r>
      <w:r>
        <w:t xml:space="preserve"> </w:t>
      </w:r>
      <w:r>
        <w:rPr>
          <w:rFonts w:hint="eastAsia"/>
        </w:rPr>
        <w:t xml:space="preserve">出</w:t>
      </w:r>
      <w:r>
        <w:t xml:space="preserve"> </w:t>
      </w:r>
      <w:r>
        <w:rPr>
          <w:rFonts w:hint="eastAsia"/>
        </w:rPr>
        <w:t xml:space="preserve">的</w:t>
      </w:r>
      <w:r>
        <w:t xml:space="preserve"> </w:t>
      </w:r>
      <w:r>
        <w:rPr>
          <w:rFonts w:hint="eastAsia"/>
        </w:rPr>
        <w:t xml:space="preserve">購</w:t>
      </w:r>
      <w:r>
        <w:t xml:space="preserve"> </w:t>
      </w:r>
      <w:r>
        <w:rPr>
          <w:rFonts w:hint="eastAsia"/>
        </w:rPr>
        <w:t xml:space="preserve">股</w:t>
      </w:r>
      <w:r>
        <w:t xml:space="preserve"> </w:t>
      </w:r>
      <w:r>
        <w:rPr>
          <w:rFonts w:hint="eastAsia"/>
        </w:rPr>
        <w:t xml:space="preserve">權（不</w:t>
      </w:r>
      <w:r>
        <w:t xml:space="preserve"> </w:t>
      </w:r>
      <w:r>
        <w:rPr>
          <w:rFonts w:hint="eastAsia"/>
        </w:rPr>
        <w:t xml:space="preserve">包</w:t>
      </w:r>
      <w:r>
        <w:t xml:space="preserve"> </w:t>
      </w:r>
      <w:r>
        <w:rPr>
          <w:rFonts w:hint="eastAsia"/>
        </w:rPr>
        <w:t xml:space="preserve">括</w:t>
      </w:r>
      <w:r>
        <w:t xml:space="preserve"> </w:t>
      </w:r>
      <w:r>
        <w:rPr>
          <w:rFonts w:hint="eastAsia"/>
        </w:rPr>
        <w:t xml:space="preserve">期</w:t>
      </w:r>
      <w:r>
        <w:t xml:space="preserve"> </w:t>
      </w:r>
      <w:r>
        <w:rPr>
          <w:rFonts w:hint="eastAsia"/>
        </w:rPr>
        <w:t xml:space="preserve">間</w:t>
      </w:r>
      <w:r>
        <w:t xml:space="preserve"> </w:t>
      </w:r>
      <w:r>
        <w:rPr>
          <w:rFonts w:hint="eastAsia"/>
        </w:rPr>
        <w:t xml:space="preserve">已</w:t>
      </w:r>
      <w:r>
        <w:t xml:space="preserve"> </w:t>
      </w:r>
      <w:r>
        <w:rPr>
          <w:rFonts w:hint="eastAsia"/>
        </w:rPr>
        <w:t xml:space="preserve">失</w:t>
      </w:r>
      <w:r>
        <w:t xml:space="preserve"> </w:t>
      </w:r>
      <w:r>
        <w:rPr>
          <w:rFonts w:hint="eastAsia"/>
        </w:rPr>
        <w:t xml:space="preserve">效</w:t>
      </w:r>
      <w:r>
        <w:t xml:space="preserve"> </w:t>
      </w:r>
      <w:r>
        <w:rPr>
          <w:rFonts w:hint="eastAsia"/>
        </w:rPr>
        <w:t xml:space="preserve">的</w:t>
      </w:r>
      <w:r>
        <w:t xml:space="preserve"> </w:t>
      </w:r>
      <w:r>
        <w:rPr>
          <w:rFonts w:hint="eastAsia"/>
        </w:rPr>
        <w:t xml:space="preserve">任</w:t>
      </w:r>
      <w:r>
        <w:t xml:space="preserve"> </w:t>
      </w:r>
      <w:r>
        <w:rPr>
          <w:rFonts w:hint="eastAsia"/>
        </w:rPr>
        <w:t xml:space="preserve">何</w:t>
      </w:r>
      <w:r>
        <w:t xml:space="preserve"> </w:t>
      </w:r>
      <w:r>
        <w:rPr>
          <w:rFonts w:hint="eastAsia"/>
        </w:rPr>
        <w:t xml:space="preserve">購</w:t>
      </w:r>
      <w:r>
        <w:t xml:space="preserve"> </w:t>
      </w:r>
      <w:r>
        <w:rPr>
          <w:rFonts w:hint="eastAsia"/>
        </w:rPr>
        <w:t xml:space="preserve">股</w:t>
      </w:r>
      <w:r>
        <w:t xml:space="preserve"> </w:t>
      </w:r>
      <w:r>
        <w:rPr>
          <w:rFonts w:hint="eastAsia"/>
        </w:rPr>
        <w:t xml:space="preserve">權）已</w:t>
      </w:r>
      <w:r>
        <w:t xml:space="preserve"> </w:t>
      </w:r>
      <w:r>
        <w:rPr>
          <w:rFonts w:hint="eastAsia"/>
        </w:rPr>
        <w:t xml:space="preserve">根</w:t>
      </w:r>
      <w:r>
        <w:t xml:space="preserve"> </w:t>
      </w:r>
      <w:r>
        <w:rPr>
          <w:rFonts w:hint="eastAsia"/>
        </w:rPr>
        <w:t xml:space="preserve">據2010年</w:t>
      </w:r>
      <w:r>
        <w:t xml:space="preserve"> </w:t>
      </w:r>
      <w:r>
        <w:rPr>
          <w:rFonts w:hint="eastAsia"/>
        </w:rPr>
        <w:t xml:space="preserve">購</w:t>
      </w:r>
      <w:r>
        <w:t xml:space="preserve"> </w:t>
      </w:r>
      <w:r>
        <w:rPr>
          <w:rFonts w:hint="eastAsia"/>
        </w:rPr>
        <w:t xml:space="preserve">股</w:t>
      </w:r>
      <w:r>
        <w:t xml:space="preserve"> </w:t>
      </w:r>
      <w:r>
        <w:rPr>
          <w:rFonts w:hint="eastAsia"/>
        </w:rPr>
        <w:t xml:space="preserve">權</w:t>
      </w:r>
      <w:r>
        <w:t xml:space="preserve"> </w:t>
      </w:r>
      <w:r>
        <w:rPr>
          <w:rFonts w:hint="eastAsia"/>
        </w:rPr>
        <w:t xml:space="preserve">計</w:t>
      </w:r>
      <w:r>
        <w:t xml:space="preserve"> </w:t>
      </w:r>
      <w:r>
        <w:rPr>
          <w:rFonts w:hint="eastAsia"/>
        </w:rPr>
        <w:t xml:space="preserve">劃</w:t>
      </w:r>
      <w:r>
        <w:t xml:space="preserve"> </w:t>
      </w:r>
      <w:r>
        <w:rPr>
          <w:rFonts w:hint="eastAsia"/>
        </w:rPr>
        <w:t xml:space="preserve">規</w:t>
      </w:r>
      <w:r>
        <w:t xml:space="preserve"> </w:t>
      </w:r>
      <w:r>
        <w:rPr>
          <w:rFonts w:hint="eastAsia"/>
        </w:rPr>
        <w:t xml:space="preserve">則</w:t>
      </w:r>
      <w:r>
        <w:t xml:space="preserve"> </w:t>
      </w:r>
      <w:r>
        <w:rPr>
          <w:rFonts w:hint="eastAsia"/>
        </w:rPr>
        <w:t xml:space="preserve">於2020年3月10日</w:t>
      </w:r>
    </w:p>
    <w:p>
      <w:pPr>
        <w:pStyle w:val="BodyText"/>
      </w:pPr>
      <w:r>
        <w:rPr>
          <w:rFonts w:hint="eastAsia"/>
        </w:rPr>
        <w:t xml:space="preserve">歸屬，並於2020年3月13日（即根據香港監管之禁售期後首個交易日）即可行使。</w:t>
      </w:r>
    </w:p>
    <w:p>
      <w:pPr>
        <w:pStyle w:val="BodyText"/>
      </w:pPr>
      <w:r>
        <w:rPr>
          <w:rFonts w:hint="eastAsia"/>
        </w:rPr>
        <w:t xml:space="preserve">2021年將授出及歸屬的購股權</w:t>
      </w:r>
    </w:p>
    <w:p>
      <w:pPr>
        <w:pStyle w:val="BodyText"/>
      </w:pPr>
      <w:r>
        <w:rPr>
          <w:rFonts w:hint="eastAsia"/>
        </w:rPr>
        <w:t xml:space="preserve">薪酬委員會將於本公司公佈年終財務業績後在2021年3月向特選參與者授出購股權。該等獎勵的詳情將於本公司</w:t>
      </w:r>
    </w:p>
    <w:p>
      <w:pPr>
        <w:pStyle w:val="BodyText"/>
      </w:pPr>
      <w:r>
        <w:rPr>
          <w:rFonts w:hint="eastAsia"/>
        </w:rPr>
        <w:t xml:space="preserve">的2021年年報內披露。</w:t>
      </w:r>
    </w:p>
    <w:p>
      <w:pPr>
        <w:pStyle w:val="BodyText"/>
      </w:pPr>
      <w:r>
        <w:rPr>
          <w:rFonts w:hint="eastAsia"/>
        </w:rPr>
        <w:t xml:space="preserve">2018年授出的購股權將於本公司公佈年終財務業績後在2021年</w:t>
      </w:r>
      <w:r>
        <w:t xml:space="preserve"> </w:t>
      </w:r>
      <w:r>
        <w:rPr>
          <w:rFonts w:hint="eastAsia"/>
        </w:rPr>
        <w:t xml:space="preserve">3月歸屬。</w:t>
      </w:r>
    </w:p>
    <w:p>
      <w:pPr>
        <w:pStyle w:val="BodyText"/>
      </w:pPr>
      <w:r>
        <w:rPr>
          <w:rFonts w:hint="eastAsia"/>
        </w:rPr>
        <w:t xml:space="preserve">截至2020年12月31日止年度內的購股權變動</w:t>
      </w:r>
    </w:p>
    <w:p>
      <w:pPr>
        <w:pStyle w:val="BodyText"/>
      </w:pPr>
      <w:r>
        <w:rPr>
          <w:rFonts w:hint="eastAsia"/>
        </w:rPr>
        <w:t xml:space="preserve">下表概述2010年購股權計劃下的購股權於截至2020年</w:t>
      </w:r>
      <w:r>
        <w:t xml:space="preserve"> </w:t>
      </w:r>
      <w:r>
        <w:rPr>
          <w:rFonts w:hint="eastAsia"/>
        </w:rPr>
        <w:t xml:space="preserve">12月31日止年度內的變動。</w:t>
      </w:r>
    </w:p>
    <w:p>
      <w:pPr>
        <w:pStyle w:val="BodyText"/>
      </w:pPr>
      <w:r>
        <w:rPr>
          <w:rFonts w:hint="eastAsia"/>
        </w:rPr>
        <w:t xml:space="preserve">授出日期</w:t>
      </w:r>
      <w:r>
        <w:br/>
      </w:r>
      <w:r>
        <w:rPr>
          <w:rFonts w:hint="eastAsia"/>
        </w:rPr>
        <w:t xml:space="preserve">（日/月/年）(3)</w:t>
      </w:r>
    </w:p>
    <w:p>
      <w:pPr>
        <w:pStyle w:val="BodyText"/>
      </w:pPr>
      <w:r>
        <w:rPr>
          <w:rFonts w:hint="eastAsia"/>
        </w:rPr>
        <w:t xml:space="preserve">購股權可予行使</w:t>
      </w:r>
      <w:r>
        <w:br/>
      </w:r>
      <w:r>
        <w:rPr>
          <w:rFonts w:hint="eastAsia"/>
        </w:rPr>
        <w:t xml:space="preserve">之期間</w:t>
      </w:r>
      <w:r>
        <w:br/>
      </w:r>
      <w:r>
        <w:rPr>
          <w:rFonts w:hint="eastAsia"/>
        </w:rPr>
        <w:t xml:space="preserve">（日/月/年）</w:t>
      </w:r>
    </w:p>
    <w:p>
      <w:pPr>
        <w:pStyle w:val="BodyText"/>
      </w:pPr>
      <w:r>
        <w:rPr>
          <w:rFonts w:hint="eastAsia"/>
        </w:rPr>
        <w:t xml:space="preserve">於2020年</w:t>
      </w:r>
      <w:r>
        <w:br/>
      </w:r>
      <w:r>
        <w:rPr>
          <w:rFonts w:hint="eastAsia"/>
        </w:rPr>
        <w:t xml:space="preserve">1月1日</w:t>
      </w:r>
      <w:r>
        <w:br/>
      </w:r>
      <w:r>
        <w:rPr>
          <w:rFonts w:hint="eastAsia"/>
        </w:rPr>
        <w:t xml:space="preserve">未經行使的</w:t>
      </w:r>
      <w:r>
        <w:br/>
      </w:r>
      <w:r>
        <w:rPr>
          <w:rFonts w:hint="eastAsia"/>
        </w:rPr>
        <w:t xml:space="preserve">購股權數目</w:t>
      </w:r>
    </w:p>
    <w:p>
      <w:pPr>
        <w:pStyle w:val="BodyText"/>
      </w:pPr>
      <w:r>
        <w:rPr>
          <w:rFonts w:hint="eastAsia"/>
        </w:rPr>
        <w:t xml:space="preserve">截至2020年</w:t>
      </w:r>
      <w:r>
        <w:br/>
      </w:r>
      <w:r>
        <w:rPr>
          <w:rFonts w:hint="eastAsia"/>
        </w:rPr>
        <w:t xml:space="preserve">12月31日止</w:t>
      </w:r>
      <w:r>
        <w:br/>
      </w:r>
      <w:r>
        <w:rPr>
          <w:rFonts w:hint="eastAsia"/>
        </w:rPr>
        <w:t xml:space="preserve">年度內</w:t>
      </w:r>
      <w:r>
        <w:br/>
      </w:r>
      <w:r>
        <w:rPr>
          <w:rFonts w:hint="eastAsia"/>
        </w:rPr>
        <w:t xml:space="preserve">授出的</w:t>
      </w:r>
      <w:r>
        <w:br/>
      </w:r>
      <w:r>
        <w:rPr>
          <w:rFonts w:hint="eastAsia"/>
        </w:rPr>
        <w:t xml:space="preserve">購股權數目</w:t>
      </w:r>
    </w:p>
    <w:p>
      <w:pPr>
        <w:pStyle w:val="BodyText"/>
      </w:pPr>
      <w:r>
        <w:rPr>
          <w:rFonts w:hint="eastAsia"/>
        </w:rPr>
        <w:t xml:space="preserve">截至2020年</w:t>
      </w:r>
      <w:r>
        <w:br/>
      </w:r>
      <w:r>
        <w:rPr>
          <w:rFonts w:hint="eastAsia"/>
        </w:rPr>
        <w:t xml:space="preserve">12月31日止</w:t>
      </w:r>
      <w:r>
        <w:br/>
      </w:r>
      <w:r>
        <w:rPr>
          <w:rFonts w:hint="eastAsia"/>
        </w:rPr>
        <w:t xml:space="preserve">年度內</w:t>
      </w:r>
      <w:r>
        <w:br/>
      </w:r>
      <w:r>
        <w:rPr>
          <w:rFonts w:hint="eastAsia"/>
        </w:rPr>
        <w:t xml:space="preserve">歸屬的</w:t>
      </w:r>
      <w:r>
        <w:br/>
      </w:r>
      <w:r>
        <w:rPr>
          <w:rFonts w:hint="eastAsia"/>
        </w:rPr>
        <w:t xml:space="preserve">購股權數目</w:t>
      </w:r>
    </w:p>
    <w:p>
      <w:pPr>
        <w:pStyle w:val="BodyText"/>
      </w:pPr>
      <w:r>
        <w:rPr>
          <w:rFonts w:hint="eastAsia"/>
        </w:rPr>
        <w:t xml:space="preserve">截至2020年</w:t>
      </w:r>
      <w:r>
        <w:br/>
      </w:r>
      <w:r>
        <w:rPr>
          <w:rFonts w:hint="eastAsia"/>
        </w:rPr>
        <w:t xml:space="preserve">12月31日</w:t>
      </w:r>
      <w:r>
        <w:br/>
      </w:r>
      <w:r>
        <w:rPr>
          <w:rFonts w:hint="eastAsia"/>
        </w:rPr>
        <w:t xml:space="preserve">年度內</w:t>
      </w:r>
      <w:r>
        <w:br/>
      </w:r>
      <w:r>
        <w:rPr>
          <w:rFonts w:hint="eastAsia"/>
        </w:rPr>
        <w:t xml:space="preserve">註銷</w:t>
      </w:r>
      <w:r>
        <w:t xml:space="preserve"> </w:t>
      </w:r>
      <w:r>
        <w:rPr>
          <w:rFonts w:hint="eastAsia"/>
        </w:rPr>
        <w:t xml:space="preserve">/失效</w:t>
      </w:r>
      <w:r>
        <w:t xml:space="preserve"> /</w:t>
      </w:r>
      <w:r>
        <w:br/>
      </w:r>
      <w:r>
        <w:rPr>
          <w:rFonts w:hint="eastAsia"/>
        </w:rPr>
        <w:t xml:space="preserve">重新分類的</w:t>
      </w:r>
      <w:r>
        <w:br/>
      </w:r>
      <w:r>
        <w:rPr>
          <w:rFonts w:hint="eastAsia"/>
        </w:rPr>
        <w:t xml:space="preserve">購股權數目(18)</w:t>
      </w:r>
    </w:p>
    <w:p>
      <w:pPr>
        <w:pStyle w:val="BodyText"/>
      </w:pPr>
      <w:r>
        <w:rPr>
          <w:rFonts w:hint="eastAsia"/>
        </w:rPr>
        <w:t xml:space="preserve">截至2020年</w:t>
      </w:r>
      <w:r>
        <w:br/>
      </w:r>
      <w:r>
        <w:rPr>
          <w:rFonts w:hint="eastAsia"/>
        </w:rPr>
        <w:t xml:space="preserve">12月31日止</w:t>
      </w:r>
      <w:r>
        <w:br/>
      </w:r>
      <w:r>
        <w:rPr>
          <w:rFonts w:hint="eastAsia"/>
        </w:rPr>
        <w:t xml:space="preserve">年度內</w:t>
      </w:r>
      <w:r>
        <w:br/>
      </w:r>
      <w:r>
        <w:rPr>
          <w:rFonts w:hint="eastAsia"/>
        </w:rPr>
        <w:t xml:space="preserve">行使的</w:t>
      </w:r>
      <w:r>
        <w:br/>
      </w:r>
      <w:r>
        <w:rPr>
          <w:rFonts w:hint="eastAsia"/>
        </w:rPr>
        <w:t xml:space="preserve">購股權數目</w:t>
      </w:r>
    </w:p>
    <w:p>
      <w:pPr>
        <w:pStyle w:val="BodyText"/>
      </w:pPr>
      <w:r>
        <w:rPr>
          <w:rFonts w:hint="eastAsia"/>
        </w:rPr>
        <w:t xml:space="preserve">於2020年</w:t>
      </w:r>
      <w:r>
        <w:br/>
      </w:r>
      <w:r>
        <w:rPr>
          <w:rFonts w:hint="eastAsia"/>
        </w:rPr>
        <w:t xml:space="preserve">12月31日</w:t>
      </w:r>
      <w:r>
        <w:br/>
      </w:r>
      <w:r>
        <w:rPr>
          <w:rFonts w:hint="eastAsia"/>
        </w:rPr>
        <w:t xml:space="preserve">未經行使的</w:t>
      </w:r>
      <w:r>
        <w:br/>
      </w:r>
      <w:r>
        <w:rPr>
          <w:rFonts w:hint="eastAsia"/>
        </w:rPr>
        <w:t xml:space="preserve">購股權數目(19)</w:t>
      </w:r>
    </w:p>
    <w:p>
      <w:pPr>
        <w:pStyle w:val="BodyText"/>
      </w:pPr>
      <w:r>
        <w:rPr>
          <w:rFonts w:hint="eastAsia"/>
        </w:rPr>
        <w:t xml:space="preserve">行使價</w:t>
      </w:r>
      <w:r>
        <w:br/>
      </w:r>
      <w:r>
        <w:rPr>
          <w:rFonts w:hint="eastAsia"/>
        </w:rPr>
        <w:t xml:space="preserve">（港元）</w:t>
      </w:r>
    </w:p>
    <w:p>
      <w:pPr>
        <w:pStyle w:val="BodyText"/>
      </w:pPr>
      <w:r>
        <w:rPr>
          <w:rFonts w:hint="eastAsia"/>
        </w:rPr>
        <w:t xml:space="preserve">於緊接</w:t>
      </w:r>
      <w:r>
        <w:br/>
      </w:r>
      <w:r>
        <w:rPr>
          <w:rFonts w:hint="eastAsia"/>
        </w:rPr>
        <w:t xml:space="preserve">購股權</w:t>
      </w:r>
      <w:r>
        <w:br/>
      </w:r>
      <w:r>
        <w:rPr>
          <w:rFonts w:hint="eastAsia"/>
        </w:rPr>
        <w:t xml:space="preserve">行使日期</w:t>
      </w:r>
      <w:r>
        <w:br/>
      </w:r>
      <w:r>
        <w:rPr>
          <w:rFonts w:hint="eastAsia"/>
        </w:rPr>
        <w:t xml:space="preserve">之前的加權</w:t>
      </w:r>
      <w:r>
        <w:br/>
      </w:r>
      <w:r>
        <w:rPr>
          <w:rFonts w:hint="eastAsia"/>
        </w:rPr>
        <w:t xml:space="preserve">平均收市價</w:t>
      </w:r>
      <w:r>
        <w:br/>
      </w:r>
      <w:r>
        <w:rPr>
          <w:rFonts w:hint="eastAsia"/>
        </w:rPr>
        <w:t xml:space="preserve">（港元）</w:t>
      </w:r>
    </w:p>
    <w:p>
      <w:pPr>
        <w:pStyle w:val="BodyText"/>
      </w:pPr>
      <w:r>
        <w:t xml:space="preserve">–</w:t>
      </w:r>
    </w:p>
    <w:p>
      <w:pPr>
        <w:pStyle w:val="BodyText"/>
      </w:pPr>
      <w:r>
        <w:t xml:space="preserve">–</w:t>
      </w:r>
    </w:p>
    <w:p>
      <w:pPr>
        <w:pStyle w:val="BodyText"/>
      </w:pPr>
      <w:r>
        <w:t xml:space="preserve">68.10</w:t>
      </w:r>
    </w:p>
    <w:p>
      <w:pPr>
        <w:pStyle w:val="BodyText"/>
      </w:pPr>
      <w:r>
        <w:t xml:space="preserve">1,197,133</w:t>
      </w:r>
    </w:p>
    <w:p>
      <w:pPr>
        <w:pStyle w:val="BodyText"/>
      </w:pPr>
      <w:r>
        <w:rPr>
          <w:rFonts w:hint="eastAsia"/>
        </w:rPr>
        <w:t xml:space="preserve">不適用</w:t>
      </w:r>
    </w:p>
    <w:p>
      <w:pPr>
        <w:pStyle w:val="BodyText"/>
      </w:pPr>
      <w:r>
        <w:rPr>
          <w:rFonts w:hint="eastAsia"/>
        </w:rPr>
        <w:t xml:space="preserve">集團首席</w:t>
      </w:r>
      <w:r>
        <w:br/>
      </w:r>
      <w:r>
        <w:rPr>
          <w:rFonts w:hint="eastAsia"/>
        </w:rPr>
        <w:t xml:space="preserve">執行官兼總裁、</w:t>
      </w:r>
      <w:r>
        <w:br/>
      </w:r>
      <w:r>
        <w:rPr>
          <w:rFonts w:hint="eastAsia"/>
        </w:rPr>
        <w:t xml:space="preserve">主要管理人員及</w:t>
      </w:r>
      <w:r>
        <w:br/>
      </w:r>
      <w:r>
        <w:rPr>
          <w:rFonts w:hint="eastAsia"/>
        </w:rPr>
        <w:t xml:space="preserve">其他合資格</w:t>
      </w:r>
      <w:r>
        <w:br/>
      </w:r>
      <w:r>
        <w:rPr>
          <w:rFonts w:hint="eastAsia"/>
        </w:rPr>
        <w:t xml:space="preserve">僱員及參與者</w:t>
      </w:r>
    </w:p>
    <w:p>
      <w:pPr>
        <w:pStyle w:val="BodyText"/>
      </w:pPr>
      <w:r>
        <w:rPr>
          <w:rFonts w:hint="eastAsia"/>
        </w:rPr>
        <w:t xml:space="preserve">集團首席執行官</w:t>
      </w:r>
      <w:r>
        <w:br/>
      </w:r>
      <w:r>
        <w:rPr>
          <w:rFonts w:hint="eastAsia"/>
        </w:rPr>
        <w:t xml:space="preserve">兼總裁</w:t>
      </w:r>
      <w:r>
        <w:br/>
      </w:r>
      <w:r>
        <w:rPr>
          <w:rFonts w:hint="eastAsia"/>
        </w:rPr>
        <w:t xml:space="preserve">李源祥先生</w:t>
      </w:r>
    </w:p>
    <w:p>
      <w:pPr>
        <w:pStyle w:val="BodyText"/>
      </w:pPr>
      <w:r>
        <w:rPr>
          <w:rFonts w:hint="eastAsia"/>
        </w:rPr>
        <w:t xml:space="preserve">已退任集團首席</w:t>
      </w:r>
      <w:r>
        <w:br/>
      </w:r>
      <w:r>
        <w:rPr>
          <w:rFonts w:hint="eastAsia"/>
        </w:rPr>
        <w:t xml:space="preserve">執行官兼總裁(1)</w:t>
      </w:r>
      <w:r>
        <w:br/>
      </w:r>
      <w:r>
        <w:t xml:space="preserve">Ng Keng </w:t>
      </w:r>
      <w:r>
        <w:rPr>
          <w:rFonts w:hint="eastAsia"/>
        </w:rPr>
        <w:t xml:space="preserve">Hooi先生</w:t>
      </w:r>
    </w:p>
    <w:p>
      <w:pPr>
        <w:pStyle w:val="BodyText"/>
      </w:pPr>
      <w:r>
        <w:rPr>
          <w:rFonts w:hint="eastAsia"/>
        </w:rPr>
        <w:t xml:space="preserve">主要管理人員</w:t>
      </w:r>
      <w:r>
        <w:br/>
      </w:r>
      <w:r>
        <w:rPr>
          <w:rFonts w:hint="eastAsia"/>
        </w:rPr>
        <w:t xml:space="preserve">（不包括現任及</w:t>
      </w:r>
      <w:r>
        <w:br/>
      </w:r>
      <w:r>
        <w:rPr>
          <w:rFonts w:hint="eastAsia"/>
        </w:rPr>
        <w:t xml:space="preserve">已退任集團首席</w:t>
      </w:r>
      <w:r>
        <w:br/>
      </w:r>
      <w:r>
        <w:rPr>
          <w:rFonts w:hint="eastAsia"/>
        </w:rPr>
        <w:t xml:space="preserve">執行官兼總裁）</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732,574</w:t>
      </w:r>
    </w:p>
    <w:p>
      <w:pPr>
        <w:pStyle w:val="BodyText"/>
      </w:pPr>
      <w:r>
        <w:t xml:space="preserve">476,786</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2,430,952</w:t>
      </w:r>
    </w:p>
    <w:p>
      <w:pPr>
        <w:pStyle w:val="BodyText"/>
      </w:pPr>
      <w:r>
        <w:t xml:space="preserve">25/3/2020</w:t>
      </w:r>
    </w:p>
    <w:p>
      <w:pPr>
        <w:pStyle w:val="BodyText"/>
      </w:pPr>
      <w:r>
        <w:t xml:space="preserve">25/3/2023 - 24/3/2030 (4)</w:t>
      </w:r>
    </w:p>
    <w:p>
      <w:pPr>
        <w:pStyle w:val="BodyText"/>
      </w:pPr>
      <w:r>
        <w:t xml:space="preserve">–</w:t>
      </w:r>
    </w:p>
    <w:p>
      <w:pPr>
        <w:pStyle w:val="BodyText"/>
      </w:pPr>
      <w:r>
        <w:t xml:space="preserve">1,197,133</w:t>
      </w:r>
    </w:p>
    <w:p>
      <w:pPr>
        <w:pStyle w:val="BodyText"/>
      </w:pPr>
      <w:r>
        <w:t xml:space="preserve">5/3/2014</w:t>
      </w:r>
    </w:p>
    <w:p>
      <w:pPr>
        <w:pStyle w:val="BodyText"/>
      </w:pPr>
      <w:r>
        <w:t xml:space="preserve">5/3/2017 - 4/3/2024 (5)</w:t>
      </w:r>
    </w:p>
    <w:p>
      <w:pPr>
        <w:pStyle w:val="BodyText"/>
      </w:pPr>
      <w:r>
        <w:t xml:space="preserve">602,486</w:t>
      </w:r>
    </w:p>
    <w:p>
      <w:pPr>
        <w:pStyle w:val="BodyText"/>
      </w:pPr>
      <w:r>
        <w:t xml:space="preserve">12/3/2015</w:t>
      </w:r>
    </w:p>
    <w:p>
      <w:pPr>
        <w:pStyle w:val="BodyText"/>
      </w:pPr>
      <w:r>
        <w:t xml:space="preserve">12/3/2018 - 11/3/2025 (6)</w:t>
      </w:r>
    </w:p>
    <w:p>
      <w:pPr>
        <w:pStyle w:val="BodyText"/>
      </w:pPr>
      <w:r>
        <w:t xml:space="preserve">541,692</w:t>
      </w:r>
    </w:p>
    <w:p>
      <w:pPr>
        <w:pStyle w:val="BodyText"/>
      </w:pPr>
      <w:r>
        <w:t xml:space="preserve">9/3/2016</w:t>
      </w:r>
    </w:p>
    <w:p>
      <w:pPr>
        <w:pStyle w:val="BodyText"/>
      </w:pPr>
      <w:r>
        <w:t xml:space="preserve">9/3/2019 - 8/3/2026 (7)</w:t>
      </w:r>
    </w:p>
    <w:p>
      <w:pPr>
        <w:pStyle w:val="BodyText"/>
      </w:pPr>
      <w:r>
        <w:t xml:space="preserve">851,026</w:t>
      </w:r>
    </w:p>
    <w:p>
      <w:pPr>
        <w:pStyle w:val="BodyText"/>
      </w:pPr>
      <w:r>
        <w:t xml:space="preserve">10/3/2017</w:t>
      </w:r>
    </w:p>
    <w:p>
      <w:pPr>
        <w:pStyle w:val="BodyText"/>
      </w:pPr>
      <w:r>
        <w:t xml:space="preserve">10/3/2020 - 9/3/2027 (8)</w:t>
      </w:r>
    </w:p>
    <w:p>
      <w:pPr>
        <w:pStyle w:val="BodyText"/>
      </w:pPr>
      <w:r>
        <w:t xml:space="preserve">732,574</w:t>
      </w:r>
    </w:p>
    <w:p>
      <w:pPr>
        <w:pStyle w:val="BodyText"/>
      </w:pPr>
      <w:r>
        <w:t xml:space="preserve">31/7/2017</w:t>
      </w:r>
    </w:p>
    <w:p>
      <w:pPr>
        <w:pStyle w:val="BodyText"/>
      </w:pPr>
      <w:r>
        <w:t xml:space="preserve">1/6/2020 - 30/7/2027 (9)</w:t>
      </w:r>
    </w:p>
    <w:p>
      <w:pPr>
        <w:pStyle w:val="BodyText"/>
      </w:pPr>
      <w:r>
        <w:t xml:space="preserve">476,786</w:t>
      </w:r>
    </w:p>
    <w:p>
      <w:pPr>
        <w:pStyle w:val="BodyText"/>
      </w:pPr>
      <w:r>
        <w:t xml:space="preserve">15/3/2018</w:t>
      </w:r>
    </w:p>
    <w:p>
      <w:pPr>
        <w:pStyle w:val="BodyText"/>
      </w:pPr>
      <w:r>
        <w:t xml:space="preserve">15/3/2021 - 14/3/2028 (10) 1,105,066</w:t>
      </w:r>
    </w:p>
    <w:p>
      <w:pPr>
        <w:pStyle w:val="BodyText"/>
      </w:pPr>
      <w:r>
        <w:t xml:space="preserve">27/3/2019</w:t>
      </w:r>
    </w:p>
    <w:p>
      <w:pPr>
        <w:pStyle w:val="BodyText"/>
      </w:pPr>
      <w:r>
        <w:t xml:space="preserve">27/3/2022 - 26/3/2029 (11) 1,115,158</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25/3/2020</w:t>
      </w:r>
    </w:p>
    <w:p>
      <w:pPr>
        <w:pStyle w:val="BodyText"/>
      </w:pPr>
      <w:r>
        <w:t xml:space="preserve">25/3/2023 - 24/3/2030 (4)</w:t>
      </w:r>
    </w:p>
    <w:p>
      <w:pPr>
        <w:pStyle w:val="BodyText"/>
      </w:pPr>
      <w:r>
        <w:t xml:space="preserve">–</w:t>
      </w:r>
    </w:p>
    <w:p>
      <w:pPr>
        <w:pStyle w:val="BodyText"/>
      </w:pPr>
      <w:r>
        <w:t xml:space="preserve">1,360,379</w:t>
      </w:r>
    </w:p>
    <w:p>
      <w:pPr>
        <w:pStyle w:val="BodyText"/>
      </w:pPr>
      <w:r>
        <w:t xml:space="preserve">1/6/2011</w:t>
      </w:r>
    </w:p>
    <w:p>
      <w:pPr>
        <w:pStyle w:val="BodyText"/>
      </w:pPr>
      <w:r>
        <w:t xml:space="preserve">1/4/2014 - 31/5/2021 (12)</w:t>
      </w:r>
    </w:p>
    <w:p>
      <w:pPr>
        <w:pStyle w:val="BodyText"/>
      </w:pPr>
      <w:r>
        <w:t xml:space="preserve">100,000</w:t>
      </w:r>
    </w:p>
    <w:p>
      <w:pPr>
        <w:pStyle w:val="BodyText"/>
      </w:pPr>
      <w:r>
        <w:t xml:space="preserve">15/3/2012</w:t>
      </w:r>
    </w:p>
    <w:p>
      <w:pPr>
        <w:pStyle w:val="BodyText"/>
      </w:pPr>
      <w:r>
        <w:t xml:space="preserve">15/3/2015 - 14/3/2022 (13)</w:t>
      </w:r>
    </w:p>
    <w:p>
      <w:pPr>
        <w:pStyle w:val="BodyText"/>
      </w:pPr>
      <w:r>
        <w:t xml:space="preserve">544,337</w:t>
      </w:r>
    </w:p>
    <w:p>
      <w:pPr>
        <w:pStyle w:val="BodyText"/>
      </w:pPr>
      <w:r>
        <w:t xml:space="preserve">11/3/2013</w:t>
      </w:r>
    </w:p>
    <w:p>
      <w:pPr>
        <w:pStyle w:val="BodyText"/>
      </w:pPr>
      <w:r>
        <w:t xml:space="preserve">11/3/2016 - 10/3/2023 (14)</w:t>
      </w:r>
    </w:p>
    <w:p>
      <w:pPr>
        <w:pStyle w:val="BodyText"/>
      </w:pPr>
      <w:r>
        <w:t xml:space="preserve">593,011</w:t>
      </w:r>
    </w:p>
    <w:p>
      <w:pPr>
        <w:pStyle w:val="BodyText"/>
      </w:pPr>
      <w:r>
        <w:t xml:space="preserve">5/3/2014</w:t>
      </w:r>
    </w:p>
    <w:p>
      <w:pPr>
        <w:pStyle w:val="BodyText"/>
      </w:pPr>
      <w:r>
        <w:t xml:space="preserve">5/3/2017 - 4/3/2024 (5)</w:t>
      </w:r>
    </w:p>
    <w:p>
      <w:pPr>
        <w:pStyle w:val="BodyText"/>
      </w:pPr>
      <w:r>
        <w:t xml:space="preserve">527,584</w:t>
      </w:r>
    </w:p>
    <w:p>
      <w:pPr>
        <w:pStyle w:val="BodyText"/>
      </w:pPr>
      <w:r>
        <w:t xml:space="preserve">12/3/2015</w:t>
      </w:r>
    </w:p>
    <w:p>
      <w:pPr>
        <w:pStyle w:val="BodyText"/>
      </w:pPr>
      <w:r>
        <w:t xml:space="preserve">12/3/2018 - 11/3/2025 (6)</w:t>
      </w:r>
    </w:p>
    <w:p>
      <w:pPr>
        <w:pStyle w:val="BodyText"/>
      </w:pPr>
      <w:r>
        <w:t xml:space="preserve">473,259</w:t>
      </w:r>
    </w:p>
    <w:p>
      <w:pPr>
        <w:pStyle w:val="BodyText"/>
      </w:pPr>
      <w:r>
        <w:t xml:space="preserve">9/3/2016</w:t>
      </w:r>
    </w:p>
    <w:p>
      <w:pPr>
        <w:pStyle w:val="BodyText"/>
      </w:pPr>
      <w:r>
        <w:t xml:space="preserve">9/3/2019 - 8/3/2026 (7)</w:t>
      </w:r>
    </w:p>
    <w:p>
      <w:pPr>
        <w:pStyle w:val="BodyText"/>
      </w:pPr>
      <w:r>
        <w:t xml:space="preserve">1,413,600</w:t>
      </w:r>
    </w:p>
    <w:p>
      <w:pPr>
        <w:pStyle w:val="BodyText"/>
      </w:pPr>
      <w:r>
        <w:t xml:space="preserve">10/3/2017</w:t>
      </w:r>
    </w:p>
    <w:p>
      <w:pPr>
        <w:pStyle w:val="BodyText"/>
      </w:pPr>
      <w:r>
        <w:t xml:space="preserve">10/3/2020 - 9/3/2027 (8)</w:t>
      </w:r>
    </w:p>
    <w:p>
      <w:pPr>
        <w:pStyle w:val="BodyText"/>
      </w:pPr>
      <w:r>
        <w:t xml:space="preserve">2,430,952</w:t>
      </w:r>
    </w:p>
    <w:p>
      <w:pPr>
        <w:pStyle w:val="BodyText"/>
      </w:pPr>
      <w:r>
        <w:t xml:space="preserve">31/7/2017</w:t>
      </w:r>
    </w:p>
    <w:p>
      <w:pPr>
        <w:pStyle w:val="BodyText"/>
      </w:pPr>
      <w:r>
        <w:t xml:space="preserve">1/6/2020 - 30/7/2027 (9)</w:t>
      </w:r>
    </w:p>
    <w:p>
      <w:pPr>
        <w:pStyle w:val="BodyText"/>
      </w:pPr>
      <w:r>
        <w:t xml:space="preserve">697,732</w:t>
      </w:r>
    </w:p>
    <w:p>
      <w:pPr>
        <w:pStyle w:val="BodyText"/>
      </w:pPr>
      <w:r>
        <w:t xml:space="preserve">15/3/2018</w:t>
      </w:r>
    </w:p>
    <w:p>
      <w:pPr>
        <w:pStyle w:val="BodyText"/>
      </w:pPr>
      <w:r>
        <w:t xml:space="preserve">15/3/2021 - 14/3/2028 (10) 2,627,326</w:t>
      </w:r>
    </w:p>
    <w:p>
      <w:pPr>
        <w:pStyle w:val="BodyText"/>
      </w:pPr>
      <w:r>
        <w:t xml:space="preserve">12/9/2018</w:t>
      </w:r>
    </w:p>
    <w:p>
      <w:pPr>
        <w:pStyle w:val="BodyText"/>
      </w:pPr>
      <w:r>
        <w:t xml:space="preserve">12/9/2021 - 11/9/2028 (15)</w:t>
      </w:r>
    </w:p>
    <w:p>
      <w:pPr>
        <w:pStyle w:val="BodyText"/>
      </w:pPr>
      <w:r>
        <w:t xml:space="preserve">161,951</w:t>
      </w:r>
    </w:p>
    <w:p>
      <w:pPr>
        <w:pStyle w:val="BodyText"/>
      </w:pPr>
      <w:r>
        <w:t xml:space="preserve">27/3/2019</w:t>
      </w:r>
    </w:p>
    <w:p>
      <w:pPr>
        <w:pStyle w:val="BodyText"/>
      </w:pPr>
      <w:r>
        <w:t xml:space="preserve">27/3/2022 - 26/3/2029 (11) 2,575,511</w:t>
      </w:r>
    </w:p>
    <w:p>
      <w:pPr>
        <w:pStyle w:val="BodyText"/>
      </w:pPr>
      <w:r>
        <w:t xml:space="preserve">15/5/2019</w:t>
      </w:r>
    </w:p>
    <w:p>
      <w:pPr>
        <w:pStyle w:val="BodyText"/>
      </w:pPr>
      <w:r>
        <w:t xml:space="preserve">1/5/2022 - 14/5/2029 (16)</w:t>
      </w:r>
    </w:p>
    <w:p>
      <w:pPr>
        <w:pStyle w:val="BodyText"/>
      </w:pPr>
      <w:r>
        <w:t xml:space="preserve">72,856</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25/3/2020</w:t>
      </w:r>
    </w:p>
    <w:p>
      <w:pPr>
        <w:pStyle w:val="BodyText"/>
      </w:pPr>
      <w:r>
        <w:t xml:space="preserve">25/3/2023 - 24/3/2030 (4)</w:t>
      </w:r>
    </w:p>
    <w:p>
      <w:pPr>
        <w:pStyle w:val="BodyText"/>
      </w:pPr>
      <w:r>
        <w:t xml:space="preserve">–</w:t>
      </w:r>
    </w:p>
    <w:p>
      <w:pPr>
        <w:pStyle w:val="BodyText"/>
      </w:pPr>
      <w:r>
        <w:t xml:space="preserve">2,742,235</w:t>
      </w:r>
    </w:p>
    <w:p>
      <w:pPr>
        <w:pStyle w:val="BodyText"/>
      </w:pPr>
      <w:r>
        <w:rPr>
          <w:rFonts w:hint="eastAsia"/>
        </w:rPr>
        <w:t xml:space="preserve">其他合資格僱員及</w:t>
      </w:r>
      <w:r>
        <w:br/>
      </w:r>
      <w:r>
        <w:rPr>
          <w:rFonts w:hint="eastAsia"/>
        </w:rPr>
        <w:t xml:space="preserve">參與者</w:t>
      </w:r>
      <w:r>
        <w:t xml:space="preserve"> (2)</w:t>
      </w:r>
    </w:p>
    <w:p>
      <w:pPr>
        <w:pStyle w:val="BodyText"/>
      </w:pPr>
      <w:r>
        <w:t xml:space="preserve">1/6/2011</w:t>
      </w:r>
    </w:p>
    <w:p>
      <w:pPr>
        <w:pStyle w:val="BodyText"/>
      </w:pPr>
      <w:r>
        <w:t xml:space="preserve">1/4/2014 - 31/5/2021 (12)</w:t>
      </w:r>
    </w:p>
    <w:p>
      <w:pPr>
        <w:pStyle w:val="BodyText"/>
      </w:pPr>
      <w:r>
        <w:t xml:space="preserve">592,790</w:t>
      </w:r>
    </w:p>
    <w:p>
      <w:pPr>
        <w:pStyle w:val="BodyText"/>
      </w:pPr>
      <w:r>
        <w:t xml:space="preserve">1/6/2011</w:t>
      </w:r>
    </w:p>
    <w:p>
      <w:pPr>
        <w:pStyle w:val="BodyText"/>
      </w:pPr>
      <w:r>
        <w:t xml:space="preserve">1/4/2014 - 31/5/2021 (17)</w:t>
      </w:r>
    </w:p>
    <w:p>
      <w:pPr>
        <w:pStyle w:val="BodyText"/>
      </w:pPr>
      <w:r>
        <w:t xml:space="preserve">324,277</w:t>
      </w:r>
    </w:p>
    <w:p>
      <w:pPr>
        <w:pStyle w:val="BodyText"/>
      </w:pPr>
      <w:r>
        <w:t xml:space="preserve">15/3/2012</w:t>
      </w:r>
    </w:p>
    <w:p>
      <w:pPr>
        <w:pStyle w:val="BodyText"/>
      </w:pPr>
      <w:r>
        <w:t xml:space="preserve">15/3/2015 - 14/3/2022 (13)</w:t>
      </w:r>
    </w:p>
    <w:p>
      <w:pPr>
        <w:pStyle w:val="BodyText"/>
      </w:pPr>
      <w:r>
        <w:t xml:space="preserve">574,170</w:t>
      </w:r>
    </w:p>
    <w:p>
      <w:pPr>
        <w:pStyle w:val="BodyText"/>
      </w:pPr>
      <w:r>
        <w:t xml:space="preserve">11/3/2013</w:t>
      </w:r>
    </w:p>
    <w:p>
      <w:pPr>
        <w:pStyle w:val="BodyText"/>
      </w:pPr>
      <w:r>
        <w:t xml:space="preserve">11/3/2016 - 10/3/2023 (14)</w:t>
      </w:r>
    </w:p>
    <w:p>
      <w:pPr>
        <w:pStyle w:val="BodyText"/>
      </w:pPr>
      <w:r>
        <w:t xml:space="preserve">438,536</w:t>
      </w:r>
    </w:p>
    <w:p>
      <w:pPr>
        <w:pStyle w:val="BodyText"/>
      </w:pPr>
      <w:r>
        <w:t xml:space="preserve">5/3/2014</w:t>
      </w:r>
    </w:p>
    <w:p>
      <w:pPr>
        <w:pStyle w:val="BodyText"/>
      </w:pPr>
      <w:r>
        <w:t xml:space="preserve">5/3/2017 - 4/3/2024 (5)</w:t>
      </w:r>
    </w:p>
    <w:p>
      <w:pPr>
        <w:pStyle w:val="BodyText"/>
      </w:pPr>
      <w:r>
        <w:t xml:space="preserve">558,745</w:t>
      </w:r>
    </w:p>
    <w:p>
      <w:pPr>
        <w:pStyle w:val="BodyText"/>
      </w:pPr>
      <w:r>
        <w:t xml:space="preserve">12/3/2015</w:t>
      </w:r>
    </w:p>
    <w:p>
      <w:pPr>
        <w:pStyle w:val="BodyText"/>
      </w:pPr>
      <w:r>
        <w:t xml:space="preserve">12/3/2018 - 11/3/2025 (6)</w:t>
      </w:r>
    </w:p>
    <w:p>
      <w:pPr>
        <w:pStyle w:val="BodyText"/>
      </w:pPr>
      <w:r>
        <w:t xml:space="preserve">501,480</w:t>
      </w:r>
    </w:p>
    <w:p>
      <w:pPr>
        <w:pStyle w:val="BodyText"/>
      </w:pPr>
      <w:r>
        <w:t xml:space="preserve">9/3/2016</w:t>
      </w:r>
    </w:p>
    <w:p>
      <w:pPr>
        <w:pStyle w:val="BodyText"/>
      </w:pPr>
      <w:r>
        <w:t xml:space="preserve">9/3/2019 - 8/3/2026 (7)</w:t>
      </w:r>
    </w:p>
    <w:p>
      <w:pPr>
        <w:pStyle w:val="BodyText"/>
      </w:pPr>
      <w:r>
        <w:t xml:space="preserve">482,643</w:t>
      </w:r>
    </w:p>
    <w:p>
      <w:pPr>
        <w:pStyle w:val="BodyText"/>
      </w:pPr>
      <w:r>
        <w:t xml:space="preserve">10/3/2017</w:t>
      </w:r>
    </w:p>
    <w:p>
      <w:pPr>
        <w:pStyle w:val="BodyText"/>
      </w:pPr>
      <w:r>
        <w:t xml:space="preserve">10/3/2020 - 9/3/2027 (8)</w:t>
      </w:r>
    </w:p>
    <w:p>
      <w:pPr>
        <w:pStyle w:val="BodyText"/>
      </w:pPr>
      <w:r>
        <w:t xml:space="preserve">1,707,433</w:t>
      </w:r>
    </w:p>
    <w:p>
      <w:pPr>
        <w:pStyle w:val="BodyText"/>
      </w:pPr>
      <w:r>
        <w:t xml:space="preserve">31/7/2017</w:t>
      </w:r>
    </w:p>
    <w:p>
      <w:pPr>
        <w:pStyle w:val="BodyText"/>
      </w:pPr>
      <w:r>
        <w:t xml:space="preserve">1/6/2020 - 30/7/2027 (9)</w:t>
      </w:r>
    </w:p>
    <w:p>
      <w:pPr>
        <w:pStyle w:val="BodyText"/>
      </w:pPr>
      <w:r>
        <w:t xml:space="preserve">–</w:t>
      </w:r>
    </w:p>
    <w:p>
      <w:pPr>
        <w:pStyle w:val="BodyText"/>
      </w:pPr>
      <w:r>
        <w:t xml:space="preserve">15/3/2018</w:t>
      </w:r>
    </w:p>
    <w:p>
      <w:pPr>
        <w:pStyle w:val="BodyText"/>
      </w:pPr>
      <w:r>
        <w:t xml:space="preserve">15/3/2021 - 14/3/2028 (10)</w:t>
      </w:r>
    </w:p>
    <w:p>
      <w:pPr>
        <w:pStyle w:val="BodyText"/>
      </w:pPr>
      <w:r>
        <w:t xml:space="preserve">489,354</w:t>
      </w:r>
    </w:p>
    <w:p>
      <w:pPr>
        <w:pStyle w:val="BodyText"/>
      </w:pPr>
      <w:r>
        <w:t xml:space="preserve">27/3/2019</w:t>
      </w:r>
    </w:p>
    <w:p>
      <w:pPr>
        <w:pStyle w:val="BodyText"/>
      </w:pPr>
      <w:r>
        <w:t xml:space="preserve">27/3/2022 - 26/3/2029 (11)</w:t>
      </w:r>
    </w:p>
    <w:p>
      <w:pPr>
        <w:pStyle w:val="BodyText"/>
      </w:pPr>
      <w:r>
        <w:t xml:space="preserve">476,342</w:t>
      </w:r>
    </w:p>
    <w:p>
      <w:pPr>
        <w:pStyle w:val="BodyText"/>
      </w:pPr>
      <w:r>
        <w:t xml:space="preserve">15/5/2019</w:t>
      </w:r>
    </w:p>
    <w:p>
      <w:pPr>
        <w:pStyle w:val="BodyText"/>
      </w:pPr>
      <w:r>
        <w:t xml:space="preserve">1/5/2022 - 14/5/2029 (16)</w:t>
      </w:r>
    </w:p>
    <w:p>
      <w:pPr>
        <w:pStyle w:val="BodyText"/>
      </w:pPr>
      <w:r>
        <w:t xml:space="preserve">9,365</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25/3/2020</w:t>
      </w:r>
    </w:p>
    <w:p>
      <w:pPr>
        <w:pStyle w:val="BodyText"/>
      </w:pPr>
      <w:r>
        <w:t xml:space="preserve">25/3/2023 - 24/3/2030 (4)</w:t>
      </w:r>
    </w:p>
    <w:p>
      <w:pPr>
        <w:pStyle w:val="BodyText"/>
      </w:pPr>
      <w:r>
        <w:t xml:space="preserve">–</w:t>
      </w:r>
    </w:p>
    <w:p>
      <w:pPr>
        <w:pStyle w:val="BodyText"/>
      </w:pPr>
      <w:r>
        <w:t xml:space="preserve">556,921</w:t>
      </w:r>
    </w:p>
    <w:p>
      <w:pPr>
        <w:pStyle w:val="BodyText"/>
      </w:pPr>
      <w:r>
        <w:t xml:space="preserve">120</w:t>
      </w:r>
    </w:p>
    <w:p>
      <w:pPr>
        <w:pStyle w:val="BodyText"/>
      </w:pPr>
      <w:r>
        <w:t xml:space="preserve">(602,486)</w:t>
      </w:r>
    </w:p>
    <w:p>
      <w:pPr>
        <w:pStyle w:val="BodyText"/>
      </w:pPr>
      <w:r>
        <w:t xml:space="preserve">(541,692)</w:t>
      </w:r>
    </w:p>
    <w:p>
      <w:pPr>
        <w:pStyle w:val="BodyText"/>
      </w:pPr>
      <w:r>
        <w:t xml:space="preserve">(851,026)</w:t>
      </w:r>
    </w:p>
    <w:p>
      <w:pPr>
        <w:pStyle w:val="BodyText"/>
      </w:pPr>
      <w:r>
        <w:t xml:space="preserve">(732,574)</w:t>
      </w:r>
    </w:p>
    <w:p>
      <w:pPr>
        <w:pStyle w:val="BodyText"/>
      </w:pPr>
      <w:r>
        <w:t xml:space="preserve">(476,786)</w:t>
      </w:r>
    </w:p>
    <w:p>
      <w:pPr>
        <w:pStyle w:val="BodyText"/>
      </w:pPr>
      <w:r>
        <w:t xml:space="preserve">(1,105,066)</w:t>
      </w:r>
    </w:p>
    <w:p>
      <w:pPr>
        <w:pStyle w:val="BodyText"/>
      </w:pPr>
      <w:r>
        <w:t xml:space="preserve">(1,115,158)</w:t>
      </w:r>
    </w:p>
    <w:p>
      <w:pPr>
        <w:pStyle w:val="BodyText"/>
      </w:pPr>
      <w:r>
        <w:t xml:space="preserve">(1,360,379)</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37.56</w:t>
      </w:r>
    </w:p>
    <w:p>
      <w:pPr>
        <w:pStyle w:val="BodyText"/>
      </w:pPr>
      <w:r>
        <w:t xml:space="preserve">47.73</w:t>
      </w:r>
    </w:p>
    <w:p>
      <w:pPr>
        <w:pStyle w:val="BodyText"/>
      </w:pPr>
      <w:r>
        <w:t xml:space="preserve">41.90</w:t>
      </w:r>
    </w:p>
    <w:p>
      <w:pPr>
        <w:pStyle w:val="BodyText"/>
      </w:pPr>
      <w:r>
        <w:t xml:space="preserve">50.30</w:t>
      </w:r>
    </w:p>
    <w:p>
      <w:pPr>
        <w:pStyle w:val="BodyText"/>
      </w:pPr>
      <w:r>
        <w:t xml:space="preserve">61.55</w:t>
      </w:r>
    </w:p>
    <w:p>
      <w:pPr>
        <w:pStyle w:val="BodyText"/>
      </w:pPr>
      <w:r>
        <w:t xml:space="preserve">67.15</w:t>
      </w:r>
    </w:p>
    <w:p>
      <w:pPr>
        <w:pStyle w:val="BodyText"/>
      </w:pPr>
      <w:r>
        <w:t xml:space="preserve">76.38</w:t>
      </w:r>
    </w:p>
    <w:p>
      <w:pPr>
        <w:pStyle w:val="BodyText"/>
      </w:pPr>
      <w:r>
        <w:t xml:space="preserve">68.10</w:t>
      </w:r>
    </w:p>
    <w:p>
      <w:pPr>
        <w:pStyle w:val="BodyText"/>
      </w:pPr>
      <w:r>
        <w:t xml:space="preserve">(100,000)</w:t>
      </w:r>
    </w:p>
    <w:p>
      <w:pPr>
        <w:pStyle w:val="BodyText"/>
      </w:pPr>
      <w:r>
        <w:t xml:space="preserve">27.35</w:t>
      </w:r>
    </w:p>
    <w:p>
      <w:pPr>
        <w:pStyle w:val="BodyText"/>
      </w:pPr>
      <w:r>
        <w:t xml:space="preserve">(544,337)</w:t>
      </w:r>
    </w:p>
    <w:p>
      <w:pPr>
        <w:pStyle w:val="BodyText"/>
      </w:pPr>
      <w:r>
        <w:t xml:space="preserve">28.40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(516,074)</w:t>
      </w:r>
    </w:p>
    <w:p>
      <w:pPr>
        <w:pStyle w:val="BodyText"/>
      </w:pPr>
      <w:r>
        <w:t xml:space="preserve">34.35</w:t>
      </w:r>
    </w:p>
    <w:p>
      <w:pPr>
        <w:pStyle w:val="BodyText"/>
      </w:pPr>
      <w:r>
        <w:t xml:space="preserve">76,937</w:t>
      </w:r>
    </w:p>
    <w:p>
      <w:pPr>
        <w:pStyle w:val="BodyText"/>
      </w:pPr>
      <w:r>
        <w:t xml:space="preserve">–</w:t>
      </w:r>
    </w:p>
    <w:p>
      <w:pPr>
        <w:pStyle w:val="BodyText"/>
      </w:pPr>
      <w:r>
        <w:t xml:space="preserve">–</w:t>
      </w:r>
    </w:p>
    <w:p>
      <w:pPr>
        <w:pStyle w:val="BodyText"/>
      </w:pPr>
      <w:r>
        <w:t xml:space="preserve">–</w:t>
      </w:r>
    </w:p>
    <w:p>
      <w:pPr>
        <w:pStyle w:val="BodyText"/>
      </w:pPr>
      <w:r>
        <w:t xml:space="preserve">37.56</w:t>
      </w:r>
    </w:p>
    <w:p>
      <w:pPr>
        <w:pStyle w:val="BodyText"/>
      </w:pPr>
      <w:r>
        <w:t xml:space="preserve">47.73</w:t>
      </w:r>
    </w:p>
    <w:p>
      <w:pPr>
        <w:pStyle w:val="BodyText"/>
      </w:pPr>
      <w:r>
        <w:t xml:space="preserve">527,584</w:t>
      </w:r>
    </w:p>
    <w:p>
      <w:pPr>
        <w:pStyle w:val="BodyText"/>
      </w:pPr>
      <w:r>
        <w:t xml:space="preserve">473,259</w:t>
      </w:r>
    </w:p>
    <w:p>
      <w:pPr>
        <w:pStyle w:val="BodyText"/>
      </w:pPr>
      <w:r>
        <w:t xml:space="preserve">41.90</w:t>
      </w:r>
    </w:p>
    <w:p>
      <w:pPr>
        <w:pStyle w:val="BodyText"/>
      </w:pPr>
      <w:r>
        <w:t xml:space="preserve">1,413,600</w:t>
      </w:r>
    </w:p>
    <w:p>
      <w:pPr>
        <w:pStyle w:val="BodyText"/>
      </w:pPr>
      <w:r>
        <w:t xml:space="preserve">(931,188)</w:t>
      </w:r>
    </w:p>
    <w:p>
      <w:pPr>
        <w:pStyle w:val="BodyText"/>
      </w:pPr>
      <w:r>
        <w:t xml:space="preserve">50.30</w:t>
      </w:r>
    </w:p>
    <w:p>
      <w:pPr>
        <w:pStyle w:val="BodyText"/>
      </w:pPr>
      <w:r>
        <w:t xml:space="preserve">1,499,764</w:t>
      </w:r>
    </w:p>
    <w:p>
      <w:pPr>
        <w:pStyle w:val="BodyText"/>
      </w:pPr>
      <w:r>
        <w:t xml:space="preserve">525,460</w:t>
      </w:r>
    </w:p>
    <w:p>
      <w:pPr>
        <w:pStyle w:val="BodyText"/>
      </w:pPr>
      <w:r>
        <w:t xml:space="preserve">(172,272)</w:t>
      </w:r>
    </w:p>
    <w:p>
      <w:pPr>
        <w:pStyle w:val="BodyText"/>
      </w:pPr>
      <w:r>
        <w:t xml:space="preserve">(171,810)</w:t>
      </w:r>
    </w:p>
    <w:p>
      <w:pPr>
        <w:pStyle w:val="BodyText"/>
      </w:pPr>
      <w:r>
        <w:t xml:space="preserve">61.55</w:t>
      </w:r>
    </w:p>
    <w:p>
      <w:pPr>
        <w:pStyle w:val="BodyText"/>
      </w:pPr>
      <w:r>
        <w:t xml:space="preserve">353,650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1,707,433</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(276,267)</w:t>
      </w:r>
    </w:p>
    <w:p>
      <w:pPr>
        <w:pStyle w:val="BodyText"/>
      </w:pPr>
      <w:r>
        <w:t xml:space="preserve">(161,951)</w:t>
      </w:r>
    </w:p>
    <w:p>
      <w:pPr>
        <w:pStyle w:val="BodyText"/>
      </w:pPr>
      <w:r>
        <w:t xml:space="preserve">(380,169)</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602,486</w:t>
      </w:r>
    </w:p>
    <w:p>
      <w:pPr>
        <w:pStyle w:val="BodyText"/>
      </w:pPr>
      <w:r>
        <w:t xml:space="preserve">541,692</w:t>
      </w:r>
    </w:p>
    <w:p>
      <w:pPr>
        <w:pStyle w:val="BodyText"/>
      </w:pPr>
      <w:r>
        <w:t xml:space="preserve">851,026</w:t>
      </w:r>
    </w:p>
    <w:p>
      <w:pPr>
        <w:pStyle w:val="BodyText"/>
      </w:pPr>
      <w:r>
        <w:t xml:space="preserve">732,574</w:t>
      </w:r>
    </w:p>
    <w:p>
      <w:pPr>
        <w:pStyle w:val="BodyText"/>
      </w:pPr>
      <w:r>
        <w:t xml:space="preserve">476,786</w:t>
      </w:r>
    </w:p>
    <w:p>
      <w:pPr>
        <w:pStyle w:val="BodyText"/>
      </w:pPr>
      <w:r>
        <w:t xml:space="preserve">1,061,957</w:t>
      </w:r>
    </w:p>
    <w:p>
      <w:pPr>
        <w:pStyle w:val="BodyText"/>
      </w:pPr>
      <w:r>
        <w:t xml:space="preserve">1,074,941</w:t>
      </w:r>
    </w:p>
    <w:p>
      <w:pPr>
        <w:pStyle w:val="BodyText"/>
      </w:pPr>
      <w:r>
        <w:t xml:space="preserve">–</w:t>
      </w:r>
    </w:p>
    <w:p>
      <w:pPr>
        <w:pStyle w:val="BodyText"/>
      </w:pPr>
      <w:r>
        <w:t xml:space="preserve">1,360,379</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67.15</w:t>
      </w:r>
    </w:p>
    <w:p>
      <w:pPr>
        <w:pStyle w:val="BodyText"/>
      </w:pPr>
      <w:r>
        <w:t xml:space="preserve">2,351,059</w:t>
      </w:r>
    </w:p>
    <w:p>
      <w:pPr>
        <w:pStyle w:val="BodyText"/>
      </w:pPr>
      <w:r>
        <w:t xml:space="preserve">63.64</w:t>
      </w:r>
    </w:p>
    <w:p>
      <w:pPr>
        <w:pStyle w:val="BodyText"/>
      </w:pPr>
      <w:r>
        <w:t xml:space="preserve">–</w:t>
      </w:r>
    </w:p>
    <w:p>
      <w:pPr>
        <w:pStyle w:val="BodyText"/>
      </w:pPr>
      <w:r>
        <w:t xml:space="preserve">76.38</w:t>
      </w:r>
    </w:p>
    <w:p>
      <w:pPr>
        <w:pStyle w:val="BodyText"/>
      </w:pPr>
      <w:r>
        <w:t xml:space="preserve">2,195,342</w:t>
      </w:r>
    </w:p>
    <w:p>
      <w:pPr>
        <w:pStyle w:val="BodyText"/>
      </w:pPr>
      <w:r>
        <w:t xml:space="preserve">78.70</w:t>
      </w:r>
    </w:p>
    <w:p>
      <w:pPr>
        <w:pStyle w:val="BodyText"/>
      </w:pPr>
      <w:r>
        <w:t xml:space="preserve">72,856</w:t>
      </w:r>
    </w:p>
    <w:p>
      <w:pPr>
        <w:pStyle w:val="BodyText"/>
      </w:pPr>
      <w:r>
        <w:t xml:space="preserve">68.10</w:t>
      </w:r>
    </w:p>
    <w:p>
      <w:pPr>
        <w:pStyle w:val="BodyText"/>
      </w:pPr>
      <w:r>
        <w:t xml:space="preserve">2,742,235</w:t>
      </w:r>
    </w:p>
    <w:p>
      <w:pPr>
        <w:pStyle w:val="BodyText"/>
      </w:pPr>
      <w:r>
        <w:t xml:space="preserve">(356,929)</w:t>
      </w:r>
    </w:p>
    <w:p>
      <w:pPr>
        <w:pStyle w:val="BodyText"/>
      </w:pPr>
      <w:r>
        <w:t xml:space="preserve">27.35</w:t>
      </w:r>
    </w:p>
    <w:p>
      <w:pPr>
        <w:pStyle w:val="BodyText"/>
      </w:pPr>
      <w:r>
        <w:t xml:space="preserve">235,861</w:t>
      </w:r>
    </w:p>
    <w:p>
      <w:pPr>
        <w:pStyle w:val="BodyText"/>
      </w:pPr>
      <w:r>
        <w:t xml:space="preserve">(106,820)</w:t>
      </w:r>
    </w:p>
    <w:p>
      <w:pPr>
        <w:pStyle w:val="BodyText"/>
      </w:pPr>
      <w:r>
        <w:t xml:space="preserve">27.35</w:t>
      </w:r>
    </w:p>
    <w:p>
      <w:pPr>
        <w:pStyle w:val="BodyText"/>
      </w:pPr>
      <w:r>
        <w:t xml:space="preserve">217,457</w:t>
      </w:r>
    </w:p>
    <w:p>
      <w:pPr>
        <w:pStyle w:val="BodyText"/>
      </w:pPr>
      <w:r>
        <w:t xml:space="preserve">–</w:t>
      </w:r>
    </w:p>
    <w:p>
      <w:pPr>
        <w:pStyle w:val="BodyText"/>
      </w:pPr>
      <w:r>
        <w:t xml:space="preserve">–</w:t>
      </w:r>
    </w:p>
    <w:p>
      <w:pPr>
        <w:pStyle w:val="BodyText"/>
      </w:pPr>
      <w:r>
        <w:t xml:space="preserve">28.40</w:t>
      </w:r>
    </w:p>
    <w:p>
      <w:pPr>
        <w:pStyle w:val="BodyText"/>
      </w:pPr>
      <w:r>
        <w:t xml:space="preserve">34.35</w:t>
      </w:r>
    </w:p>
    <w:p>
      <w:pPr>
        <w:pStyle w:val="BodyText"/>
      </w:pPr>
      <w:r>
        <w:t xml:space="preserve">574,170</w:t>
      </w:r>
    </w:p>
    <w:p>
      <w:pPr>
        <w:pStyle w:val="BodyText"/>
      </w:pPr>
      <w:r>
        <w:t xml:space="preserve">438,536</w:t>
      </w:r>
    </w:p>
    <w:p>
      <w:pPr>
        <w:pStyle w:val="BodyText"/>
      </w:pPr>
      <w:r>
        <w:t xml:space="preserve">(880,279)</w:t>
      </w:r>
    </w:p>
    <w:p>
      <w:pPr>
        <w:pStyle w:val="BodyText"/>
      </w:pPr>
      <w:r>
        <w:t xml:space="preserve">37.56</w:t>
      </w:r>
    </w:p>
    <w:p>
      <w:pPr>
        <w:pStyle w:val="BodyText"/>
      </w:pPr>
      <w:r>
        <w:t xml:space="preserve">280,952</w:t>
      </w:r>
    </w:p>
    <w:p>
      <w:pPr>
        <w:pStyle w:val="BodyText"/>
      </w:pPr>
      <w:r>
        <w:t xml:space="preserve">(16,819)</w:t>
      </w:r>
    </w:p>
    <w:p>
      <w:pPr>
        <w:pStyle w:val="BodyText"/>
      </w:pPr>
      <w:r>
        <w:t xml:space="preserve">47.73</w:t>
      </w:r>
    </w:p>
    <w:p>
      <w:pPr>
        <w:pStyle w:val="BodyText"/>
      </w:pPr>
      <w:r>
        <w:t xml:space="preserve">1,026,353</w:t>
      </w:r>
    </w:p>
    <w:p>
      <w:pPr>
        <w:pStyle w:val="BodyText"/>
      </w:pPr>
      <w:r>
        <w:t xml:space="preserve">(922,083)</w:t>
      </w:r>
    </w:p>
    <w:p>
      <w:pPr>
        <w:pStyle w:val="BodyText"/>
      </w:pPr>
      <w:r>
        <w:t xml:space="preserve">41.90</w:t>
      </w:r>
    </w:p>
    <w:p>
      <w:pPr>
        <w:pStyle w:val="BodyText"/>
      </w:pPr>
      <w:r>
        <w:t xml:space="preserve">411,586</w:t>
      </w:r>
    </w:p>
    <w:p>
      <w:pPr>
        <w:pStyle w:val="BodyText"/>
      </w:pPr>
      <w:r>
        <w:t xml:space="preserve">(330,577)</w:t>
      </w:r>
    </w:p>
    <w:p>
      <w:pPr>
        <w:pStyle w:val="BodyText"/>
      </w:pPr>
      <w:r>
        <w:t xml:space="preserve">50.30</w:t>
      </w:r>
    </w:p>
    <w:p>
      <w:pPr>
        <w:pStyle w:val="BodyText"/>
      </w:pPr>
      <w:r>
        <w:t xml:space="preserve">2,109,430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61.55</w:t>
      </w:r>
    </w:p>
    <w:p>
      <w:pPr>
        <w:pStyle w:val="BodyText"/>
      </w:pPr>
      <w:r>
        <w:t xml:space="preserve">476,786</w:t>
      </w:r>
    </w:p>
    <w:p>
      <w:pPr>
        <w:pStyle w:val="BodyText"/>
      </w:pPr>
      <w:r>
        <w:t xml:space="preserve">67.15</w:t>
      </w:r>
    </w:p>
    <w:p>
      <w:pPr>
        <w:pStyle w:val="BodyText"/>
      </w:pPr>
      <w:r>
        <w:t xml:space="preserve">1,551,311</w:t>
      </w:r>
    </w:p>
    <w:p>
      <w:pPr>
        <w:pStyle w:val="BodyText"/>
      </w:pPr>
      <w:r>
        <w:t xml:space="preserve">76.38</w:t>
      </w:r>
    </w:p>
    <w:p>
      <w:pPr>
        <w:pStyle w:val="BodyText"/>
      </w:pPr>
      <w:r>
        <w:t xml:space="preserve">1,551,283</w:t>
      </w:r>
    </w:p>
    <w:p>
      <w:pPr>
        <w:pStyle w:val="BodyText"/>
      </w:pPr>
      <w:r>
        <w:t xml:space="preserve">78.70</w:t>
      </w:r>
    </w:p>
    <w:p>
      <w:pPr>
        <w:pStyle w:val="BodyText"/>
      </w:pPr>
      <w:r>
        <w:t xml:space="preserve">9,365</w:t>
      </w:r>
    </w:p>
    <w:p>
      <w:pPr>
        <w:pStyle w:val="BodyText"/>
      </w:pPr>
      <w:r>
        <w:t xml:space="preserve">68.10</w:t>
      </w:r>
    </w:p>
    <w:p>
      <w:pPr>
        <w:pStyle w:val="BodyText"/>
      </w:pPr>
      <w:r>
        <w:t xml:space="preserve">1,917,300</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t xml:space="preserve">71.60</w:t>
      </w:r>
    </w:p>
    <w:p>
      <w:pPr>
        <w:pStyle w:val="BodyText"/>
      </w:pPr>
      <w:r>
        <w:t xml:space="preserve">75.04</w:t>
      </w:r>
    </w:p>
    <w:p>
      <w:pPr>
        <w:pStyle w:val="BodyText"/>
      </w:pPr>
      <w:r>
        <w:t xml:space="preserve">88.24</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t xml:space="preserve">74.84</w:t>
      </w:r>
    </w:p>
    <w:p>
      <w:pPr>
        <w:pStyle w:val="BodyText"/>
      </w:pPr>
      <w:r>
        <w:t xml:space="preserve">74.84</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t xml:space="preserve">81.78</w:t>
      </w:r>
    </w:p>
    <w:p>
      <w:pPr>
        <w:pStyle w:val="BodyText"/>
      </w:pPr>
      <w:r>
        <w:t xml:space="preserve">85.14</w:t>
      </w:r>
    </w:p>
    <w:p>
      <w:pPr>
        <w:pStyle w:val="BodyText"/>
      </w:pPr>
      <w:r>
        <w:rPr>
          <w:rFonts w:hint="eastAsia"/>
        </w:rPr>
        <w:t xml:space="preserve">不適用</w:t>
      </w:r>
    </w:p>
    <w:p>
      <w:pPr>
        <w:pStyle w:val="BodyText"/>
      </w:pPr>
      <w:r>
        <w:rPr>
          <w:rFonts w:hint="eastAsia"/>
        </w:rPr>
        <w:t xml:space="preserve">不適用</w:t>
      </w:r>
    </w:p>
    <w:p>
      <w:pPr>
        <w:pStyle w:val="BodyText"/>
      </w:pPr>
      <w:r>
        <w:t xml:space="preserve">77.50</w:t>
      </w:r>
    </w:p>
    <w:p>
      <w:pPr>
        <w:pStyle w:val="BodyText"/>
      </w:pPr>
      <w:r>
        <w:t xml:space="preserve">86.65</w:t>
      </w:r>
    </w:p>
    <w:p>
      <w:pPr>
        <w:pStyle w:val="BodyText"/>
      </w:pPr>
      <w:r>
        <w:t xml:space="preserve">78.04</w:t>
      </w:r>
    </w:p>
    <w:p>
      <w:pPr>
        <w:pStyle w:val="BodyText"/>
      </w:pPr>
      <w:r>
        <w:t xml:space="preserve">84.00</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企業管治友邦保險控股有限公司薪酬報告</w:t>
      </w:r>
    </w:p>
    <w:p>
      <w:pPr>
        <w:pStyle w:val="BodyText"/>
      </w:pPr>
      <w:r>
        <w:rPr>
          <w:rFonts w:hint="eastAsia"/>
        </w:rPr>
        <w:t xml:space="preserve">附註：</w:t>
      </w:r>
      <w:r>
        <w:br/>
      </w:r>
      <w:r>
        <w:t xml:space="preserve">(1) Ng Keng </w:t>
      </w:r>
      <w:r>
        <w:rPr>
          <w:rFonts w:hint="eastAsia"/>
        </w:rPr>
        <w:t xml:space="preserve">Hooi先生自2020年5月31日起辭任集團首席執行官兼總裁並退出董事會。Ng</w:t>
      </w:r>
      <w:r>
        <w:t xml:space="preserve"> Keng </w:t>
      </w:r>
      <w:r>
        <w:rPr>
          <w:rFonts w:hint="eastAsia"/>
        </w:rPr>
        <w:t xml:space="preserve">Hooi先生於2020年6月1日尚未行使的購股權由</w:t>
      </w:r>
    </w:p>
    <w:p>
      <w:pPr>
        <w:pStyle w:val="BodyText"/>
      </w:pPr>
      <w:r>
        <w:rPr>
          <w:rFonts w:hint="eastAsia"/>
        </w:rPr>
        <w:t xml:space="preserve">「已退任集團首席執行官兼總裁」重新分類為「其他合資格僱員及參與者」。</w:t>
      </w:r>
    </w:p>
    <w:p>
      <w:pPr>
        <w:numPr>
          <w:ilvl w:val="0"/>
          <w:numId w:val="1092"/>
        </w:numPr>
      </w:pPr>
      <w:r>
        <w:rPr>
          <w:rFonts w:hint="eastAsia"/>
        </w:rPr>
        <w:t xml:space="preserve">包括已退任集團首席執行官兼總裁Mark</w:t>
      </w:r>
      <w:r>
        <w:t xml:space="preserve"> Edward </w:t>
      </w:r>
      <w:r>
        <w:rPr>
          <w:rFonts w:hint="eastAsia"/>
        </w:rPr>
        <w:t xml:space="preserve">Tucker先生於2020年</w:t>
      </w:r>
      <w:r>
        <w:t xml:space="preserve"> </w:t>
      </w:r>
      <w:r>
        <w:rPr>
          <w:rFonts w:hint="eastAsia"/>
        </w:rPr>
        <w:t xml:space="preserve">1月1日尚未行使的購股權。</w:t>
      </w:r>
    </w:p>
    <w:p>
      <w:pPr>
        <w:numPr>
          <w:ilvl w:val="0"/>
          <w:numId w:val="1092"/>
        </w:numPr>
      </w:pPr>
      <w:r>
        <w:rPr>
          <w:rFonts w:hint="eastAsia"/>
        </w:rPr>
        <w:t xml:space="preserve">截至2011年11月30日止年度授出獎勵的計量日期（即用於釐定獎勵會計價值的日期）為2011年6月15日。截至2012年11月30日止年度授出</w:t>
      </w:r>
      <w:r>
        <w:br/>
      </w:r>
      <w:r>
        <w:rPr>
          <w:rFonts w:hint="eastAsia"/>
        </w:rPr>
        <w:t xml:space="preserve">獎勵的計量日期為2012年3月15日。截至2013年11月30日止年度授出獎勵的計量日期為2013年3月11日。截至2014年11月30日止年度授出</w:t>
      </w:r>
      <w:r>
        <w:br/>
      </w:r>
      <w:r>
        <w:rPr>
          <w:rFonts w:hint="eastAsia"/>
        </w:rPr>
        <w:t xml:space="preserve">獎勵的計量日期為2014年3月5日。截至2015年11月30日止年度授出獎勵的計量日期為2015年3月12日。截至2016年11月30日止年度授出</w:t>
      </w:r>
      <w:r>
        <w:br/>
      </w:r>
      <w:r>
        <w:rPr>
          <w:rFonts w:hint="eastAsia"/>
        </w:rPr>
        <w:t xml:space="preserve">獎勵的計量日期為2016年3月9日。截至2017年11月30日止年度授出獎勵的計量日期為2017年3月10日及2017年7月31日。截至2018年12月</w:t>
      </w:r>
      <w:r>
        <w:br/>
      </w:r>
      <w:r>
        <w:rPr>
          <w:rFonts w:hint="eastAsia"/>
        </w:rPr>
        <w:t xml:space="preserve">31日止十三個月內授出獎勵的計量日期為2018年3月15日及2018年9月12日。截至2019年12月31日止年度授出獎勵的計量日期為2019年3月27日</w:t>
      </w:r>
      <w:r>
        <w:br/>
      </w:r>
      <w:r>
        <w:rPr>
          <w:rFonts w:hint="eastAsia"/>
        </w:rPr>
        <w:t xml:space="preserve">及2019年5月15日。截至2020年12月31日止年度授出獎勵的計量日期為2020年3月25日。該等計量日期乃根據國際財務報告準則第2號釐定。</w:t>
      </w:r>
    </w:p>
    <w:p>
      <w:pPr>
        <w:numPr>
          <w:ilvl w:val="0"/>
          <w:numId w:val="1092"/>
        </w:numPr>
      </w:pPr>
      <w:r>
        <w:rPr>
          <w:rFonts w:hint="eastAsia"/>
        </w:rPr>
        <w:t xml:space="preserve">本公司股份在緊接授出購股權當日之前的收市價為63.90港元。購股權歸屬僅以公司服務年限為基準。在持續受僱的前提下，所有購股權</w:t>
      </w:r>
    </w:p>
    <w:p>
      <w:pPr>
        <w:pStyle w:val="FirstParagraph"/>
      </w:pPr>
      <w:r>
        <w:rPr>
          <w:rFonts w:hint="eastAsia"/>
        </w:rPr>
        <w:t xml:space="preserve">均將於2023年3月25日歸屬。</w:t>
      </w:r>
    </w:p>
    <w:p>
      <w:pPr>
        <w:numPr>
          <w:ilvl w:val="0"/>
          <w:numId w:val="1093"/>
        </w:numPr>
      </w:pPr>
      <w:r>
        <w:rPr>
          <w:rFonts w:hint="eastAsia"/>
        </w:rPr>
        <w:t xml:space="preserve">購股權歸屬僅以公司服務年限為基準。所有購股權均已於2017年3月5日歸屬。</w:t>
      </w:r>
    </w:p>
    <w:p>
      <w:pPr>
        <w:numPr>
          <w:ilvl w:val="0"/>
          <w:numId w:val="1093"/>
        </w:numPr>
      </w:pPr>
      <w:r>
        <w:rPr>
          <w:rFonts w:hint="eastAsia"/>
        </w:rPr>
        <w:t xml:space="preserve">購股權歸屬僅以公司服務年限為基準。所有購股權均已於2018年3月12日歸屬。</w:t>
      </w:r>
    </w:p>
    <w:p>
      <w:pPr>
        <w:numPr>
          <w:ilvl w:val="0"/>
          <w:numId w:val="1093"/>
        </w:numPr>
      </w:pPr>
      <w:r>
        <w:rPr>
          <w:rFonts w:hint="eastAsia"/>
        </w:rPr>
        <w:t xml:space="preserve">購股權歸屬僅以公司服務年限為基準。所有購股權均已於2019年3月9日歸屬。</w:t>
      </w:r>
    </w:p>
    <w:p>
      <w:pPr>
        <w:numPr>
          <w:ilvl w:val="0"/>
          <w:numId w:val="1093"/>
        </w:numPr>
      </w:pPr>
      <w:r>
        <w:rPr>
          <w:rFonts w:hint="eastAsia"/>
        </w:rPr>
        <w:t xml:space="preserve">購股權歸屬僅以公司服務年限為基準。所有購股權均已於2020年3月10日歸屬。</w:t>
      </w:r>
    </w:p>
    <w:p>
      <w:pPr>
        <w:numPr>
          <w:ilvl w:val="0"/>
          <w:numId w:val="1093"/>
        </w:numPr>
      </w:pPr>
      <w:r>
        <w:rPr>
          <w:rFonts w:hint="eastAsia"/>
        </w:rPr>
        <w:t xml:space="preserve">購股權歸屬僅以公司服務年限為基準。所有購股權均已於2020年6月1日歸屬。</w:t>
      </w:r>
    </w:p>
    <w:p>
      <w:pPr>
        <w:numPr>
          <w:ilvl w:val="0"/>
          <w:numId w:val="1093"/>
        </w:numPr>
      </w:pPr>
      <w:r>
        <w:rPr>
          <w:rFonts w:hint="eastAsia"/>
        </w:rPr>
        <w:t xml:space="preserve">購股權歸屬僅以公司服務年限為基準。在持續受僱的前提下，所有購股權均將於2021年3月15日歸屬。</w:t>
      </w:r>
    </w:p>
    <w:p>
      <w:pPr>
        <w:numPr>
          <w:ilvl w:val="0"/>
          <w:numId w:val="1093"/>
        </w:numPr>
      </w:pPr>
      <w:r>
        <w:rPr>
          <w:rFonts w:hint="eastAsia"/>
        </w:rPr>
        <w:t xml:space="preserve">購股權歸屬僅以公司服務年限為基準。在持續受僱的前提下，所有購股權均將於2022年3月27日歸屬。</w:t>
      </w:r>
    </w:p>
    <w:p>
      <w:pPr>
        <w:numPr>
          <w:ilvl w:val="0"/>
          <w:numId w:val="1093"/>
        </w:numPr>
      </w:pPr>
      <w:r>
        <w:rPr>
          <w:rFonts w:hint="eastAsia"/>
        </w:rPr>
        <w:t xml:space="preserve">購股權歸屬僅以公司服務年限為基準。所有購股權均已於2014年4月1日歸屬。</w:t>
      </w:r>
    </w:p>
    <w:p>
      <w:pPr>
        <w:numPr>
          <w:ilvl w:val="0"/>
          <w:numId w:val="1093"/>
        </w:numPr>
      </w:pPr>
      <w:r>
        <w:rPr>
          <w:rFonts w:hint="eastAsia"/>
        </w:rPr>
        <w:t xml:space="preserve">購股權歸屬僅以公司服務年限為基準。所有購股權均已於2015年3月15日歸屬。</w:t>
      </w:r>
    </w:p>
    <w:p>
      <w:pPr>
        <w:numPr>
          <w:ilvl w:val="0"/>
          <w:numId w:val="1093"/>
        </w:numPr>
      </w:pPr>
      <w:r>
        <w:rPr>
          <w:rFonts w:hint="eastAsia"/>
        </w:rPr>
        <w:t xml:space="preserve">購股權歸屬僅以公司服務年限為基準。所有購股權均已於2016年3月11日歸屬。</w:t>
      </w:r>
    </w:p>
    <w:p>
      <w:pPr>
        <w:numPr>
          <w:ilvl w:val="0"/>
          <w:numId w:val="1093"/>
        </w:numPr>
      </w:pPr>
      <w:r>
        <w:rPr>
          <w:rFonts w:hint="eastAsia"/>
        </w:rPr>
        <w:t xml:space="preserve">購股權歸屬僅以公司服務年限為基準。在持續受僱的前提下，所有購股權均將於2021年9月12日歸屬。</w:t>
      </w:r>
    </w:p>
    <w:p>
      <w:pPr>
        <w:numPr>
          <w:ilvl w:val="0"/>
          <w:numId w:val="1093"/>
        </w:numPr>
      </w:pPr>
      <w:r>
        <w:rPr>
          <w:rFonts w:hint="eastAsia"/>
        </w:rPr>
        <w:t xml:space="preserve">購股權歸屬僅以公司服務年限為基準。在持續受僱的前提下，所有購股權均將於2022年5月1日歸屬。</w:t>
      </w:r>
    </w:p>
    <w:p>
      <w:pPr>
        <w:numPr>
          <w:ilvl w:val="0"/>
          <w:numId w:val="1093"/>
        </w:numPr>
      </w:pPr>
      <w:r>
        <w:rPr>
          <w:rFonts w:hint="eastAsia"/>
        </w:rPr>
        <w:t xml:space="preserve">購股權歸屬僅以公司服務年限為基準。三分之一的購股權已於2014年4月1日歸屬；三分之一已於2015年4月1日歸屬；三分之一已於2016年</w:t>
      </w:r>
    </w:p>
    <w:p>
      <w:pPr>
        <w:pStyle w:val="FirstParagraph"/>
      </w:pPr>
      <w:r>
        <w:rPr>
          <w:rFonts w:hint="eastAsia"/>
        </w:rPr>
        <w:t xml:space="preserve">4月1日歸屬。</w:t>
      </w:r>
    </w:p>
    <w:p>
      <w:pPr>
        <w:pStyle w:val="Compact"/>
        <w:numPr>
          <w:ilvl w:val="0"/>
          <w:numId w:val="1094"/>
        </w:numPr>
      </w:pPr>
      <w:r>
        <w:rPr>
          <w:rFonts w:hint="eastAsia"/>
        </w:rPr>
        <w:t xml:space="preserve">該等購股權於截至2020年12月31日止年度內失效或被重新分類。因期內Ng</w:t>
      </w:r>
      <w:r>
        <w:t xml:space="preserve"> Keng </w:t>
      </w:r>
      <w:r>
        <w:rPr>
          <w:rFonts w:hint="eastAsia"/>
        </w:rPr>
        <w:t xml:space="preserve">Hooi先生辭任集團首席執行官兼總裁，故須重新分類其</w:t>
      </w:r>
    </w:p>
    <w:p>
      <w:pPr>
        <w:pStyle w:val="FirstParagraph"/>
      </w:pPr>
      <w:r>
        <w:rPr>
          <w:rFonts w:hint="eastAsia"/>
        </w:rPr>
        <w:t xml:space="preserve">購股權。截至2020年12月31日止年度內並無任何購股權被註銷。</w:t>
      </w:r>
    </w:p>
    <w:p>
      <w:pPr>
        <w:pStyle w:val="Compact"/>
        <w:numPr>
          <w:ilvl w:val="0"/>
          <w:numId w:val="1095"/>
        </w:numPr>
      </w:pPr>
      <w:r>
        <w:rPr>
          <w:rFonts w:hint="eastAsia"/>
        </w:rPr>
        <w:t xml:space="preserve">包括根據2010年購股權計劃規則，於2020年</w:t>
      </w:r>
      <w:r>
        <w:t xml:space="preserve"> </w:t>
      </w:r>
      <w:r>
        <w:rPr>
          <w:rFonts w:hint="eastAsia"/>
        </w:rPr>
        <w:t xml:space="preserve">12月31日尚未行使並將於各購股權可行使期末或之前失效的購股權。</w:t>
      </w:r>
    </w:p>
    <w:p>
      <w:pPr>
        <w:pStyle w:val="FirstParagraph"/>
      </w:pPr>
      <w:r>
        <w:rPr>
          <w:rFonts w:hint="eastAsia"/>
        </w:rPr>
        <w:t xml:space="preserve">僱員購股計劃</w:t>
      </w:r>
    </w:p>
    <w:p>
      <w:pPr>
        <w:pStyle w:val="BodyText"/>
      </w:pPr>
      <w:r>
        <w:rPr>
          <w:rFonts w:hint="eastAsia"/>
        </w:rPr>
        <w:t xml:space="preserve">2011年僱員購股計劃及2020年僱員購股計劃（統稱僱員購股計劃）旨在促進及鼓勵僱員長期持有友邦保險股份，</w:t>
      </w:r>
    </w:p>
    <w:p>
      <w:pPr>
        <w:pStyle w:val="BodyText"/>
      </w:pPr>
      <w:r>
        <w:rPr>
          <w:rFonts w:hint="eastAsia"/>
        </w:rPr>
        <w:t xml:space="preserve">並鼓勵員工留任。</w:t>
      </w:r>
    </w:p>
    <w:p>
      <w:pPr>
        <w:pStyle w:val="BodyText"/>
      </w:pPr>
      <w:r>
        <w:rPr>
          <w:rFonts w:hint="eastAsia"/>
        </w:rPr>
        <w:t xml:space="preserve">本公司於2011年7月25日採納2011年僱員購股計劃，自採納日期起計為期10年。鑒於2011年僱員購股計劃即將到</w:t>
      </w:r>
    </w:p>
    <w:p>
      <w:pPr>
        <w:pStyle w:val="BodyText"/>
      </w:pPr>
      <w:r>
        <w:rPr>
          <w:rFonts w:hint="eastAsia"/>
        </w:rPr>
        <w:t xml:space="preserve">期，本公司已於2020年8月1日採納與2011年僱員購股計劃條款基本相同的2020年僱員購股計劃，以取代2011年</w:t>
      </w:r>
    </w:p>
    <w:p>
      <w:pPr>
        <w:pStyle w:val="BodyText"/>
      </w:pPr>
      <w:r>
        <w:rPr>
          <w:rFonts w:hint="eastAsia"/>
        </w:rPr>
        <w:t xml:space="preserve">僱員購股計劃。2020年僱員購股計劃自採納日期起有效期為10年。</w:t>
      </w:r>
    </w:p>
    <w:p>
      <w:pPr>
        <w:pStyle w:val="BodyText"/>
      </w:pPr>
      <w:r>
        <w:rPr>
          <w:rFonts w:hint="eastAsia"/>
        </w:rPr>
        <w:t xml:space="preserve">根據僱員購股計劃，本集團的合資格僱員可選擇購買本公司的股份，並透過獲授配送的受限制股份購買單位，就</w:t>
      </w:r>
    </w:p>
    <w:p>
      <w:pPr>
        <w:pStyle w:val="BodyText"/>
      </w:pPr>
      <w:r>
        <w:rPr>
          <w:rFonts w:hint="eastAsia"/>
        </w:rPr>
        <w:t xml:space="preserve">每購買並持有至歸屬期結束的兩股股份收取一股配送股份。於2020年，在採納新僱員購股計劃前，根據2011年</w:t>
      </w:r>
    </w:p>
    <w:p>
      <w:pPr>
        <w:pStyle w:val="BodyText"/>
      </w:pPr>
      <w:r>
        <w:rPr>
          <w:rFonts w:hint="eastAsia"/>
        </w:rPr>
        <w:t xml:space="preserve">僱員購股計劃，每名合資格僱員的最高購買限額為其基本薪金的8%或每月9,750港元（或當地的等值貨幣金額）</w:t>
      </w:r>
    </w:p>
    <w:p>
      <w:pPr>
        <w:pStyle w:val="BodyText"/>
      </w:pPr>
      <w:r>
        <w:rPr>
          <w:rFonts w:hint="eastAsia"/>
        </w:rPr>
        <w:t xml:space="preserve">中</w:t>
      </w:r>
      <w:r>
        <w:t xml:space="preserve"> </w:t>
      </w:r>
      <w:r>
        <w:rPr>
          <w:rFonts w:hint="eastAsia"/>
        </w:rPr>
        <w:t xml:space="preserve">較</w:t>
      </w:r>
      <w:r>
        <w:t xml:space="preserve"> </w:t>
      </w:r>
      <w:r>
        <w:rPr>
          <w:rFonts w:hint="eastAsia"/>
        </w:rPr>
        <w:t xml:space="preserve">低</w:t>
      </w:r>
      <w:r>
        <w:t xml:space="preserve"> </w:t>
      </w:r>
      <w:r>
        <w:rPr>
          <w:rFonts w:hint="eastAsia"/>
        </w:rPr>
        <w:t xml:space="preserve">者。</w:t>
      </w:r>
      <w:r>
        <w:t xml:space="preserve"> </w:t>
      </w:r>
      <w:r>
        <w:rPr>
          <w:rFonts w:hint="eastAsia"/>
        </w:rPr>
        <w:t xml:space="preserve">於</w:t>
      </w:r>
      <w:r>
        <w:t xml:space="preserve"> </w:t>
      </w:r>
      <w:r>
        <w:rPr>
          <w:rFonts w:hint="eastAsia"/>
        </w:rPr>
        <w:t xml:space="preserve">採</w:t>
      </w:r>
      <w:r>
        <w:t xml:space="preserve"> </w:t>
      </w:r>
      <w:r>
        <w:rPr>
          <w:rFonts w:hint="eastAsia"/>
        </w:rPr>
        <w:t xml:space="preserve">納2020年</w:t>
      </w:r>
      <w:r>
        <w:t xml:space="preserve"> </w:t>
      </w:r>
      <w:r>
        <w:rPr>
          <w:rFonts w:hint="eastAsia"/>
        </w:rPr>
        <w:t xml:space="preserve">僱</w:t>
      </w:r>
      <w:r>
        <w:t xml:space="preserve"> </w:t>
      </w:r>
      <w:r>
        <w:rPr>
          <w:rFonts w:hint="eastAsia"/>
        </w:rPr>
        <w:t xml:space="preserve">員</w:t>
      </w:r>
      <w:r>
        <w:t xml:space="preserve"> </w:t>
      </w:r>
      <w:r>
        <w:rPr>
          <w:rFonts w:hint="eastAsia"/>
        </w:rPr>
        <w:t xml:space="preserve">購</w:t>
      </w:r>
      <w:r>
        <w:t xml:space="preserve"> </w:t>
      </w:r>
      <w:r>
        <w:rPr>
          <w:rFonts w:hint="eastAsia"/>
        </w:rPr>
        <w:t xml:space="preserve">股</w:t>
      </w:r>
      <w:r>
        <w:t xml:space="preserve"> </w:t>
      </w:r>
      <w:r>
        <w:rPr>
          <w:rFonts w:hint="eastAsia"/>
        </w:rPr>
        <w:t xml:space="preserve">計</w:t>
      </w:r>
      <w:r>
        <w:t xml:space="preserve"> </w:t>
      </w:r>
      <w:r>
        <w:rPr>
          <w:rFonts w:hint="eastAsia"/>
        </w:rPr>
        <w:t xml:space="preserve">劃</w:t>
      </w:r>
      <w:r>
        <w:t xml:space="preserve"> </w:t>
      </w:r>
      <w:r>
        <w:rPr>
          <w:rFonts w:hint="eastAsia"/>
        </w:rPr>
        <w:t xml:space="preserve">後，</w:t>
      </w:r>
      <w:r>
        <w:t xml:space="preserve"> </w:t>
      </w:r>
      <w:r>
        <w:rPr>
          <w:rFonts w:hint="eastAsia"/>
        </w:rPr>
        <w:t xml:space="preserve">每</w:t>
      </w:r>
      <w:r>
        <w:t xml:space="preserve"> </w:t>
      </w:r>
      <w:r>
        <w:rPr>
          <w:rFonts w:hint="eastAsia"/>
        </w:rPr>
        <w:t xml:space="preserve">名</w:t>
      </w:r>
      <w:r>
        <w:t xml:space="preserve"> </w:t>
      </w:r>
      <w:r>
        <w:rPr>
          <w:rFonts w:hint="eastAsia"/>
        </w:rPr>
        <w:t xml:space="preserve">合</w:t>
      </w:r>
      <w:r>
        <w:t xml:space="preserve"> </w:t>
      </w:r>
      <w:r>
        <w:rPr>
          <w:rFonts w:hint="eastAsia"/>
        </w:rPr>
        <w:t xml:space="preserve">資</w:t>
      </w:r>
      <w:r>
        <w:t xml:space="preserve"> </w:t>
      </w:r>
      <w:r>
        <w:rPr>
          <w:rFonts w:hint="eastAsia"/>
        </w:rPr>
        <w:t xml:space="preserve">格</w:t>
      </w:r>
      <w:r>
        <w:t xml:space="preserve"> </w:t>
      </w:r>
      <w:r>
        <w:rPr>
          <w:rFonts w:hint="eastAsia"/>
        </w:rPr>
        <w:t xml:space="preserve">僱</w:t>
      </w:r>
      <w:r>
        <w:t xml:space="preserve"> </w:t>
      </w:r>
      <w:r>
        <w:rPr>
          <w:rFonts w:hint="eastAsia"/>
        </w:rPr>
        <w:t xml:space="preserve">員</w:t>
      </w:r>
      <w:r>
        <w:t xml:space="preserve"> </w:t>
      </w:r>
      <w:r>
        <w:rPr>
          <w:rFonts w:hint="eastAsia"/>
        </w:rPr>
        <w:t xml:space="preserve">的</w:t>
      </w:r>
      <w:r>
        <w:t xml:space="preserve"> </w:t>
      </w:r>
      <w:r>
        <w:rPr>
          <w:rFonts w:hint="eastAsia"/>
        </w:rPr>
        <w:t xml:space="preserve">限</w:t>
      </w:r>
      <w:r>
        <w:t xml:space="preserve"> </w:t>
      </w:r>
      <w:r>
        <w:rPr>
          <w:rFonts w:hint="eastAsia"/>
        </w:rPr>
        <w:t xml:space="preserve">額</w:t>
      </w:r>
      <w:r>
        <w:t xml:space="preserve"> </w:t>
      </w:r>
      <w:r>
        <w:rPr>
          <w:rFonts w:hint="eastAsia"/>
        </w:rPr>
        <w:t xml:space="preserve">為</w:t>
      </w:r>
      <w:r>
        <w:t xml:space="preserve"> </w:t>
      </w:r>
      <w:r>
        <w:rPr>
          <w:rFonts w:hint="eastAsia"/>
        </w:rPr>
        <w:t xml:space="preserve">其</w:t>
      </w:r>
      <w:r>
        <w:t xml:space="preserve"> </w:t>
      </w:r>
      <w:r>
        <w:rPr>
          <w:rFonts w:hint="eastAsia"/>
        </w:rPr>
        <w:t xml:space="preserve">基</w:t>
      </w:r>
      <w:r>
        <w:t xml:space="preserve"> </w:t>
      </w:r>
      <w:r>
        <w:rPr>
          <w:rFonts w:hint="eastAsia"/>
        </w:rPr>
        <w:t xml:space="preserve">本</w:t>
      </w:r>
      <w:r>
        <w:t xml:space="preserve"> </w:t>
      </w:r>
      <w:r>
        <w:rPr>
          <w:rFonts w:hint="eastAsia"/>
        </w:rPr>
        <w:t xml:space="preserve">薪</w:t>
      </w:r>
      <w:r>
        <w:t xml:space="preserve"> </w:t>
      </w:r>
      <w:r>
        <w:rPr>
          <w:rFonts w:hint="eastAsia"/>
        </w:rPr>
        <w:t xml:space="preserve">金</w:t>
      </w:r>
      <w:r>
        <w:t xml:space="preserve"> </w:t>
      </w:r>
      <w:r>
        <w:rPr>
          <w:rFonts w:hint="eastAsia"/>
        </w:rPr>
        <w:t xml:space="preserve">的10%或</w:t>
      </w:r>
      <w:r>
        <w:t xml:space="preserve"> </w:t>
      </w:r>
      <w:r>
        <w:rPr>
          <w:rFonts w:hint="eastAsia"/>
        </w:rPr>
        <w:t xml:space="preserve">每</w:t>
      </w:r>
      <w:r>
        <w:t xml:space="preserve"> </w:t>
      </w:r>
      <w:r>
        <w:rPr>
          <w:rFonts w:hint="eastAsia"/>
        </w:rPr>
        <w:t xml:space="preserve">月12,500港</w:t>
      </w:r>
      <w:r>
        <w:t xml:space="preserve"> </w:t>
      </w:r>
      <w:r>
        <w:rPr>
          <w:rFonts w:hint="eastAsia"/>
        </w:rPr>
        <w:t xml:space="preserve">元</w:t>
      </w:r>
    </w:p>
    <w:p>
      <w:pPr>
        <w:pStyle w:val="BodyText"/>
      </w:pPr>
      <w:r>
        <w:rPr>
          <w:rFonts w:hint="eastAsia"/>
        </w:rPr>
        <w:t xml:space="preserve">（或當地的等值貨幣金額）中較低者。</w:t>
      </w:r>
    </w:p>
    <w:p>
      <w:pPr>
        <w:pStyle w:val="BodyText"/>
      </w:pPr>
      <w:r>
        <w:rPr>
          <w:rFonts w:hint="eastAsia"/>
        </w:rPr>
        <w:t xml:space="preserve">當配送受限制股份購買單位歸屬時，即自計劃年度的首個購股日期起計三年後，仍受僱於本集團的僱員將就其</w:t>
      </w:r>
    </w:p>
    <w:p>
      <w:pPr>
        <w:pStyle w:val="BodyText"/>
      </w:pPr>
      <w:r>
        <w:rPr>
          <w:rFonts w:hint="eastAsia"/>
        </w:rPr>
        <w:t xml:space="preserve">獲授的每個受限制股份購買單位獲得一股配送股份。配送股份可透過本公司發行新股份而獲得，或由僱員購股</w:t>
      </w:r>
    </w:p>
    <w:p>
      <w:pPr>
        <w:pStyle w:val="BodyText"/>
      </w:pPr>
      <w:r>
        <w:rPr>
          <w:rFonts w:hint="eastAsia"/>
        </w:rPr>
        <w:t xml:space="preserve">計劃的受託人在市場上購買。</w:t>
      </w:r>
    </w:p>
    <w:p>
      <w:pPr>
        <w:pStyle w:val="BodyText"/>
      </w:pPr>
      <w:r>
        <w:t xml:space="preserve">121</w:t>
      </w:r>
    </w:p>
    <w:p>
      <w:pPr>
        <w:pStyle w:val="BodyText"/>
      </w:pPr>
      <w:r>
        <w:rPr>
          <w:rFonts w:hint="eastAsia"/>
        </w:rPr>
        <w:t xml:space="preserve">概覽財務及營運回顧企業管治其他資料財務報表2020年報</w:t>
      </w:r>
    </w:p>
    <w:p>
      <w:pPr>
        <w:pStyle w:val="BodyText"/>
      </w:pPr>
      <w:r>
        <w:rPr>
          <w:rFonts w:hint="eastAsia"/>
        </w:rPr>
        <w:t xml:space="preserve">本公司根據2011年僱員購股計劃及2020年僱員購股計劃於其各自的10年期內可發行的股份總數分別不得超過</w:t>
      </w:r>
    </w:p>
    <w:p>
      <w:pPr>
        <w:pStyle w:val="BodyText"/>
      </w:pPr>
      <w:r>
        <w:rPr>
          <w:rFonts w:hint="eastAsia"/>
        </w:rPr>
        <w:t xml:space="preserve">2011年7月25日（2011年僱員購股計劃採納日期）及2020年5月29日（2020年僱員購股計劃規則所規定的僱員購股</w:t>
      </w:r>
    </w:p>
    <w:p>
      <w:pPr>
        <w:pStyle w:val="BodyText"/>
      </w:pPr>
      <w:r>
        <w:rPr>
          <w:rFonts w:hint="eastAsia"/>
        </w:rPr>
        <w:t xml:space="preserve">計劃基準日）已發行股份數目的2.5%。自採納2011年僱員購股計劃及2020年僱員購股計劃起，本公司並未據其</w:t>
      </w:r>
    </w:p>
    <w:p>
      <w:pPr>
        <w:pStyle w:val="BodyText"/>
      </w:pPr>
      <w:r>
        <w:rPr>
          <w:rFonts w:hint="eastAsia"/>
        </w:rPr>
        <w:t xml:space="preserve">發行任何新股份。</w:t>
      </w:r>
    </w:p>
    <w:p>
      <w:pPr>
        <w:pStyle w:val="BodyText"/>
      </w:pPr>
      <w:r>
        <w:rPr>
          <w:rFonts w:hint="eastAsia"/>
        </w:rPr>
        <w:t xml:space="preserve">於</w:t>
      </w:r>
      <w:r>
        <w:t xml:space="preserve"> </w:t>
      </w:r>
      <w:r>
        <w:rPr>
          <w:rFonts w:hint="eastAsia"/>
        </w:rPr>
        <w:t xml:space="preserve">截</w:t>
      </w:r>
      <w:r>
        <w:t xml:space="preserve"> </w:t>
      </w:r>
      <w:r>
        <w:rPr>
          <w:rFonts w:hint="eastAsia"/>
        </w:rPr>
        <w:t xml:space="preserve">至2020年12月31日</w:t>
      </w:r>
      <w:r>
        <w:t xml:space="preserve"> </w:t>
      </w:r>
      <w:r>
        <w:rPr>
          <w:rFonts w:hint="eastAsia"/>
        </w:rPr>
        <w:t xml:space="preserve">止</w:t>
      </w:r>
      <w:r>
        <w:t xml:space="preserve"> </w:t>
      </w:r>
      <w:r>
        <w:rPr>
          <w:rFonts w:hint="eastAsia"/>
        </w:rPr>
        <w:t xml:space="preserve">年</w:t>
      </w:r>
      <w:r>
        <w:t xml:space="preserve"> </w:t>
      </w:r>
      <w:r>
        <w:rPr>
          <w:rFonts w:hint="eastAsia"/>
        </w:rPr>
        <w:t xml:space="preserve">度</w:t>
      </w:r>
      <w:r>
        <w:t xml:space="preserve"> </w:t>
      </w:r>
      <w:r>
        <w:rPr>
          <w:rFonts w:hint="eastAsia"/>
        </w:rPr>
        <w:t xml:space="preserve">內，</w:t>
      </w:r>
      <w:r>
        <w:t xml:space="preserve"> </w:t>
      </w:r>
      <w:r>
        <w:rPr>
          <w:rFonts w:hint="eastAsia"/>
        </w:rPr>
        <w:t xml:space="preserve">根</w:t>
      </w:r>
      <w:r>
        <w:t xml:space="preserve"> </w:t>
      </w:r>
      <w:r>
        <w:rPr>
          <w:rFonts w:hint="eastAsia"/>
        </w:rPr>
        <w:t xml:space="preserve">據2011年</w:t>
      </w:r>
      <w:r>
        <w:t xml:space="preserve"> </w:t>
      </w:r>
      <w:r>
        <w:rPr>
          <w:rFonts w:hint="eastAsia"/>
        </w:rPr>
        <w:t xml:space="preserve">僱</w:t>
      </w:r>
      <w:r>
        <w:t xml:space="preserve"> </w:t>
      </w:r>
      <w:r>
        <w:rPr>
          <w:rFonts w:hint="eastAsia"/>
        </w:rPr>
        <w:t xml:space="preserve">員</w:t>
      </w:r>
      <w:r>
        <w:t xml:space="preserve"> </w:t>
      </w:r>
      <w:r>
        <w:rPr>
          <w:rFonts w:hint="eastAsia"/>
        </w:rPr>
        <w:t xml:space="preserve">購</w:t>
      </w:r>
      <w:r>
        <w:t xml:space="preserve"> </w:t>
      </w:r>
      <w:r>
        <w:rPr>
          <w:rFonts w:hint="eastAsia"/>
        </w:rPr>
        <w:t xml:space="preserve">股</w:t>
      </w:r>
      <w:r>
        <w:t xml:space="preserve"> </w:t>
      </w:r>
      <w:r>
        <w:rPr>
          <w:rFonts w:hint="eastAsia"/>
        </w:rPr>
        <w:t xml:space="preserve">計</w:t>
      </w:r>
      <w:r>
        <w:t xml:space="preserve"> </w:t>
      </w:r>
      <w:r>
        <w:rPr>
          <w:rFonts w:hint="eastAsia"/>
        </w:rPr>
        <w:t xml:space="preserve">劃</w:t>
      </w:r>
      <w:r>
        <w:t xml:space="preserve"> </w:t>
      </w:r>
      <w:r>
        <w:rPr>
          <w:rFonts w:hint="eastAsia"/>
        </w:rPr>
        <w:t xml:space="preserve">於</w:t>
      </w:r>
      <w:r>
        <w:t xml:space="preserve"> </w:t>
      </w:r>
      <w:r>
        <w:rPr>
          <w:rFonts w:hint="eastAsia"/>
        </w:rPr>
        <w:t xml:space="preserve">各</w:t>
      </w:r>
      <w:r>
        <w:t xml:space="preserve"> </w:t>
      </w:r>
      <w:r>
        <w:rPr>
          <w:rFonts w:hint="eastAsia"/>
        </w:rPr>
        <w:t xml:space="preserve">種</w:t>
      </w:r>
      <w:r>
        <w:t xml:space="preserve"> </w:t>
      </w:r>
      <w:r>
        <w:rPr>
          <w:rFonts w:hint="eastAsia"/>
        </w:rPr>
        <w:t xml:space="preserve">情</w:t>
      </w:r>
      <w:r>
        <w:t xml:space="preserve"> </w:t>
      </w:r>
      <w:r>
        <w:rPr>
          <w:rFonts w:hint="eastAsia"/>
        </w:rPr>
        <w:t xml:space="preserve">況</w:t>
      </w:r>
      <w:r>
        <w:t xml:space="preserve"> </w:t>
      </w:r>
      <w:r>
        <w:rPr>
          <w:rFonts w:hint="eastAsia"/>
        </w:rPr>
        <w:t xml:space="preserve">下</w:t>
      </w:r>
      <w:r>
        <w:t xml:space="preserve"> </w:t>
      </w:r>
      <w:r>
        <w:rPr>
          <w:rFonts w:hint="eastAsia"/>
        </w:rPr>
        <w:t xml:space="preserve">共</w:t>
      </w:r>
      <w:r>
        <w:t xml:space="preserve"> </w:t>
      </w:r>
      <w:r>
        <w:rPr>
          <w:rFonts w:hint="eastAsia"/>
        </w:rPr>
        <w:t xml:space="preserve">授</w:t>
      </w:r>
      <w:r>
        <w:t xml:space="preserve"> </w:t>
      </w:r>
      <w:r>
        <w:rPr>
          <w:rFonts w:hint="eastAsia"/>
        </w:rPr>
        <w:t xml:space="preserve">出1,274,789個</w:t>
      </w:r>
      <w:r>
        <w:t xml:space="preserve"> </w:t>
      </w:r>
      <w:r>
        <w:rPr>
          <w:rFonts w:hint="eastAsia"/>
        </w:rPr>
        <w:t xml:space="preserve">配</w:t>
      </w:r>
      <w:r>
        <w:t xml:space="preserve"> </w:t>
      </w:r>
      <w:r>
        <w:rPr>
          <w:rFonts w:hint="eastAsia"/>
        </w:rPr>
        <w:t xml:space="preserve">送</w:t>
      </w:r>
      <w:r>
        <w:t xml:space="preserve"> </w:t>
      </w:r>
      <w:r>
        <w:rPr>
          <w:rFonts w:hint="eastAsia"/>
        </w:rPr>
        <w:t xml:space="preserve">受</w:t>
      </w:r>
      <w:r>
        <w:t xml:space="preserve"> </w:t>
      </w:r>
      <w:r>
        <w:rPr>
          <w:rFonts w:hint="eastAsia"/>
        </w:rPr>
        <w:t xml:space="preserve">限</w:t>
      </w:r>
      <w:r>
        <w:t xml:space="preserve"> </w:t>
      </w:r>
      <w:r>
        <w:rPr>
          <w:rFonts w:hint="eastAsia"/>
        </w:rPr>
        <w:t xml:space="preserve">制</w:t>
      </w:r>
    </w:p>
    <w:p>
      <w:pPr>
        <w:pStyle w:val="BodyText"/>
      </w:pPr>
      <w:r>
        <w:rPr>
          <w:rFonts w:hint="eastAsia"/>
        </w:rPr>
        <w:t xml:space="preserve">股份購買單位，1,101,823個配送受限制股份購買單位已於期內歸屬，且本公司未有就受限制股份購買單位發行</w:t>
      </w:r>
    </w:p>
    <w:p>
      <w:pPr>
        <w:pStyle w:val="BodyText"/>
      </w:pPr>
      <w:r>
        <w:rPr>
          <w:rFonts w:hint="eastAsia"/>
        </w:rPr>
        <w:t xml:space="preserve">新</w:t>
      </w:r>
      <w:r>
        <w:t xml:space="preserve"> </w:t>
      </w:r>
      <w:r>
        <w:rPr>
          <w:rFonts w:hint="eastAsia"/>
        </w:rPr>
        <w:t xml:space="preserve">股</w:t>
      </w:r>
      <w:r>
        <w:t xml:space="preserve"> </w:t>
      </w:r>
      <w:r>
        <w:rPr>
          <w:rFonts w:hint="eastAsia"/>
        </w:rPr>
        <w:t xml:space="preserve">份。</w:t>
      </w:r>
      <w:r>
        <w:t xml:space="preserve"> </w:t>
      </w:r>
      <w:r>
        <w:rPr>
          <w:rFonts w:hint="eastAsia"/>
        </w:rPr>
        <w:t xml:space="preserve">自2011年</w:t>
      </w:r>
      <w:r>
        <w:t xml:space="preserve"> </w:t>
      </w:r>
      <w:r>
        <w:rPr>
          <w:rFonts w:hint="eastAsia"/>
        </w:rPr>
        <w:t xml:space="preserve">僱</w:t>
      </w:r>
      <w:r>
        <w:t xml:space="preserve"> </w:t>
      </w:r>
      <w:r>
        <w:rPr>
          <w:rFonts w:hint="eastAsia"/>
        </w:rPr>
        <w:t xml:space="preserve">員</w:t>
      </w:r>
      <w:r>
        <w:t xml:space="preserve"> </w:t>
      </w:r>
      <w:r>
        <w:rPr>
          <w:rFonts w:hint="eastAsia"/>
        </w:rPr>
        <w:t xml:space="preserve">購</w:t>
      </w:r>
      <w:r>
        <w:t xml:space="preserve"> </w:t>
      </w:r>
      <w:r>
        <w:rPr>
          <w:rFonts w:hint="eastAsia"/>
        </w:rPr>
        <w:t xml:space="preserve">股</w:t>
      </w:r>
      <w:r>
        <w:t xml:space="preserve"> </w:t>
      </w:r>
      <w:r>
        <w:rPr>
          <w:rFonts w:hint="eastAsia"/>
        </w:rPr>
        <w:t xml:space="preserve">計</w:t>
      </w:r>
      <w:r>
        <w:t xml:space="preserve"> </w:t>
      </w:r>
      <w:r>
        <w:rPr>
          <w:rFonts w:hint="eastAsia"/>
        </w:rPr>
        <w:t xml:space="preserve">劃</w:t>
      </w:r>
      <w:r>
        <w:t xml:space="preserve"> </w:t>
      </w:r>
      <w:r>
        <w:rPr>
          <w:rFonts w:hint="eastAsia"/>
        </w:rPr>
        <w:t xml:space="preserve">採</w:t>
      </w:r>
      <w:r>
        <w:t xml:space="preserve"> </w:t>
      </w:r>
      <w:r>
        <w:rPr>
          <w:rFonts w:hint="eastAsia"/>
        </w:rPr>
        <w:t xml:space="preserve">納</w:t>
      </w:r>
      <w:r>
        <w:t xml:space="preserve"> </w:t>
      </w:r>
      <w:r>
        <w:rPr>
          <w:rFonts w:hint="eastAsia"/>
        </w:rPr>
        <w:t xml:space="preserve">日</w:t>
      </w:r>
      <w:r>
        <w:t xml:space="preserve"> </w:t>
      </w:r>
      <w:r>
        <w:rPr>
          <w:rFonts w:hint="eastAsia"/>
        </w:rPr>
        <w:t xml:space="preserve">期</w:t>
      </w:r>
      <w:r>
        <w:t xml:space="preserve"> </w:t>
      </w:r>
      <w:r>
        <w:rPr>
          <w:rFonts w:hint="eastAsia"/>
        </w:rPr>
        <w:t xml:space="preserve">起</w:t>
      </w:r>
      <w:r>
        <w:t xml:space="preserve"> </w:t>
      </w:r>
      <w:r>
        <w:rPr>
          <w:rFonts w:hint="eastAsia"/>
        </w:rPr>
        <w:t xml:space="preserve">直</w:t>
      </w:r>
      <w:r>
        <w:t xml:space="preserve"> </w:t>
      </w:r>
      <w:r>
        <w:rPr>
          <w:rFonts w:hint="eastAsia"/>
        </w:rPr>
        <w:t xml:space="preserve">至2020年12月31日</w:t>
      </w:r>
      <w:r>
        <w:t xml:space="preserve"> </w:t>
      </w:r>
      <w:r>
        <w:rPr>
          <w:rFonts w:hint="eastAsia"/>
        </w:rPr>
        <w:t xml:space="preserve">止，</w:t>
      </w:r>
      <w:r>
        <w:t xml:space="preserve"> </w:t>
      </w:r>
      <w:r>
        <w:rPr>
          <w:rFonts w:hint="eastAsia"/>
        </w:rPr>
        <w:t xml:space="preserve">根</w:t>
      </w:r>
      <w:r>
        <w:t xml:space="preserve"> </w:t>
      </w:r>
      <w:r>
        <w:rPr>
          <w:rFonts w:hint="eastAsia"/>
        </w:rPr>
        <w:t xml:space="preserve">據2011年</w:t>
      </w:r>
      <w:r>
        <w:t xml:space="preserve"> </w:t>
      </w:r>
      <w:r>
        <w:rPr>
          <w:rFonts w:hint="eastAsia"/>
        </w:rPr>
        <w:t xml:space="preserve">僱</w:t>
      </w:r>
      <w:r>
        <w:t xml:space="preserve"> </w:t>
      </w:r>
      <w:r>
        <w:rPr>
          <w:rFonts w:hint="eastAsia"/>
        </w:rPr>
        <w:t xml:space="preserve">員</w:t>
      </w:r>
      <w:r>
        <w:t xml:space="preserve"> </w:t>
      </w:r>
      <w:r>
        <w:rPr>
          <w:rFonts w:hint="eastAsia"/>
        </w:rPr>
        <w:t xml:space="preserve">購</w:t>
      </w:r>
      <w:r>
        <w:t xml:space="preserve"> </w:t>
      </w:r>
      <w:r>
        <w:rPr>
          <w:rFonts w:hint="eastAsia"/>
        </w:rPr>
        <w:t xml:space="preserve">股</w:t>
      </w:r>
      <w:r>
        <w:t xml:space="preserve"> </w:t>
      </w:r>
      <w:r>
        <w:rPr>
          <w:rFonts w:hint="eastAsia"/>
        </w:rPr>
        <w:t xml:space="preserve">計</w:t>
      </w:r>
      <w:r>
        <w:t xml:space="preserve"> </w:t>
      </w:r>
      <w:r>
        <w:rPr>
          <w:rFonts w:hint="eastAsia"/>
        </w:rPr>
        <w:t xml:space="preserve">劃</w:t>
      </w:r>
      <w:r>
        <w:t xml:space="preserve"> </w:t>
      </w:r>
      <w:r>
        <w:rPr>
          <w:rFonts w:hint="eastAsia"/>
        </w:rPr>
        <w:t xml:space="preserve">共</w:t>
      </w:r>
      <w:r>
        <w:t xml:space="preserve"> </w:t>
      </w:r>
      <w:r>
        <w:rPr>
          <w:rFonts w:hint="eastAsia"/>
        </w:rPr>
        <w:t xml:space="preserve">累</w:t>
      </w:r>
      <w:r>
        <w:t xml:space="preserve"> </w:t>
      </w:r>
      <w:r>
        <w:rPr>
          <w:rFonts w:hint="eastAsia"/>
        </w:rPr>
        <w:t xml:space="preserve">計</w:t>
      </w:r>
      <w:r>
        <w:t xml:space="preserve"> </w:t>
      </w:r>
      <w:r>
        <w:rPr>
          <w:rFonts w:hint="eastAsia"/>
        </w:rPr>
        <w:t xml:space="preserve">歸</w:t>
      </w:r>
      <w:r>
        <w:t xml:space="preserve"> </w:t>
      </w:r>
      <w:r>
        <w:rPr>
          <w:rFonts w:hint="eastAsia"/>
        </w:rPr>
        <w:t xml:space="preserve">屬</w:t>
      </w:r>
    </w:p>
    <w:p>
      <w:pPr>
        <w:pStyle w:val="BodyText"/>
      </w:pPr>
      <w:r>
        <w:rPr>
          <w:rFonts w:hint="eastAsia"/>
        </w:rPr>
        <w:t xml:space="preserve">5,657,450個配送受限制股份購買單位，約佔2011年僱員購股計劃採納日期已發行股份的0.047%。自2020年僱員</w:t>
      </w:r>
    </w:p>
    <w:p>
      <w:pPr>
        <w:pStyle w:val="BodyText"/>
      </w:pPr>
      <w:r>
        <w:rPr>
          <w:rFonts w:hint="eastAsia"/>
        </w:rPr>
        <w:t xml:space="preserve">購股計劃採納日期起直至2020年12月31日止，根據2020年僱員購股計劃於各種情況下共累計授出278,101個配送</w:t>
      </w:r>
    </w:p>
    <w:p>
      <w:pPr>
        <w:pStyle w:val="BodyText"/>
      </w:pPr>
      <w:r>
        <w:rPr>
          <w:rFonts w:hint="eastAsia"/>
        </w:rPr>
        <w:t xml:space="preserve">受</w:t>
      </w:r>
      <w:r>
        <w:t xml:space="preserve"> </w:t>
      </w:r>
      <w:r>
        <w:rPr>
          <w:rFonts w:hint="eastAsia"/>
        </w:rPr>
        <w:t xml:space="preserve">限</w:t>
      </w:r>
      <w:r>
        <w:t xml:space="preserve"> </w:t>
      </w:r>
      <w:r>
        <w:rPr>
          <w:rFonts w:hint="eastAsia"/>
        </w:rPr>
        <w:t xml:space="preserve">制</w:t>
      </w:r>
      <w:r>
        <w:t xml:space="preserve"> </w:t>
      </w:r>
      <w:r>
        <w:rPr>
          <w:rFonts w:hint="eastAsia"/>
        </w:rPr>
        <w:t xml:space="preserve">股</w:t>
      </w:r>
      <w:r>
        <w:t xml:space="preserve"> </w:t>
      </w:r>
      <w:r>
        <w:rPr>
          <w:rFonts w:hint="eastAsia"/>
        </w:rPr>
        <w:t xml:space="preserve">份</w:t>
      </w:r>
      <w:r>
        <w:t xml:space="preserve"> </w:t>
      </w:r>
      <w:r>
        <w:rPr>
          <w:rFonts w:hint="eastAsia"/>
        </w:rPr>
        <w:t xml:space="preserve">購</w:t>
      </w:r>
      <w:r>
        <w:t xml:space="preserve"> </w:t>
      </w:r>
      <w:r>
        <w:rPr>
          <w:rFonts w:hint="eastAsia"/>
        </w:rPr>
        <w:t xml:space="preserve">買</w:t>
      </w:r>
      <w:r>
        <w:t xml:space="preserve"> </w:t>
      </w:r>
      <w:r>
        <w:rPr>
          <w:rFonts w:hint="eastAsia"/>
        </w:rPr>
        <w:t xml:space="preserve">單</w:t>
      </w:r>
      <w:r>
        <w:t xml:space="preserve"> </w:t>
      </w:r>
      <w:r>
        <w:rPr>
          <w:rFonts w:hint="eastAsia"/>
        </w:rPr>
        <w:t xml:space="preserve">位，57個</w:t>
      </w:r>
      <w:r>
        <w:t xml:space="preserve"> </w:t>
      </w:r>
      <w:r>
        <w:rPr>
          <w:rFonts w:hint="eastAsia"/>
        </w:rPr>
        <w:t xml:space="preserve">配</w:t>
      </w:r>
      <w:r>
        <w:t xml:space="preserve"> </w:t>
      </w:r>
      <w:r>
        <w:rPr>
          <w:rFonts w:hint="eastAsia"/>
        </w:rPr>
        <w:t xml:space="preserve">送</w:t>
      </w:r>
      <w:r>
        <w:t xml:space="preserve"> </w:t>
      </w:r>
      <w:r>
        <w:rPr>
          <w:rFonts w:hint="eastAsia"/>
        </w:rPr>
        <w:t xml:space="preserve">受</w:t>
      </w:r>
      <w:r>
        <w:t xml:space="preserve"> </w:t>
      </w:r>
      <w:r>
        <w:rPr>
          <w:rFonts w:hint="eastAsia"/>
        </w:rPr>
        <w:t xml:space="preserve">限</w:t>
      </w:r>
      <w:r>
        <w:t xml:space="preserve"> </w:t>
      </w:r>
      <w:r>
        <w:rPr>
          <w:rFonts w:hint="eastAsia"/>
        </w:rPr>
        <w:t xml:space="preserve">制</w:t>
      </w:r>
      <w:r>
        <w:t xml:space="preserve"> </w:t>
      </w:r>
      <w:r>
        <w:rPr>
          <w:rFonts w:hint="eastAsia"/>
        </w:rPr>
        <w:t xml:space="preserve">股</w:t>
      </w:r>
      <w:r>
        <w:t xml:space="preserve"> </w:t>
      </w:r>
      <w:r>
        <w:rPr>
          <w:rFonts w:hint="eastAsia"/>
        </w:rPr>
        <w:t xml:space="preserve">份</w:t>
      </w:r>
      <w:r>
        <w:t xml:space="preserve"> </w:t>
      </w:r>
      <w:r>
        <w:rPr>
          <w:rFonts w:hint="eastAsia"/>
        </w:rPr>
        <w:t xml:space="preserve">購</w:t>
      </w:r>
      <w:r>
        <w:t xml:space="preserve"> </w:t>
      </w:r>
      <w:r>
        <w:rPr>
          <w:rFonts w:hint="eastAsia"/>
        </w:rPr>
        <w:t xml:space="preserve">買</w:t>
      </w:r>
      <w:r>
        <w:t xml:space="preserve"> </w:t>
      </w:r>
      <w:r>
        <w:rPr>
          <w:rFonts w:hint="eastAsia"/>
        </w:rPr>
        <w:t xml:space="preserve">單</w:t>
      </w:r>
      <w:r>
        <w:t xml:space="preserve"> </w:t>
      </w:r>
      <w:r>
        <w:rPr>
          <w:rFonts w:hint="eastAsia"/>
        </w:rPr>
        <w:t xml:space="preserve">位</w:t>
      </w:r>
      <w:r>
        <w:t xml:space="preserve"> </w:t>
      </w:r>
      <w:r>
        <w:rPr>
          <w:rFonts w:hint="eastAsia"/>
        </w:rPr>
        <w:t xml:space="preserve">已</w:t>
      </w:r>
      <w:r>
        <w:t xml:space="preserve"> </w:t>
      </w:r>
      <w:r>
        <w:rPr>
          <w:rFonts w:hint="eastAsia"/>
        </w:rPr>
        <w:t xml:space="preserve">於</w:t>
      </w:r>
      <w:r>
        <w:t xml:space="preserve"> </w:t>
      </w:r>
      <w:r>
        <w:rPr>
          <w:rFonts w:hint="eastAsia"/>
        </w:rPr>
        <w:t xml:space="preserve">期</w:t>
      </w:r>
      <w:r>
        <w:t xml:space="preserve"> </w:t>
      </w:r>
      <w:r>
        <w:rPr>
          <w:rFonts w:hint="eastAsia"/>
        </w:rPr>
        <w:t xml:space="preserve">內</w:t>
      </w:r>
      <w:r>
        <w:t xml:space="preserve"> </w:t>
      </w:r>
      <w:r>
        <w:rPr>
          <w:rFonts w:hint="eastAsia"/>
        </w:rPr>
        <w:t xml:space="preserve">歸</w:t>
      </w:r>
      <w:r>
        <w:t xml:space="preserve"> </w:t>
      </w:r>
      <w:r>
        <w:rPr>
          <w:rFonts w:hint="eastAsia"/>
        </w:rPr>
        <w:t xml:space="preserve">屬，</w:t>
      </w:r>
      <w:r>
        <w:t xml:space="preserve"> </w:t>
      </w:r>
      <w:r>
        <w:rPr>
          <w:rFonts w:hint="eastAsia"/>
        </w:rPr>
        <w:t xml:space="preserve">且</w:t>
      </w:r>
      <w:r>
        <w:t xml:space="preserve"> </w:t>
      </w:r>
      <w:r>
        <w:rPr>
          <w:rFonts w:hint="eastAsia"/>
        </w:rPr>
        <w:t xml:space="preserve">本</w:t>
      </w:r>
      <w:r>
        <w:t xml:space="preserve"> </w:t>
      </w:r>
      <w:r>
        <w:rPr>
          <w:rFonts w:hint="eastAsia"/>
        </w:rPr>
        <w:t xml:space="preserve">公</w:t>
      </w:r>
      <w:r>
        <w:t xml:space="preserve"> </w:t>
      </w:r>
      <w:r>
        <w:rPr>
          <w:rFonts w:hint="eastAsia"/>
        </w:rPr>
        <w:t xml:space="preserve">司</w:t>
      </w:r>
      <w:r>
        <w:t xml:space="preserve"> </w:t>
      </w:r>
      <w:r>
        <w:rPr>
          <w:rFonts w:hint="eastAsia"/>
        </w:rPr>
        <w:t xml:space="preserve">未</w:t>
      </w:r>
      <w:r>
        <w:t xml:space="preserve"> </w:t>
      </w:r>
      <w:r>
        <w:rPr>
          <w:rFonts w:hint="eastAsia"/>
        </w:rPr>
        <w:t xml:space="preserve">有</w:t>
      </w:r>
      <w:r>
        <w:t xml:space="preserve"> </w:t>
      </w:r>
      <w:r>
        <w:rPr>
          <w:rFonts w:hint="eastAsia"/>
        </w:rPr>
        <w:t xml:space="preserve">就</w:t>
      </w:r>
      <w:r>
        <w:t xml:space="preserve"> </w:t>
      </w:r>
      <w:r>
        <w:rPr>
          <w:rFonts w:hint="eastAsia"/>
        </w:rPr>
        <w:t xml:space="preserve">受</w:t>
      </w:r>
      <w:r>
        <w:t xml:space="preserve"> </w:t>
      </w:r>
      <w:r>
        <w:rPr>
          <w:rFonts w:hint="eastAsia"/>
        </w:rPr>
        <w:t xml:space="preserve">限</w:t>
      </w:r>
      <w:r>
        <w:t xml:space="preserve"> </w:t>
      </w:r>
      <w:r>
        <w:rPr>
          <w:rFonts w:hint="eastAsia"/>
        </w:rPr>
        <w:t xml:space="preserve">制</w:t>
      </w:r>
      <w:r>
        <w:t xml:space="preserve"> </w:t>
      </w:r>
      <w:r>
        <w:rPr>
          <w:rFonts w:hint="eastAsia"/>
        </w:rPr>
        <w:t xml:space="preserve">股</w:t>
      </w:r>
      <w:r>
        <w:t xml:space="preserve"> </w:t>
      </w:r>
      <w:r>
        <w:rPr>
          <w:rFonts w:hint="eastAsia"/>
        </w:rPr>
        <w:t xml:space="preserve">份</w:t>
      </w:r>
      <w:r>
        <w:t xml:space="preserve"> </w:t>
      </w:r>
      <w:r>
        <w:rPr>
          <w:rFonts w:hint="eastAsia"/>
        </w:rPr>
        <w:t xml:space="preserve">購</w:t>
      </w:r>
      <w:r>
        <w:t xml:space="preserve"> </w:t>
      </w:r>
      <w:r>
        <w:rPr>
          <w:rFonts w:hint="eastAsia"/>
        </w:rPr>
        <w:t xml:space="preserve">買</w:t>
      </w:r>
      <w:r>
        <w:t xml:space="preserve"> </w:t>
      </w:r>
      <w:r>
        <w:rPr>
          <w:rFonts w:hint="eastAsia"/>
        </w:rPr>
        <w:t xml:space="preserve">單</w:t>
      </w:r>
      <w:r>
        <w:t xml:space="preserve"> </w:t>
      </w:r>
      <w:r>
        <w:rPr>
          <w:rFonts w:hint="eastAsia"/>
        </w:rPr>
        <w:t xml:space="preserve">位</w:t>
      </w:r>
    </w:p>
    <w:p>
      <w:pPr>
        <w:pStyle w:val="BodyText"/>
      </w:pPr>
      <w:r>
        <w:rPr>
          <w:rFonts w:hint="eastAsia"/>
        </w:rPr>
        <w:t xml:space="preserve">發行新股份。</w:t>
      </w:r>
    </w:p>
    <w:p>
      <w:pPr>
        <w:pStyle w:val="BodyText"/>
      </w:pPr>
      <w:r>
        <w:rPr>
          <w:rFonts w:hint="eastAsia"/>
        </w:rPr>
        <w:t xml:space="preserve">有關僱員購股計劃的更多資料，請參閱財務報表附註40。</w:t>
      </w:r>
    </w:p>
    <w:p>
      <w:pPr>
        <w:pStyle w:val="BodyText"/>
      </w:pPr>
      <w:r>
        <w:rPr>
          <w:rFonts w:hint="eastAsia"/>
        </w:rPr>
        <w:t xml:space="preserve">董事及主要管理人員酬金</w:t>
      </w:r>
    </w:p>
    <w:p>
      <w:pPr>
        <w:pStyle w:val="BodyText"/>
      </w:pPr>
      <w:r>
        <w:rPr>
          <w:rFonts w:hint="eastAsia"/>
        </w:rPr>
        <w:t xml:space="preserve">執行董事</w:t>
      </w:r>
    </w:p>
    <w:p>
      <w:pPr>
        <w:pStyle w:val="BodyText"/>
      </w:pPr>
      <w:r>
        <w:t xml:space="preserve">Ng Keng </w:t>
      </w:r>
      <w:r>
        <w:rPr>
          <w:rFonts w:hint="eastAsia"/>
        </w:rPr>
        <w:t xml:space="preserve">Hooi先生於2020年5月31日辭任集團首席執行官兼總裁並退出董事會後，由李源祥先生繼任上述職務，</w:t>
      </w:r>
    </w:p>
    <w:p>
      <w:pPr>
        <w:pStyle w:val="BodyText"/>
      </w:pPr>
      <w:r>
        <w:rPr>
          <w:rFonts w:hint="eastAsia"/>
        </w:rPr>
        <w:t xml:space="preserve">自2020年6月1日起生效。李源祥先生及Ng</w:t>
      </w:r>
      <w:r>
        <w:t xml:space="preserve"> Keng </w:t>
      </w:r>
      <w:r>
        <w:rPr>
          <w:rFonts w:hint="eastAsia"/>
        </w:rPr>
        <w:t xml:space="preserve">Hooi先生僅就彼等於各自任職期間擔任集團首席執行官兼總裁</w:t>
      </w:r>
    </w:p>
    <w:p>
      <w:pPr>
        <w:pStyle w:val="BodyText"/>
      </w:pPr>
      <w:r>
        <w:rPr>
          <w:rFonts w:hint="eastAsia"/>
        </w:rPr>
        <w:t xml:space="preserve">職務收取薪酬，並無就彼等各自擔任董事會董事或任何附屬公司董事獲得額外袍金。</w:t>
      </w:r>
    </w:p>
    <w:p>
      <w:pPr>
        <w:pStyle w:val="BodyText"/>
      </w:pPr>
      <w:r>
        <w:rPr>
          <w:rFonts w:hint="eastAsia"/>
        </w:rPr>
        <w:t xml:space="preserve">下表提供李源祥先生及Ng</w:t>
      </w:r>
      <w:r>
        <w:t xml:space="preserve"> Keng </w:t>
      </w:r>
      <w:r>
        <w:rPr>
          <w:rFonts w:hint="eastAsia"/>
        </w:rPr>
        <w:t xml:space="preserve">Hooi先生作為集團首席執行官兼總裁的年度目標薪酬水平（不包括福利及津貼）</w:t>
      </w:r>
    </w:p>
    <w:p>
      <w:pPr>
        <w:pStyle w:val="BodyText"/>
      </w:pPr>
      <w:r>
        <w:rPr>
          <w:rFonts w:hint="eastAsia"/>
        </w:rPr>
        <w:t xml:space="preserve">詳情。</w:t>
      </w:r>
    </w:p>
    <w:p>
      <w:pPr>
        <w:pStyle w:val="BodyText"/>
      </w:pPr>
      <w:r>
        <w:rPr>
          <w:rFonts w:hint="eastAsia"/>
        </w:rPr>
        <w:t xml:space="preserve">千美元</w:t>
      </w:r>
    </w:p>
    <w:p>
      <w:pPr>
        <w:pStyle w:val="BodyText"/>
      </w:pPr>
      <w:r>
        <w:rPr>
          <w:rFonts w:hint="eastAsia"/>
        </w:rPr>
        <w:t xml:space="preserve">基本薪金(2)</w:t>
      </w:r>
    </w:p>
    <w:p>
      <w:pPr>
        <w:pStyle w:val="BodyText"/>
      </w:pPr>
      <w:r>
        <w:rPr>
          <w:rFonts w:hint="eastAsia"/>
        </w:rPr>
        <w:t xml:space="preserve">目標短期獎勵</w:t>
      </w:r>
    </w:p>
    <w:p>
      <w:pPr>
        <w:pStyle w:val="BodyText"/>
      </w:pPr>
      <w:r>
        <w:rPr>
          <w:rFonts w:hint="eastAsia"/>
        </w:rPr>
        <w:t xml:space="preserve">目標長期獎勵</w:t>
      </w:r>
    </w:p>
    <w:p>
      <w:pPr>
        <w:pStyle w:val="BodyText"/>
      </w:pPr>
      <w:r>
        <w:rPr>
          <w:rFonts w:hint="eastAsia"/>
        </w:rPr>
        <w:t xml:space="preserve">年度目標薪酬總額</w:t>
      </w:r>
    </w:p>
    <w:p>
      <w:pPr>
        <w:pStyle w:val="BodyText"/>
      </w:pPr>
      <w:r>
        <w:rPr>
          <w:rFonts w:hint="eastAsia"/>
        </w:rPr>
        <w:t xml:space="preserve">年度目標薪酬金額(1)</w:t>
      </w:r>
    </w:p>
    <w:p>
      <w:pPr>
        <w:pStyle w:val="BodyText"/>
      </w:pPr>
      <w:r>
        <w:rPr>
          <w:rFonts w:hint="eastAsia"/>
        </w:rPr>
        <w:t xml:space="preserve">2020年</w:t>
      </w:r>
      <w:r>
        <w:br/>
      </w:r>
      <w:r>
        <w:rPr>
          <w:rFonts w:hint="eastAsia"/>
        </w:rPr>
        <w:t xml:space="preserve">李源祥先生</w:t>
      </w:r>
    </w:p>
    <w:p>
      <w:pPr>
        <w:pStyle w:val="BodyText"/>
      </w:pPr>
      <w:r>
        <w:rPr>
          <w:rFonts w:hint="eastAsia"/>
        </w:rPr>
        <w:t xml:space="preserve">2020年</w:t>
      </w:r>
      <w:r>
        <w:br/>
      </w:r>
      <w:r>
        <w:t xml:space="preserve">Ng Keng </w:t>
      </w:r>
      <w:r>
        <w:rPr>
          <w:rFonts w:hint="eastAsia"/>
        </w:rPr>
        <w:t xml:space="preserve">Hooi先生</w:t>
      </w:r>
    </w:p>
    <w:p>
      <w:pPr>
        <w:pStyle w:val="BodyText"/>
      </w:pPr>
      <w:r>
        <w:rPr>
          <w:rFonts w:hint="eastAsia"/>
        </w:rPr>
        <w:t xml:space="preserve">2019年</w:t>
      </w:r>
      <w:r>
        <w:br/>
      </w:r>
      <w:r>
        <w:t xml:space="preserve">Ng Keng </w:t>
      </w:r>
      <w:r>
        <w:rPr>
          <w:rFonts w:hint="eastAsia"/>
        </w:rPr>
        <w:t xml:space="preserve">Hooi先生</w:t>
      </w:r>
    </w:p>
    <w:p>
      <w:pPr>
        <w:pStyle w:val="BodyText"/>
      </w:pPr>
      <w:r>
        <w:t xml:space="preserve">1,092</w:t>
      </w:r>
    </w:p>
    <w:p>
      <w:pPr>
        <w:pStyle w:val="BodyText"/>
      </w:pPr>
      <w:r>
        <w:t xml:space="preserve">1,980</w:t>
      </w:r>
    </w:p>
    <w:p>
      <w:pPr>
        <w:pStyle w:val="BodyText"/>
      </w:pPr>
      <w:r>
        <w:t xml:space="preserve">3,960</w:t>
      </w:r>
    </w:p>
    <w:p>
      <w:pPr>
        <w:pStyle w:val="BodyText"/>
      </w:pPr>
      <w:r>
        <w:t xml:space="preserve">7,032</w:t>
      </w:r>
    </w:p>
    <w:p>
      <w:pPr>
        <w:pStyle w:val="BodyText"/>
      </w:pPr>
      <w:r>
        <w:t xml:space="preserve">1,092</w:t>
      </w:r>
    </w:p>
    <w:p>
      <w:pPr>
        <w:pStyle w:val="BodyText"/>
      </w:pPr>
      <w:r>
        <w:t xml:space="preserve">1,980</w:t>
      </w:r>
    </w:p>
    <w:p>
      <w:pPr>
        <w:pStyle w:val="BodyText"/>
      </w:pPr>
      <w:r>
        <w:t xml:space="preserve">4,500</w:t>
      </w:r>
    </w:p>
    <w:p>
      <w:pPr>
        <w:pStyle w:val="BodyText"/>
      </w:pPr>
      <w:r>
        <w:t xml:space="preserve">7,572</w:t>
      </w:r>
    </w:p>
    <w:p>
      <w:pPr>
        <w:pStyle w:val="BodyText"/>
      </w:pPr>
      <w:r>
        <w:t xml:space="preserve">1,080</w:t>
      </w:r>
    </w:p>
    <w:p>
      <w:pPr>
        <w:pStyle w:val="BodyText"/>
      </w:pPr>
      <w:r>
        <w:t xml:space="preserve">1,980</w:t>
      </w:r>
    </w:p>
    <w:p>
      <w:pPr>
        <w:pStyle w:val="BodyText"/>
      </w:pPr>
      <w:r>
        <w:t xml:space="preserve">3,960</w:t>
      </w:r>
    </w:p>
    <w:p>
      <w:pPr>
        <w:pStyle w:val="BodyText"/>
      </w:pPr>
      <w:r>
        <w:t xml:space="preserve">7,020</w:t>
      </w:r>
    </w:p>
    <w:p>
      <w:pPr>
        <w:pStyle w:val="BodyText"/>
      </w:pPr>
      <w:r>
        <w:rPr>
          <w:rFonts w:hint="eastAsia"/>
        </w:rPr>
        <w:t xml:space="preserve">附註：</w:t>
      </w:r>
      <w:r>
        <w:br/>
      </w:r>
      <w:r>
        <w:t xml:space="preserve">(1) Ng Keng </w:t>
      </w:r>
      <w:r>
        <w:rPr>
          <w:rFonts w:hint="eastAsia"/>
        </w:rPr>
        <w:t xml:space="preserve">Hooi先生於2020年5月31日辭任集團首席執行官兼總裁並退出董事會後，由李源祥先生繼任上述職務，自2020年6月1日起生效。</w:t>
      </w:r>
      <w:r>
        <w:br/>
      </w:r>
      <w:r>
        <w:rPr>
          <w:rFonts w:hint="eastAsia"/>
        </w:rPr>
        <w:t xml:space="preserve">上表所示的目標薪酬水準指其各自的年度金額（不包括福利及津貼）。李源祥先生及Ng</w:t>
      </w:r>
      <w:r>
        <w:t xml:space="preserve"> Keng </w:t>
      </w:r>
      <w:r>
        <w:rPr>
          <w:rFonts w:hint="eastAsia"/>
        </w:rPr>
        <w:t xml:space="preserve">Hooi先生亦各自於2020年及2019年獲得每年</w:t>
      </w:r>
      <w:r>
        <w:br/>
      </w:r>
      <w:r>
        <w:rPr>
          <w:rFonts w:hint="eastAsia"/>
        </w:rPr>
        <w:t xml:space="preserve">3,000,000港元的住房津貼。</w:t>
      </w:r>
    </w:p>
    <w:p>
      <w:pPr>
        <w:pStyle w:val="Compact"/>
        <w:numPr>
          <w:ilvl w:val="0"/>
          <w:numId w:val="1096"/>
        </w:numPr>
      </w:pPr>
      <w:r>
        <w:rPr>
          <w:rFonts w:hint="eastAsia"/>
        </w:rPr>
        <w:t xml:space="preserve">李源祥先生的基本薪金指其獲委任之日的年度金額，Ng</w:t>
      </w:r>
      <w:r>
        <w:t xml:space="preserve"> Keng </w:t>
      </w:r>
      <w:r>
        <w:rPr>
          <w:rFonts w:hint="eastAsia"/>
        </w:rPr>
        <w:t xml:space="preserve">Hooi先生的基本薪金指2020年及2019年各年的3月31日（即年度薪金調整生效</w:t>
      </w:r>
    </w:p>
    <w:p>
      <w:pPr>
        <w:pStyle w:val="FirstParagraph"/>
      </w:pPr>
      <w:r>
        <w:rPr>
          <w:rFonts w:hint="eastAsia"/>
        </w:rPr>
        <w:t xml:space="preserve">日期）的年度金額。基本薪金以港元支付，並根據各年末匯率換算為美元。</w:t>
      </w:r>
    </w:p>
    <w:p>
      <w:pPr>
        <w:pStyle w:val="BodyText"/>
      </w:pPr>
      <w:r>
        <w:rPr>
          <w:rFonts w:hint="eastAsia"/>
        </w:rPr>
        <w:t xml:space="preserve">本</w:t>
      </w:r>
      <w:r>
        <w:t xml:space="preserve"> </w:t>
      </w:r>
      <w:r>
        <w:rPr>
          <w:rFonts w:hint="eastAsia"/>
        </w:rPr>
        <w:t xml:space="preserve">公</w:t>
      </w:r>
      <w:r>
        <w:t xml:space="preserve"> </w:t>
      </w:r>
      <w:r>
        <w:rPr>
          <w:rFonts w:hint="eastAsia"/>
        </w:rPr>
        <w:t xml:space="preserve">司</w:t>
      </w:r>
      <w:r>
        <w:t xml:space="preserve"> </w:t>
      </w:r>
      <w:r>
        <w:rPr>
          <w:rFonts w:hint="eastAsia"/>
        </w:rPr>
        <w:t xml:space="preserve">於</w:t>
      </w:r>
      <w:r>
        <w:t xml:space="preserve"> </w:t>
      </w:r>
      <w:r>
        <w:rPr>
          <w:rFonts w:hint="eastAsia"/>
        </w:rPr>
        <w:t xml:space="preserve">截</w:t>
      </w:r>
      <w:r>
        <w:t xml:space="preserve"> </w:t>
      </w:r>
      <w:r>
        <w:rPr>
          <w:rFonts w:hint="eastAsia"/>
        </w:rPr>
        <w:t xml:space="preserve">至2020年12月31日</w:t>
      </w:r>
      <w:r>
        <w:t xml:space="preserve"> </w:t>
      </w:r>
      <w:r>
        <w:rPr>
          <w:rFonts w:hint="eastAsia"/>
        </w:rPr>
        <w:t xml:space="preserve">止</w:t>
      </w:r>
      <w:r>
        <w:t xml:space="preserve"> </w:t>
      </w:r>
      <w:r>
        <w:rPr>
          <w:rFonts w:hint="eastAsia"/>
        </w:rPr>
        <w:t xml:space="preserve">年</w:t>
      </w:r>
      <w:r>
        <w:t xml:space="preserve"> </w:t>
      </w:r>
      <w:r>
        <w:rPr>
          <w:rFonts w:hint="eastAsia"/>
        </w:rPr>
        <w:t xml:space="preserve">度</w:t>
      </w:r>
      <w:r>
        <w:t xml:space="preserve"> </w:t>
      </w:r>
      <w:r>
        <w:rPr>
          <w:rFonts w:hint="eastAsia"/>
        </w:rPr>
        <w:t xml:space="preserve">內</w:t>
      </w:r>
      <w:r>
        <w:t xml:space="preserve"> </w:t>
      </w:r>
      <w:r>
        <w:rPr>
          <w:rFonts w:hint="eastAsia"/>
        </w:rPr>
        <w:t xml:space="preserve">就</w:t>
      </w:r>
      <w:r>
        <w:t xml:space="preserve"> </w:t>
      </w:r>
      <w:r>
        <w:rPr>
          <w:rFonts w:hint="eastAsia"/>
        </w:rPr>
        <w:t xml:space="preserve">集</w:t>
      </w:r>
      <w:r>
        <w:t xml:space="preserve"> </w:t>
      </w:r>
      <w:r>
        <w:rPr>
          <w:rFonts w:hint="eastAsia"/>
        </w:rPr>
        <w:t xml:space="preserve">團</w:t>
      </w:r>
      <w:r>
        <w:t xml:space="preserve"> </w:t>
      </w:r>
      <w:r>
        <w:rPr>
          <w:rFonts w:hint="eastAsia"/>
        </w:rPr>
        <w:t xml:space="preserve">首</w:t>
      </w:r>
      <w:r>
        <w:t xml:space="preserve"> </w:t>
      </w:r>
      <w:r>
        <w:rPr>
          <w:rFonts w:hint="eastAsia"/>
        </w:rPr>
        <w:t xml:space="preserve">席</w:t>
      </w:r>
      <w:r>
        <w:t xml:space="preserve"> </w:t>
      </w:r>
      <w:r>
        <w:rPr>
          <w:rFonts w:hint="eastAsia"/>
        </w:rPr>
        <w:t xml:space="preserve">執</w:t>
      </w:r>
      <w:r>
        <w:t xml:space="preserve"> </w:t>
      </w:r>
      <w:r>
        <w:rPr>
          <w:rFonts w:hint="eastAsia"/>
        </w:rPr>
        <w:t xml:space="preserve">行</w:t>
      </w:r>
      <w:r>
        <w:t xml:space="preserve"> </w:t>
      </w:r>
      <w:r>
        <w:rPr>
          <w:rFonts w:hint="eastAsia"/>
        </w:rPr>
        <w:t xml:space="preserve">官</w:t>
      </w:r>
      <w:r>
        <w:t xml:space="preserve"> </w:t>
      </w:r>
      <w:r>
        <w:rPr>
          <w:rFonts w:hint="eastAsia"/>
        </w:rPr>
        <w:t xml:space="preserve">兼</w:t>
      </w:r>
      <w:r>
        <w:t xml:space="preserve"> </w:t>
      </w:r>
      <w:r>
        <w:rPr>
          <w:rFonts w:hint="eastAsia"/>
        </w:rPr>
        <w:t xml:space="preserve">總</w:t>
      </w:r>
      <w:r>
        <w:t xml:space="preserve"> </w:t>
      </w:r>
      <w:r>
        <w:rPr>
          <w:rFonts w:hint="eastAsia"/>
        </w:rPr>
        <w:t xml:space="preserve">裁</w:t>
      </w:r>
      <w:r>
        <w:t xml:space="preserve"> </w:t>
      </w:r>
      <w:r>
        <w:rPr>
          <w:rFonts w:hint="eastAsia"/>
        </w:rPr>
        <w:t xml:space="preserve">所</w:t>
      </w:r>
      <w:r>
        <w:t xml:space="preserve"> </w:t>
      </w:r>
      <w:r>
        <w:rPr>
          <w:rFonts w:hint="eastAsia"/>
        </w:rPr>
        <w:t xml:space="preserve">產</w:t>
      </w:r>
      <w:r>
        <w:t xml:space="preserve"> </w:t>
      </w:r>
      <w:r>
        <w:rPr>
          <w:rFonts w:hint="eastAsia"/>
        </w:rPr>
        <w:t xml:space="preserve">生</w:t>
      </w:r>
      <w:r>
        <w:t xml:space="preserve"> </w:t>
      </w:r>
      <w:r>
        <w:rPr>
          <w:rFonts w:hint="eastAsia"/>
        </w:rPr>
        <w:t xml:space="preserve">的</w:t>
      </w:r>
      <w:r>
        <w:t xml:space="preserve"> </w:t>
      </w:r>
      <w:r>
        <w:rPr>
          <w:rFonts w:hint="eastAsia"/>
        </w:rPr>
        <w:t xml:space="preserve">實</w:t>
      </w:r>
      <w:r>
        <w:t xml:space="preserve"> </w:t>
      </w:r>
      <w:r>
        <w:rPr>
          <w:rFonts w:hint="eastAsia"/>
        </w:rPr>
        <w:t xml:space="preserve">際</w:t>
      </w:r>
      <w:r>
        <w:t xml:space="preserve"> </w:t>
      </w:r>
      <w:r>
        <w:rPr>
          <w:rFonts w:hint="eastAsia"/>
        </w:rPr>
        <w:t xml:space="preserve">薪</w:t>
      </w:r>
      <w:r>
        <w:t xml:space="preserve"> </w:t>
      </w:r>
      <w:r>
        <w:rPr>
          <w:rFonts w:hint="eastAsia"/>
        </w:rPr>
        <w:t xml:space="preserve">酬</w:t>
      </w:r>
      <w:r>
        <w:t xml:space="preserve"> </w:t>
      </w:r>
      <w:r>
        <w:rPr>
          <w:rFonts w:hint="eastAsia"/>
        </w:rPr>
        <w:t xml:space="preserve">成</w:t>
      </w:r>
      <w:r>
        <w:t xml:space="preserve"> </w:t>
      </w:r>
      <w:r>
        <w:rPr>
          <w:rFonts w:hint="eastAsia"/>
        </w:rPr>
        <w:t xml:space="preserve">本</w:t>
      </w:r>
      <w:r>
        <w:t xml:space="preserve"> </w:t>
      </w:r>
      <w:r>
        <w:rPr>
          <w:rFonts w:hint="eastAsia"/>
        </w:rPr>
        <w:t xml:space="preserve">詳</w:t>
      </w:r>
      <w:r>
        <w:t xml:space="preserve"> </w:t>
      </w:r>
      <w:r>
        <w:rPr>
          <w:rFonts w:hint="eastAsia"/>
        </w:rPr>
        <w:t xml:space="preserve">情</w:t>
      </w:r>
      <w:r>
        <w:t xml:space="preserve"> </w:t>
      </w:r>
      <w:r>
        <w:rPr>
          <w:rFonts w:hint="eastAsia"/>
        </w:rPr>
        <w:t xml:space="preserve">載</w:t>
      </w:r>
      <w:r>
        <w:t xml:space="preserve"> </w:t>
      </w:r>
      <w:r>
        <w:rPr>
          <w:rFonts w:hint="eastAsia"/>
        </w:rPr>
        <w:t xml:space="preserve">於</w:t>
      </w:r>
      <w:r>
        <w:t xml:space="preserve"> </w:t>
      </w:r>
      <w:r>
        <w:rPr>
          <w:rFonts w:hint="eastAsia"/>
        </w:rPr>
        <w:t xml:space="preserve">財</w:t>
      </w:r>
      <w:r>
        <w:t xml:space="preserve"> </w:t>
      </w:r>
      <w:r>
        <w:rPr>
          <w:rFonts w:hint="eastAsia"/>
        </w:rPr>
        <w:t xml:space="preserve">務</w:t>
      </w:r>
      <w:r>
        <w:t xml:space="preserve"> </w:t>
      </w:r>
      <w:r>
        <w:rPr>
          <w:rFonts w:hint="eastAsia"/>
        </w:rPr>
        <w:t xml:space="preserve">報</w:t>
      </w:r>
      <w:r>
        <w:t xml:space="preserve"> </w:t>
      </w:r>
      <w:r>
        <w:rPr>
          <w:rFonts w:hint="eastAsia"/>
        </w:rPr>
        <w:t xml:space="preserve">表</w:t>
      </w:r>
    </w:p>
    <w:p>
      <w:pPr>
        <w:pStyle w:val="BodyText"/>
      </w:pPr>
      <w:r>
        <w:rPr>
          <w:rFonts w:hint="eastAsia"/>
        </w:rPr>
        <w:t xml:space="preserve">附註41。</w:t>
      </w:r>
    </w:p>
    <w:p>
      <w:pPr>
        <w:pStyle w:val="BodyText"/>
      </w:pPr>
      <w:r>
        <w:t xml:space="preserve">122</w:t>
      </w:r>
    </w:p>
    <w:p>
      <w:pPr>
        <w:pStyle w:val="BodyText"/>
      </w:pPr>
      <w:r>
        <w:rPr>
          <w:rFonts w:hint="eastAsia"/>
        </w:rPr>
        <w:t xml:space="preserve">企業管治友邦保險控股有限公司薪酬報告</w:t>
      </w:r>
    </w:p>
    <w:p>
      <w:pPr>
        <w:pStyle w:val="BodyText"/>
      </w:pPr>
      <w:r>
        <w:rPr>
          <w:rFonts w:hint="eastAsia"/>
        </w:rPr>
        <w:t xml:space="preserve">非執行董事</w:t>
      </w:r>
    </w:p>
    <w:p>
      <w:pPr>
        <w:pStyle w:val="BodyText"/>
      </w:pPr>
      <w:r>
        <w:rPr>
          <w:rFonts w:hint="eastAsia"/>
        </w:rPr>
        <w:t xml:space="preserve">本</w:t>
      </w:r>
      <w:r>
        <w:t xml:space="preserve"> </w:t>
      </w:r>
      <w:r>
        <w:rPr>
          <w:rFonts w:hint="eastAsia"/>
        </w:rPr>
        <w:t xml:space="preserve">公</w:t>
      </w:r>
      <w:r>
        <w:t xml:space="preserve"> </w:t>
      </w:r>
      <w:r>
        <w:rPr>
          <w:rFonts w:hint="eastAsia"/>
        </w:rPr>
        <w:t xml:space="preserve">司</w:t>
      </w:r>
      <w:r>
        <w:t xml:space="preserve"> </w:t>
      </w:r>
      <w:r>
        <w:rPr>
          <w:rFonts w:hint="eastAsia"/>
        </w:rPr>
        <w:t xml:space="preserve">已</w:t>
      </w:r>
      <w:r>
        <w:t xml:space="preserve"> </w:t>
      </w:r>
      <w:r>
        <w:rPr>
          <w:rFonts w:hint="eastAsia"/>
        </w:rPr>
        <w:t xml:space="preserve">支</w:t>
      </w:r>
      <w:r>
        <w:t xml:space="preserve"> </w:t>
      </w:r>
      <w:r>
        <w:rPr>
          <w:rFonts w:hint="eastAsia"/>
        </w:rPr>
        <w:t xml:space="preserve">付</w:t>
      </w:r>
      <w:r>
        <w:t xml:space="preserve"> </w:t>
      </w:r>
      <w:r>
        <w:rPr>
          <w:rFonts w:hint="eastAsia"/>
        </w:rPr>
        <w:t xml:space="preserve">非</w:t>
      </w:r>
      <w:r>
        <w:t xml:space="preserve"> </w:t>
      </w:r>
      <w:r>
        <w:rPr>
          <w:rFonts w:hint="eastAsia"/>
        </w:rPr>
        <w:t xml:space="preserve">執</w:t>
      </w:r>
      <w:r>
        <w:t xml:space="preserve"> </w:t>
      </w:r>
      <w:r>
        <w:rPr>
          <w:rFonts w:hint="eastAsia"/>
        </w:rPr>
        <w:t xml:space="preserve">行</w:t>
      </w:r>
      <w:r>
        <w:t xml:space="preserve"> </w:t>
      </w:r>
      <w:r>
        <w:rPr>
          <w:rFonts w:hint="eastAsia"/>
        </w:rPr>
        <w:t xml:space="preserve">董</w:t>
      </w:r>
      <w:r>
        <w:t xml:space="preserve"> </w:t>
      </w:r>
      <w:r>
        <w:rPr>
          <w:rFonts w:hint="eastAsia"/>
        </w:rPr>
        <w:t xml:space="preserve">事</w:t>
      </w:r>
      <w:r>
        <w:t xml:space="preserve"> </w:t>
      </w:r>
      <w:r>
        <w:rPr>
          <w:rFonts w:hint="eastAsia"/>
        </w:rPr>
        <w:t xml:space="preserve">截</w:t>
      </w:r>
      <w:r>
        <w:t xml:space="preserve"> </w:t>
      </w:r>
      <w:r>
        <w:rPr>
          <w:rFonts w:hint="eastAsia"/>
        </w:rPr>
        <w:t xml:space="preserve">至2020年12月31日</w:t>
      </w:r>
      <w:r>
        <w:t xml:space="preserve"> </w:t>
      </w:r>
      <w:r>
        <w:rPr>
          <w:rFonts w:hint="eastAsia"/>
        </w:rPr>
        <w:t xml:space="preserve">止</w:t>
      </w:r>
      <w:r>
        <w:t xml:space="preserve"> </w:t>
      </w:r>
      <w:r>
        <w:rPr>
          <w:rFonts w:hint="eastAsia"/>
        </w:rPr>
        <w:t xml:space="preserve">年</w:t>
      </w:r>
      <w:r>
        <w:t xml:space="preserve"> </w:t>
      </w:r>
      <w:r>
        <w:rPr>
          <w:rFonts w:hint="eastAsia"/>
        </w:rPr>
        <w:t xml:space="preserve">度</w:t>
      </w:r>
      <w:r>
        <w:t xml:space="preserve"> </w:t>
      </w:r>
      <w:r>
        <w:rPr>
          <w:rFonts w:hint="eastAsia"/>
        </w:rPr>
        <w:t xml:space="preserve">的</w:t>
      </w:r>
      <w:r>
        <w:t xml:space="preserve"> </w:t>
      </w:r>
      <w:r>
        <w:rPr>
          <w:rFonts w:hint="eastAsia"/>
        </w:rPr>
        <w:t xml:space="preserve">薪</w:t>
      </w:r>
      <w:r>
        <w:t xml:space="preserve"> </w:t>
      </w:r>
      <w:r>
        <w:rPr>
          <w:rFonts w:hint="eastAsia"/>
        </w:rPr>
        <w:t xml:space="preserve">酬，</w:t>
      </w:r>
      <w:r>
        <w:t xml:space="preserve"> </w:t>
      </w:r>
      <w:r>
        <w:rPr>
          <w:rFonts w:hint="eastAsia"/>
        </w:rPr>
        <w:t xml:space="preserve">並</w:t>
      </w:r>
      <w:r>
        <w:t xml:space="preserve"> </w:t>
      </w:r>
      <w:r>
        <w:rPr>
          <w:rFonts w:hint="eastAsia"/>
        </w:rPr>
        <w:t xml:space="preserve">已</w:t>
      </w:r>
      <w:r>
        <w:t xml:space="preserve"> </w:t>
      </w:r>
      <w:r>
        <w:rPr>
          <w:rFonts w:hint="eastAsia"/>
        </w:rPr>
        <w:t xml:space="preserve">包</w:t>
      </w:r>
      <w:r>
        <w:t xml:space="preserve"> </w:t>
      </w:r>
      <w:r>
        <w:rPr>
          <w:rFonts w:hint="eastAsia"/>
        </w:rPr>
        <w:t xml:space="preserve">含</w:t>
      </w:r>
      <w:r>
        <w:t xml:space="preserve"> </w:t>
      </w:r>
      <w:r>
        <w:rPr>
          <w:rFonts w:hint="eastAsia"/>
        </w:rPr>
        <w:t xml:space="preserve">彼</w:t>
      </w:r>
      <w:r>
        <w:t xml:space="preserve"> </w:t>
      </w:r>
      <w:r>
        <w:rPr>
          <w:rFonts w:hint="eastAsia"/>
        </w:rPr>
        <w:t xml:space="preserve">等</w:t>
      </w:r>
      <w:r>
        <w:t xml:space="preserve"> </w:t>
      </w:r>
      <w:r>
        <w:rPr>
          <w:rFonts w:hint="eastAsia"/>
        </w:rPr>
        <w:t xml:space="preserve">各</w:t>
      </w:r>
      <w:r>
        <w:t xml:space="preserve"> </w:t>
      </w:r>
      <w:r>
        <w:rPr>
          <w:rFonts w:hint="eastAsia"/>
        </w:rPr>
        <w:t xml:space="preserve">自</w:t>
      </w:r>
      <w:r>
        <w:t xml:space="preserve"> </w:t>
      </w:r>
      <w:r>
        <w:rPr>
          <w:rFonts w:hint="eastAsia"/>
        </w:rPr>
        <w:t xml:space="preserve">向</w:t>
      </w:r>
      <w:r>
        <w:t xml:space="preserve"> </w:t>
      </w:r>
      <w:r>
        <w:rPr>
          <w:rFonts w:hint="eastAsia"/>
        </w:rPr>
        <w:t xml:space="preserve">董</w:t>
      </w:r>
      <w:r>
        <w:t xml:space="preserve"> </w:t>
      </w:r>
      <w:r>
        <w:rPr>
          <w:rFonts w:hint="eastAsia"/>
        </w:rPr>
        <w:t xml:space="preserve">事</w:t>
      </w:r>
      <w:r>
        <w:t xml:space="preserve"> </w:t>
      </w:r>
      <w:r>
        <w:rPr>
          <w:rFonts w:hint="eastAsia"/>
        </w:rPr>
        <w:t xml:space="preserve">委</w:t>
      </w:r>
      <w:r>
        <w:t xml:space="preserve"> </w:t>
      </w:r>
      <w:r>
        <w:rPr>
          <w:rFonts w:hint="eastAsia"/>
        </w:rPr>
        <w:t xml:space="preserve">員</w:t>
      </w:r>
      <w:r>
        <w:t xml:space="preserve"> </w:t>
      </w:r>
      <w:r>
        <w:rPr>
          <w:rFonts w:hint="eastAsia"/>
        </w:rPr>
        <w:t xml:space="preserve">會</w:t>
      </w:r>
      <w:r>
        <w:t xml:space="preserve"> </w:t>
      </w:r>
      <w:r>
        <w:rPr>
          <w:rFonts w:hint="eastAsia"/>
        </w:rPr>
        <w:t xml:space="preserve">提</w:t>
      </w:r>
      <w:r>
        <w:t xml:space="preserve"> </w:t>
      </w:r>
      <w:r>
        <w:rPr>
          <w:rFonts w:hint="eastAsia"/>
        </w:rPr>
        <w:t xml:space="preserve">供</w:t>
      </w:r>
      <w:r>
        <w:t xml:space="preserve"> </w:t>
      </w:r>
      <w:r>
        <w:rPr>
          <w:rFonts w:hint="eastAsia"/>
        </w:rPr>
        <w:t xml:space="preserve">服</w:t>
      </w:r>
      <w:r>
        <w:t xml:space="preserve"> </w:t>
      </w:r>
      <w:r>
        <w:rPr>
          <w:rFonts w:hint="eastAsia"/>
        </w:rPr>
        <w:t xml:space="preserve">務</w:t>
      </w:r>
      <w:r>
        <w:t xml:space="preserve"> </w:t>
      </w:r>
      <w:r>
        <w:rPr>
          <w:rFonts w:hint="eastAsia"/>
        </w:rPr>
        <w:t xml:space="preserve">的</w:t>
      </w:r>
    </w:p>
    <w:p>
      <w:pPr>
        <w:pStyle w:val="BodyText"/>
      </w:pPr>
      <w:r>
        <w:rPr>
          <w:rFonts w:hint="eastAsia"/>
        </w:rPr>
        <w:t xml:space="preserve">袍金。非執行董事的所有薪酬均按定額年度袍金為基準計算，未有與公司或個人表現掛鈎的變動部分。</w:t>
      </w:r>
    </w:p>
    <w:p>
      <w:pPr>
        <w:pStyle w:val="BodyText"/>
      </w:pPr>
      <w:r>
        <w:rPr>
          <w:rFonts w:hint="eastAsia"/>
        </w:rPr>
        <w:t xml:space="preserve">本公司於截至2020年12月31日止年度內產生的非執行董事薪酬成本詳情載於財務報表附註41。</w:t>
      </w:r>
    </w:p>
    <w:p>
      <w:pPr>
        <w:pStyle w:val="BodyText"/>
      </w:pPr>
      <w:r>
        <w:rPr>
          <w:rFonts w:hint="eastAsia"/>
        </w:rPr>
        <w:t xml:space="preserve">董事會主席</w:t>
      </w:r>
    </w:p>
    <w:p>
      <w:pPr>
        <w:pStyle w:val="BodyText"/>
      </w:pPr>
      <w:r>
        <w:rPr>
          <w:rFonts w:hint="eastAsia"/>
        </w:rPr>
        <w:t xml:space="preserve">就董事會先前所批准，截至2020年12月31日止年度的董事會主席的基本袍金（包括董事會成員袍金）為每年</w:t>
      </w:r>
    </w:p>
    <w:p>
      <w:pPr>
        <w:pStyle w:val="BodyText"/>
      </w:pPr>
      <w:r>
        <w:rPr>
          <w:rFonts w:hint="eastAsia"/>
        </w:rPr>
        <w:t xml:space="preserve">600,000美元。</w:t>
      </w:r>
    </w:p>
    <w:p>
      <w:pPr>
        <w:pStyle w:val="BodyText"/>
      </w:pPr>
      <w:r>
        <w:rPr>
          <w:rFonts w:hint="eastAsia"/>
        </w:rPr>
        <w:t xml:space="preserve">非執行董事</w:t>
      </w:r>
    </w:p>
    <w:p>
      <w:pPr>
        <w:pStyle w:val="BodyText"/>
      </w:pPr>
      <w:r>
        <w:rPr>
          <w:rFonts w:hint="eastAsia"/>
        </w:rPr>
        <w:t xml:space="preserve">於2020年1月1日起，非執行董事的董事會成員袍金為每年168,000美元，與全球保險同業公司所提供的市場水準</w:t>
      </w:r>
    </w:p>
    <w:p>
      <w:pPr>
        <w:pStyle w:val="BodyText"/>
      </w:pPr>
      <w:r>
        <w:rPr>
          <w:rFonts w:hint="eastAsia"/>
        </w:rPr>
        <w:t xml:space="preserve">相近。</w:t>
      </w:r>
    </w:p>
    <w:p>
      <w:pPr>
        <w:pStyle w:val="BodyText"/>
      </w:pPr>
      <w:r>
        <w:rPr>
          <w:rFonts w:hint="eastAsia"/>
        </w:rPr>
        <w:t xml:space="preserve">非執行董事就擔任委員會成員及主席職位額外獲得的年度袍金如下：</w:t>
      </w:r>
    </w:p>
    <w:p>
      <w:pPr>
        <w:pStyle w:val="BodyText"/>
      </w:pPr>
      <w:r>
        <w:rPr>
          <w:rFonts w:hint="eastAsia"/>
        </w:rPr>
        <w:t xml:space="preserve">審核委員會</w:t>
      </w:r>
    </w:p>
    <w:p>
      <w:pPr>
        <w:pStyle w:val="BodyText"/>
      </w:pPr>
      <w:r>
        <w:rPr>
          <w:rFonts w:hint="eastAsia"/>
        </w:rPr>
        <w:t xml:space="preserve">提名委員會</w:t>
      </w:r>
    </w:p>
    <w:p>
      <w:pPr>
        <w:pStyle w:val="BodyText"/>
      </w:pPr>
      <w:r>
        <w:rPr>
          <w:rFonts w:hint="eastAsia"/>
        </w:rPr>
        <w:t xml:space="preserve">薪酬委員會</w:t>
      </w:r>
    </w:p>
    <w:p>
      <w:pPr>
        <w:pStyle w:val="BodyText"/>
      </w:pPr>
      <w:r>
        <w:rPr>
          <w:rFonts w:hint="eastAsia"/>
        </w:rPr>
        <w:t xml:space="preserve">風險委員會</w:t>
      </w:r>
    </w:p>
    <w:p>
      <w:pPr>
        <w:pStyle w:val="BodyText"/>
      </w:pPr>
      <w:r>
        <w:rPr>
          <w:rFonts w:hint="eastAsia"/>
        </w:rPr>
        <w:t xml:space="preserve">主要管理人員</w:t>
      </w:r>
    </w:p>
    <w:p>
      <w:pPr>
        <w:pStyle w:val="BodyText"/>
      </w:pPr>
      <w:r>
        <w:rPr>
          <w:rFonts w:hint="eastAsia"/>
        </w:rPr>
        <w:t xml:space="preserve">主席</w:t>
      </w:r>
    </w:p>
    <w:p>
      <w:pPr>
        <w:pStyle w:val="BodyText"/>
      </w:pPr>
      <w:r>
        <w:rPr>
          <w:rFonts w:hint="eastAsia"/>
        </w:rPr>
        <w:t xml:space="preserve">55,000美元</w:t>
      </w:r>
    </w:p>
    <w:p>
      <w:pPr>
        <w:pStyle w:val="BodyText"/>
      </w:pPr>
      <w:r>
        <w:rPr>
          <w:rFonts w:hint="eastAsia"/>
        </w:rPr>
        <w:t xml:space="preserve">25,000美元</w:t>
      </w:r>
    </w:p>
    <w:p>
      <w:pPr>
        <w:pStyle w:val="BodyText"/>
      </w:pPr>
      <w:r>
        <w:rPr>
          <w:rFonts w:hint="eastAsia"/>
        </w:rPr>
        <w:t xml:space="preserve">45,000美元</w:t>
      </w:r>
    </w:p>
    <w:p>
      <w:pPr>
        <w:pStyle w:val="BodyText"/>
      </w:pPr>
      <w:r>
        <w:rPr>
          <w:rFonts w:hint="eastAsia"/>
        </w:rPr>
        <w:t xml:space="preserve">45,000美元</w:t>
      </w:r>
    </w:p>
    <w:p>
      <w:pPr>
        <w:pStyle w:val="BodyText"/>
      </w:pPr>
      <w:r>
        <w:rPr>
          <w:rFonts w:hint="eastAsia"/>
        </w:rPr>
        <w:t xml:space="preserve">成員</w:t>
      </w:r>
    </w:p>
    <w:p>
      <w:pPr>
        <w:pStyle w:val="BodyText"/>
      </w:pPr>
      <w:r>
        <w:rPr>
          <w:rFonts w:hint="eastAsia"/>
        </w:rPr>
        <w:t xml:space="preserve">40,000美元</w:t>
      </w:r>
    </w:p>
    <w:p>
      <w:pPr>
        <w:pStyle w:val="BodyText"/>
      </w:pPr>
      <w:r>
        <w:rPr>
          <w:rFonts w:hint="eastAsia"/>
        </w:rPr>
        <w:t xml:space="preserve">15,000美元</w:t>
      </w:r>
    </w:p>
    <w:p>
      <w:pPr>
        <w:pStyle w:val="BodyText"/>
      </w:pPr>
      <w:r>
        <w:rPr>
          <w:rFonts w:hint="eastAsia"/>
        </w:rPr>
        <w:t xml:space="preserve">30,000美元</w:t>
      </w:r>
    </w:p>
    <w:p>
      <w:pPr>
        <w:pStyle w:val="BodyText"/>
      </w:pPr>
      <w:r>
        <w:rPr>
          <w:rFonts w:hint="eastAsia"/>
        </w:rPr>
        <w:t xml:space="preserve">30,000美元</w:t>
      </w:r>
    </w:p>
    <w:p>
      <w:pPr>
        <w:pStyle w:val="BodyText"/>
      </w:pPr>
      <w:r>
        <w:rPr>
          <w:rFonts w:hint="eastAsia"/>
        </w:rPr>
        <w:t xml:space="preserve">於截至2020年12月31日止年度內，就主要管理人員於合併收入表列中的總薪酬成本為62,478,862美元。</w:t>
      </w:r>
    </w:p>
    <w:p>
      <w:pPr>
        <w:pStyle w:val="BodyText"/>
      </w:pPr>
      <w:r>
        <w:rPr>
          <w:rFonts w:hint="eastAsia"/>
        </w:rPr>
        <w:t xml:space="preserve">截至2020年12月31日止年度內所提供的薪酬詳情載於財務報表附註41。</w:t>
      </w:r>
    </w:p>
    <w:p>
      <w:pPr>
        <w:pStyle w:val="BodyText"/>
      </w:pPr>
      <w:r>
        <w:t xml:space="preserve">123</w:t>
      </w:r>
    </w:p>
    <w:p>
      <w:pPr>
        <w:pStyle w:val="BodyText"/>
      </w:pPr>
      <w:r>
        <w:rPr>
          <w:rFonts w:hint="eastAsia"/>
        </w:rPr>
        <w:t xml:space="preserve">概覽財務及營運回顧企業管治其他資料財務報表2020年報</w:t>
      </w:r>
    </w:p>
    <w:p>
      <w:pPr>
        <w:numPr>
          <w:ilvl w:val="0"/>
          <w:numId w:val="1097"/>
        </w:numPr>
      </w:pPr>
      <w:r>
        <w:rPr>
          <w:rFonts w:hint="eastAsia"/>
        </w:rPr>
        <w:t xml:space="preserve">金融資產的減值</w:t>
      </w:r>
    </w:p>
    <w:p>
      <w:pPr>
        <w:numPr>
          <w:ilvl w:val="0"/>
          <w:numId w:val="1097"/>
        </w:numPr>
      </w:pPr>
      <w:r>
        <w:rPr>
          <w:rFonts w:hint="eastAsia"/>
        </w:rPr>
        <w:t xml:space="preserve">現金及現金等價物</w:t>
      </w:r>
    </w:p>
    <w:p>
      <w:pPr>
        <w:numPr>
          <w:ilvl w:val="0"/>
          <w:numId w:val="1097"/>
        </w:numPr>
      </w:pPr>
      <w:r>
        <w:rPr>
          <w:rFonts w:hint="eastAsia"/>
        </w:rPr>
        <w:t xml:space="preserve">保險合約負債</w:t>
      </w:r>
    </w:p>
    <w:p>
      <w:pPr>
        <w:numPr>
          <w:ilvl w:val="0"/>
          <w:numId w:val="1097"/>
        </w:numPr>
      </w:pPr>
      <w:r>
        <w:rPr>
          <w:rFonts w:hint="eastAsia"/>
        </w:rPr>
        <w:t xml:space="preserve">投資合約負債</w:t>
      </w:r>
    </w:p>
    <w:p>
      <w:pPr>
        <w:numPr>
          <w:ilvl w:val="0"/>
          <w:numId w:val="1097"/>
        </w:numPr>
      </w:pPr>
      <w:r>
        <w:rPr>
          <w:rFonts w:hint="eastAsia"/>
        </w:rPr>
        <w:t xml:space="preserve">假設及估計變動的影響</w:t>
      </w:r>
    </w:p>
    <w:p>
      <w:pPr>
        <w:numPr>
          <w:ilvl w:val="0"/>
          <w:numId w:val="1097"/>
        </w:numPr>
      </w:pPr>
      <w:r>
        <w:rPr>
          <w:rFonts w:hint="eastAsia"/>
        </w:rPr>
        <w:t xml:space="preserve">借貸</w:t>
      </w:r>
    </w:p>
    <w:p>
      <w:pPr>
        <w:numPr>
          <w:ilvl w:val="0"/>
          <w:numId w:val="1097"/>
        </w:numPr>
      </w:pPr>
      <w:r>
        <w:rPr>
          <w:rFonts w:hint="eastAsia"/>
        </w:rPr>
        <w:t xml:space="preserve">回購協議的債項</w:t>
      </w:r>
    </w:p>
    <w:p>
      <w:pPr>
        <w:numPr>
          <w:ilvl w:val="0"/>
          <w:numId w:val="1097"/>
        </w:numPr>
      </w:pPr>
      <w:r>
        <w:rPr>
          <w:rFonts w:hint="eastAsia"/>
        </w:rPr>
        <w:t xml:space="preserve">抵銷金融資產及金融負債</w:t>
      </w:r>
    </w:p>
    <w:p>
      <w:pPr>
        <w:numPr>
          <w:ilvl w:val="0"/>
          <w:numId w:val="1097"/>
        </w:numPr>
      </w:pPr>
      <w:r>
        <w:rPr>
          <w:rFonts w:hint="eastAsia"/>
        </w:rPr>
        <w:t xml:space="preserve">撥備</w:t>
      </w:r>
    </w:p>
    <w:p>
      <w:pPr>
        <w:numPr>
          <w:ilvl w:val="0"/>
          <w:numId w:val="1097"/>
        </w:numPr>
      </w:pPr>
      <w:r>
        <w:rPr>
          <w:rFonts w:hint="eastAsia"/>
        </w:rPr>
        <w:t xml:space="preserve">其他負債</w:t>
      </w:r>
    </w:p>
    <w:p>
      <w:pPr>
        <w:numPr>
          <w:ilvl w:val="0"/>
          <w:numId w:val="1097"/>
        </w:numPr>
      </w:pPr>
      <w:r>
        <w:rPr>
          <w:rFonts w:hint="eastAsia"/>
        </w:rPr>
        <w:t xml:space="preserve">股本及準備金</w:t>
      </w:r>
    </w:p>
    <w:p>
      <w:pPr>
        <w:numPr>
          <w:ilvl w:val="0"/>
          <w:numId w:val="1097"/>
        </w:numPr>
      </w:pPr>
      <w:r>
        <w:rPr>
          <w:rFonts w:hint="eastAsia"/>
        </w:rPr>
        <w:t xml:space="preserve">非控股權益</w:t>
      </w:r>
    </w:p>
    <w:p>
      <w:pPr>
        <w:numPr>
          <w:ilvl w:val="0"/>
          <w:numId w:val="1097"/>
        </w:numPr>
      </w:pPr>
      <w:r>
        <w:rPr>
          <w:rFonts w:hint="eastAsia"/>
        </w:rPr>
        <w:t xml:space="preserve">集團資本結構</w:t>
      </w:r>
    </w:p>
    <w:p>
      <w:pPr>
        <w:numPr>
          <w:ilvl w:val="0"/>
          <w:numId w:val="1097"/>
        </w:numPr>
      </w:pPr>
      <w:r>
        <w:rPr>
          <w:rFonts w:hint="eastAsia"/>
        </w:rPr>
        <w:t xml:space="preserve">風險管理</w:t>
      </w:r>
    </w:p>
    <w:p>
      <w:pPr>
        <w:numPr>
          <w:ilvl w:val="0"/>
          <w:numId w:val="1097"/>
        </w:numPr>
      </w:pPr>
      <w:r>
        <w:rPr>
          <w:rFonts w:hint="eastAsia"/>
        </w:rPr>
        <w:t xml:space="preserve">僱員福利</w:t>
      </w:r>
    </w:p>
    <w:p>
      <w:pPr>
        <w:numPr>
          <w:ilvl w:val="0"/>
          <w:numId w:val="1097"/>
        </w:numPr>
      </w:pPr>
      <w:r>
        <w:rPr>
          <w:rFonts w:hint="eastAsia"/>
        </w:rPr>
        <w:t xml:space="preserve">以股份為基礎的報酬</w:t>
      </w:r>
    </w:p>
    <w:p>
      <w:pPr>
        <w:numPr>
          <w:ilvl w:val="0"/>
          <w:numId w:val="1097"/>
        </w:numPr>
      </w:pPr>
      <w:r>
        <w:rPr>
          <w:rFonts w:hint="eastAsia"/>
        </w:rPr>
        <w:t xml:space="preserve">董事及主要管理人員酬金</w:t>
      </w:r>
    </w:p>
    <w:p>
      <w:pPr>
        <w:numPr>
          <w:ilvl w:val="0"/>
          <w:numId w:val="1097"/>
        </w:numPr>
      </w:pPr>
      <w:r>
        <w:rPr>
          <w:rFonts w:hint="eastAsia"/>
        </w:rPr>
        <w:t xml:space="preserve">關連方交易</w:t>
      </w:r>
    </w:p>
    <w:p>
      <w:pPr>
        <w:numPr>
          <w:ilvl w:val="0"/>
          <w:numId w:val="1097"/>
        </w:numPr>
      </w:pPr>
      <w:r>
        <w:rPr>
          <w:rFonts w:hint="eastAsia"/>
        </w:rPr>
        <w:t xml:space="preserve">承擔及或有事項</w:t>
      </w:r>
    </w:p>
    <w:p>
      <w:pPr>
        <w:numPr>
          <w:ilvl w:val="0"/>
          <w:numId w:val="1097"/>
        </w:numPr>
      </w:pPr>
      <w:r>
        <w:rPr>
          <w:rFonts w:hint="eastAsia"/>
        </w:rPr>
        <w:t xml:space="preserve">附屬公司</w:t>
      </w:r>
    </w:p>
    <w:p>
      <w:pPr>
        <w:numPr>
          <w:ilvl w:val="0"/>
          <w:numId w:val="1097"/>
        </w:numPr>
      </w:pPr>
      <w:r>
        <w:rPr>
          <w:rFonts w:hint="eastAsia"/>
        </w:rPr>
        <w:t xml:space="preserve">報告期間後事項</w:t>
      </w:r>
    </w:p>
    <w:p>
      <w:pPr>
        <w:numPr>
          <w:ilvl w:val="0"/>
          <w:numId w:val="1097"/>
        </w:numPr>
      </w:pPr>
      <w:r>
        <w:rPr>
          <w:rFonts w:hint="eastAsia"/>
        </w:rPr>
        <w:t xml:space="preserve">本公司的財務狀況表</w:t>
      </w:r>
    </w:p>
    <w:p>
      <w:pPr>
        <w:numPr>
          <w:ilvl w:val="0"/>
          <w:numId w:val="1097"/>
        </w:numPr>
      </w:pPr>
      <w:r>
        <w:rPr>
          <w:rFonts w:hint="eastAsia"/>
        </w:rPr>
        <w:t xml:space="preserve">本公司的權益變動表</w:t>
      </w:r>
    </w:p>
    <w:p>
      <w:pPr>
        <w:numPr>
          <w:ilvl w:val="0"/>
          <w:numId w:val="1097"/>
        </w:numPr>
      </w:pPr>
      <w:r>
        <w:rPr>
          <w:rFonts w:hint="eastAsia"/>
        </w:rPr>
        <w:t xml:space="preserve">採納經修訂會計政策的影響</w:t>
      </w:r>
    </w:p>
    <w:p>
      <w:pPr>
        <w:pStyle w:val="FirstParagraph"/>
      </w:pPr>
      <w:r>
        <w:t xml:space="preserve">265 </w:t>
      </w:r>
      <w:r>
        <w:rPr>
          <w:rFonts w:hint="eastAsia"/>
        </w:rPr>
        <w:t xml:space="preserve">內涵價值補充資料的</w:t>
      </w:r>
      <w:r>
        <w:br/>
      </w:r>
      <w:r>
        <w:rPr>
          <w:rFonts w:hint="eastAsia"/>
        </w:rPr>
        <w:t xml:space="preserve">獨立核數師報告</w:t>
      </w:r>
    </w:p>
    <w:p>
      <w:pPr>
        <w:pStyle w:val="BodyText"/>
      </w:pPr>
      <w:r>
        <w:t xml:space="preserve">269 </w:t>
      </w:r>
      <w:r>
        <w:rPr>
          <w:rFonts w:hint="eastAsia"/>
        </w:rPr>
        <w:t xml:space="preserve">內涵價值補充資料</w:t>
      </w:r>
    </w:p>
    <w:p>
      <w:pPr>
        <w:pStyle w:val="BodyText"/>
      </w:pPr>
      <w:r>
        <w:rPr>
          <w:rFonts w:hint="eastAsia"/>
        </w:rPr>
        <w:t xml:space="preserve">財務報表</w:t>
      </w:r>
    </w:p>
    <w:p>
      <w:pPr>
        <w:pStyle w:val="BodyText"/>
      </w:pPr>
      <w:r>
        <w:t xml:space="preserve">125 </w:t>
      </w:r>
      <w:r>
        <w:rPr>
          <w:rFonts w:hint="eastAsia"/>
        </w:rPr>
        <w:t xml:space="preserve">獨立核數師報告</w:t>
      </w:r>
    </w:p>
    <w:p>
      <w:pPr>
        <w:pStyle w:val="BodyText"/>
      </w:pPr>
      <w:r>
        <w:t xml:space="preserve">132 </w:t>
      </w:r>
      <w:r>
        <w:rPr>
          <w:rFonts w:hint="eastAsia"/>
        </w:rPr>
        <w:t xml:space="preserve">合併收入表</w:t>
      </w:r>
    </w:p>
    <w:p>
      <w:pPr>
        <w:pStyle w:val="BodyText"/>
      </w:pPr>
      <w:r>
        <w:t xml:space="preserve">133 </w:t>
      </w:r>
      <w:r>
        <w:rPr>
          <w:rFonts w:hint="eastAsia"/>
        </w:rPr>
        <w:t xml:space="preserve">合併全面收入表</w:t>
      </w:r>
    </w:p>
    <w:p>
      <w:pPr>
        <w:pStyle w:val="BodyText"/>
      </w:pPr>
      <w:r>
        <w:t xml:space="preserve">134 </w:t>
      </w:r>
      <w:r>
        <w:rPr>
          <w:rFonts w:hint="eastAsia"/>
        </w:rPr>
        <w:t xml:space="preserve">合併財務狀況表</w:t>
      </w:r>
    </w:p>
    <w:p>
      <w:pPr>
        <w:pStyle w:val="BodyText"/>
      </w:pPr>
      <w:r>
        <w:t xml:space="preserve">136 </w:t>
      </w:r>
      <w:r>
        <w:rPr>
          <w:rFonts w:hint="eastAsia"/>
        </w:rPr>
        <w:t xml:space="preserve">合併權益變動表</w:t>
      </w:r>
    </w:p>
    <w:p>
      <w:pPr>
        <w:pStyle w:val="BodyText"/>
      </w:pPr>
      <w:r>
        <w:t xml:space="preserve">138 </w:t>
      </w:r>
      <w:r>
        <w:rPr>
          <w:rFonts w:hint="eastAsia"/>
        </w:rPr>
        <w:t xml:space="preserve">合併現金流量表</w:t>
      </w:r>
    </w:p>
    <w:p>
      <w:pPr>
        <w:pStyle w:val="BodyText"/>
      </w:pPr>
      <w:r>
        <w:t xml:space="preserve">140 </w:t>
      </w:r>
      <w:r>
        <w:rPr>
          <w:rFonts w:hint="eastAsia"/>
        </w:rPr>
        <w:t xml:space="preserve">合併財務報表附註及</w:t>
      </w:r>
      <w:r>
        <w:br/>
      </w:r>
      <w:r>
        <w:rPr>
          <w:rFonts w:hint="eastAsia"/>
        </w:rPr>
        <w:t xml:space="preserve">主要會計政策</w:t>
      </w:r>
    </w:p>
    <w:p>
      <w:pPr>
        <w:numPr>
          <w:ilvl w:val="0"/>
          <w:numId w:val="1098"/>
        </w:numPr>
      </w:pPr>
      <w:r>
        <w:rPr>
          <w:rFonts w:hint="eastAsia"/>
        </w:rPr>
        <w:t xml:space="preserve">公司資料</w:t>
      </w:r>
    </w:p>
    <w:p>
      <w:pPr>
        <w:numPr>
          <w:ilvl w:val="0"/>
          <w:numId w:val="1098"/>
        </w:numPr>
      </w:pPr>
      <w:r>
        <w:rPr>
          <w:rFonts w:hint="eastAsia"/>
        </w:rPr>
        <w:t xml:space="preserve">主要會計政策</w:t>
      </w:r>
    </w:p>
    <w:p>
      <w:pPr>
        <w:numPr>
          <w:ilvl w:val="0"/>
          <w:numId w:val="1098"/>
        </w:numPr>
      </w:pPr>
      <w:r>
        <w:rPr>
          <w:rFonts w:hint="eastAsia"/>
        </w:rPr>
        <w:t xml:space="preserve">主要會計估計及判斷</w:t>
      </w:r>
    </w:p>
    <w:p>
      <w:pPr>
        <w:numPr>
          <w:ilvl w:val="0"/>
          <w:numId w:val="1098"/>
        </w:numPr>
      </w:pPr>
      <w:r>
        <w:rPr>
          <w:rFonts w:hint="eastAsia"/>
        </w:rPr>
        <w:t xml:space="preserve">匯率</w:t>
      </w:r>
    </w:p>
    <w:p>
      <w:pPr>
        <w:numPr>
          <w:ilvl w:val="0"/>
          <w:numId w:val="1098"/>
        </w:numPr>
      </w:pPr>
      <w:r>
        <w:rPr>
          <w:rFonts w:hint="eastAsia"/>
        </w:rPr>
        <w:t xml:space="preserve">集團構成的變動</w:t>
      </w:r>
    </w:p>
    <w:p>
      <w:pPr>
        <w:numPr>
          <w:ilvl w:val="0"/>
          <w:numId w:val="1098"/>
        </w:numPr>
      </w:pPr>
      <w:r>
        <w:rPr>
          <w:rFonts w:hint="eastAsia"/>
        </w:rPr>
        <w:t xml:space="preserve">保費及收費收入</w:t>
      </w:r>
    </w:p>
    <w:p>
      <w:pPr>
        <w:numPr>
          <w:ilvl w:val="0"/>
          <w:numId w:val="1098"/>
        </w:numPr>
      </w:pPr>
      <w:r>
        <w:rPr>
          <w:rFonts w:hint="eastAsia"/>
        </w:rPr>
        <w:t xml:space="preserve">稅後營運溢利</w:t>
      </w:r>
    </w:p>
    <w:p>
      <w:pPr>
        <w:numPr>
          <w:ilvl w:val="0"/>
          <w:numId w:val="1098"/>
        </w:numPr>
      </w:pPr>
      <w:r>
        <w:rPr>
          <w:rFonts w:hint="eastAsia"/>
        </w:rPr>
        <w:t xml:space="preserve">總加權保費收入及年化新保費</w:t>
      </w:r>
    </w:p>
    <w:p>
      <w:pPr>
        <w:numPr>
          <w:ilvl w:val="0"/>
          <w:numId w:val="1098"/>
        </w:numPr>
      </w:pPr>
      <w:r>
        <w:rPr>
          <w:rFonts w:hint="eastAsia"/>
        </w:rPr>
        <w:t xml:space="preserve">分部資料</w:t>
      </w:r>
    </w:p>
    <w:p>
      <w:pPr>
        <w:numPr>
          <w:ilvl w:val="0"/>
          <w:numId w:val="1098"/>
        </w:numPr>
      </w:pPr>
      <w:r>
        <w:rPr>
          <w:rFonts w:hint="eastAsia"/>
        </w:rPr>
        <w:t xml:space="preserve">收益</w:t>
      </w:r>
    </w:p>
    <w:p>
      <w:pPr>
        <w:numPr>
          <w:ilvl w:val="0"/>
          <w:numId w:val="1098"/>
        </w:numPr>
      </w:pPr>
      <w:r>
        <w:rPr>
          <w:rFonts w:hint="eastAsia"/>
        </w:rPr>
        <w:t xml:space="preserve">開支</w:t>
      </w:r>
    </w:p>
    <w:p>
      <w:pPr>
        <w:numPr>
          <w:ilvl w:val="0"/>
          <w:numId w:val="1098"/>
        </w:numPr>
      </w:pPr>
      <w:r>
        <w:rPr>
          <w:rFonts w:hint="eastAsia"/>
        </w:rPr>
        <w:t xml:space="preserve">所得稅</w:t>
      </w:r>
    </w:p>
    <w:p>
      <w:pPr>
        <w:numPr>
          <w:ilvl w:val="0"/>
          <w:numId w:val="1098"/>
        </w:numPr>
      </w:pPr>
      <w:r>
        <w:rPr>
          <w:rFonts w:hint="eastAsia"/>
        </w:rPr>
        <w:t xml:space="preserve">每股盈利</w:t>
      </w:r>
    </w:p>
    <w:p>
      <w:pPr>
        <w:numPr>
          <w:ilvl w:val="0"/>
          <w:numId w:val="1098"/>
        </w:numPr>
      </w:pPr>
      <w:r>
        <w:rPr>
          <w:rFonts w:hint="eastAsia"/>
        </w:rPr>
        <w:t xml:space="preserve">股息</w:t>
      </w:r>
    </w:p>
    <w:p>
      <w:pPr>
        <w:numPr>
          <w:ilvl w:val="0"/>
          <w:numId w:val="1098"/>
        </w:numPr>
      </w:pPr>
      <w:r>
        <w:rPr>
          <w:rFonts w:hint="eastAsia"/>
        </w:rPr>
        <w:t xml:space="preserve">無形資產</w:t>
      </w:r>
    </w:p>
    <w:p>
      <w:pPr>
        <w:numPr>
          <w:ilvl w:val="0"/>
          <w:numId w:val="1098"/>
        </w:numPr>
      </w:pPr>
      <w:r>
        <w:rPr>
          <w:rFonts w:hint="eastAsia"/>
        </w:rPr>
        <w:t xml:space="preserve">於聯營公司及合資公司的投資</w:t>
      </w:r>
    </w:p>
    <w:p>
      <w:pPr>
        <w:numPr>
          <w:ilvl w:val="0"/>
          <w:numId w:val="1098"/>
        </w:numPr>
      </w:pPr>
      <w:r>
        <w:rPr>
          <w:rFonts w:hint="eastAsia"/>
        </w:rPr>
        <w:t xml:space="preserve">物業、廠房及設備</w:t>
      </w:r>
    </w:p>
    <w:p>
      <w:pPr>
        <w:numPr>
          <w:ilvl w:val="0"/>
          <w:numId w:val="1098"/>
        </w:numPr>
      </w:pPr>
      <w:r>
        <w:rPr>
          <w:rFonts w:hint="eastAsia"/>
        </w:rPr>
        <w:t xml:space="preserve">投資物業</w:t>
      </w:r>
    </w:p>
    <w:p>
      <w:pPr>
        <w:numPr>
          <w:ilvl w:val="0"/>
          <w:numId w:val="1098"/>
        </w:numPr>
      </w:pPr>
      <w:r>
        <w:rPr>
          <w:rFonts w:hint="eastAsia"/>
        </w:rPr>
        <w:t xml:space="preserve">再保險資產</w:t>
      </w:r>
    </w:p>
    <w:p>
      <w:pPr>
        <w:numPr>
          <w:ilvl w:val="0"/>
          <w:numId w:val="1098"/>
        </w:numPr>
      </w:pPr>
      <w:r>
        <w:rPr>
          <w:rFonts w:hint="eastAsia"/>
        </w:rPr>
        <w:t xml:space="preserve">遞延承保及啟動成本</w:t>
      </w:r>
    </w:p>
    <w:p>
      <w:pPr>
        <w:numPr>
          <w:ilvl w:val="0"/>
          <w:numId w:val="1098"/>
        </w:numPr>
      </w:pPr>
      <w:r>
        <w:rPr>
          <w:rFonts w:hint="eastAsia"/>
        </w:rPr>
        <w:t xml:space="preserve">金融投資</w:t>
      </w:r>
    </w:p>
    <w:p>
      <w:pPr>
        <w:numPr>
          <w:ilvl w:val="0"/>
          <w:numId w:val="1098"/>
        </w:numPr>
      </w:pPr>
      <w:r>
        <w:rPr>
          <w:rFonts w:hint="eastAsia"/>
        </w:rPr>
        <w:t xml:space="preserve">衍生金融工具</w:t>
      </w:r>
    </w:p>
    <w:p>
      <w:pPr>
        <w:numPr>
          <w:ilvl w:val="0"/>
          <w:numId w:val="1098"/>
        </w:numPr>
      </w:pPr>
      <w:r>
        <w:rPr>
          <w:rFonts w:hint="eastAsia"/>
        </w:rPr>
        <w:t xml:space="preserve">公平值計量</w:t>
      </w:r>
    </w:p>
    <w:p>
      <w:pPr>
        <w:numPr>
          <w:ilvl w:val="0"/>
          <w:numId w:val="1098"/>
        </w:numPr>
      </w:pPr>
      <w:r>
        <w:rPr>
          <w:rFonts w:hint="eastAsia"/>
        </w:rPr>
        <w:t xml:space="preserve">其他資產</w:t>
      </w:r>
    </w:p>
    <w:p>
      <w:pPr>
        <w:pStyle w:val="FirstParagraph"/>
      </w:pPr>
      <w:r>
        <w:t xml:space="preserve">124</w:t>
      </w:r>
    </w:p>
    <w:p>
      <w:pPr>
        <w:pStyle w:val="BodyText"/>
      </w:pPr>
      <w:r>
        <w:rPr>
          <w:rFonts w:hint="eastAsia"/>
        </w:rPr>
        <w:t xml:space="preserve">友邦保險控股有限公司</w:t>
      </w:r>
    </w:p>
    <w:p>
      <w:pPr>
        <w:pStyle w:val="BodyText"/>
      </w:pPr>
      <w:r>
        <w:rPr>
          <w:rFonts w:hint="eastAsia"/>
        </w:rPr>
        <w:t xml:space="preserve">致友邦保險控股有限公司股東</w:t>
      </w:r>
    </w:p>
    <w:p>
      <w:pPr>
        <w:pStyle w:val="BodyText"/>
      </w:pPr>
      <w:r>
        <w:rPr>
          <w:rFonts w:hint="eastAsia"/>
        </w:rPr>
        <w:t xml:space="preserve">（於香港註冊成立的有限公司）</w:t>
      </w:r>
    </w:p>
    <w:p>
      <w:pPr>
        <w:pStyle w:val="BodyText"/>
      </w:pPr>
      <w:r>
        <w:rPr>
          <w:rFonts w:hint="eastAsia"/>
        </w:rPr>
        <w:t xml:space="preserve">意見</w:t>
      </w:r>
    </w:p>
    <w:p>
      <w:pPr>
        <w:pStyle w:val="BodyText"/>
      </w:pPr>
      <w:r>
        <w:rPr>
          <w:rFonts w:hint="eastAsia"/>
        </w:rPr>
        <w:t xml:space="preserve">我們已審計的內容</w:t>
      </w:r>
    </w:p>
    <w:p>
      <w:pPr>
        <w:pStyle w:val="BodyText"/>
      </w:pPr>
      <w:r>
        <w:rPr>
          <w:rFonts w:hint="eastAsia"/>
        </w:rPr>
        <w:t xml:space="preserve">友邦保險控股有限公司（以下簡稱「貴公司」）及其附屬公司（以下統稱「貴集團」）列載於第132頁至</w:t>
      </w:r>
    </w:p>
    <w:p>
      <w:pPr>
        <w:pStyle w:val="BodyText"/>
      </w:pPr>
      <w:r>
        <w:rPr>
          <w:rFonts w:hint="eastAsia"/>
        </w:rPr>
        <w:t xml:space="preserve">第264頁的合併財務報表，包括：</w:t>
      </w:r>
    </w:p>
    <w:p>
      <w:pPr>
        <w:pStyle w:val="BodyText"/>
      </w:pPr>
      <w:r>
        <w:t xml:space="preserve">(cid:127) </w:t>
      </w:r>
      <w:r>
        <w:rPr>
          <w:rFonts w:hint="eastAsia"/>
        </w:rPr>
        <w:t xml:space="preserve">於2020年12月31日的合併財務狀況表；</w:t>
      </w:r>
    </w:p>
    <w:p>
      <w:pPr>
        <w:pStyle w:val="BodyText"/>
      </w:pPr>
      <w:r>
        <w:t xml:space="preserve">(cid:127) </w:t>
      </w:r>
      <w:r>
        <w:rPr>
          <w:rFonts w:hint="eastAsia"/>
        </w:rPr>
        <w:t xml:space="preserve">截至該日止年度的合併收入表；</w:t>
      </w:r>
    </w:p>
    <w:p>
      <w:pPr>
        <w:pStyle w:val="BodyText"/>
      </w:pPr>
      <w:r>
        <w:t xml:space="preserve">(cid:127) </w:t>
      </w:r>
      <w:r>
        <w:rPr>
          <w:rFonts w:hint="eastAsia"/>
        </w:rPr>
        <w:t xml:space="preserve">截至該日止年度的合併全面收入表；</w:t>
      </w:r>
    </w:p>
    <w:p>
      <w:pPr>
        <w:pStyle w:val="BodyText"/>
      </w:pPr>
      <w:r>
        <w:t xml:space="preserve">(cid:127) </w:t>
      </w:r>
      <w:r>
        <w:rPr>
          <w:rFonts w:hint="eastAsia"/>
        </w:rPr>
        <w:t xml:space="preserve">截至該日止年度的合併權益變動表；</w:t>
      </w:r>
    </w:p>
    <w:p>
      <w:pPr>
        <w:pStyle w:val="BodyText"/>
      </w:pPr>
      <w:r>
        <w:t xml:space="preserve">(cid:127) </w:t>
      </w:r>
      <w:r>
        <w:rPr>
          <w:rFonts w:hint="eastAsia"/>
        </w:rPr>
        <w:t xml:space="preserve">截至該日止年度的合併現金流量表；及</w:t>
      </w:r>
    </w:p>
    <w:p>
      <w:pPr>
        <w:pStyle w:val="BodyText"/>
      </w:pPr>
      <w:r>
        <w:t xml:space="preserve">(cid:127) </w:t>
      </w:r>
      <w:r>
        <w:rPr>
          <w:rFonts w:hint="eastAsia"/>
        </w:rPr>
        <w:t xml:space="preserve">合併財務報表附註，包括主要會計政策概要。</w:t>
      </w:r>
    </w:p>
    <w:p>
      <w:pPr>
        <w:pStyle w:val="BodyText"/>
      </w:pPr>
      <w:r>
        <w:rPr>
          <w:rFonts w:hint="eastAsia"/>
        </w:rPr>
        <w:t xml:space="preserve">我們的意見</w:t>
      </w:r>
    </w:p>
    <w:p>
      <w:pPr>
        <w:pStyle w:val="BodyText"/>
      </w:pPr>
      <w:r>
        <w:rPr>
          <w:rFonts w:hint="eastAsia"/>
        </w:rPr>
        <w:t xml:space="preserve">我們認為，該等合併財務報表已根據香港會計師公會頒布的《香港財務報告準則》及國際會計準則</w:t>
      </w:r>
    </w:p>
    <w:p>
      <w:pPr>
        <w:pStyle w:val="BodyText"/>
      </w:pPr>
      <w:r>
        <w:rPr>
          <w:rFonts w:hint="eastAsia"/>
        </w:rPr>
        <w:t xml:space="preserve">理事會頒布的《國際財務報告準則》真實而中肯地反映了</w:t>
      </w:r>
      <w:r>
        <w:t xml:space="preserve"> </w:t>
      </w:r>
      <w:r>
        <w:rPr>
          <w:rFonts w:hint="eastAsia"/>
        </w:rPr>
        <w:t xml:space="preserve">貴集團於2020年12月31日的合併財務狀</w:t>
      </w:r>
    </w:p>
    <w:p>
      <w:pPr>
        <w:pStyle w:val="BodyText"/>
      </w:pPr>
      <w:r>
        <w:rPr>
          <w:rFonts w:hint="eastAsia"/>
        </w:rPr>
        <w:t xml:space="preserve">況及其截至該日止年度的合併財務表現及合併現金流量，並已遵照香港《公司條例》妥為擬備。</w:t>
      </w:r>
    </w:p>
    <w:p>
      <w:pPr>
        <w:pStyle w:val="BodyText"/>
      </w:pPr>
      <w:r>
        <w:rPr>
          <w:rFonts w:hint="eastAsia"/>
        </w:rPr>
        <w:t xml:space="preserve">意見的基礎</w:t>
      </w:r>
    </w:p>
    <w:p>
      <w:pPr>
        <w:pStyle w:val="BodyText"/>
      </w:pPr>
      <w:r>
        <w:rPr>
          <w:rFonts w:hint="eastAsia"/>
        </w:rPr>
        <w:t xml:space="preserve">我們已根據香港會計師公會頒布的《香港審計準則》進行審計。我們在該等準則下承擔的責任已在</w:t>
      </w:r>
    </w:p>
    <w:p>
      <w:pPr>
        <w:pStyle w:val="BodyText"/>
      </w:pPr>
      <w:r>
        <w:rPr>
          <w:rFonts w:hint="eastAsia"/>
        </w:rPr>
        <w:t xml:space="preserve">本報告「核數師就審計合併財務報表承擔的責任」部分中作進一步闡述。</w:t>
      </w:r>
    </w:p>
    <w:p>
      <w:pPr>
        <w:pStyle w:val="BodyText"/>
      </w:pPr>
      <w:r>
        <w:rPr>
          <w:rFonts w:hint="eastAsia"/>
        </w:rPr>
        <w:t xml:space="preserve">我們相信，我們所獲得的審計憑證能充足及適當地為我們的審計意見提供基礎。</w:t>
      </w:r>
    </w:p>
    <w:p>
      <w:pPr>
        <w:pStyle w:val="BodyText"/>
      </w:pPr>
      <w:r>
        <w:rPr>
          <w:rFonts w:hint="eastAsia"/>
        </w:rPr>
        <w:t xml:space="preserve">獨立性</w:t>
      </w:r>
    </w:p>
    <w:p>
      <w:pPr>
        <w:pStyle w:val="BodyText"/>
      </w:pPr>
      <w:r>
        <w:rPr>
          <w:rFonts w:hint="eastAsia"/>
        </w:rPr>
        <w:t xml:space="preserve">根據香港會計師公會頒布的《專業會計師道德守則》（以下簡稱「守則」），我們獨立於</w:t>
      </w:r>
      <w:r>
        <w:t xml:space="preserve"> </w:t>
      </w:r>
      <w:r>
        <w:rPr>
          <w:rFonts w:hint="eastAsia"/>
        </w:rPr>
        <w:t xml:space="preserve">貴集團，並</w:t>
      </w:r>
    </w:p>
    <w:p>
      <w:pPr>
        <w:pStyle w:val="BodyText"/>
      </w:pPr>
      <w:r>
        <w:rPr>
          <w:rFonts w:hint="eastAsia"/>
        </w:rPr>
        <w:t xml:space="preserve">已履行守則中的其他專業道德責任。</w:t>
      </w:r>
    </w:p>
    <w:p>
      <w:pPr>
        <w:pStyle w:val="BodyText"/>
      </w:pPr>
      <w:r>
        <w:t xml:space="preserve">125</w:t>
      </w:r>
    </w:p>
    <w:p>
      <w:pPr>
        <w:pStyle w:val="BodyText"/>
      </w:pPr>
      <w:r>
        <w:rPr>
          <w:rFonts w:hint="eastAsia"/>
        </w:rPr>
        <w:t xml:space="preserve">羅兵咸永道會計師事務所，香港中環太子大廈廿二樓電話：傳真：，獨立核數師報告財務報表概覽財務及營運回顧企業管治其他資料財務報表2020年報</w:t>
      </w:r>
    </w:p>
    <w:p>
      <w:pPr>
        <w:pStyle w:val="BodyText"/>
      </w:pPr>
      <w:r>
        <w:rPr>
          <w:rFonts w:hint="eastAsia"/>
        </w:rPr>
        <w:t xml:space="preserve">關鍵審計事項</w:t>
      </w:r>
    </w:p>
    <w:p>
      <w:pPr>
        <w:pStyle w:val="BodyText"/>
      </w:pPr>
      <w:r>
        <w:rPr>
          <w:rFonts w:hint="eastAsia"/>
        </w:rPr>
        <w:t xml:space="preserve">關鍵審計事項是根據我們的專業判斷，認為對本期合併財務報表的審計最為重要的事項。這些事項</w:t>
      </w:r>
    </w:p>
    <w:p>
      <w:pPr>
        <w:pStyle w:val="BodyText"/>
      </w:pPr>
      <w:r>
        <w:rPr>
          <w:rFonts w:hint="eastAsia"/>
        </w:rPr>
        <w:t xml:space="preserve">是在我們審計整體合併財務報表及出具意見時進行處理的。我們不會對這些事項提供單獨的意見。</w:t>
      </w:r>
    </w:p>
    <w:p>
      <w:pPr>
        <w:pStyle w:val="BodyText"/>
      </w:pPr>
      <w:r>
        <w:rPr>
          <w:rFonts w:hint="eastAsia"/>
        </w:rPr>
        <w:t xml:space="preserve">我們在審計中識別的關鍵審計事項包括保險合約負債的估值及遞延承保成本的攤銷。</w:t>
      </w:r>
    </w:p>
    <w:p>
      <w:pPr>
        <w:pStyle w:val="BodyText"/>
      </w:pPr>
      <w:r>
        <w:rPr>
          <w:rFonts w:hint="eastAsia"/>
        </w:rPr>
        <w:t xml:space="preserve">關鍵審計事項</w:t>
      </w:r>
    </w:p>
    <w:p>
      <w:pPr>
        <w:pStyle w:val="BodyText"/>
      </w:pPr>
      <w:r>
        <w:rPr>
          <w:rFonts w:hint="eastAsia"/>
        </w:rPr>
        <w:t xml:space="preserve">我們的審計如何處理關鍵審計事項</w:t>
      </w:r>
    </w:p>
    <w:p>
      <w:pPr>
        <w:pStyle w:val="Compact"/>
        <w:numPr>
          <w:ilvl w:val="0"/>
          <w:numId w:val="1099"/>
        </w:numPr>
      </w:pPr>
      <w:r>
        <w:rPr>
          <w:rFonts w:hint="eastAsia"/>
        </w:rPr>
        <w:t xml:space="preserve">保險合約負債的估值</w:t>
      </w:r>
    </w:p>
    <w:p>
      <w:pPr>
        <w:pStyle w:val="FirstParagraph"/>
      </w:pPr>
      <w:r>
        <w:rPr>
          <w:rFonts w:hint="eastAsia"/>
        </w:rPr>
        <w:t xml:space="preserve">請參閱合併財務報表的以下附註：附註2.4（相關會計政策）、附註3（主要會計估計及判斷）、附</w:t>
      </w:r>
      <w:r>
        <w:br/>
      </w:r>
      <w:r>
        <w:rPr>
          <w:rFonts w:hint="eastAsia"/>
        </w:rPr>
        <w:t xml:space="preserve">註27、附註29及附註48（採納經修訂會計政策的影響）。</w:t>
      </w:r>
    </w:p>
    <w:p>
      <w:pPr>
        <w:pStyle w:val="BodyText"/>
      </w:pPr>
      <w:r>
        <w:rPr>
          <w:rFonts w:hint="eastAsia"/>
        </w:rPr>
        <w:t xml:space="preserve">於2020年12月31日，</w:t>
      </w:r>
      <w:r>
        <w:t xml:space="preserve"> </w:t>
      </w:r>
      <w:r>
        <w:rPr>
          <w:rFonts w:hint="eastAsia"/>
        </w:rPr>
        <w:t xml:space="preserve">貴集團擁有保險合約</w:t>
      </w:r>
    </w:p>
    <w:p>
      <w:pPr>
        <w:pStyle w:val="BodyText"/>
      </w:pPr>
      <w:r>
        <w:rPr>
          <w:rFonts w:hint="eastAsia"/>
        </w:rPr>
        <w:t xml:space="preserve">我們測試管理層如何作出估計並執行以下審計程</w:t>
      </w:r>
    </w:p>
    <w:p>
      <w:pPr>
        <w:pStyle w:val="BodyText"/>
      </w:pPr>
      <w:r>
        <w:rPr>
          <w:rFonts w:hint="eastAsia"/>
        </w:rPr>
        <w:t xml:space="preserve">負債2,230.71億美元。</w:t>
      </w:r>
    </w:p>
    <w:p>
      <w:pPr>
        <w:pStyle w:val="BodyText"/>
      </w:pPr>
      <w:r>
        <w:rPr>
          <w:rFonts w:hint="eastAsia"/>
        </w:rPr>
        <w:t xml:space="preserve">序：</w:t>
      </w:r>
    </w:p>
    <w:p>
      <w:pPr>
        <w:pStyle w:val="BodyText"/>
      </w:pPr>
      <w:r>
        <w:rPr>
          <w:rFonts w:hint="eastAsia"/>
        </w:rPr>
        <w:t xml:space="preserve">董事對此等保險合約負債的估值涉及就不確</w:t>
      </w:r>
    </w:p>
    <w:p>
      <w:pPr>
        <w:pStyle w:val="BodyText"/>
      </w:pPr>
      <w:r>
        <w:t xml:space="preserve">• </w:t>
      </w:r>
      <w:r>
        <w:rPr>
          <w:rFonts w:hint="eastAsia"/>
        </w:rPr>
        <w:t xml:space="preserve">通過運用我們的行業知識和經驗對比判斷有</w:t>
      </w:r>
    </w:p>
    <w:p>
      <w:pPr>
        <w:pStyle w:val="BodyText"/>
      </w:pPr>
      <w:r>
        <w:rPr>
          <w:rFonts w:hint="eastAsia"/>
        </w:rPr>
        <w:t xml:space="preserve">定的未來結果（包括死亡率、傷病率、續保</w:t>
      </w:r>
    </w:p>
    <w:p>
      <w:pPr>
        <w:pStyle w:val="BodyText"/>
      </w:pPr>
      <w:r>
        <w:rPr>
          <w:rFonts w:hint="eastAsia"/>
        </w:rPr>
        <w:t xml:space="preserve">關估值方法及其變動是否符合經認可的保險</w:t>
      </w:r>
    </w:p>
    <w:p>
      <w:pPr>
        <w:pStyle w:val="BodyText"/>
      </w:pPr>
      <w:r>
        <w:rPr>
          <w:rFonts w:hint="eastAsia"/>
        </w:rPr>
        <w:t xml:space="preserve">率、開支、投資回報、估值利率及逆差撥備）</w:t>
      </w:r>
    </w:p>
    <w:p>
      <w:pPr>
        <w:pStyle w:val="BodyText"/>
      </w:pPr>
      <w:r>
        <w:rPr>
          <w:rFonts w:hint="eastAsia"/>
        </w:rPr>
        <w:t xml:space="preserve">精算慣例及根據市場經驗得出的預期，我們</w:t>
      </w:r>
    </w:p>
    <w:p>
      <w:pPr>
        <w:pStyle w:val="BodyText"/>
      </w:pPr>
      <w:r>
        <w:rPr>
          <w:rFonts w:hint="eastAsia"/>
        </w:rPr>
        <w:t xml:space="preserve">以及複雜估值方法行使重大判斷。因此，該</w:t>
      </w:r>
    </w:p>
    <w:p>
      <w:pPr>
        <w:pStyle w:val="BodyText"/>
      </w:pPr>
      <w:r>
        <w:rPr>
          <w:rFonts w:hint="eastAsia"/>
        </w:rPr>
        <w:t xml:space="preserve">了解了所用評估方法、找出了與前次估值相</w:t>
      </w:r>
    </w:p>
    <w:p>
      <w:pPr>
        <w:pStyle w:val="BodyText"/>
      </w:pPr>
      <w:r>
        <w:rPr>
          <w:rFonts w:hint="eastAsia"/>
        </w:rPr>
        <w:t xml:space="preserve">等負債涉及重大估計不明朗因素，且相關內</w:t>
      </w:r>
    </w:p>
    <w:p>
      <w:pPr>
        <w:pStyle w:val="BodyText"/>
      </w:pPr>
      <w:r>
        <w:rPr>
          <w:rFonts w:hint="eastAsia"/>
        </w:rPr>
        <w:t xml:space="preserve">比的方法變動及評估了所發現重大變動的合</w:t>
      </w:r>
    </w:p>
    <w:p>
      <w:pPr>
        <w:pStyle w:val="BodyText"/>
      </w:pPr>
      <w:r>
        <w:rPr>
          <w:rFonts w:hint="eastAsia"/>
        </w:rPr>
        <w:t xml:space="preserve">在風險被視為重大。</w:t>
      </w:r>
    </w:p>
    <w:p>
      <w:pPr>
        <w:pStyle w:val="BodyText"/>
      </w:pPr>
      <w:r>
        <w:rPr>
          <w:rFonts w:hint="eastAsia"/>
        </w:rPr>
        <w:t xml:space="preserve">理性和影響。</w:t>
      </w:r>
    </w:p>
    <w:p>
      <w:pPr>
        <w:pStyle w:val="BodyText"/>
      </w:pPr>
      <w:r>
        <w:rPr>
          <w:rFonts w:hint="eastAsia"/>
        </w:rPr>
        <w:t xml:space="preserve">具備酌情分紅特點的傳統分紅壽險保單及非</w:t>
      </w:r>
    </w:p>
    <w:p>
      <w:pPr>
        <w:pStyle w:val="BodyText"/>
      </w:pPr>
      <w:r>
        <w:t xml:space="preserve">• </w:t>
      </w:r>
      <w:r>
        <w:rPr>
          <w:rFonts w:hint="eastAsia"/>
        </w:rPr>
        <w:t xml:space="preserve">我們評估了主要假設（包括就死亡率、傷病</w:t>
      </w:r>
    </w:p>
    <w:p>
      <w:pPr>
        <w:pStyle w:val="BodyText"/>
      </w:pPr>
      <w:r>
        <w:rPr>
          <w:rFonts w:hint="eastAsia"/>
        </w:rPr>
        <w:t xml:space="preserve">分紅壽險保單、年金及其他保障產品相關保</w:t>
      </w:r>
    </w:p>
    <w:p>
      <w:pPr>
        <w:pStyle w:val="BodyText"/>
      </w:pPr>
      <w:r>
        <w:rPr>
          <w:rFonts w:hint="eastAsia"/>
        </w:rPr>
        <w:t xml:space="preserve">率、續保率、開支、投資回報、估值利率及</w:t>
      </w:r>
    </w:p>
    <w:p>
      <w:pPr>
        <w:pStyle w:val="BodyText"/>
      </w:pPr>
      <w:r>
        <w:rPr>
          <w:rFonts w:hint="eastAsia"/>
        </w:rPr>
        <w:t xml:space="preserve">單的負債乃利用於保單生效時就逆差作出調</w:t>
      </w:r>
    </w:p>
    <w:p>
      <w:pPr>
        <w:pStyle w:val="BodyText"/>
      </w:pPr>
      <w:r>
        <w:rPr>
          <w:rFonts w:hint="eastAsia"/>
        </w:rPr>
        <w:t xml:space="preserve">逆差撥備作出的主要假設）的合理性。我們</w:t>
      </w:r>
    </w:p>
    <w:p>
      <w:pPr>
        <w:pStyle w:val="BodyText"/>
      </w:pPr>
      <w:r>
        <w:rPr>
          <w:rFonts w:hint="eastAsia"/>
        </w:rPr>
        <w:t xml:space="preserve">整的最佳估計假設，絕大部分採用淨保費估</w:t>
      </w:r>
    </w:p>
    <w:p>
      <w:pPr>
        <w:pStyle w:val="BodyText"/>
      </w:pPr>
      <w:r>
        <w:rPr>
          <w:rFonts w:hint="eastAsia"/>
        </w:rPr>
        <w:t xml:space="preserve">對假設的評估包括：</w:t>
      </w:r>
    </w:p>
    <w:p>
      <w:pPr>
        <w:pStyle w:val="BodyText"/>
      </w:pPr>
      <w:r>
        <w:rPr>
          <w:rFonts w:hint="eastAsia"/>
        </w:rPr>
        <w:t xml:space="preserve">值法釐定。此等假設仍會於以後沿用，惟須</w:t>
      </w:r>
    </w:p>
    <w:p>
      <w:pPr>
        <w:pStyle w:val="BodyText"/>
      </w:pPr>
      <w:r>
        <w:rPr>
          <w:rFonts w:hint="eastAsia"/>
        </w:rPr>
        <w:t xml:space="preserve">通過一項將負債與以當前最佳估計假設於估</w:t>
      </w:r>
    </w:p>
    <w:p>
      <w:pPr>
        <w:pStyle w:val="BodyText"/>
      </w:pPr>
      <w:r>
        <w:rPr>
          <w:rFonts w:hint="eastAsia"/>
        </w:rPr>
        <w:t xml:space="preserve">值的負債進行對比的負債充足性測試。</w:t>
      </w:r>
    </w:p>
    <w:p>
      <w:pPr>
        <w:pStyle w:val="BodyText"/>
      </w:pPr>
      <w:r>
        <w:t xml:space="preserve">• </w:t>
      </w:r>
      <w:r>
        <w:rPr>
          <w:rFonts w:hint="eastAsia"/>
        </w:rPr>
        <w:t xml:space="preserve">了解現有就釐定相關假設的控制措施並</w:t>
      </w:r>
    </w:p>
    <w:p>
      <w:pPr>
        <w:pStyle w:val="BodyText"/>
      </w:pPr>
      <w:r>
        <w:rPr>
          <w:rFonts w:hint="eastAsia"/>
        </w:rPr>
        <w:t xml:space="preserve">對其進行測試；</w:t>
      </w:r>
    </w:p>
    <w:p>
      <w:pPr>
        <w:pStyle w:val="BodyText"/>
      </w:pPr>
      <w:r>
        <w:t xml:space="preserve">• </w:t>
      </w:r>
      <w:r>
        <w:rPr>
          <w:rFonts w:hint="eastAsia"/>
        </w:rPr>
        <w:t xml:space="preserve">通過運用我們的行業知識和經驗檢驗管</w:t>
      </w:r>
    </w:p>
    <w:p>
      <w:pPr>
        <w:pStyle w:val="BodyText"/>
      </w:pPr>
      <w:r>
        <w:rPr>
          <w:rFonts w:hint="eastAsia"/>
        </w:rPr>
        <w:t xml:space="preserve">理層用以得出假設的方法；</w:t>
      </w:r>
    </w:p>
    <w:p>
      <w:pPr>
        <w:pStyle w:val="BodyText"/>
      </w:pPr>
      <w:r>
        <w:t xml:space="preserve">126</w:t>
      </w:r>
    </w:p>
    <w:p>
      <w:pPr>
        <w:pStyle w:val="BodyText"/>
      </w:pPr>
      <w:r>
        <w:rPr>
          <w:rFonts w:hint="eastAsia"/>
        </w:rPr>
        <w:t xml:space="preserve">羅兵咸永道會計師事務所，香港中環太子大廈廿二樓電話：傳真：，友邦保險控股有限公司</w:t>
      </w:r>
    </w:p>
    <w:p>
      <w:pPr>
        <w:pStyle w:val="BodyText"/>
      </w:pPr>
      <w:r>
        <w:rPr>
          <w:rFonts w:hint="eastAsia"/>
        </w:rPr>
        <w:t xml:space="preserve">關鍵審計事項（續）</w:t>
      </w:r>
    </w:p>
    <w:p>
      <w:pPr>
        <w:pStyle w:val="BodyText"/>
      </w:pPr>
      <w:r>
        <w:rPr>
          <w:rFonts w:hint="eastAsia"/>
        </w:rPr>
        <w:t xml:space="preserve">關鍵審計事項</w:t>
      </w:r>
    </w:p>
    <w:p>
      <w:pPr>
        <w:pStyle w:val="Compact"/>
        <w:numPr>
          <w:ilvl w:val="0"/>
          <w:numId w:val="1100"/>
        </w:numPr>
      </w:pPr>
      <w:r>
        <w:rPr>
          <w:rFonts w:hint="eastAsia"/>
        </w:rPr>
        <w:t xml:space="preserve">保險合約負債的估值（續）</w:t>
      </w:r>
    </w:p>
    <w:p>
      <w:pPr>
        <w:pStyle w:val="FirstParagraph"/>
      </w:pPr>
      <w:r>
        <w:rPr>
          <w:rFonts w:hint="eastAsia"/>
        </w:rPr>
        <w:t xml:space="preserve">我們的審計如何處理關鍵審計事項</w:t>
      </w:r>
    </w:p>
    <w:p>
      <w:pPr>
        <w:pStyle w:val="BodyText"/>
      </w:pPr>
      <w:r>
        <w:rPr>
          <w:rFonts w:hint="eastAsia"/>
        </w:rPr>
        <w:t xml:space="preserve">於報告期間，本集團已修訂其有關確認及計</w:t>
      </w:r>
    </w:p>
    <w:p>
      <w:pPr>
        <w:pStyle w:val="BodyText"/>
      </w:pPr>
      <w:r>
        <w:t xml:space="preserve">• </w:t>
      </w:r>
      <w:r>
        <w:rPr>
          <w:rFonts w:hint="eastAsia"/>
        </w:rPr>
        <w:t xml:space="preserve">對比過往經驗、市場可觀測數據（如適</w:t>
      </w:r>
    </w:p>
    <w:p>
      <w:pPr>
        <w:pStyle w:val="BodyText"/>
      </w:pPr>
      <w:r>
        <w:rPr>
          <w:rFonts w:hint="eastAsia"/>
        </w:rPr>
        <w:t xml:space="preserve">量傳統分紅人壽保單的保險合約負債的會計</w:t>
      </w:r>
    </w:p>
    <w:p>
      <w:pPr>
        <w:pStyle w:val="BodyText"/>
      </w:pPr>
      <w:r>
        <w:rPr>
          <w:rFonts w:hint="eastAsia"/>
        </w:rPr>
        <w:t xml:space="preserve">用）及我們對市場慣例的經驗，對管理層</w:t>
      </w:r>
    </w:p>
    <w:p>
      <w:pPr>
        <w:pStyle w:val="BodyText"/>
      </w:pPr>
      <w:r>
        <w:rPr>
          <w:rFonts w:hint="eastAsia"/>
        </w:rPr>
        <w:t xml:space="preserve">政策（「經修訂會計政策」）。</w:t>
      </w:r>
    </w:p>
    <w:p>
      <w:pPr>
        <w:pStyle w:val="BodyText"/>
      </w:pPr>
      <w:r>
        <w:rPr>
          <w:rFonts w:hint="eastAsia"/>
        </w:rPr>
        <w:t xml:space="preserve">所用主要假設提出質疑。</w:t>
      </w:r>
    </w:p>
    <w:p>
      <w:pPr>
        <w:pStyle w:val="BodyText"/>
      </w:pPr>
      <w:r>
        <w:rPr>
          <w:rFonts w:hint="eastAsia"/>
        </w:rPr>
        <w:t xml:space="preserve">萬能壽險及單位連結式保單的保險合約負債</w:t>
      </w:r>
    </w:p>
    <w:p>
      <w:pPr>
        <w:pStyle w:val="BodyText"/>
      </w:pPr>
      <w:r>
        <w:t xml:space="preserve">• </w:t>
      </w:r>
      <w:r>
        <w:rPr>
          <w:rFonts w:hint="eastAsia"/>
        </w:rPr>
        <w:t xml:space="preserve">我們已就一種傳統分紅人壽保單的經修訂會</w:t>
      </w:r>
    </w:p>
    <w:p>
      <w:pPr>
        <w:pStyle w:val="BodyText"/>
      </w:pPr>
      <w:r>
        <w:rPr>
          <w:rFonts w:hint="eastAsia"/>
        </w:rPr>
        <w:t xml:space="preserve">絕大部分基於帳戶結餘的價值連同遞延收益</w:t>
      </w:r>
    </w:p>
    <w:p>
      <w:pPr>
        <w:pStyle w:val="BodyText"/>
      </w:pPr>
      <w:r>
        <w:rPr>
          <w:rFonts w:hint="eastAsia"/>
        </w:rPr>
        <w:t xml:space="preserve">計與管理層進行討論並評估變更會計政策的</w:t>
      </w:r>
    </w:p>
    <w:p>
      <w:pPr>
        <w:pStyle w:val="BodyText"/>
      </w:pPr>
      <w:r>
        <w:rPr>
          <w:rFonts w:hint="eastAsia"/>
        </w:rPr>
        <w:t xml:space="preserve">及額外保險給付的負債釐定，後者取決於在</w:t>
      </w:r>
    </w:p>
    <w:p>
      <w:pPr>
        <w:pStyle w:val="BodyText"/>
      </w:pPr>
      <w:r>
        <w:rPr>
          <w:rFonts w:hint="eastAsia"/>
        </w:rPr>
        <w:t xml:space="preserve">合理性及恰當性。我們亦測試計算經重列結</w:t>
      </w:r>
    </w:p>
    <w:p>
      <w:pPr>
        <w:pStyle w:val="BodyText"/>
      </w:pPr>
      <w:r>
        <w:rPr>
          <w:rFonts w:hint="eastAsia"/>
        </w:rPr>
        <w:t xml:space="preserve">各報告日期重新評估的營運假設及未來投資</w:t>
      </w:r>
    </w:p>
    <w:p>
      <w:pPr>
        <w:pStyle w:val="BodyText"/>
      </w:pPr>
      <w:r>
        <w:rPr>
          <w:rFonts w:hint="eastAsia"/>
        </w:rPr>
        <w:t xml:space="preserve">餘所用的主要假設及方法並評估相關披露。</w:t>
      </w:r>
    </w:p>
    <w:p>
      <w:pPr>
        <w:pStyle w:val="BodyText"/>
      </w:pPr>
      <w:r>
        <w:rPr>
          <w:rFonts w:hint="eastAsia"/>
        </w:rPr>
        <w:t xml:space="preserve">回報假設。</w:t>
      </w:r>
    </w:p>
    <w:p>
      <w:pPr>
        <w:pStyle w:val="BodyText"/>
      </w:pPr>
      <w:r>
        <w:t xml:space="preserve">• </w:t>
      </w:r>
      <w:r>
        <w:rPr>
          <w:rFonts w:hint="eastAsia"/>
        </w:rPr>
        <w:t xml:space="preserve">我們查核了負債充足性測試的計算並評估了</w:t>
      </w:r>
    </w:p>
    <w:p>
      <w:pPr>
        <w:pStyle w:val="BodyText"/>
      </w:pPr>
      <w:r>
        <w:rPr>
          <w:rFonts w:hint="eastAsia"/>
        </w:rPr>
        <w:t xml:space="preserve">作為假設考慮因素的一部分，我們重點關注</w:t>
      </w:r>
    </w:p>
    <w:p>
      <w:pPr>
        <w:pStyle w:val="BodyText"/>
      </w:pPr>
      <w:r>
        <w:rPr>
          <w:rFonts w:hint="eastAsia"/>
        </w:rPr>
        <w:t xml:space="preserve">相關結果，以確定在對當前最佳估計假設進</w:t>
      </w:r>
    </w:p>
    <w:p>
      <w:pPr>
        <w:pStyle w:val="BodyText"/>
      </w:pPr>
      <w:r>
        <w:rPr>
          <w:rFonts w:hint="eastAsia"/>
        </w:rPr>
        <w:t xml:space="preserve">需於各報告日期重新評估假設的保險合約的</w:t>
      </w:r>
    </w:p>
    <w:p>
      <w:pPr>
        <w:pStyle w:val="BodyText"/>
      </w:pPr>
      <w:r>
        <w:rPr>
          <w:rFonts w:hint="eastAsia"/>
        </w:rPr>
        <w:t xml:space="preserve">行估值時就有效保單業務所用保險合約負債</w:t>
      </w:r>
    </w:p>
    <w:p>
      <w:pPr>
        <w:pStyle w:val="BodyText"/>
      </w:pPr>
      <w:r>
        <w:rPr>
          <w:rFonts w:hint="eastAsia"/>
        </w:rPr>
        <w:t xml:space="preserve">假設以及於保單生效日期的假設設定方式。</w:t>
      </w:r>
    </w:p>
    <w:p>
      <w:pPr>
        <w:pStyle w:val="BodyText"/>
      </w:pPr>
      <w:r>
        <w:rPr>
          <w:rFonts w:hint="eastAsia"/>
        </w:rPr>
        <w:t xml:space="preserve">是否充足。</w:t>
      </w:r>
    </w:p>
    <w:p>
      <w:pPr>
        <w:pStyle w:val="BodyText"/>
      </w:pPr>
      <w:r>
        <w:rPr>
          <w:rFonts w:hint="eastAsia"/>
        </w:rPr>
        <w:t xml:space="preserve">對於所採用的估值方法，我們重點關注此等</w:t>
      </w:r>
    </w:p>
    <w:p>
      <w:pPr>
        <w:pStyle w:val="BodyText"/>
      </w:pPr>
      <w:r>
        <w:rPr>
          <w:rFonts w:hint="eastAsia"/>
        </w:rPr>
        <w:t xml:space="preserve">基於已完成的工作，我們發現管理層所用方法及</w:t>
      </w:r>
    </w:p>
    <w:p>
      <w:pPr>
        <w:pStyle w:val="BodyText"/>
      </w:pPr>
      <w:r>
        <w:rPr>
          <w:rFonts w:hint="eastAsia"/>
        </w:rPr>
        <w:t xml:space="preserve">方法相較前次估值所採用者的變動以及重要</w:t>
      </w:r>
    </w:p>
    <w:p>
      <w:pPr>
        <w:pStyle w:val="BodyText"/>
      </w:pPr>
      <w:r>
        <w:rPr>
          <w:rFonts w:hint="eastAsia"/>
        </w:rPr>
        <w:t xml:space="preserve">假設（包括於負債充足性測試中所用者）均屬恰</w:t>
      </w:r>
    </w:p>
    <w:p>
      <w:pPr>
        <w:pStyle w:val="BodyText"/>
      </w:pPr>
      <w:r>
        <w:rPr>
          <w:rFonts w:hint="eastAsia"/>
        </w:rPr>
        <w:t xml:space="preserve">新產品種類（如適用）所適用的估值方法。</w:t>
      </w:r>
    </w:p>
    <w:p>
      <w:pPr>
        <w:pStyle w:val="BodyText"/>
      </w:pPr>
      <w:r>
        <w:rPr>
          <w:rFonts w:hint="eastAsia"/>
        </w:rPr>
        <w:t xml:space="preserve">當。</w:t>
      </w:r>
    </w:p>
    <w:p>
      <w:pPr>
        <w:pStyle w:val="BodyText"/>
      </w:pPr>
      <w:r>
        <w:t xml:space="preserve">127</w:t>
      </w:r>
    </w:p>
    <w:p>
      <w:pPr>
        <w:pStyle w:val="BodyText"/>
      </w:pPr>
      <w:r>
        <w:rPr>
          <w:rFonts w:hint="eastAsia"/>
        </w:rPr>
        <w:t xml:space="preserve">羅兵咸永道會計師事務所，香港中環太子大廈廿二樓電話：傳真：，概覽財務及營運回顧企業管治其他資料財務報表2020年報</w:t>
      </w:r>
    </w:p>
    <w:p>
      <w:pPr>
        <w:pStyle w:val="BodyText"/>
      </w:pPr>
      <w:r>
        <w:rPr>
          <w:rFonts w:hint="eastAsia"/>
        </w:rPr>
        <w:t xml:space="preserve">關鍵審計事項（續）</w:t>
      </w:r>
    </w:p>
    <w:p>
      <w:pPr>
        <w:pStyle w:val="BodyText"/>
      </w:pPr>
      <w:r>
        <w:rPr>
          <w:rFonts w:hint="eastAsia"/>
        </w:rPr>
        <w:t xml:space="preserve">關鍵審計事項</w:t>
      </w:r>
    </w:p>
    <w:p>
      <w:pPr>
        <w:pStyle w:val="Compact"/>
        <w:numPr>
          <w:ilvl w:val="0"/>
          <w:numId w:val="1101"/>
        </w:numPr>
      </w:pPr>
      <w:r>
        <w:rPr>
          <w:rFonts w:hint="eastAsia"/>
        </w:rPr>
        <w:t xml:space="preserve">遞延承保成本的攤銷</w:t>
      </w:r>
    </w:p>
    <w:p>
      <w:pPr>
        <w:pStyle w:val="FirstParagraph"/>
      </w:pPr>
      <w:r>
        <w:rPr>
          <w:rFonts w:hint="eastAsia"/>
        </w:rPr>
        <w:t xml:space="preserve">我們的審計如何處理關鍵審計事項</w:t>
      </w:r>
    </w:p>
    <w:p>
      <w:pPr>
        <w:pStyle w:val="BodyText"/>
      </w:pPr>
      <w:r>
        <w:rPr>
          <w:rFonts w:hint="eastAsia"/>
        </w:rPr>
        <w:t xml:space="preserve">請參閱合併財務報表的以下附註：附註2.4.1（相關會計政策）、附註3.3（主要會計估計及判斷）、</w:t>
      </w:r>
    </w:p>
    <w:p>
      <w:pPr>
        <w:pStyle w:val="BodyText"/>
      </w:pPr>
      <w:r>
        <w:rPr>
          <w:rFonts w:hint="eastAsia"/>
        </w:rPr>
        <w:t xml:space="preserve">附註11及附註20。</w:t>
      </w:r>
    </w:p>
    <w:p>
      <w:pPr>
        <w:pStyle w:val="BodyText"/>
      </w:pPr>
      <w:r>
        <w:rPr>
          <w:rFonts w:hint="eastAsia"/>
        </w:rPr>
        <w:t xml:space="preserve">於2020年12月31日，</w:t>
      </w:r>
      <w:r>
        <w:t xml:space="preserve"> </w:t>
      </w:r>
      <w:r>
        <w:rPr>
          <w:rFonts w:hint="eastAsia"/>
        </w:rPr>
        <w:t xml:space="preserve">貴集團錄得遞延承保成</w:t>
      </w:r>
    </w:p>
    <w:p>
      <w:pPr>
        <w:pStyle w:val="BodyText"/>
      </w:pPr>
      <w:r>
        <w:rPr>
          <w:rFonts w:hint="eastAsia"/>
        </w:rPr>
        <w:t xml:space="preserve">我們測試管理層如何作出估計並執行以下審計程</w:t>
      </w:r>
    </w:p>
    <w:p>
      <w:pPr>
        <w:pStyle w:val="BodyText"/>
      </w:pPr>
      <w:r>
        <w:rPr>
          <w:rFonts w:hint="eastAsia"/>
        </w:rPr>
        <w:t xml:space="preserve">本279.15億美元。</w:t>
      </w:r>
    </w:p>
    <w:p>
      <w:pPr>
        <w:pStyle w:val="BodyText"/>
      </w:pPr>
      <w:r>
        <w:rPr>
          <w:rFonts w:hint="eastAsia"/>
        </w:rPr>
        <w:t xml:space="preserve">序：</w:t>
      </w:r>
    </w:p>
    <w:p>
      <w:pPr>
        <w:pStyle w:val="BodyText"/>
      </w:pPr>
      <w:r>
        <w:rPr>
          <w:rFonts w:hint="eastAsia"/>
        </w:rPr>
        <w:t xml:space="preserve">對於傳統壽險及年金保單，遞延承保成本乃</w:t>
      </w:r>
    </w:p>
    <w:p>
      <w:pPr>
        <w:pStyle w:val="BodyText"/>
      </w:pPr>
      <w:r>
        <w:t xml:space="preserve">• </w:t>
      </w:r>
      <w:r>
        <w:rPr>
          <w:rFonts w:hint="eastAsia"/>
        </w:rPr>
        <w:t xml:space="preserve">評估在</w:t>
      </w:r>
      <w:r>
        <w:t xml:space="preserve"> </w:t>
      </w:r>
      <w:r>
        <w:rPr>
          <w:rFonts w:hint="eastAsia"/>
        </w:rPr>
        <w:t xml:space="preserve">貴集團會計政策範圍內進行的遞延</w:t>
      </w:r>
    </w:p>
    <w:p>
      <w:pPr>
        <w:pStyle w:val="BodyText"/>
      </w:pPr>
      <w:r>
        <w:rPr>
          <w:rFonts w:hint="eastAsia"/>
        </w:rPr>
        <w:t xml:space="preserve">通過保單的預期年期內按保費的某個固定百</w:t>
      </w:r>
    </w:p>
    <w:p>
      <w:pPr>
        <w:pStyle w:val="BodyText"/>
      </w:pPr>
      <w:r>
        <w:rPr>
          <w:rFonts w:hint="eastAsia"/>
        </w:rPr>
        <w:t xml:space="preserve">承保成本攤銷的基準及於釐定就萬能壽險及</w:t>
      </w:r>
    </w:p>
    <w:p>
      <w:pPr>
        <w:pStyle w:val="BodyText"/>
      </w:pPr>
      <w:r>
        <w:rPr>
          <w:rFonts w:hint="eastAsia"/>
        </w:rPr>
        <w:t xml:space="preserve">分比攤銷，相比萬能壽險及單位連結式保</w:t>
      </w:r>
    </w:p>
    <w:p>
      <w:pPr>
        <w:pStyle w:val="BodyText"/>
      </w:pPr>
      <w:r>
        <w:rPr>
          <w:rFonts w:hint="eastAsia"/>
        </w:rPr>
        <w:t xml:space="preserve">單位連結式保單攤銷所用估計毛利過程中用</w:t>
      </w:r>
    </w:p>
    <w:p>
      <w:pPr>
        <w:pStyle w:val="BodyText"/>
      </w:pPr>
      <w:r>
        <w:rPr>
          <w:rFonts w:hint="eastAsia"/>
        </w:rPr>
        <w:t xml:space="preserve">單，其需要董事作出的判斷較少。預期保費</w:t>
      </w:r>
    </w:p>
    <w:p>
      <w:pPr>
        <w:pStyle w:val="BodyText"/>
      </w:pPr>
      <w:r>
        <w:rPr>
          <w:rFonts w:hint="eastAsia"/>
        </w:rPr>
        <w:t xml:space="preserve">到的假設的恰當性，並對彼等提出質疑。此</w:t>
      </w:r>
    </w:p>
    <w:p>
      <w:pPr>
        <w:pStyle w:val="BodyText"/>
      </w:pPr>
      <w:r>
        <w:rPr>
          <w:rFonts w:hint="eastAsia"/>
        </w:rPr>
        <w:t xml:space="preserve">在保單簽發之日作出估計。</w:t>
      </w:r>
    </w:p>
    <w:p>
      <w:pPr>
        <w:pStyle w:val="BodyText"/>
      </w:pPr>
      <w:r>
        <w:rPr>
          <w:rFonts w:hint="eastAsia"/>
        </w:rPr>
        <w:t xml:space="preserve">處涵蓋通過對比過往經驗、市場可觀測數據</w:t>
      </w:r>
    </w:p>
    <w:p>
      <w:pPr>
        <w:pStyle w:val="BodyText"/>
      </w:pPr>
      <w:r>
        <w:rPr>
          <w:rFonts w:hint="eastAsia"/>
        </w:rPr>
        <w:t xml:space="preserve">萬能壽險及單位連結式保單的遞延承保成本</w:t>
      </w:r>
    </w:p>
    <w:p>
      <w:pPr>
        <w:pStyle w:val="BodyText"/>
      </w:pPr>
      <w:r>
        <w:rPr>
          <w:rFonts w:hint="eastAsia"/>
        </w:rPr>
        <w:t xml:space="preserve">攤銷則需要董事作出較多的判斷。對於此等</w:t>
      </w:r>
    </w:p>
    <w:p>
      <w:pPr>
        <w:pStyle w:val="BodyText"/>
      </w:pPr>
      <w:r>
        <w:rPr>
          <w:rFonts w:hint="eastAsia"/>
        </w:rPr>
        <w:t xml:space="preserve">合約，遞延承保成本乃於合約的預期年期</w:t>
      </w:r>
    </w:p>
    <w:p>
      <w:pPr>
        <w:pStyle w:val="BodyText"/>
      </w:pPr>
      <w:r>
        <w:rPr>
          <w:rFonts w:hint="eastAsia"/>
        </w:rPr>
        <w:t xml:space="preserve">（如適用）及我們對市場慣例的經驗，對死亡</w:t>
      </w:r>
    </w:p>
    <w:p>
      <w:pPr>
        <w:pStyle w:val="BodyText"/>
      </w:pPr>
      <w:r>
        <w:rPr>
          <w:rFonts w:hint="eastAsia"/>
        </w:rPr>
        <w:t xml:space="preserve">率、傷病率、續保率、開支及投資回報作出</w:t>
      </w:r>
    </w:p>
    <w:p>
      <w:pPr>
        <w:pStyle w:val="BodyText"/>
      </w:pPr>
      <w:r>
        <w:rPr>
          <w:rFonts w:hint="eastAsia"/>
        </w:rPr>
        <w:t xml:space="preserve">的評估及提出的質疑。</w:t>
      </w:r>
    </w:p>
    <w:p>
      <w:pPr>
        <w:pStyle w:val="BodyText"/>
      </w:pPr>
      <w:r>
        <w:rPr>
          <w:rFonts w:hint="eastAsia"/>
        </w:rPr>
        <w:t xml:space="preserve">內，按估計預期於合約年期內實現的毛利現</w:t>
      </w:r>
    </w:p>
    <w:p>
      <w:pPr>
        <w:pStyle w:val="BodyText"/>
      </w:pPr>
      <w:r>
        <w:rPr>
          <w:rFonts w:hint="eastAsia"/>
        </w:rPr>
        <w:t xml:space="preserve">基於已完成的工作，我們發現針對萬能壽險及單</w:t>
      </w:r>
    </w:p>
    <w:p>
      <w:pPr>
        <w:pStyle w:val="BodyText"/>
      </w:pPr>
      <w:r>
        <w:rPr>
          <w:rFonts w:hint="eastAsia"/>
        </w:rPr>
        <w:t xml:space="preserve">值的某個固定百分比或按直線基準攤銷。估</w:t>
      </w:r>
    </w:p>
    <w:p>
      <w:pPr>
        <w:pStyle w:val="BodyText"/>
      </w:pPr>
      <w:r>
        <w:rPr>
          <w:rFonts w:hint="eastAsia"/>
        </w:rPr>
        <w:t xml:space="preserve">位連結式保單所用與遞延承保成本攤銷有關的假</w:t>
      </w:r>
    </w:p>
    <w:p>
      <w:pPr>
        <w:pStyle w:val="BodyText"/>
      </w:pPr>
      <w:r>
        <w:rPr>
          <w:rFonts w:hint="eastAsia"/>
        </w:rPr>
        <w:t xml:space="preserve">計毛利會定期作出修訂，而就毛利作出適當</w:t>
      </w:r>
    </w:p>
    <w:p>
      <w:pPr>
        <w:pStyle w:val="BodyText"/>
      </w:pPr>
      <w:r>
        <w:rPr>
          <w:rFonts w:hint="eastAsia"/>
        </w:rPr>
        <w:t xml:space="preserve">設乃屬恰當。</w:t>
      </w:r>
    </w:p>
    <w:p>
      <w:pPr>
        <w:pStyle w:val="BodyText"/>
      </w:pPr>
      <w:r>
        <w:rPr>
          <w:rFonts w:hint="eastAsia"/>
        </w:rPr>
        <w:t xml:space="preserve">估計時需行使重大判斷。因此，釐定此等合</w:t>
      </w:r>
    </w:p>
    <w:p>
      <w:pPr>
        <w:pStyle w:val="BodyText"/>
      </w:pPr>
      <w:r>
        <w:rPr>
          <w:rFonts w:hint="eastAsia"/>
        </w:rPr>
        <w:t xml:space="preserve">約的遞延承保成本攤銷涉及重大估計不明朗</w:t>
      </w:r>
    </w:p>
    <w:p>
      <w:pPr>
        <w:pStyle w:val="BodyText"/>
      </w:pPr>
      <w:r>
        <w:rPr>
          <w:rFonts w:hint="eastAsia"/>
        </w:rPr>
        <w:t xml:space="preserve">因素，且相關內在風險被視為重大。</w:t>
      </w:r>
    </w:p>
    <w:p>
      <w:pPr>
        <w:pStyle w:val="BodyText"/>
      </w:pPr>
      <w:r>
        <w:rPr>
          <w:rFonts w:hint="eastAsia"/>
        </w:rPr>
        <w:t xml:space="preserve">作為我們審計工作的一部分，我們重點關注</w:t>
      </w:r>
    </w:p>
    <w:p>
      <w:pPr>
        <w:pStyle w:val="BodyText"/>
      </w:pPr>
      <w:r>
        <w:rPr>
          <w:rFonts w:hint="eastAsia"/>
        </w:rPr>
        <w:t xml:space="preserve">與萬能壽險及單位連結式保單相關的遞延承</w:t>
      </w:r>
    </w:p>
    <w:p>
      <w:pPr>
        <w:pStyle w:val="BodyText"/>
      </w:pPr>
      <w:r>
        <w:rPr>
          <w:rFonts w:hint="eastAsia"/>
        </w:rPr>
        <w:t xml:space="preserve">保成本，而有關假設於各報告日期會重新評</w:t>
      </w:r>
    </w:p>
    <w:p>
      <w:pPr>
        <w:pStyle w:val="BodyText"/>
      </w:pPr>
      <w:r>
        <w:rPr>
          <w:rFonts w:hint="eastAsia"/>
        </w:rPr>
        <w:t xml:space="preserve">估。</w:t>
      </w:r>
    </w:p>
    <w:p>
      <w:pPr>
        <w:pStyle w:val="BodyText"/>
      </w:pPr>
      <w:r>
        <w:t xml:space="preserve">128</w:t>
      </w:r>
    </w:p>
    <w:p>
      <w:pPr>
        <w:pStyle w:val="BodyText"/>
      </w:pPr>
      <w:r>
        <w:rPr>
          <w:rFonts w:hint="eastAsia"/>
        </w:rPr>
        <w:t xml:space="preserve">羅兵咸永道會計師事務所，香港中環太子大廈廿二樓電話：傳真：，友邦保險控股有限公司</w:t>
      </w:r>
    </w:p>
    <w:p>
      <w:pPr>
        <w:pStyle w:val="BodyText"/>
      </w:pPr>
      <w:r>
        <w:rPr>
          <w:rFonts w:hint="eastAsia"/>
        </w:rPr>
        <w:t xml:space="preserve">其他信息</w:t>
      </w:r>
    </w:p>
    <w:p>
      <w:pPr>
        <w:pStyle w:val="BodyText"/>
      </w:pPr>
      <w:r>
        <w:rPr>
          <w:rFonts w:hint="eastAsia"/>
        </w:rPr>
        <w:t xml:space="preserve">貴公司董事須對其他信息負責。其他信息包括年報內的所有信息，但不包括合併財務報表及我們的</w:t>
      </w:r>
    </w:p>
    <w:p>
      <w:pPr>
        <w:pStyle w:val="BodyText"/>
      </w:pPr>
      <w:r>
        <w:rPr>
          <w:rFonts w:hint="eastAsia"/>
        </w:rPr>
        <w:t xml:space="preserve">核數師報告。</w:t>
      </w:r>
    </w:p>
    <w:p>
      <w:pPr>
        <w:pStyle w:val="BodyText"/>
      </w:pPr>
      <w:r>
        <w:rPr>
          <w:rFonts w:hint="eastAsia"/>
        </w:rPr>
        <w:t xml:space="preserve">我們對合併財務報表的意見並不涵蓋其他信息，我們亦不對該等其他信息發表任何形式的鑒證結</w:t>
      </w:r>
    </w:p>
    <w:p>
      <w:pPr>
        <w:pStyle w:val="BodyText"/>
      </w:pPr>
      <w:r>
        <w:rPr>
          <w:rFonts w:hint="eastAsia"/>
        </w:rPr>
        <w:t xml:space="preserve">論。</w:t>
      </w:r>
    </w:p>
    <w:p>
      <w:pPr>
        <w:pStyle w:val="BodyText"/>
      </w:pPr>
      <w:r>
        <w:rPr>
          <w:rFonts w:hint="eastAsia"/>
        </w:rPr>
        <w:t xml:space="preserve">結合我們對合併財務報表的審計，我們的責任是閱讀其他信息，在此過程中，考慮其他信息是否與</w:t>
      </w:r>
    </w:p>
    <w:p>
      <w:pPr>
        <w:pStyle w:val="BodyText"/>
      </w:pPr>
      <w:r>
        <w:rPr>
          <w:rFonts w:hint="eastAsia"/>
        </w:rPr>
        <w:t xml:space="preserve">合併財務報表或我們在審計過程中所了解的情況存在重大抵觸或者似乎存在重大錯誤陳述的情況。</w:t>
      </w:r>
    </w:p>
    <w:p>
      <w:pPr>
        <w:pStyle w:val="BodyText"/>
      </w:pPr>
      <w:r>
        <w:rPr>
          <w:rFonts w:hint="eastAsia"/>
        </w:rPr>
        <w:t xml:space="preserve">基於我們已執行的工作，如果我們認為其他信息存在重大錯誤陳述，我們需要報告該事實。在這方</w:t>
      </w:r>
    </w:p>
    <w:p>
      <w:pPr>
        <w:pStyle w:val="BodyText"/>
      </w:pPr>
      <w:r>
        <w:rPr>
          <w:rFonts w:hint="eastAsia"/>
        </w:rPr>
        <w:t xml:space="preserve">面，我們沒有任何報告。</w:t>
      </w:r>
    </w:p>
    <w:p>
      <w:pPr>
        <w:pStyle w:val="BodyText"/>
      </w:pPr>
      <w:r>
        <w:rPr>
          <w:rFonts w:hint="eastAsia"/>
        </w:rPr>
        <w:t xml:space="preserve">其他事項</w:t>
      </w:r>
    </w:p>
    <w:p>
      <w:pPr>
        <w:pStyle w:val="BodyText"/>
      </w:pPr>
      <w:r>
        <w:rPr>
          <w:rFonts w:hint="eastAsia"/>
        </w:rPr>
        <w:t xml:space="preserve">貴集團已根據內涵價值補充資料第4及5節所載的內涵價值編製基準擬備於2020年12月31日及截至該</w:t>
      </w:r>
    </w:p>
    <w:p>
      <w:pPr>
        <w:pStyle w:val="BodyText"/>
      </w:pPr>
      <w:r>
        <w:rPr>
          <w:rFonts w:hint="eastAsia"/>
        </w:rPr>
        <w:t xml:space="preserve">日止年度的內涵價值補充資料，而我們已單獨就該內涵價值補充資料向</w:t>
      </w:r>
      <w:r>
        <w:t xml:space="preserve"> </w:t>
      </w:r>
      <w:r>
        <w:rPr>
          <w:rFonts w:hint="eastAsia"/>
        </w:rPr>
        <w:t xml:space="preserve">貴公司董事會出具一份日</w:t>
      </w:r>
    </w:p>
    <w:p>
      <w:pPr>
        <w:pStyle w:val="BodyText"/>
      </w:pPr>
      <w:r>
        <w:rPr>
          <w:rFonts w:hint="eastAsia"/>
        </w:rPr>
        <w:t xml:space="preserve">期為2021年3月12日的核數師報告。</w:t>
      </w:r>
    </w:p>
    <w:p>
      <w:pPr>
        <w:pStyle w:val="BodyText"/>
      </w:pPr>
      <w:r>
        <w:rPr>
          <w:rFonts w:hint="eastAsia"/>
        </w:rPr>
        <w:t xml:space="preserve">董事及治理層就合併財務報表須承擔的責任</w:t>
      </w:r>
    </w:p>
    <w:p>
      <w:pPr>
        <w:pStyle w:val="BodyText"/>
      </w:pPr>
      <w:r>
        <w:rPr>
          <w:rFonts w:hint="eastAsia"/>
        </w:rPr>
        <w:t xml:space="preserve">貴公司董事須負責根據香港會計師公會頒布的《香港財務報告準則》、國際會計準則理事會頒布的</w:t>
      </w:r>
    </w:p>
    <w:p>
      <w:pPr>
        <w:pStyle w:val="BodyText"/>
      </w:pPr>
      <w:r>
        <w:rPr>
          <w:rFonts w:hint="eastAsia"/>
        </w:rPr>
        <w:t xml:space="preserve">《國際財務報告準則》及香港《公司條例》擬備真實而中肯的合併財務報表，並對其認為為使合併財</w:t>
      </w:r>
    </w:p>
    <w:p>
      <w:pPr>
        <w:pStyle w:val="BodyText"/>
      </w:pPr>
      <w:r>
        <w:rPr>
          <w:rFonts w:hint="eastAsia"/>
        </w:rPr>
        <w:t xml:space="preserve">務報表的擬備不存在由於欺詐或錯誤而導致的重大錯誤陳述所需的內部控制負責。</w:t>
      </w:r>
    </w:p>
    <w:p>
      <w:pPr>
        <w:pStyle w:val="BodyText"/>
      </w:pPr>
      <w:r>
        <w:rPr>
          <w:rFonts w:hint="eastAsia"/>
        </w:rPr>
        <w:t xml:space="preserve">在擬備合併財務報表時，董事負責評估</w:t>
      </w:r>
      <w:r>
        <w:t xml:space="preserve"> </w:t>
      </w:r>
      <w:r>
        <w:rPr>
          <w:rFonts w:hint="eastAsia"/>
        </w:rPr>
        <w:t xml:space="preserve">貴集團持續經營的能力，並在適用情況下披露與持續經營</w:t>
      </w:r>
    </w:p>
    <w:p>
      <w:pPr>
        <w:pStyle w:val="BodyText"/>
      </w:pPr>
      <w:r>
        <w:rPr>
          <w:rFonts w:hint="eastAsia"/>
        </w:rPr>
        <w:t xml:space="preserve">有關的事項，以及使用持續經營為會計基礎，除非董事有意將</w:t>
      </w:r>
      <w:r>
        <w:t xml:space="preserve"> </w:t>
      </w:r>
      <w:r>
        <w:rPr>
          <w:rFonts w:hint="eastAsia"/>
        </w:rPr>
        <w:t xml:space="preserve">貴集團清盤或停止經營，或別無其</w:t>
      </w:r>
    </w:p>
    <w:p>
      <w:pPr>
        <w:pStyle w:val="BodyText"/>
      </w:pPr>
      <w:r>
        <w:rPr>
          <w:rFonts w:hint="eastAsia"/>
        </w:rPr>
        <w:t xml:space="preserve">他實際的替代方案。</w:t>
      </w:r>
    </w:p>
    <w:p>
      <w:pPr>
        <w:pStyle w:val="BodyText"/>
      </w:pPr>
      <w:r>
        <w:rPr>
          <w:rFonts w:hint="eastAsia"/>
        </w:rPr>
        <w:t xml:space="preserve">治理層須負責監督</w:t>
      </w:r>
      <w:r>
        <w:t xml:space="preserve"> </w:t>
      </w:r>
      <w:r>
        <w:rPr>
          <w:rFonts w:hint="eastAsia"/>
        </w:rPr>
        <w:t xml:space="preserve">貴集團的財務報告過程。</w:t>
      </w:r>
    </w:p>
    <w:p>
      <w:pPr>
        <w:pStyle w:val="BodyText"/>
      </w:pPr>
      <w:r>
        <w:t xml:space="preserve">129</w:t>
      </w:r>
    </w:p>
    <w:p>
      <w:pPr>
        <w:pStyle w:val="BodyText"/>
      </w:pPr>
      <w:r>
        <w:rPr>
          <w:rFonts w:hint="eastAsia"/>
        </w:rPr>
        <w:t xml:space="preserve">羅兵咸永道會計師事務所，香港中環太子大廈廿二樓電話：傳真：，概覽財務及營運回顧企業管治其他資料財務報表2020年報</w:t>
      </w:r>
    </w:p>
    <w:p>
      <w:pPr>
        <w:pStyle w:val="BodyText"/>
      </w:pPr>
      <w:r>
        <w:rPr>
          <w:rFonts w:hint="eastAsia"/>
        </w:rPr>
        <w:t xml:space="preserve">核數師就審計合併財務報表承擔的責任</w:t>
      </w:r>
    </w:p>
    <w:p>
      <w:pPr>
        <w:pStyle w:val="BodyText"/>
      </w:pPr>
      <w:r>
        <w:rPr>
          <w:rFonts w:hint="eastAsia"/>
        </w:rPr>
        <w:t xml:space="preserve">我們的目標，是對合併財務報表整體是否不存在由於欺詐或錯誤而導致的重大錯誤陳述取得合理</w:t>
      </w:r>
    </w:p>
    <w:p>
      <w:pPr>
        <w:pStyle w:val="BodyText"/>
      </w:pPr>
      <w:r>
        <w:rPr>
          <w:rFonts w:hint="eastAsia"/>
        </w:rPr>
        <w:t xml:space="preserve">保證，並出具包括我們意見的核數師報告。我們僅按照香港《公司條例》第405條向</w:t>
      </w:r>
      <w:r>
        <w:t xml:space="preserve"> </w:t>
      </w:r>
      <w:r>
        <w:rPr>
          <w:rFonts w:hint="eastAsia"/>
        </w:rPr>
        <w:t xml:space="preserve">閣下（作為整</w:t>
      </w:r>
    </w:p>
    <w:p>
      <w:pPr>
        <w:pStyle w:val="BodyText"/>
      </w:pPr>
      <w:r>
        <w:rPr>
          <w:rFonts w:hint="eastAsia"/>
        </w:rPr>
        <w:t xml:space="preserve">體）報告我們的意見，除此之外本報告別無其他目的。我們不會就本報告的內容向任何其他人士負</w:t>
      </w:r>
    </w:p>
    <w:p>
      <w:pPr>
        <w:pStyle w:val="BodyText"/>
      </w:pPr>
      <w:r>
        <w:rPr>
          <w:rFonts w:hint="eastAsia"/>
        </w:rPr>
        <w:t xml:space="preserve">上或承擔任何責任。合理保證是高水平的保證，但不能保證按照《香港審計準則》進行的審計，在</w:t>
      </w:r>
    </w:p>
    <w:p>
      <w:pPr>
        <w:pStyle w:val="BodyText"/>
      </w:pPr>
      <w:r>
        <w:rPr>
          <w:rFonts w:hint="eastAsia"/>
        </w:rPr>
        <w:t xml:space="preserve">某一重大錯誤陳述存在時總能發現。錯誤陳述可以由欺詐或錯誤引起，如果合理預期它們單獨或匯</w:t>
      </w:r>
    </w:p>
    <w:p>
      <w:pPr>
        <w:pStyle w:val="BodyText"/>
      </w:pPr>
      <w:r>
        <w:rPr>
          <w:rFonts w:hint="eastAsia"/>
        </w:rPr>
        <w:t xml:space="preserve">總起來可能影響合併財務報表使用者依賴合併財務報表作出的經濟決定，則有關的錯誤陳述可被視</w:t>
      </w:r>
    </w:p>
    <w:p>
      <w:pPr>
        <w:pStyle w:val="BodyText"/>
      </w:pPr>
      <w:r>
        <w:rPr>
          <w:rFonts w:hint="eastAsia"/>
        </w:rPr>
        <w:t xml:space="preserve">作重大。</w:t>
      </w:r>
    </w:p>
    <w:p>
      <w:pPr>
        <w:pStyle w:val="BodyText"/>
      </w:pPr>
      <w:r>
        <w:rPr>
          <w:rFonts w:hint="eastAsia"/>
        </w:rPr>
        <w:t xml:space="preserve">在根據《香港審計準則》進行審計的過程中，我們運用了專業判斷，保持了專業懷疑態度。我們</w:t>
      </w:r>
    </w:p>
    <w:p>
      <w:pPr>
        <w:pStyle w:val="BodyText"/>
      </w:pPr>
      <w:r>
        <w:rPr>
          <w:rFonts w:hint="eastAsia"/>
        </w:rPr>
        <w:t xml:space="preserve">亦：</w:t>
      </w:r>
    </w:p>
    <w:p>
      <w:pPr>
        <w:pStyle w:val="BodyText"/>
      </w:pPr>
      <w:r>
        <w:t xml:space="preserve">(cid:127) </w:t>
      </w:r>
      <w:r>
        <w:rPr>
          <w:rFonts w:hint="eastAsia"/>
        </w:rPr>
        <w:t xml:space="preserve">識別和評估由於欺詐或錯誤而導致合併財務報表存在重大錯誤陳述的風險，設計及執行審計程</w:t>
      </w:r>
    </w:p>
    <w:p>
      <w:pPr>
        <w:pStyle w:val="BodyText"/>
      </w:pPr>
      <w:r>
        <w:rPr>
          <w:rFonts w:hint="eastAsia"/>
        </w:rPr>
        <w:t xml:space="preserve">序以應對這些風險，以及獲取充足和適當的審計憑證，作為我們意見的基礎。由於欺詐可能涉</w:t>
      </w:r>
    </w:p>
    <w:p>
      <w:pPr>
        <w:pStyle w:val="BodyText"/>
      </w:pPr>
      <w:r>
        <w:rPr>
          <w:rFonts w:hint="eastAsia"/>
        </w:rPr>
        <w:t xml:space="preserve">及串謀、偽造、蓄意遺漏、虛假陳述，或凌駕於內部控制之上，因此未能發現因欺詐而導致的</w:t>
      </w:r>
    </w:p>
    <w:p>
      <w:pPr>
        <w:pStyle w:val="BodyText"/>
      </w:pPr>
      <w:r>
        <w:rPr>
          <w:rFonts w:hint="eastAsia"/>
        </w:rPr>
        <w:t xml:space="preserve">重大錯誤陳述的風險高於未能發現因錯誤而導致的重大錯誤陳述的風險。</w:t>
      </w:r>
    </w:p>
    <w:p>
      <w:pPr>
        <w:pStyle w:val="BodyText"/>
      </w:pPr>
      <w:r>
        <w:t xml:space="preserve">(cid:127) </w:t>
      </w:r>
      <w:r>
        <w:rPr>
          <w:rFonts w:hint="eastAsia"/>
        </w:rPr>
        <w:t xml:space="preserve">了解與審計相關的內部控制，以設計適當的審計程序，但目的並非對</w:t>
      </w:r>
      <w:r>
        <w:t xml:space="preserve"> </w:t>
      </w:r>
      <w:r>
        <w:rPr>
          <w:rFonts w:hint="eastAsia"/>
        </w:rPr>
        <w:t xml:space="preserve">貴集團內部控制的有效</w:t>
      </w:r>
    </w:p>
    <w:p>
      <w:pPr>
        <w:pStyle w:val="BodyText"/>
      </w:pPr>
      <w:r>
        <w:rPr>
          <w:rFonts w:hint="eastAsia"/>
        </w:rPr>
        <w:t xml:space="preserve">性發表意見。</w:t>
      </w:r>
    </w:p>
    <w:p>
      <w:pPr>
        <w:pStyle w:val="BodyText"/>
      </w:pPr>
      <w:r>
        <w:t xml:space="preserve">(cid:127) </w:t>
      </w:r>
      <w:r>
        <w:rPr>
          <w:rFonts w:hint="eastAsia"/>
        </w:rPr>
        <w:t xml:space="preserve">評價董事所採用會計政策的恰當性及作出會計估計和相關披露的合理性。</w:t>
      </w:r>
    </w:p>
    <w:p>
      <w:pPr>
        <w:pStyle w:val="BodyText"/>
      </w:pPr>
      <w:r>
        <w:t xml:space="preserve">(cid:127) </w:t>
      </w:r>
      <w:r>
        <w:rPr>
          <w:rFonts w:hint="eastAsia"/>
        </w:rPr>
        <w:t xml:space="preserve">對董事採用持續經營會計基礎的恰當性作出結論。根據所獲取的審計憑證，確定是否存在與事</w:t>
      </w:r>
    </w:p>
    <w:p>
      <w:pPr>
        <w:pStyle w:val="BodyText"/>
      </w:pPr>
      <w:r>
        <w:rPr>
          <w:rFonts w:hint="eastAsia"/>
        </w:rPr>
        <w:t xml:space="preserve">項或情況有關的重大不確定性，從而可能導致對</w:t>
      </w:r>
      <w:r>
        <w:t xml:space="preserve"> </w:t>
      </w:r>
      <w:r>
        <w:rPr>
          <w:rFonts w:hint="eastAsia"/>
        </w:rPr>
        <w:t xml:space="preserve">貴集團的持續經營能力產生重大疑慮。如果</w:t>
      </w:r>
    </w:p>
    <w:p>
      <w:pPr>
        <w:pStyle w:val="BodyText"/>
      </w:pPr>
      <w:r>
        <w:rPr>
          <w:rFonts w:hint="eastAsia"/>
        </w:rPr>
        <w:t xml:space="preserve">我們認為存在重大不確定性，則有必要在核數師報告中提請使用者注意合併財務報表中的相關</w:t>
      </w:r>
    </w:p>
    <w:p>
      <w:pPr>
        <w:pStyle w:val="BodyText"/>
      </w:pPr>
      <w:r>
        <w:rPr>
          <w:rFonts w:hint="eastAsia"/>
        </w:rPr>
        <w:t xml:space="preserve">披露。假若有關的披露不足，則我們應當發表非無保留意見。我們的結論是基於核數師報告日</w:t>
      </w:r>
    </w:p>
    <w:p>
      <w:pPr>
        <w:pStyle w:val="BodyText"/>
      </w:pPr>
      <w:r>
        <w:rPr>
          <w:rFonts w:hint="eastAsia"/>
        </w:rPr>
        <w:t xml:space="preserve">止所取得的審計憑證。然而，未來事項或情況可能導致</w:t>
      </w:r>
      <w:r>
        <w:t xml:space="preserve"> </w:t>
      </w:r>
      <w:r>
        <w:rPr>
          <w:rFonts w:hint="eastAsia"/>
        </w:rPr>
        <w:t xml:space="preserve">貴集團不能持續經營。</w:t>
      </w:r>
    </w:p>
    <w:p>
      <w:pPr>
        <w:pStyle w:val="BodyText"/>
      </w:pPr>
      <w:r>
        <w:t xml:space="preserve">(cid:127) </w:t>
      </w:r>
      <w:r>
        <w:rPr>
          <w:rFonts w:hint="eastAsia"/>
        </w:rPr>
        <w:t xml:space="preserve">評價合併財務報表的整體列報方式、結構和內容，包括披露，以及合併財務報表是否中肯反映</w:t>
      </w:r>
    </w:p>
    <w:p>
      <w:pPr>
        <w:pStyle w:val="BodyText"/>
      </w:pPr>
      <w:r>
        <w:rPr>
          <w:rFonts w:hint="eastAsia"/>
        </w:rPr>
        <w:t xml:space="preserve">交易和事項。</w:t>
      </w:r>
    </w:p>
    <w:p>
      <w:pPr>
        <w:pStyle w:val="BodyText"/>
      </w:pPr>
      <w:r>
        <w:t xml:space="preserve">(cid:127) </w:t>
      </w:r>
      <w:r>
        <w:rPr>
          <w:rFonts w:hint="eastAsia"/>
        </w:rPr>
        <w:t xml:space="preserve">就</w:t>
      </w:r>
      <w:r>
        <w:t xml:space="preserve"> </w:t>
      </w:r>
      <w:r>
        <w:rPr>
          <w:rFonts w:hint="eastAsia"/>
        </w:rPr>
        <w:t xml:space="preserve">貴集團內實體或業務活動的財務信息獲取充足、適當的審計憑證，以便對合併財務報表發</w:t>
      </w:r>
    </w:p>
    <w:p>
      <w:pPr>
        <w:pStyle w:val="BodyText"/>
      </w:pPr>
      <w:r>
        <w:rPr>
          <w:rFonts w:hint="eastAsia"/>
        </w:rPr>
        <w:t xml:space="preserve">表意見。我們負責</w:t>
      </w:r>
      <w:r>
        <w:t xml:space="preserve"> </w:t>
      </w:r>
      <w:r>
        <w:rPr>
          <w:rFonts w:hint="eastAsia"/>
        </w:rPr>
        <w:t xml:space="preserve">貴集團審計的方向、監督和執行。我們為審計意見承擔全部責任。</w:t>
      </w:r>
    </w:p>
    <w:p>
      <w:pPr>
        <w:pStyle w:val="BodyText"/>
      </w:pPr>
      <w:r>
        <w:t xml:space="preserve">130</w:t>
      </w:r>
    </w:p>
    <w:p>
      <w:pPr>
        <w:pStyle w:val="BodyText"/>
      </w:pPr>
      <w:r>
        <w:rPr>
          <w:rFonts w:hint="eastAsia"/>
        </w:rPr>
        <w:t xml:space="preserve">羅兵咸永道會計師事務所，香港中環太子大廈廿二樓電話：傳真：，友邦保險控股有限公司</w:t>
      </w:r>
    </w:p>
    <w:p>
      <w:pPr>
        <w:pStyle w:val="BodyText"/>
      </w:pPr>
      <w:r>
        <w:rPr>
          <w:rFonts w:hint="eastAsia"/>
        </w:rPr>
        <w:t xml:space="preserve">核數師就審計合併財務報表承擔的責任（續）</w:t>
      </w:r>
    </w:p>
    <w:p>
      <w:pPr>
        <w:pStyle w:val="BodyText"/>
      </w:pPr>
      <w:r>
        <w:rPr>
          <w:rFonts w:hint="eastAsia"/>
        </w:rPr>
        <w:t xml:space="preserve">除其他事項外，我們與治理層溝通了計劃的審計範圍、時間安排、重大審計發現等，包括我們在審</w:t>
      </w:r>
    </w:p>
    <w:p>
      <w:pPr>
        <w:pStyle w:val="BodyText"/>
      </w:pPr>
      <w:r>
        <w:rPr>
          <w:rFonts w:hint="eastAsia"/>
        </w:rPr>
        <w:t xml:space="preserve">計中識別出內部控制的任何重大缺陷。</w:t>
      </w:r>
    </w:p>
    <w:p>
      <w:pPr>
        <w:pStyle w:val="BodyText"/>
      </w:pPr>
      <w:r>
        <w:rPr>
          <w:rFonts w:hint="eastAsia"/>
        </w:rPr>
        <w:t xml:space="preserve">我們還向治理層提交聲明，說明我們已符合有關獨立性的相關專業道德要求，並與他們溝通有可能</w:t>
      </w:r>
    </w:p>
    <w:p>
      <w:pPr>
        <w:pStyle w:val="BodyText"/>
      </w:pPr>
      <w:r>
        <w:rPr>
          <w:rFonts w:hint="eastAsia"/>
        </w:rPr>
        <w:t xml:space="preserve">合理地被認為會影響我們獨立性的所有關係和其他事項，以及在適用的情況下，用以消除對獨立性</w:t>
      </w:r>
    </w:p>
    <w:p>
      <w:pPr>
        <w:pStyle w:val="BodyText"/>
      </w:pPr>
      <w:r>
        <w:rPr>
          <w:rFonts w:hint="eastAsia"/>
        </w:rPr>
        <w:t xml:space="preserve">產生威脅的行動或採取的防範措施。</w:t>
      </w:r>
    </w:p>
    <w:p>
      <w:pPr>
        <w:pStyle w:val="BodyText"/>
      </w:pPr>
      <w:r>
        <w:rPr>
          <w:rFonts w:hint="eastAsia"/>
        </w:rPr>
        <w:t xml:space="preserve">從與治理層溝通的事項中，我們確定哪些事項對本期合併財務報表的審計最為重要，因而構成關鍵</w:t>
      </w:r>
    </w:p>
    <w:p>
      <w:pPr>
        <w:pStyle w:val="BodyText"/>
      </w:pPr>
      <w:r>
        <w:rPr>
          <w:rFonts w:hint="eastAsia"/>
        </w:rPr>
        <w:t xml:space="preserve">審計事項。我們在核數師報告中描述這些事項，除非法律法規不允許公開披露這些事項，或在極端</w:t>
      </w:r>
    </w:p>
    <w:p>
      <w:pPr>
        <w:pStyle w:val="BodyText"/>
      </w:pPr>
      <w:r>
        <w:rPr>
          <w:rFonts w:hint="eastAsia"/>
        </w:rPr>
        <w:t xml:space="preserve">罕見的情況下，如果合理預期在我們報告中溝通某事項造成的負面後果超過產生的公眾利益，我們</w:t>
      </w:r>
    </w:p>
    <w:p>
      <w:pPr>
        <w:pStyle w:val="BodyText"/>
      </w:pPr>
      <w:r>
        <w:rPr>
          <w:rFonts w:hint="eastAsia"/>
        </w:rPr>
        <w:t xml:space="preserve">決定不應在報告中溝通該事項。</w:t>
      </w:r>
    </w:p>
    <w:p>
      <w:pPr>
        <w:pStyle w:val="BodyText"/>
      </w:pPr>
      <w:r>
        <w:rPr>
          <w:rFonts w:hint="eastAsia"/>
        </w:rPr>
        <w:t xml:space="preserve">出具本獨立核數師報告的審計項目合夥人是林同文。</w:t>
      </w:r>
    </w:p>
    <w:p>
      <w:pPr>
        <w:pStyle w:val="BodyText"/>
      </w:pPr>
      <w:r>
        <w:rPr>
          <w:rFonts w:hint="eastAsia"/>
        </w:rPr>
        <w:t xml:space="preserve">羅兵咸永道會計師事務所</w:t>
      </w:r>
    </w:p>
    <w:p>
      <w:pPr>
        <w:pStyle w:val="BodyText"/>
      </w:pPr>
      <w:r>
        <w:rPr>
          <w:rFonts w:hint="eastAsia"/>
        </w:rPr>
        <w:t xml:space="preserve">執業會計師</w:t>
      </w:r>
    </w:p>
    <w:p>
      <w:pPr>
        <w:pStyle w:val="BodyText"/>
      </w:pPr>
      <w:r>
        <w:rPr>
          <w:rFonts w:hint="eastAsia"/>
        </w:rPr>
        <w:t xml:space="preserve">香港</w:t>
      </w:r>
    </w:p>
    <w:p>
      <w:pPr>
        <w:pStyle w:val="BodyText"/>
      </w:pPr>
      <w:r>
        <w:rPr>
          <w:rFonts w:hint="eastAsia"/>
        </w:rPr>
        <w:t xml:space="preserve">2021年3月12日</w:t>
      </w:r>
    </w:p>
    <w:p>
      <w:pPr>
        <w:pStyle w:val="BodyText"/>
      </w:pPr>
      <w:r>
        <w:t xml:space="preserve">131</w:t>
      </w:r>
    </w:p>
    <w:p>
      <w:pPr>
        <w:pStyle w:val="BodyText"/>
      </w:pPr>
      <w:r>
        <w:rPr>
          <w:rFonts w:hint="eastAsia"/>
        </w:rPr>
        <w:t xml:space="preserve">羅兵咸永道會計師事務所，香港中環太子大廈廿二樓電話：傳真：，概覽財務及營運回顧企業管治其他資料財務報表2020年報</w:t>
      </w:r>
    </w:p>
    <w:p>
      <w:pPr>
        <w:pStyle w:val="BodyText"/>
      </w:pPr>
      <w:r>
        <w:rPr>
          <w:rFonts w:hint="eastAsia"/>
        </w:rPr>
        <w:t xml:space="preserve">附註</w:t>
      </w:r>
    </w:p>
    <w:p>
      <w:pPr>
        <w:pStyle w:val="BodyText"/>
      </w:pPr>
      <w:r>
        <w:t xml:space="preserve">6</w:t>
      </w:r>
    </w:p>
    <w:p>
      <w:pPr>
        <w:pStyle w:val="BodyText"/>
      </w:pPr>
      <w:r>
        <w:t xml:space="preserve">10</w:t>
      </w:r>
    </w:p>
    <w:p>
      <w:pPr>
        <w:pStyle w:val="BodyText"/>
      </w:pPr>
      <w:r>
        <w:t xml:space="preserve">10</w:t>
      </w:r>
    </w:p>
    <w:p>
      <w:pPr>
        <w:pStyle w:val="BodyText"/>
      </w:pPr>
      <w:r>
        <w:rPr>
          <w:rFonts w:hint="eastAsia"/>
        </w:rPr>
        <w:t xml:space="preserve">截至2020年</w:t>
      </w:r>
      <w:r>
        <w:br/>
      </w:r>
      <w:r>
        <w:rPr>
          <w:rFonts w:hint="eastAsia"/>
        </w:rPr>
        <w:t xml:space="preserve">12月31日止</w:t>
      </w:r>
      <w:r>
        <w:br/>
      </w:r>
      <w:r>
        <w:rPr>
          <w:rFonts w:hint="eastAsia"/>
        </w:rPr>
        <w:t xml:space="preserve">年度</w:t>
      </w:r>
    </w:p>
    <w:p>
      <w:pPr>
        <w:pStyle w:val="BodyText"/>
      </w:pPr>
      <w:r>
        <w:rPr>
          <w:rFonts w:hint="eastAsia"/>
        </w:rPr>
        <w:t xml:space="preserve">截至2019年</w:t>
      </w:r>
      <w:r>
        <w:br/>
      </w:r>
      <w:r>
        <w:rPr>
          <w:rFonts w:hint="eastAsia"/>
        </w:rPr>
        <w:t xml:space="preserve">12月31日止</w:t>
      </w:r>
      <w:r>
        <w:br/>
      </w:r>
      <w:r>
        <w:rPr>
          <w:rFonts w:hint="eastAsia"/>
        </w:rPr>
        <w:t xml:space="preserve">年度</w:t>
      </w:r>
      <w:r>
        <w:br/>
      </w:r>
      <w:r>
        <w:rPr>
          <w:rFonts w:hint="eastAsia"/>
        </w:rPr>
        <w:t xml:space="preserve">（經調整）</w:t>
      </w:r>
    </w:p>
    <w:p>
      <w:pPr>
        <w:pStyle w:val="BodyText"/>
      </w:pPr>
      <w:r>
        <w:t xml:space="preserve">35,780</w:t>
      </w:r>
    </w:p>
    <w:p>
      <w:pPr>
        <w:pStyle w:val="BodyText"/>
      </w:pPr>
      <w:r>
        <w:t xml:space="preserve">(2,452)</w:t>
      </w:r>
    </w:p>
    <w:p>
      <w:pPr>
        <w:pStyle w:val="BodyText"/>
      </w:pPr>
      <w:r>
        <w:t xml:space="preserve">33,328</w:t>
      </w:r>
    </w:p>
    <w:p>
      <w:pPr>
        <w:pStyle w:val="BodyText"/>
      </w:pPr>
      <w:r>
        <w:t xml:space="preserve">16,707</w:t>
      </w:r>
    </w:p>
    <w:p>
      <w:pPr>
        <w:pStyle w:val="BodyText"/>
      </w:pPr>
      <w:r>
        <w:t xml:space="preserve">324</w:t>
      </w:r>
    </w:p>
    <w:p>
      <w:pPr>
        <w:pStyle w:val="BodyText"/>
      </w:pPr>
      <w:r>
        <w:t xml:space="preserve">50,359</w:t>
      </w:r>
    </w:p>
    <w:p>
      <w:pPr>
        <w:pStyle w:val="BodyText"/>
      </w:pPr>
      <w:r>
        <w:t xml:space="preserve">36,865</w:t>
      </w:r>
    </w:p>
    <w:p>
      <w:pPr>
        <w:pStyle w:val="BodyText"/>
      </w:pPr>
      <w:r>
        <w:t xml:space="preserve">(2,126)</w:t>
      </w:r>
    </w:p>
    <w:p>
      <w:pPr>
        <w:pStyle w:val="BodyText"/>
      </w:pPr>
      <w:r>
        <w:t xml:space="preserve">34,739</w:t>
      </w:r>
    </w:p>
    <w:p>
      <w:pPr>
        <w:pStyle w:val="BodyText"/>
      </w:pPr>
      <w:r>
        <w:t xml:space="preserve">4,402</w:t>
      </w:r>
    </w:p>
    <w:p>
      <w:pPr>
        <w:pStyle w:val="BodyText"/>
      </w:pPr>
      <w:r>
        <w:t xml:space="preserve">2,695</w:t>
      </w:r>
    </w:p>
    <w:p>
      <w:pPr>
        <w:pStyle w:val="BodyText"/>
      </w:pPr>
      <w:r>
        <w:t xml:space="preserve">292</w:t>
      </w:r>
    </w:p>
    <w:p>
      <w:pPr>
        <w:pStyle w:val="BodyText"/>
      </w:pPr>
      <w:r>
        <w:t xml:space="preserve">944</w:t>
      </w:r>
    </w:p>
    <w:p>
      <w:pPr>
        <w:pStyle w:val="BodyText"/>
      </w:pPr>
      <w:r>
        <w:t xml:space="preserve">34,777</w:t>
      </w:r>
    </w:p>
    <w:p>
      <w:pPr>
        <w:pStyle w:val="BodyText"/>
      </w:pPr>
      <w:r>
        <w:t xml:space="preserve">(2,166)</w:t>
      </w:r>
    </w:p>
    <w:p>
      <w:pPr>
        <w:pStyle w:val="BodyText"/>
      </w:pPr>
      <w:r>
        <w:t xml:space="preserve">32,611</w:t>
      </w:r>
    </w:p>
    <w:p>
      <w:pPr>
        <w:pStyle w:val="BodyText"/>
      </w:pPr>
      <w:r>
        <w:t xml:space="preserve">14,350</w:t>
      </w:r>
    </w:p>
    <w:p>
      <w:pPr>
        <w:pStyle w:val="BodyText"/>
      </w:pPr>
      <w:r>
        <w:t xml:space="preserve">281</w:t>
      </w:r>
    </w:p>
    <w:p>
      <w:pPr>
        <w:pStyle w:val="BodyText"/>
      </w:pPr>
      <w:r>
        <w:t xml:space="preserve">47,242</w:t>
      </w:r>
    </w:p>
    <w:p>
      <w:pPr>
        <w:pStyle w:val="BodyText"/>
      </w:pPr>
      <w:r>
        <w:t xml:space="preserve">34,068</w:t>
      </w:r>
    </w:p>
    <w:p>
      <w:pPr>
        <w:pStyle w:val="BodyText"/>
      </w:pPr>
      <w:r>
        <w:t xml:space="preserve">(1,940)</w:t>
      </w:r>
    </w:p>
    <w:p>
      <w:pPr>
        <w:pStyle w:val="BodyText"/>
      </w:pPr>
      <w:r>
        <w:t xml:space="preserve">32,128</w:t>
      </w:r>
    </w:p>
    <w:p>
      <w:pPr>
        <w:pStyle w:val="BodyText"/>
      </w:pPr>
      <w:r>
        <w:t xml:space="preserve">4,283</w:t>
      </w:r>
    </w:p>
    <w:p>
      <w:pPr>
        <w:pStyle w:val="BodyText"/>
      </w:pPr>
      <w:r>
        <w:t xml:space="preserve">2,468</w:t>
      </w:r>
    </w:p>
    <w:p>
      <w:pPr>
        <w:pStyle w:val="BodyText"/>
      </w:pPr>
      <w:r>
        <w:t xml:space="preserve">283</w:t>
      </w:r>
    </w:p>
    <w:p>
      <w:pPr>
        <w:pStyle w:val="BodyText"/>
      </w:pPr>
      <w:r>
        <w:t xml:space="preserve">845</w:t>
      </w:r>
    </w:p>
    <w:p>
      <w:pPr>
        <w:pStyle w:val="BodyText"/>
      </w:pPr>
      <w:r>
        <w:t xml:space="preserve">11</w:t>
      </w:r>
    </w:p>
    <w:p>
      <w:pPr>
        <w:pStyle w:val="BodyText"/>
      </w:pPr>
      <w:r>
        <w:t xml:space="preserve">43,072</w:t>
      </w:r>
    </w:p>
    <w:p>
      <w:pPr>
        <w:pStyle w:val="BodyText"/>
      </w:pPr>
      <w:r>
        <w:t xml:space="preserve">40,007</w:t>
      </w:r>
    </w:p>
    <w:p>
      <w:pPr>
        <w:pStyle w:val="BodyText"/>
      </w:pPr>
      <w:r>
        <w:t xml:space="preserve">7,287</w:t>
      </w:r>
    </w:p>
    <w:p>
      <w:pPr>
        <w:pStyle w:val="FirstParagraph"/>
      </w:pPr>
      <w:r>
        <w:t xml:space="preserve">7,270</w:t>
      </w:r>
    </w:p>
    <w:p>
      <w:pPr>
        <w:pStyle w:val="FirstParagraph"/>
      </w:pPr>
      <w:r>
        <w:t xml:space="preserve">7,099</w:t>
      </w:r>
    </w:p>
    <w:p>
      <w:pPr>
        <w:pStyle w:val="BodyText"/>
      </w:pPr>
      <w:r>
        <w:t xml:space="preserve">(1,491)</w:t>
      </w:r>
    </w:p>
    <w:p>
      <w:pPr>
        <w:pStyle w:val="BodyText"/>
      </w:pPr>
      <w:r>
        <w:t xml:space="preserve">171</w:t>
      </w:r>
    </w:p>
    <w:p>
      <w:pPr>
        <w:pStyle w:val="BodyText"/>
      </w:pPr>
      <w:r>
        <w:t xml:space="preserve">(1,320)</w:t>
      </w:r>
    </w:p>
    <w:p>
      <w:pPr>
        <w:pStyle w:val="BodyText"/>
      </w:pPr>
      <w:r>
        <w:t xml:space="preserve">5,779</w:t>
      </w:r>
    </w:p>
    <w:p>
      <w:pPr>
        <w:pStyle w:val="BodyText"/>
      </w:pPr>
      <w:r>
        <w:t xml:space="preserve">5,779</w:t>
      </w:r>
    </w:p>
    <w:p>
      <w:pPr>
        <w:pStyle w:val="BodyText"/>
      </w:pPr>
      <w:r>
        <w:t xml:space="preserve">–</w:t>
      </w:r>
    </w:p>
    <w:p>
      <w:pPr>
        <w:pStyle w:val="BodyText"/>
      </w:pPr>
      <w:r>
        <w:t xml:space="preserve">0.48</w:t>
      </w:r>
    </w:p>
    <w:p>
      <w:pPr>
        <w:pStyle w:val="BodyText"/>
      </w:pPr>
      <w:r>
        <w:t xml:space="preserve">0.48</w:t>
      </w:r>
    </w:p>
    <w:p>
      <w:pPr>
        <w:pStyle w:val="BodyText"/>
      </w:pPr>
      <w:r>
        <w:t xml:space="preserve">7,235</w:t>
      </w:r>
    </w:p>
    <w:p>
      <w:pPr>
        <w:pStyle w:val="FirstParagraph"/>
      </w:pPr>
      <w:r>
        <w:t xml:space="preserve">7,227</w:t>
      </w:r>
    </w:p>
    <w:p>
      <w:pPr>
        <w:pStyle w:val="FirstParagraph"/>
      </w:pPr>
      <w:r>
        <w:t xml:space="preserve">7,048</w:t>
      </w:r>
    </w:p>
    <w:p>
      <w:pPr>
        <w:pStyle w:val="BodyText"/>
      </w:pPr>
      <w:r>
        <w:t xml:space="preserve">(1,209)</w:t>
      </w:r>
    </w:p>
    <w:p>
      <w:pPr>
        <w:pStyle w:val="BodyText"/>
      </w:pPr>
      <w:r>
        <w:t xml:space="preserve">179</w:t>
      </w:r>
    </w:p>
    <w:p>
      <w:pPr>
        <w:pStyle w:val="BodyText"/>
      </w:pPr>
      <w:r>
        <w:t xml:space="preserve">(1,030)</w:t>
      </w:r>
    </w:p>
    <w:p>
      <w:pPr>
        <w:pStyle w:val="BodyText"/>
      </w:pPr>
      <w:r>
        <w:t xml:space="preserve">6,018</w:t>
      </w:r>
    </w:p>
    <w:p>
      <w:pPr>
        <w:pStyle w:val="BodyText"/>
      </w:pPr>
      <w:r>
        <w:t xml:space="preserve">5,979</w:t>
      </w:r>
    </w:p>
    <w:p>
      <w:pPr>
        <w:pStyle w:val="BodyText"/>
      </w:pPr>
      <w:r>
        <w:t xml:space="preserve">39</w:t>
      </w:r>
    </w:p>
    <w:p>
      <w:pPr>
        <w:pStyle w:val="BodyText"/>
      </w:pPr>
      <w:r>
        <w:t xml:space="preserve">0.50</w:t>
      </w:r>
    </w:p>
    <w:p>
      <w:pPr>
        <w:pStyle w:val="BodyText"/>
      </w:pPr>
      <w:r>
        <w:t xml:space="preserve">0.50</w:t>
      </w:r>
    </w:p>
    <w:p>
      <w:pPr>
        <w:pStyle w:val="BodyText"/>
      </w:pPr>
      <w:r>
        <w:t xml:space="preserve">12</w:t>
      </w:r>
    </w:p>
    <w:p>
      <w:pPr>
        <w:pStyle w:val="BodyText"/>
      </w:pPr>
      <w:r>
        <w:t xml:space="preserve">13</w:t>
      </w:r>
    </w:p>
    <w:p>
      <w:pPr>
        <w:pStyle w:val="BodyText"/>
      </w:pPr>
      <w:r>
        <w:t xml:space="preserve">13</w:t>
      </w:r>
    </w:p>
    <w:p>
      <w:pPr>
        <w:pStyle w:val="BodyText"/>
      </w:pPr>
      <w:r>
        <w:rPr>
          <w:rFonts w:hint="eastAsia"/>
        </w:rPr>
        <w:t xml:space="preserve">百萬美元</w:t>
      </w:r>
    </w:p>
    <w:p>
      <w:pPr>
        <w:pStyle w:val="BodyText"/>
      </w:pPr>
      <w:r>
        <w:rPr>
          <w:rFonts w:hint="eastAsia"/>
        </w:rPr>
        <w:t xml:space="preserve">收益</w:t>
      </w:r>
    </w:p>
    <w:p>
      <w:pPr>
        <w:pStyle w:val="BodyText"/>
      </w:pPr>
      <w:r>
        <w:rPr>
          <w:rFonts w:hint="eastAsia"/>
        </w:rPr>
        <w:t xml:space="preserve">保費及收費收入</w:t>
      </w:r>
    </w:p>
    <w:p>
      <w:pPr>
        <w:pStyle w:val="BodyText"/>
      </w:pPr>
      <w:r>
        <w:rPr>
          <w:rFonts w:hint="eastAsia"/>
        </w:rPr>
        <w:t xml:space="preserve">分保至再保險公司的保費</w:t>
      </w:r>
    </w:p>
    <w:p>
      <w:pPr>
        <w:pStyle w:val="BodyText"/>
      </w:pPr>
      <w:r>
        <w:rPr>
          <w:rFonts w:hint="eastAsia"/>
        </w:rPr>
        <w:t xml:space="preserve">淨保費及收費收入</w:t>
      </w:r>
    </w:p>
    <w:p>
      <w:pPr>
        <w:pStyle w:val="BodyText"/>
      </w:pPr>
      <w:r>
        <w:rPr>
          <w:rFonts w:hint="eastAsia"/>
        </w:rPr>
        <w:t xml:space="preserve">投資回報</w:t>
      </w:r>
    </w:p>
    <w:p>
      <w:pPr>
        <w:pStyle w:val="BodyText"/>
      </w:pPr>
      <w:r>
        <w:rPr>
          <w:rFonts w:hint="eastAsia"/>
        </w:rPr>
        <w:t xml:space="preserve">其他營運收益</w:t>
      </w:r>
    </w:p>
    <w:p>
      <w:pPr>
        <w:pStyle w:val="BodyText"/>
      </w:pPr>
      <w:r>
        <w:rPr>
          <w:rFonts w:hint="eastAsia"/>
        </w:rPr>
        <w:t xml:space="preserve">總收益</w:t>
      </w:r>
    </w:p>
    <w:p>
      <w:pPr>
        <w:pStyle w:val="BodyText"/>
      </w:pPr>
      <w:r>
        <w:rPr>
          <w:rFonts w:hint="eastAsia"/>
        </w:rPr>
        <w:t xml:space="preserve">開支</w:t>
      </w:r>
    </w:p>
    <w:p>
      <w:pPr>
        <w:pStyle w:val="BodyText"/>
      </w:pPr>
      <w:r>
        <w:rPr>
          <w:rFonts w:hint="eastAsia"/>
        </w:rPr>
        <w:t xml:space="preserve">保險及投資合約給付</w:t>
      </w:r>
    </w:p>
    <w:p>
      <w:pPr>
        <w:pStyle w:val="BodyText"/>
      </w:pPr>
      <w:r>
        <w:rPr>
          <w:rFonts w:hint="eastAsia"/>
        </w:rPr>
        <w:t xml:space="preserve">分保保險及投資合約給付</w:t>
      </w:r>
    </w:p>
    <w:p>
      <w:pPr>
        <w:pStyle w:val="BodyText"/>
      </w:pPr>
      <w:r>
        <w:rPr>
          <w:rFonts w:hint="eastAsia"/>
        </w:rPr>
        <w:t xml:space="preserve">淨保險及投資合約給付</w:t>
      </w:r>
    </w:p>
    <w:p>
      <w:pPr>
        <w:pStyle w:val="BodyText"/>
      </w:pPr>
      <w:r>
        <w:rPr>
          <w:rFonts w:hint="eastAsia"/>
        </w:rPr>
        <w:t xml:space="preserve">佣金及其他承保開支</w:t>
      </w:r>
    </w:p>
    <w:p>
      <w:pPr>
        <w:pStyle w:val="BodyText"/>
      </w:pPr>
      <w:r>
        <w:rPr>
          <w:rFonts w:hint="eastAsia"/>
        </w:rPr>
        <w:t xml:space="preserve">營運開支</w:t>
      </w:r>
    </w:p>
    <w:p>
      <w:pPr>
        <w:pStyle w:val="BodyText"/>
      </w:pPr>
      <w:r>
        <w:rPr>
          <w:rFonts w:hint="eastAsia"/>
        </w:rPr>
        <w:t xml:space="preserve">財務費用</w:t>
      </w:r>
    </w:p>
    <w:p>
      <w:pPr>
        <w:pStyle w:val="BodyText"/>
      </w:pPr>
      <w:r>
        <w:rPr>
          <w:rFonts w:hint="eastAsia"/>
        </w:rPr>
        <w:t xml:space="preserve">其他開支</w:t>
      </w:r>
    </w:p>
    <w:p>
      <w:pPr>
        <w:pStyle w:val="BodyText"/>
      </w:pPr>
      <w:r>
        <w:rPr>
          <w:rFonts w:hint="eastAsia"/>
        </w:rPr>
        <w:t xml:space="preserve">總開支</w:t>
      </w:r>
    </w:p>
    <w:p>
      <w:pPr>
        <w:pStyle w:val="BodyText"/>
      </w:pPr>
      <w:r>
        <w:rPr>
          <w:rFonts w:hint="eastAsia"/>
        </w:rPr>
        <w:t xml:space="preserve">分佔聯營公司及合資公司虧損前溢利</w:t>
      </w:r>
    </w:p>
    <w:p>
      <w:pPr>
        <w:pStyle w:val="BodyText"/>
      </w:pPr>
      <w:r>
        <w:rPr>
          <w:rFonts w:hint="eastAsia"/>
        </w:rPr>
        <w:t xml:space="preserve">分佔聯營公司及合資公司虧損</w:t>
      </w:r>
    </w:p>
    <w:p>
      <w:pPr>
        <w:pStyle w:val="BodyText"/>
      </w:pPr>
      <w:r>
        <w:rPr>
          <w:rFonts w:hint="eastAsia"/>
        </w:rPr>
        <w:t xml:space="preserve">稅前溢利</w:t>
      </w:r>
    </w:p>
    <w:p>
      <w:pPr>
        <w:pStyle w:val="BodyText"/>
      </w:pPr>
      <w:r>
        <w:rPr>
          <w:rFonts w:hint="eastAsia"/>
        </w:rPr>
        <w:t xml:space="preserve">保單持有人回報應佔所得稅開支</w:t>
      </w:r>
    </w:p>
    <w:p>
      <w:pPr>
        <w:pStyle w:val="BodyText"/>
      </w:pPr>
      <w:r>
        <w:rPr>
          <w:rFonts w:hint="eastAsia"/>
        </w:rPr>
        <w:t xml:space="preserve">稅前股東應佔溢利</w:t>
      </w:r>
    </w:p>
    <w:p>
      <w:pPr>
        <w:pStyle w:val="BodyText"/>
      </w:pPr>
      <w:r>
        <w:rPr>
          <w:rFonts w:hint="eastAsia"/>
        </w:rPr>
        <w:t xml:space="preserve">稅項開支</w:t>
      </w:r>
    </w:p>
    <w:p>
      <w:pPr>
        <w:pStyle w:val="BodyText"/>
      </w:pPr>
      <w:r>
        <w:rPr>
          <w:rFonts w:hint="eastAsia"/>
        </w:rPr>
        <w:t xml:space="preserve">保單持有人回報應佔稅項</w:t>
      </w:r>
    </w:p>
    <w:p>
      <w:pPr>
        <w:pStyle w:val="BodyText"/>
      </w:pPr>
      <w:r>
        <w:rPr>
          <w:rFonts w:hint="eastAsia"/>
        </w:rPr>
        <w:t xml:space="preserve">股東溢利應佔稅項開支</w:t>
      </w:r>
    </w:p>
    <w:p>
      <w:pPr>
        <w:pStyle w:val="BodyText"/>
      </w:pPr>
      <w:r>
        <w:rPr>
          <w:rFonts w:hint="eastAsia"/>
        </w:rPr>
        <w:t xml:space="preserve">純利</w:t>
      </w:r>
    </w:p>
    <w:p>
      <w:pPr>
        <w:pStyle w:val="BodyText"/>
      </w:pPr>
      <w:r>
        <w:rPr>
          <w:rFonts w:hint="eastAsia"/>
        </w:rPr>
        <w:t xml:space="preserve">下列人士應佔純利：</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每股盈利（美元）</w:t>
      </w:r>
    </w:p>
    <w:p>
      <w:pPr>
        <w:pStyle w:val="BodyText"/>
      </w:pPr>
      <w:r>
        <w:rPr>
          <w:rFonts w:hint="eastAsia"/>
        </w:rPr>
        <w:t xml:space="preserve">基本</w:t>
      </w:r>
    </w:p>
    <w:p>
      <w:pPr>
        <w:pStyle w:val="BodyText"/>
      </w:pPr>
      <w:r>
        <w:rPr>
          <w:rFonts w:hint="eastAsia"/>
        </w:rPr>
        <w:t xml:space="preserve">攤薄</w:t>
      </w:r>
    </w:p>
    <w:p>
      <w:pPr>
        <w:pStyle w:val="BodyText"/>
      </w:pPr>
      <w:r>
        <w:t xml:space="preserve">132</w:t>
      </w:r>
    </w:p>
    <w:p>
      <w:pPr>
        <w:pStyle w:val="BodyText"/>
      </w:pPr>
      <w:r>
        <w:rPr>
          <w:rFonts w:hint="eastAsia"/>
        </w:rPr>
        <w:t xml:space="preserve">合併收入表友邦保險控股有限公司</w:t>
      </w:r>
    </w:p>
    <w:p>
      <w:pPr>
        <w:pStyle w:val="BodyText"/>
      </w:pPr>
      <w:r>
        <w:rPr>
          <w:rFonts w:hint="eastAsia"/>
        </w:rPr>
        <w:t xml:space="preserve">百萬美元</w:t>
      </w:r>
    </w:p>
    <w:p>
      <w:pPr>
        <w:pStyle w:val="BodyText"/>
      </w:pPr>
      <w:r>
        <w:rPr>
          <w:rFonts w:hint="eastAsia"/>
        </w:rPr>
        <w:t xml:space="preserve">純利</w:t>
      </w:r>
    </w:p>
    <w:p>
      <w:pPr>
        <w:pStyle w:val="BodyText"/>
      </w:pPr>
      <w:r>
        <w:rPr>
          <w:rFonts w:hint="eastAsia"/>
        </w:rPr>
        <w:t xml:space="preserve">其他全面收入</w:t>
      </w:r>
    </w:p>
    <w:p>
      <w:pPr>
        <w:pStyle w:val="BodyText"/>
      </w:pPr>
      <w:r>
        <w:rPr>
          <w:rFonts w:hint="eastAsia"/>
        </w:rPr>
        <w:t xml:space="preserve">隨後可重新分類至損益的項目：</w:t>
      </w:r>
    </w:p>
    <w:p>
      <w:pPr>
        <w:pStyle w:val="BodyText"/>
      </w:pPr>
      <w:r>
        <w:rPr>
          <w:rFonts w:hint="eastAsia"/>
        </w:rPr>
        <w:t xml:space="preserve">可供出售金融資產的公平值收益</w:t>
      </w:r>
      <w:r>
        <w:br/>
      </w:r>
      <w:r>
        <w:rPr>
          <w:rFonts w:hint="eastAsia"/>
        </w:rPr>
        <w:t xml:space="preserve">（已扣除稅項：2020年：(1.98)億美元；2019年：(12.78)億美元）(2)</w:t>
      </w:r>
    </w:p>
    <w:p>
      <w:pPr>
        <w:pStyle w:val="BodyText"/>
      </w:pPr>
      <w:r>
        <w:rPr>
          <w:rFonts w:hint="eastAsia"/>
        </w:rPr>
        <w:t xml:space="preserve">於出售時轉撥至收入的可供出售金融資產的公平值收益</w:t>
      </w:r>
      <w:r>
        <w:br/>
      </w:r>
      <w:r>
        <w:rPr>
          <w:rFonts w:hint="eastAsia"/>
        </w:rPr>
        <w:t xml:space="preserve">（已扣除稅項：2020年：9,800萬美元；2019年：6,600萬美元）(2)</w:t>
      </w:r>
    </w:p>
    <w:p>
      <w:pPr>
        <w:pStyle w:val="BodyText"/>
      </w:pPr>
      <w:r>
        <w:rPr>
          <w:rFonts w:hint="eastAsia"/>
        </w:rPr>
        <w:t xml:space="preserve">外幣換算調整</w:t>
      </w:r>
    </w:p>
    <w:p>
      <w:pPr>
        <w:pStyle w:val="BodyText"/>
      </w:pPr>
      <w:r>
        <w:rPr>
          <w:rFonts w:hint="eastAsia"/>
        </w:rPr>
        <w:t xml:space="preserve">現金流量對沖</w:t>
      </w:r>
    </w:p>
    <w:p>
      <w:pPr>
        <w:pStyle w:val="BodyText"/>
      </w:pPr>
      <w:r>
        <w:rPr>
          <w:rFonts w:hint="eastAsia"/>
        </w:rPr>
        <w:t xml:space="preserve">分佔聯營公司及合資公司的其他全面開支</w:t>
      </w:r>
    </w:p>
    <w:p>
      <w:pPr>
        <w:pStyle w:val="BodyText"/>
      </w:pPr>
      <w:r>
        <w:rPr>
          <w:rFonts w:hint="eastAsia"/>
        </w:rPr>
        <w:t xml:space="preserve">小計</w:t>
      </w:r>
    </w:p>
    <w:p>
      <w:pPr>
        <w:pStyle w:val="BodyText"/>
      </w:pPr>
      <w:r>
        <w:rPr>
          <w:rFonts w:hint="eastAsia"/>
        </w:rPr>
        <w:t xml:space="preserve">隨後不會重新分類至損益的項目：</w:t>
      </w:r>
    </w:p>
    <w:p>
      <w:pPr>
        <w:pStyle w:val="BodyText"/>
      </w:pPr>
      <w:r>
        <w:rPr>
          <w:rFonts w:hint="eastAsia"/>
        </w:rPr>
        <w:t xml:space="preserve">持作自用物業的重估（虧損）∕收益</w:t>
      </w:r>
      <w:r>
        <w:br/>
      </w:r>
      <w:r>
        <w:rPr>
          <w:rFonts w:hint="eastAsia"/>
        </w:rPr>
        <w:t xml:space="preserve">（已扣除稅項：2020年：(100)萬美元；2019年：(1,100)萬美元）</w:t>
      </w:r>
    </w:p>
    <w:p>
      <w:pPr>
        <w:pStyle w:val="BodyText"/>
      </w:pPr>
      <w:r>
        <w:rPr>
          <w:rFonts w:hint="eastAsia"/>
        </w:rPr>
        <w:t xml:space="preserve">重新計量界定福利計劃淨負債的影響</w:t>
      </w:r>
      <w:r>
        <w:br/>
      </w:r>
      <w:r>
        <w:rPr>
          <w:rFonts w:hint="eastAsia"/>
        </w:rPr>
        <w:t xml:space="preserve">（已扣除稅項：2020年：100萬美元；2019年：300萬美元）</w:t>
      </w:r>
    </w:p>
    <w:p>
      <w:pPr>
        <w:pStyle w:val="BodyText"/>
      </w:pPr>
      <w:r>
        <w:rPr>
          <w:rFonts w:hint="eastAsia"/>
        </w:rPr>
        <w:t xml:space="preserve">小計</w:t>
      </w:r>
    </w:p>
    <w:p>
      <w:pPr>
        <w:pStyle w:val="BodyText"/>
      </w:pPr>
      <w:r>
        <w:rPr>
          <w:rFonts w:hint="eastAsia"/>
        </w:rPr>
        <w:t xml:space="preserve">其他全面收入總額</w:t>
      </w:r>
    </w:p>
    <w:p>
      <w:pPr>
        <w:pStyle w:val="BodyText"/>
      </w:pPr>
      <w:r>
        <w:rPr>
          <w:rFonts w:hint="eastAsia"/>
        </w:rPr>
        <w:t xml:space="preserve">全面收入總額</w:t>
      </w:r>
    </w:p>
    <w:p>
      <w:pPr>
        <w:pStyle w:val="BodyText"/>
      </w:pPr>
      <w:r>
        <w:rPr>
          <w:rFonts w:hint="eastAsia"/>
        </w:rPr>
        <w:t xml:space="preserve">下列人士應佔全面收入總額：</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附註：</w:t>
      </w:r>
    </w:p>
    <w:p>
      <w:pPr>
        <w:pStyle w:val="BodyText"/>
      </w:pPr>
      <w:r>
        <w:rPr>
          <w:rFonts w:hint="eastAsia"/>
        </w:rPr>
        <w:t xml:space="preserve">截至2020年</w:t>
      </w:r>
      <w:r>
        <w:br/>
      </w:r>
      <w:r>
        <w:rPr>
          <w:rFonts w:hint="eastAsia"/>
        </w:rPr>
        <w:t xml:space="preserve">12月31日止</w:t>
      </w:r>
      <w:r>
        <w:br/>
      </w:r>
      <w:r>
        <w:rPr>
          <w:rFonts w:hint="eastAsia"/>
        </w:rPr>
        <w:t xml:space="preserve">年度</w:t>
      </w:r>
    </w:p>
    <w:p>
      <w:pPr>
        <w:pStyle w:val="BodyText"/>
      </w:pPr>
      <w:r>
        <w:rPr>
          <w:rFonts w:hint="eastAsia"/>
        </w:rPr>
        <w:t xml:space="preserve">截至2019年</w:t>
      </w:r>
      <w:r>
        <w:br/>
      </w:r>
      <w:r>
        <w:rPr>
          <w:rFonts w:hint="eastAsia"/>
        </w:rPr>
        <w:t xml:space="preserve">12月31日止</w:t>
      </w:r>
      <w:r>
        <w:br/>
      </w:r>
      <w:r>
        <w:rPr>
          <w:rFonts w:hint="eastAsia"/>
        </w:rPr>
        <w:t xml:space="preserve">年度</w:t>
      </w:r>
      <w:r>
        <w:br/>
      </w:r>
      <w:r>
        <w:rPr>
          <w:rFonts w:hint="eastAsia"/>
        </w:rPr>
        <w:t xml:space="preserve">（經調整）</w:t>
      </w:r>
    </w:p>
    <w:p>
      <w:pPr>
        <w:pStyle w:val="BodyText"/>
      </w:pPr>
      <w:r>
        <w:t xml:space="preserve">5,779</w:t>
      </w:r>
    </w:p>
    <w:p>
      <w:pPr>
        <w:pStyle w:val="BodyText"/>
      </w:pPr>
      <w:r>
        <w:t xml:space="preserve">6,018</w:t>
      </w:r>
    </w:p>
    <w:p>
      <w:pPr>
        <w:pStyle w:val="BodyText"/>
      </w:pPr>
      <w:r>
        <w:t xml:space="preserve">4,865</w:t>
      </w:r>
    </w:p>
    <w:p>
      <w:pPr>
        <w:pStyle w:val="BodyText"/>
      </w:pPr>
      <w:r>
        <w:t xml:space="preserve">9,773</w:t>
      </w:r>
    </w:p>
    <w:p>
      <w:pPr>
        <w:pStyle w:val="BodyText"/>
      </w:pPr>
      <w:r>
        <w:t xml:space="preserve">(1,345)</w:t>
      </w:r>
    </w:p>
    <w:p>
      <w:pPr>
        <w:pStyle w:val="BodyText"/>
      </w:pPr>
      <w:r>
        <w:t xml:space="preserve">951</w:t>
      </w:r>
    </w:p>
    <w:p>
      <w:pPr>
        <w:pStyle w:val="BodyText"/>
      </w:pPr>
      <w:r>
        <w:t xml:space="preserve">6</w:t>
      </w:r>
    </w:p>
    <w:p>
      <w:pPr>
        <w:pStyle w:val="FirstParagraph"/>
      </w:pPr>
      <w:r>
        <w:t xml:space="preserve">619</w:t>
      </w:r>
    </w:p>
    <w:p>
      <w:pPr>
        <w:pStyle w:val="BodyText"/>
      </w:pPr>
      <w:r>
        <w:t xml:space="preserve">3</w:t>
      </w:r>
    </w:p>
    <w:p>
      <w:pPr>
        <w:pStyle w:val="FirstParagraph"/>
      </w:pPr>
      <w:r>
        <w:t xml:space="preserve">4,463</w:t>
      </w:r>
    </w:p>
    <w:p>
      <w:pPr>
        <w:pStyle w:val="BodyText"/>
      </w:pPr>
      <w:r>
        <w:t xml:space="preserve">9,849</w:t>
      </w:r>
    </w:p>
    <w:p>
      <w:pPr>
        <w:pStyle w:val="FirstParagraph"/>
      </w:pPr>
      <w:r>
        <w:t xml:space="preserve">4,409</w:t>
      </w:r>
    </w:p>
    <w:p>
      <w:pPr>
        <w:pStyle w:val="BodyText"/>
      </w:pPr>
      <w:r>
        <w:t xml:space="preserve">10,188</w:t>
      </w:r>
    </w:p>
    <w:p>
      <w:pPr>
        <w:pStyle w:val="BodyText"/>
      </w:pPr>
      <w:r>
        <w:t xml:space="preserve">10,163</w:t>
      </w:r>
    </w:p>
    <w:p>
      <w:pPr>
        <w:pStyle w:val="BodyText"/>
      </w:pPr>
      <w:r>
        <w:t xml:space="preserve">25</w:t>
      </w:r>
    </w:p>
    <w:p>
      <w:pPr>
        <w:pStyle w:val="BodyText"/>
      </w:pPr>
      <w:r>
        <w:t xml:space="preserve">154</w:t>
      </w:r>
    </w:p>
    <w:p>
      <w:pPr>
        <w:pStyle w:val="FirstParagraph"/>
      </w:pPr>
      <w:r>
        <w:t xml:space="preserve">130</w:t>
      </w:r>
    </w:p>
    <w:p>
      <w:pPr>
        <w:pStyle w:val="BodyText"/>
      </w:pPr>
      <w:r>
        <w:t xml:space="preserve">9,979</w:t>
      </w:r>
    </w:p>
    <w:p>
      <w:pPr>
        <w:pStyle w:val="BodyText"/>
      </w:pPr>
      <w:r>
        <w:t xml:space="preserve">15,997</w:t>
      </w:r>
    </w:p>
    <w:p>
      <w:pPr>
        <w:pStyle w:val="BodyText"/>
      </w:pPr>
      <w:r>
        <w:t xml:space="preserve">15,926</w:t>
      </w:r>
    </w:p>
    <w:p>
      <w:pPr>
        <w:pStyle w:val="BodyText"/>
      </w:pPr>
      <w:r>
        <w:t xml:space="preserve">71</w:t>
      </w:r>
    </w:p>
    <w:p>
      <w:pPr>
        <w:numPr>
          <w:ilvl w:val="0"/>
          <w:numId w:val="1110"/>
        </w:numPr>
      </w:pPr>
      <w:r>
        <w:rPr>
          <w:rFonts w:hint="eastAsia"/>
        </w:rPr>
        <w:t xml:space="preserve">在適用情況下，金額乃經扣除稅項、保單持有人分紅及其他影子會計相關變動後呈列。</w:t>
      </w:r>
    </w:p>
    <w:p>
      <w:pPr>
        <w:numPr>
          <w:ilvl w:val="0"/>
          <w:numId w:val="1110"/>
        </w:numPr>
      </w:pPr>
      <w:r>
        <w:rPr>
          <w:rFonts w:hint="eastAsia"/>
        </w:rPr>
        <w:t xml:space="preserve">未扣除稅項、保單持有人分紅及其他影子會計相關變動，年內與可供出售金融資產的公平值收益有關的金額為82.12億美元（2019年：141.73億美</w:t>
      </w:r>
    </w:p>
    <w:p>
      <w:pPr>
        <w:pStyle w:val="FirstParagraph"/>
      </w:pPr>
      <w:r>
        <w:rPr>
          <w:rFonts w:hint="eastAsia"/>
        </w:rPr>
        <w:t xml:space="preserve">元）及與於出售時轉撥至收入的可供出售金融資產的公平值收益有關的金額為14.43億美元（2019年：6.11億美元）。</w:t>
      </w:r>
    </w:p>
    <w:p>
      <w:pPr>
        <w:pStyle w:val="BodyText"/>
      </w:pPr>
      <w:r>
        <w:t xml:space="preserve">133</w:t>
      </w:r>
    </w:p>
    <w:p>
      <w:pPr>
        <w:pStyle w:val="BodyText"/>
      </w:pPr>
      <w:r>
        <w:rPr>
          <w:rFonts w:hint="eastAsia"/>
        </w:rPr>
        <w:t xml:space="preserve">合併全面收入表概覽財務及營運回顧企業管治其他資料財務報表2020年報</w:t>
      </w:r>
    </w:p>
    <w:p>
      <w:pPr>
        <w:pStyle w:val="BodyText"/>
      </w:pPr>
      <w:r>
        <w:rPr>
          <w:rFonts w:hint="eastAsia"/>
        </w:rPr>
        <w:t xml:space="preserve">附註</w:t>
      </w:r>
    </w:p>
    <w:p>
      <w:pPr>
        <w:pStyle w:val="BodyText"/>
      </w:pPr>
      <w:r>
        <w:t xml:space="preserve">15</w:t>
      </w:r>
    </w:p>
    <w:p>
      <w:pPr>
        <w:pStyle w:val="BodyText"/>
      </w:pPr>
      <w:r>
        <w:t xml:space="preserve">16</w:t>
      </w:r>
    </w:p>
    <w:p>
      <w:pPr>
        <w:pStyle w:val="BodyText"/>
      </w:pPr>
      <w:r>
        <w:t xml:space="preserve">17</w:t>
      </w:r>
    </w:p>
    <w:p>
      <w:pPr>
        <w:pStyle w:val="BodyText"/>
      </w:pPr>
      <w:r>
        <w:t xml:space="preserve">18</w:t>
      </w:r>
    </w:p>
    <w:p>
      <w:pPr>
        <w:pStyle w:val="BodyText"/>
      </w:pPr>
      <w:r>
        <w:t xml:space="preserve">19</w:t>
      </w:r>
    </w:p>
    <w:p>
      <w:pPr>
        <w:pStyle w:val="BodyText"/>
      </w:pPr>
      <w:r>
        <w:t xml:space="preserve">20</w:t>
      </w:r>
    </w:p>
    <w:p>
      <w:pPr>
        <w:pStyle w:val="BodyText"/>
      </w:pPr>
      <w:r>
        <w:t xml:space="preserve">21, 23</w:t>
      </w:r>
    </w:p>
    <w:p>
      <w:pPr>
        <w:pStyle w:val="BodyText"/>
      </w:pPr>
      <w:r>
        <w:t xml:space="preserve">22</w:t>
      </w:r>
    </w:p>
    <w:p>
      <w:pPr>
        <w:pStyle w:val="BodyText"/>
      </w:pPr>
      <w:r>
        <w:t xml:space="preserve">12</w:t>
      </w:r>
    </w:p>
    <w:p>
      <w:pPr>
        <w:pStyle w:val="BodyText"/>
      </w:pPr>
      <w:r>
        <w:t xml:space="preserve">24</w:t>
      </w:r>
    </w:p>
    <w:p>
      <w:pPr>
        <w:pStyle w:val="BodyText"/>
      </w:pPr>
      <w:r>
        <w:t xml:space="preserve">26</w:t>
      </w:r>
    </w:p>
    <w:p>
      <w:pPr>
        <w:pStyle w:val="BodyText"/>
      </w:pPr>
      <w:r>
        <w:t xml:space="preserve">27</w:t>
      </w:r>
    </w:p>
    <w:p>
      <w:pPr>
        <w:pStyle w:val="BodyText"/>
      </w:pPr>
      <w:r>
        <w:t xml:space="preserve">28</w:t>
      </w:r>
    </w:p>
    <w:p>
      <w:pPr>
        <w:pStyle w:val="BodyText"/>
      </w:pPr>
      <w:r>
        <w:t xml:space="preserve">30</w:t>
      </w:r>
    </w:p>
    <w:p>
      <w:pPr>
        <w:pStyle w:val="BodyText"/>
      </w:pPr>
      <w:r>
        <w:t xml:space="preserve">31</w:t>
      </w:r>
    </w:p>
    <w:p>
      <w:pPr>
        <w:pStyle w:val="BodyText"/>
      </w:pPr>
      <w:r>
        <w:t xml:space="preserve">22</w:t>
      </w:r>
    </w:p>
    <w:p>
      <w:pPr>
        <w:pStyle w:val="BodyText"/>
      </w:pPr>
      <w:r>
        <w:t xml:space="preserve">33</w:t>
      </w:r>
    </w:p>
    <w:p>
      <w:pPr>
        <w:pStyle w:val="BodyText"/>
      </w:pPr>
      <w:r>
        <w:t xml:space="preserve">12</w:t>
      </w:r>
    </w:p>
    <w:p>
      <w:pPr>
        <w:pStyle w:val="BodyText"/>
      </w:pPr>
      <w:r>
        <w:t xml:space="preserve">34</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r>
        <w:br/>
      </w:r>
      <w:r>
        <w:rPr>
          <w:rFonts w:hint="eastAsia"/>
        </w:rPr>
        <w:t xml:space="preserve">（經調整）</w:t>
      </w:r>
    </w:p>
    <w:p>
      <w:pPr>
        <w:pStyle w:val="BodyText"/>
      </w:pPr>
      <w:r>
        <w:rPr>
          <w:rFonts w:hint="eastAsia"/>
        </w:rPr>
        <w:t xml:space="preserve">於2018年</w:t>
      </w:r>
      <w:r>
        <w:br/>
      </w:r>
      <w:r>
        <w:rPr>
          <w:rFonts w:hint="eastAsia"/>
        </w:rPr>
        <w:t xml:space="preserve">12月31日</w:t>
      </w:r>
      <w:r>
        <w:br/>
      </w:r>
      <w:r>
        <w:rPr>
          <w:rFonts w:hint="eastAsia"/>
        </w:rPr>
        <w:t xml:space="preserve">（經調整）</w:t>
      </w:r>
    </w:p>
    <w:p>
      <w:pPr>
        <w:pStyle w:val="BodyText"/>
      </w:pPr>
      <w:r>
        <w:t xml:space="preserve">2,634</w:t>
      </w:r>
    </w:p>
    <w:p>
      <w:pPr>
        <w:pStyle w:val="BodyText"/>
      </w:pPr>
      <w:r>
        <w:t xml:space="preserve">606</w:t>
      </w:r>
    </w:p>
    <w:p>
      <w:pPr>
        <w:pStyle w:val="BodyText"/>
      </w:pPr>
      <w:r>
        <w:t xml:space="preserve">2,722</w:t>
      </w:r>
    </w:p>
    <w:p>
      <w:pPr>
        <w:pStyle w:val="BodyText"/>
      </w:pPr>
      <w:r>
        <w:t xml:space="preserve">4,639</w:t>
      </w:r>
    </w:p>
    <w:p>
      <w:pPr>
        <w:pStyle w:val="BodyText"/>
      </w:pPr>
      <w:r>
        <w:t xml:space="preserve">4,560</w:t>
      </w:r>
    </w:p>
    <w:p>
      <w:pPr>
        <w:pStyle w:val="BodyText"/>
      </w:pPr>
      <w:r>
        <w:t xml:space="preserve">2,520</w:t>
      </w:r>
    </w:p>
    <w:p>
      <w:pPr>
        <w:pStyle w:val="BodyText"/>
      </w:pPr>
      <w:r>
        <w:t xml:space="preserve">615</w:t>
      </w:r>
    </w:p>
    <w:p>
      <w:pPr>
        <w:pStyle w:val="BodyText"/>
      </w:pPr>
      <w:r>
        <w:t xml:space="preserve">2,865</w:t>
      </w:r>
    </w:p>
    <w:p>
      <w:pPr>
        <w:pStyle w:val="BodyText"/>
      </w:pPr>
      <w:r>
        <w:t xml:space="preserve">4,834</w:t>
      </w:r>
    </w:p>
    <w:p>
      <w:pPr>
        <w:pStyle w:val="BodyText"/>
      </w:pPr>
      <w:r>
        <w:t xml:space="preserve">3,833</w:t>
      </w:r>
    </w:p>
    <w:p>
      <w:pPr>
        <w:pStyle w:val="BodyText"/>
      </w:pPr>
      <w:r>
        <w:t xml:space="preserve">1,970</w:t>
      </w:r>
    </w:p>
    <w:p>
      <w:pPr>
        <w:pStyle w:val="BodyText"/>
      </w:pPr>
      <w:r>
        <w:t xml:space="preserve">610</w:t>
      </w:r>
    </w:p>
    <w:p>
      <w:pPr>
        <w:pStyle w:val="BodyText"/>
      </w:pPr>
      <w:r>
        <w:t xml:space="preserve">1,233</w:t>
      </w:r>
    </w:p>
    <w:p>
      <w:pPr>
        <w:pStyle w:val="BodyText"/>
      </w:pPr>
      <w:r>
        <w:t xml:space="preserve">4,794</w:t>
      </w:r>
    </w:p>
    <w:p>
      <w:pPr>
        <w:pStyle w:val="BodyText"/>
      </w:pPr>
      <w:r>
        <w:t xml:space="preserve">2,887</w:t>
      </w:r>
    </w:p>
    <w:p>
      <w:pPr>
        <w:pStyle w:val="BodyText"/>
      </w:pPr>
      <w:r>
        <w:t xml:space="preserve">27,915</w:t>
      </w:r>
    </w:p>
    <w:p>
      <w:pPr>
        <w:pStyle w:val="BodyText"/>
      </w:pPr>
      <w:r>
        <w:t xml:space="preserve">26,328</w:t>
      </w:r>
    </w:p>
    <w:p>
      <w:pPr>
        <w:pStyle w:val="BodyText"/>
      </w:pPr>
      <w:r>
        <w:t xml:space="preserve">24,626</w:t>
      </w:r>
    </w:p>
    <w:p>
      <w:pPr>
        <w:pStyle w:val="BodyText"/>
      </w:pPr>
      <w:r>
        <w:t xml:space="preserve">9,335</w:t>
      </w:r>
    </w:p>
    <w:p>
      <w:pPr>
        <w:pStyle w:val="BodyText"/>
      </w:pPr>
      <w:r>
        <w:t xml:space="preserve">10,086</w:t>
      </w:r>
    </w:p>
    <w:p>
      <w:pPr>
        <w:pStyle w:val="BodyText"/>
      </w:pPr>
      <w:r>
        <w:t xml:space="preserve">7,392</w:t>
      </w:r>
    </w:p>
    <w:p>
      <w:pPr>
        <w:pStyle w:val="BodyText"/>
      </w:pPr>
      <w:r>
        <w:t xml:space="preserve">165,106</w:t>
      </w:r>
    </w:p>
    <w:p>
      <w:pPr>
        <w:pStyle w:val="BodyText"/>
      </w:pPr>
      <w:r>
        <w:t xml:space="preserve">138,852</w:t>
      </w:r>
    </w:p>
    <w:p>
      <w:pPr>
        <w:pStyle w:val="BodyText"/>
      </w:pPr>
      <w:r>
        <w:t xml:space="preserve">112,485</w:t>
      </w:r>
    </w:p>
    <w:p>
      <w:pPr>
        <w:pStyle w:val="BodyText"/>
      </w:pPr>
      <w:r>
        <w:t xml:space="preserve">36,775</w:t>
      </w:r>
    </w:p>
    <w:p>
      <w:pPr>
        <w:pStyle w:val="BodyText"/>
      </w:pPr>
      <w:r>
        <w:t xml:space="preserve">59,182</w:t>
      </w:r>
    </w:p>
    <w:p>
      <w:pPr>
        <w:pStyle w:val="BodyText"/>
      </w:pPr>
      <w:r>
        <w:t xml:space="preserve">1,069</w:t>
      </w:r>
    </w:p>
    <w:p>
      <w:pPr>
        <w:pStyle w:val="BodyText"/>
      </w:pPr>
      <w:r>
        <w:t xml:space="preserve">33,132</w:t>
      </w:r>
    </w:p>
    <w:p>
      <w:pPr>
        <w:pStyle w:val="BodyText"/>
      </w:pPr>
      <w:r>
        <w:t xml:space="preserve">50,322</w:t>
      </w:r>
    </w:p>
    <w:p>
      <w:pPr>
        <w:pStyle w:val="BodyText"/>
      </w:pPr>
      <w:r>
        <w:t xml:space="preserve">971</w:t>
      </w:r>
    </w:p>
    <w:p>
      <w:pPr>
        <w:pStyle w:val="BodyText"/>
      </w:pPr>
      <w:r>
        <w:t xml:space="preserve">27,736</w:t>
      </w:r>
    </w:p>
    <w:p>
      <w:pPr>
        <w:pStyle w:val="BodyText"/>
      </w:pPr>
      <w:r>
        <w:t xml:space="preserve">38,099</w:t>
      </w:r>
    </w:p>
    <w:p>
      <w:pPr>
        <w:pStyle w:val="BodyText"/>
      </w:pPr>
      <w:r>
        <w:t xml:space="preserve">430</w:t>
      </w:r>
    </w:p>
    <w:p>
      <w:pPr>
        <w:pStyle w:val="BodyText"/>
      </w:pPr>
      <w:r>
        <w:t xml:space="preserve">271,467</w:t>
      </w:r>
    </w:p>
    <w:p>
      <w:pPr>
        <w:pStyle w:val="BodyText"/>
      </w:pPr>
      <w:r>
        <w:t xml:space="preserve">233,363</w:t>
      </w:r>
    </w:p>
    <w:p>
      <w:pPr>
        <w:pStyle w:val="BodyText"/>
      </w:pPr>
      <w:r>
        <w:t xml:space="preserve">186,142</w:t>
      </w:r>
    </w:p>
    <w:p>
      <w:pPr>
        <w:pStyle w:val="BodyText"/>
      </w:pPr>
      <w:r>
        <w:t xml:space="preserve">23</w:t>
      </w:r>
    </w:p>
    <w:p>
      <w:pPr>
        <w:pStyle w:val="BodyText"/>
      </w:pPr>
      <w:r>
        <w:t xml:space="preserve">103</w:t>
      </w:r>
    </w:p>
    <w:p>
      <w:pPr>
        <w:pStyle w:val="BodyText"/>
      </w:pPr>
      <w:r>
        <w:t xml:space="preserve">5,833</w:t>
      </w:r>
    </w:p>
    <w:p>
      <w:pPr>
        <w:pStyle w:val="BodyText"/>
      </w:pPr>
      <w:r>
        <w:t xml:space="preserve">5,619</w:t>
      </w:r>
    </w:p>
    <w:p>
      <w:pPr>
        <w:pStyle w:val="BodyText"/>
      </w:pPr>
      <w:r>
        <w:t xml:space="preserve">23</w:t>
      </w:r>
    </w:p>
    <w:p>
      <w:pPr>
        <w:pStyle w:val="BodyText"/>
      </w:pPr>
      <w:r>
        <w:t xml:space="preserve">205</w:t>
      </w:r>
    </w:p>
    <w:p>
      <w:pPr>
        <w:pStyle w:val="BodyText"/>
      </w:pPr>
      <w:r>
        <w:t xml:space="preserve">5,605</w:t>
      </w:r>
    </w:p>
    <w:p>
      <w:pPr>
        <w:pStyle w:val="BodyText"/>
      </w:pPr>
      <w:r>
        <w:t xml:space="preserve">3,941</w:t>
      </w:r>
    </w:p>
    <w:p>
      <w:pPr>
        <w:pStyle w:val="BodyText"/>
      </w:pPr>
      <w:r>
        <w:t xml:space="preserve">26</w:t>
      </w:r>
    </w:p>
    <w:p>
      <w:pPr>
        <w:pStyle w:val="BodyText"/>
      </w:pPr>
      <w:r>
        <w:t xml:space="preserve">164</w:t>
      </w:r>
    </w:p>
    <w:p>
      <w:pPr>
        <w:pStyle w:val="BodyText"/>
      </w:pPr>
      <w:r>
        <w:t xml:space="preserve">4,903</w:t>
      </w:r>
    </w:p>
    <w:p>
      <w:pPr>
        <w:pStyle w:val="BodyText"/>
      </w:pPr>
      <w:r>
        <w:t xml:space="preserve">2,451</w:t>
      </w:r>
    </w:p>
    <w:p>
      <w:pPr>
        <w:pStyle w:val="BodyText"/>
      </w:pPr>
      <w:r>
        <w:t xml:space="preserve">326,121</w:t>
      </w:r>
    </w:p>
    <w:p>
      <w:pPr>
        <w:pStyle w:val="BodyText"/>
      </w:pPr>
      <w:r>
        <w:t xml:space="preserve">284,132</w:t>
      </w:r>
    </w:p>
    <w:p>
      <w:pPr>
        <w:pStyle w:val="BodyText"/>
      </w:pPr>
      <w:r>
        <w:t xml:space="preserve">229,806</w:t>
      </w:r>
    </w:p>
    <w:p>
      <w:pPr>
        <w:pStyle w:val="BodyText"/>
      </w:pPr>
      <w:r>
        <w:t xml:space="preserve">223,071</w:t>
      </w:r>
    </w:p>
    <w:p>
      <w:pPr>
        <w:pStyle w:val="BodyText"/>
      </w:pPr>
      <w:r>
        <w:t xml:space="preserve">12,881</w:t>
      </w:r>
    </w:p>
    <w:p>
      <w:pPr>
        <w:pStyle w:val="BodyText"/>
      </w:pPr>
      <w:r>
        <w:t xml:space="preserve">192,181</w:t>
      </w:r>
    </w:p>
    <w:p>
      <w:pPr>
        <w:pStyle w:val="BodyText"/>
      </w:pPr>
      <w:r>
        <w:t xml:space="preserve">12,273</w:t>
      </w:r>
    </w:p>
    <w:p>
      <w:pPr>
        <w:pStyle w:val="BodyText"/>
      </w:pPr>
      <w:r>
        <w:t xml:space="preserve">8,559</w:t>
      </w:r>
    </w:p>
    <w:p>
      <w:pPr>
        <w:pStyle w:val="BodyText"/>
      </w:pPr>
      <w:r>
        <w:t xml:space="preserve">1,664</w:t>
      </w:r>
    </w:p>
    <w:p>
      <w:pPr>
        <w:pStyle w:val="BodyText"/>
      </w:pPr>
      <w:r>
        <w:t xml:space="preserve">1,003</w:t>
      </w:r>
    </w:p>
    <w:p>
      <w:pPr>
        <w:pStyle w:val="BodyText"/>
      </w:pPr>
      <w:r>
        <w:t xml:space="preserve">230</w:t>
      </w:r>
    </w:p>
    <w:p>
      <w:pPr>
        <w:pStyle w:val="BodyText"/>
      </w:pPr>
      <w:r>
        <w:t xml:space="preserve">6,902</w:t>
      </w:r>
    </w:p>
    <w:p>
      <w:pPr>
        <w:pStyle w:val="BodyText"/>
      </w:pPr>
      <w:r>
        <w:t xml:space="preserve">346</w:t>
      </w:r>
    </w:p>
    <w:p>
      <w:pPr>
        <w:pStyle w:val="BodyText"/>
      </w:pPr>
      <w:r>
        <w:t xml:space="preserve">7,797</w:t>
      </w:r>
    </w:p>
    <w:p>
      <w:pPr>
        <w:pStyle w:val="BodyText"/>
      </w:pPr>
      <w:r>
        <w:t xml:space="preserve">5,757</w:t>
      </w:r>
    </w:p>
    <w:p>
      <w:pPr>
        <w:pStyle w:val="BodyText"/>
      </w:pPr>
      <w:r>
        <w:t xml:space="preserve">1,826</w:t>
      </w:r>
    </w:p>
    <w:p>
      <w:pPr>
        <w:pStyle w:val="BodyText"/>
      </w:pPr>
      <w:r>
        <w:t xml:space="preserve">412</w:t>
      </w:r>
    </w:p>
    <w:p>
      <w:pPr>
        <w:pStyle w:val="BodyText"/>
      </w:pPr>
      <w:r>
        <w:t xml:space="preserve">225</w:t>
      </w:r>
    </w:p>
    <w:p>
      <w:pPr>
        <w:pStyle w:val="BodyText"/>
      </w:pPr>
      <w:r>
        <w:t xml:space="preserve">6,214</w:t>
      </w:r>
    </w:p>
    <w:p>
      <w:pPr>
        <w:pStyle w:val="BodyText"/>
      </w:pPr>
      <w:r>
        <w:t xml:space="preserve">432</w:t>
      </w:r>
    </w:p>
    <w:p>
      <w:pPr>
        <w:pStyle w:val="BodyText"/>
      </w:pPr>
      <w:r>
        <w:t xml:space="preserve">9,417</w:t>
      </w:r>
    </w:p>
    <w:p>
      <w:pPr>
        <w:pStyle w:val="BodyText"/>
      </w:pPr>
      <w:r>
        <w:t xml:space="preserve">163,308</w:t>
      </w:r>
    </w:p>
    <w:p>
      <w:pPr>
        <w:pStyle w:val="BodyText"/>
      </w:pPr>
      <w:r>
        <w:t xml:space="preserve">7,885</w:t>
      </w:r>
    </w:p>
    <w:p>
      <w:pPr>
        <w:pStyle w:val="BodyText"/>
      </w:pPr>
      <w:r>
        <w:t xml:space="preserve">4,954</w:t>
      </w:r>
    </w:p>
    <w:p>
      <w:pPr>
        <w:pStyle w:val="BodyText"/>
      </w:pPr>
      <w:r>
        <w:t xml:space="preserve">1,683</w:t>
      </w:r>
    </w:p>
    <w:p>
      <w:pPr>
        <w:pStyle w:val="BodyText"/>
      </w:pPr>
      <w:r>
        <w:t xml:space="preserve">243</w:t>
      </w:r>
    </w:p>
    <w:p>
      <w:pPr>
        <w:pStyle w:val="BodyText"/>
      </w:pPr>
      <w:r>
        <w:t xml:space="preserve">168</w:t>
      </w:r>
    </w:p>
    <w:p>
      <w:pPr>
        <w:pStyle w:val="BodyText"/>
      </w:pPr>
      <w:r>
        <w:t xml:space="preserve">4,193</w:t>
      </w:r>
    </w:p>
    <w:p>
      <w:pPr>
        <w:pStyle w:val="BodyText"/>
      </w:pPr>
      <w:r>
        <w:t xml:space="preserve">532</w:t>
      </w:r>
    </w:p>
    <w:p>
      <w:pPr>
        <w:pStyle w:val="BodyText"/>
      </w:pPr>
      <w:r>
        <w:t xml:space="preserve">5,984</w:t>
      </w:r>
    </w:p>
    <w:p>
      <w:pPr>
        <w:pStyle w:val="BodyText"/>
      </w:pPr>
      <w:r>
        <w:t xml:space="preserve">262,453</w:t>
      </w:r>
    </w:p>
    <w:p>
      <w:pPr>
        <w:pStyle w:val="BodyText"/>
      </w:pPr>
      <w:r>
        <w:t xml:space="preserve">228,737</w:t>
      </w:r>
    </w:p>
    <w:p>
      <w:pPr>
        <w:pStyle w:val="BodyText"/>
      </w:pPr>
      <w:r>
        <w:t xml:space="preserve">188,950</w:t>
      </w:r>
    </w:p>
    <w:p>
      <w:pPr>
        <w:pStyle w:val="BodyText"/>
      </w:pPr>
      <w:r>
        <w:rPr>
          <w:rFonts w:hint="eastAsia"/>
        </w:rPr>
        <w:t xml:space="preserve">百萬美元</w:t>
      </w:r>
    </w:p>
    <w:p>
      <w:pPr>
        <w:pStyle w:val="BodyText"/>
      </w:pPr>
      <w:r>
        <w:rPr>
          <w:rFonts w:hint="eastAsia"/>
        </w:rPr>
        <w:t xml:space="preserve">資產</w:t>
      </w:r>
    </w:p>
    <w:p>
      <w:pPr>
        <w:pStyle w:val="BodyText"/>
      </w:pPr>
      <w:r>
        <w:rPr>
          <w:rFonts w:hint="eastAsia"/>
        </w:rPr>
        <w:t xml:space="preserve">無形資產</w:t>
      </w:r>
    </w:p>
    <w:p>
      <w:pPr>
        <w:pStyle w:val="BodyText"/>
      </w:pPr>
      <w:r>
        <w:rPr>
          <w:rFonts w:hint="eastAsia"/>
        </w:rPr>
        <w:t xml:space="preserve">於聯營公司及合資公司的投資</w:t>
      </w:r>
    </w:p>
    <w:p>
      <w:pPr>
        <w:pStyle w:val="BodyText"/>
      </w:pPr>
      <w:r>
        <w:rPr>
          <w:rFonts w:hint="eastAsia"/>
        </w:rPr>
        <w:t xml:space="preserve">物業、廠房及設備</w:t>
      </w:r>
    </w:p>
    <w:p>
      <w:pPr>
        <w:pStyle w:val="BodyText"/>
      </w:pPr>
      <w:r>
        <w:rPr>
          <w:rFonts w:hint="eastAsia"/>
        </w:rPr>
        <w:t xml:space="preserve">投資物業</w:t>
      </w:r>
    </w:p>
    <w:p>
      <w:pPr>
        <w:pStyle w:val="BodyText"/>
      </w:pPr>
      <w:r>
        <w:rPr>
          <w:rFonts w:hint="eastAsia"/>
        </w:rPr>
        <w:t xml:space="preserve">再保險資產</w:t>
      </w:r>
    </w:p>
    <w:p>
      <w:pPr>
        <w:pStyle w:val="BodyText"/>
      </w:pPr>
      <w:r>
        <w:rPr>
          <w:rFonts w:hint="eastAsia"/>
        </w:rPr>
        <w:t xml:space="preserve">遞延承保及啟動成本</w:t>
      </w:r>
    </w:p>
    <w:p>
      <w:pPr>
        <w:pStyle w:val="BodyText"/>
      </w:pPr>
      <w:r>
        <w:rPr>
          <w:rFonts w:hint="eastAsia"/>
        </w:rPr>
        <w:t xml:space="preserve">金融投資：</w:t>
      </w:r>
    </w:p>
    <w:p>
      <w:pPr>
        <w:pStyle w:val="BodyText"/>
      </w:pPr>
      <w:r>
        <w:rPr>
          <w:rFonts w:hint="eastAsia"/>
        </w:rPr>
        <w:t xml:space="preserve">貸款及存款</w:t>
      </w:r>
    </w:p>
    <w:p>
      <w:pPr>
        <w:pStyle w:val="BodyText"/>
      </w:pPr>
      <w:r>
        <w:rPr>
          <w:rFonts w:hint="eastAsia"/>
        </w:rPr>
        <w:t xml:space="preserve">可供出售</w:t>
      </w:r>
    </w:p>
    <w:p>
      <w:pPr>
        <w:pStyle w:val="BodyText"/>
      </w:pPr>
      <w:r>
        <w:rPr>
          <w:rFonts w:hint="eastAsia"/>
        </w:rPr>
        <w:t xml:space="preserve">債務證券</w:t>
      </w:r>
    </w:p>
    <w:p>
      <w:pPr>
        <w:pStyle w:val="BodyText"/>
      </w:pPr>
      <w:r>
        <w:rPr>
          <w:rFonts w:hint="eastAsia"/>
        </w:rPr>
        <w:t xml:space="preserve">按公平值計入損益</w:t>
      </w:r>
    </w:p>
    <w:p>
      <w:pPr>
        <w:pStyle w:val="BodyText"/>
      </w:pPr>
      <w:r>
        <w:rPr>
          <w:rFonts w:hint="eastAsia"/>
        </w:rPr>
        <w:t xml:space="preserve">債務證券</w:t>
      </w:r>
    </w:p>
    <w:p>
      <w:pPr>
        <w:pStyle w:val="BodyText"/>
      </w:pPr>
      <w:r>
        <w:rPr>
          <w:rFonts w:hint="eastAsia"/>
        </w:rPr>
        <w:t xml:space="preserve">股本證券</w:t>
      </w:r>
    </w:p>
    <w:p>
      <w:pPr>
        <w:pStyle w:val="BodyText"/>
      </w:pPr>
      <w:r>
        <w:rPr>
          <w:rFonts w:hint="eastAsia"/>
        </w:rPr>
        <w:t xml:space="preserve">衍生金融工具</w:t>
      </w:r>
    </w:p>
    <w:p>
      <w:pPr>
        <w:pStyle w:val="BodyText"/>
      </w:pPr>
      <w:r>
        <w:rPr>
          <w:rFonts w:hint="eastAsia"/>
        </w:rPr>
        <w:t xml:space="preserve">遞延稅項資產</w:t>
      </w:r>
    </w:p>
    <w:p>
      <w:pPr>
        <w:pStyle w:val="BodyText"/>
      </w:pPr>
      <w:r>
        <w:rPr>
          <w:rFonts w:hint="eastAsia"/>
        </w:rPr>
        <w:t xml:space="preserve">當期可收回稅項</w:t>
      </w:r>
    </w:p>
    <w:p>
      <w:pPr>
        <w:pStyle w:val="BodyText"/>
      </w:pPr>
      <w:r>
        <w:rPr>
          <w:rFonts w:hint="eastAsia"/>
        </w:rPr>
        <w:t xml:space="preserve">其他資產</w:t>
      </w:r>
    </w:p>
    <w:p>
      <w:pPr>
        <w:pStyle w:val="BodyText"/>
      </w:pPr>
      <w:r>
        <w:rPr>
          <w:rFonts w:hint="eastAsia"/>
        </w:rPr>
        <w:t xml:space="preserve">現金及現金等價物</w:t>
      </w:r>
    </w:p>
    <w:p>
      <w:pPr>
        <w:pStyle w:val="BodyText"/>
      </w:pPr>
      <w:r>
        <w:rPr>
          <w:rFonts w:hint="eastAsia"/>
        </w:rPr>
        <w:t xml:space="preserve">總資產</w:t>
      </w:r>
    </w:p>
    <w:p>
      <w:pPr>
        <w:pStyle w:val="BodyText"/>
      </w:pPr>
      <w:r>
        <w:rPr>
          <w:rFonts w:hint="eastAsia"/>
        </w:rPr>
        <w:t xml:space="preserve">負債</w:t>
      </w:r>
    </w:p>
    <w:p>
      <w:pPr>
        <w:pStyle w:val="BodyText"/>
      </w:pPr>
      <w:r>
        <w:rPr>
          <w:rFonts w:hint="eastAsia"/>
        </w:rPr>
        <w:t xml:space="preserve">保險合約負債</w:t>
      </w:r>
    </w:p>
    <w:p>
      <w:pPr>
        <w:pStyle w:val="BodyText"/>
      </w:pPr>
      <w:r>
        <w:rPr>
          <w:rFonts w:hint="eastAsia"/>
        </w:rPr>
        <w:t xml:space="preserve">投資合約負債</w:t>
      </w:r>
    </w:p>
    <w:p>
      <w:pPr>
        <w:pStyle w:val="BodyText"/>
      </w:pPr>
      <w:r>
        <w:rPr>
          <w:rFonts w:hint="eastAsia"/>
        </w:rPr>
        <w:t xml:space="preserve">借貸</w:t>
      </w:r>
    </w:p>
    <w:p>
      <w:pPr>
        <w:pStyle w:val="BodyText"/>
      </w:pPr>
      <w:r>
        <w:rPr>
          <w:rFonts w:hint="eastAsia"/>
        </w:rPr>
        <w:t xml:space="preserve">回購協議的債項</w:t>
      </w:r>
    </w:p>
    <w:p>
      <w:pPr>
        <w:pStyle w:val="BodyText"/>
      </w:pPr>
      <w:r>
        <w:rPr>
          <w:rFonts w:hint="eastAsia"/>
        </w:rPr>
        <w:t xml:space="preserve">衍生金融工具</w:t>
      </w:r>
    </w:p>
    <w:p>
      <w:pPr>
        <w:pStyle w:val="BodyText"/>
      </w:pPr>
      <w:r>
        <w:rPr>
          <w:rFonts w:hint="eastAsia"/>
        </w:rPr>
        <w:t xml:space="preserve">撥備</w:t>
      </w:r>
    </w:p>
    <w:p>
      <w:pPr>
        <w:pStyle w:val="BodyText"/>
      </w:pPr>
      <w:r>
        <w:rPr>
          <w:rFonts w:hint="eastAsia"/>
        </w:rPr>
        <w:t xml:space="preserve">遞延稅項負債</w:t>
      </w:r>
    </w:p>
    <w:p>
      <w:pPr>
        <w:pStyle w:val="BodyText"/>
      </w:pPr>
      <w:r>
        <w:rPr>
          <w:rFonts w:hint="eastAsia"/>
        </w:rPr>
        <w:t xml:space="preserve">當期稅項負債</w:t>
      </w:r>
    </w:p>
    <w:p>
      <w:pPr>
        <w:pStyle w:val="BodyText"/>
      </w:pPr>
      <w:r>
        <w:rPr>
          <w:rFonts w:hint="eastAsia"/>
        </w:rPr>
        <w:t xml:space="preserve">其他負債</w:t>
      </w:r>
    </w:p>
    <w:p>
      <w:pPr>
        <w:pStyle w:val="BodyText"/>
      </w:pPr>
      <w:r>
        <w:rPr>
          <w:rFonts w:hint="eastAsia"/>
        </w:rPr>
        <w:t xml:space="preserve">總負債</w:t>
      </w:r>
    </w:p>
    <w:p>
      <w:pPr>
        <w:pStyle w:val="BodyText"/>
      </w:pPr>
      <w:r>
        <w:t xml:space="preserve">134</w:t>
      </w:r>
    </w:p>
    <w:p>
      <w:pPr>
        <w:pStyle w:val="BodyText"/>
      </w:pPr>
      <w:r>
        <w:rPr>
          <w:rFonts w:hint="eastAsia"/>
        </w:rPr>
        <w:t xml:space="preserve">合併財務狀況表友邦保險控股有限公司</w:t>
      </w:r>
    </w:p>
    <w:p>
      <w:pPr>
        <w:pStyle w:val="BodyText"/>
      </w:pPr>
      <w:r>
        <w:rPr>
          <w:rFonts w:hint="eastAsia"/>
        </w:rPr>
        <w:t xml:space="preserve">百萬美元</w:t>
      </w:r>
    </w:p>
    <w:p>
      <w:pPr>
        <w:pStyle w:val="BodyText"/>
      </w:pPr>
      <w:r>
        <w:rPr>
          <w:rFonts w:hint="eastAsia"/>
        </w:rPr>
        <w:t xml:space="preserve">權益</w:t>
      </w:r>
    </w:p>
    <w:p>
      <w:pPr>
        <w:pStyle w:val="BodyText"/>
      </w:pPr>
      <w:r>
        <w:rPr>
          <w:rFonts w:hint="eastAsia"/>
        </w:rPr>
        <w:t xml:space="preserve">股本</w:t>
      </w:r>
    </w:p>
    <w:p>
      <w:pPr>
        <w:pStyle w:val="BodyText"/>
      </w:pPr>
      <w:r>
        <w:rPr>
          <w:rFonts w:hint="eastAsia"/>
        </w:rPr>
        <w:t xml:space="preserve">僱員股票信託</w:t>
      </w:r>
    </w:p>
    <w:p>
      <w:pPr>
        <w:pStyle w:val="BodyText"/>
      </w:pPr>
      <w:r>
        <w:rPr>
          <w:rFonts w:hint="eastAsia"/>
        </w:rPr>
        <w:t xml:space="preserve">其他準備金</w:t>
      </w:r>
    </w:p>
    <w:p>
      <w:pPr>
        <w:pStyle w:val="BodyText"/>
      </w:pPr>
      <w:r>
        <w:rPr>
          <w:rFonts w:hint="eastAsia"/>
        </w:rPr>
        <w:t xml:space="preserve">保留盈利</w:t>
      </w:r>
    </w:p>
    <w:p>
      <w:pPr>
        <w:pStyle w:val="BodyText"/>
      </w:pPr>
      <w:r>
        <w:rPr>
          <w:rFonts w:hint="eastAsia"/>
        </w:rPr>
        <w:t xml:space="preserve">公平值準備金</w:t>
      </w:r>
    </w:p>
    <w:p>
      <w:pPr>
        <w:pStyle w:val="BodyText"/>
      </w:pPr>
      <w:r>
        <w:rPr>
          <w:rFonts w:hint="eastAsia"/>
        </w:rPr>
        <w:t xml:space="preserve">外幣換算準備金</w:t>
      </w:r>
    </w:p>
    <w:p>
      <w:pPr>
        <w:pStyle w:val="BodyText"/>
      </w:pPr>
      <w:r>
        <w:rPr>
          <w:rFonts w:hint="eastAsia"/>
        </w:rPr>
        <w:t xml:space="preserve">物業重估準備金</w:t>
      </w:r>
    </w:p>
    <w:p>
      <w:pPr>
        <w:pStyle w:val="BodyText"/>
      </w:pPr>
      <w:r>
        <w:rPr>
          <w:rFonts w:hint="eastAsia"/>
        </w:rPr>
        <w:t xml:space="preserve">其他</w:t>
      </w:r>
    </w:p>
    <w:p>
      <w:pPr>
        <w:pStyle w:val="BodyText"/>
      </w:pPr>
      <w:r>
        <w:rPr>
          <w:rFonts w:hint="eastAsia"/>
        </w:rPr>
        <w:t xml:space="preserve">反映於其他全面收入的金額</w:t>
      </w:r>
    </w:p>
    <w:p>
      <w:pPr>
        <w:pStyle w:val="BodyText"/>
      </w:pPr>
      <w:r>
        <w:rPr>
          <w:rFonts w:hint="eastAsia"/>
        </w:rPr>
        <w:t xml:space="preserve">下列人士應佔總權益：</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總權益</w:t>
      </w:r>
    </w:p>
    <w:p>
      <w:pPr>
        <w:pStyle w:val="BodyText"/>
      </w:pPr>
      <w:r>
        <w:rPr>
          <w:rFonts w:hint="eastAsia"/>
        </w:rPr>
        <w:t xml:space="preserve">總負債及權益</w:t>
      </w:r>
    </w:p>
    <w:p>
      <w:pPr>
        <w:pStyle w:val="BodyText"/>
      </w:pPr>
      <w:r>
        <w:rPr>
          <w:rFonts w:hint="eastAsia"/>
        </w:rPr>
        <w:t xml:space="preserve">董事會於2021年3月12日核准刊發。</w:t>
      </w:r>
    </w:p>
    <w:p>
      <w:pPr>
        <w:pStyle w:val="BodyText"/>
      </w:pPr>
      <w:r>
        <w:rPr>
          <w:rFonts w:hint="eastAsia"/>
        </w:rPr>
        <w:t xml:space="preserve">附註</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r>
        <w:br/>
      </w:r>
      <w:r>
        <w:rPr>
          <w:rFonts w:hint="eastAsia"/>
        </w:rPr>
        <w:t xml:space="preserve">（經調整）</w:t>
      </w:r>
    </w:p>
    <w:p>
      <w:pPr>
        <w:pStyle w:val="BodyText"/>
      </w:pPr>
      <w:r>
        <w:rPr>
          <w:rFonts w:hint="eastAsia"/>
        </w:rPr>
        <w:t xml:space="preserve">於2018年</w:t>
      </w:r>
      <w:r>
        <w:br/>
      </w:r>
      <w:r>
        <w:rPr>
          <w:rFonts w:hint="eastAsia"/>
        </w:rPr>
        <w:t xml:space="preserve">12月31日</w:t>
      </w:r>
      <w:r>
        <w:br/>
      </w:r>
      <w:r>
        <w:rPr>
          <w:rFonts w:hint="eastAsia"/>
        </w:rPr>
        <w:t xml:space="preserve">（經調整）</w:t>
      </w:r>
    </w:p>
    <w:p>
      <w:pPr>
        <w:pStyle w:val="BodyText"/>
      </w:pPr>
      <w:r>
        <w:t xml:space="preserve">35</w:t>
      </w:r>
    </w:p>
    <w:p>
      <w:pPr>
        <w:pStyle w:val="BodyText"/>
      </w:pPr>
      <w:r>
        <w:t xml:space="preserve">35</w:t>
      </w:r>
    </w:p>
    <w:p>
      <w:pPr>
        <w:pStyle w:val="BodyText"/>
      </w:pPr>
      <w:r>
        <w:t xml:space="preserve">35</w:t>
      </w:r>
    </w:p>
    <w:p>
      <w:pPr>
        <w:pStyle w:val="BodyText"/>
      </w:pPr>
      <w:r>
        <w:t xml:space="preserve">35</w:t>
      </w:r>
    </w:p>
    <w:p>
      <w:pPr>
        <w:pStyle w:val="BodyText"/>
      </w:pPr>
      <w:r>
        <w:t xml:space="preserve">35</w:t>
      </w:r>
    </w:p>
    <w:p>
      <w:pPr>
        <w:pStyle w:val="BodyText"/>
      </w:pPr>
      <w:r>
        <w:t xml:space="preserve">35</w:t>
      </w:r>
    </w:p>
    <w:p>
      <w:pPr>
        <w:pStyle w:val="BodyText"/>
      </w:pPr>
      <w:r>
        <w:t xml:space="preserve">36</w:t>
      </w:r>
    </w:p>
    <w:p>
      <w:pPr>
        <w:pStyle w:val="BodyText"/>
      </w:pPr>
      <w:r>
        <w:t xml:space="preserve">14,155</w:t>
      </w:r>
    </w:p>
    <w:p>
      <w:pPr>
        <w:pStyle w:val="FirstParagraph"/>
      </w:pPr>
      <w:r>
        <w:t xml:space="preserve">14,129</w:t>
      </w:r>
    </w:p>
    <w:p>
      <w:pPr>
        <w:pStyle w:val="FirstParagraph"/>
      </w:pPr>
      <w:r>
        <w:t xml:space="preserve">14,073</w:t>
      </w:r>
    </w:p>
    <w:p>
      <w:pPr>
        <w:pStyle w:val="FirstParagraph"/>
      </w:pPr>
      <w:r>
        <w:t xml:space="preserve">(11,891)</w:t>
      </w:r>
    </w:p>
    <w:p>
      <w:pPr>
        <w:pStyle w:val="BodyText"/>
      </w:pPr>
      <w:r>
        <w:t xml:space="preserve">(11,887)</w:t>
      </w:r>
    </w:p>
    <w:p>
      <w:pPr>
        <w:pStyle w:val="BodyText"/>
      </w:pPr>
      <w:r>
        <w:t xml:space="preserve">(11,910)</w:t>
      </w:r>
    </w:p>
    <w:p>
      <w:pPr>
        <w:pStyle w:val="BodyText"/>
      </w:pPr>
      <w:r>
        <w:t xml:space="preserve">44,704</w:t>
      </w:r>
    </w:p>
    <w:p>
      <w:pPr>
        <w:pStyle w:val="BodyText"/>
      </w:pPr>
      <w:r>
        <w:t xml:space="preserve">15,170</w:t>
      </w:r>
    </w:p>
    <w:p>
      <w:pPr>
        <w:pStyle w:val="BodyText"/>
      </w:pPr>
      <w:r>
        <w:t xml:space="preserve">233</w:t>
      </w:r>
    </w:p>
    <w:p>
      <w:pPr>
        <w:pStyle w:val="BodyText"/>
      </w:pPr>
      <w:r>
        <w:t xml:space="preserve">1,027</w:t>
      </w:r>
    </w:p>
    <w:p>
      <w:pPr>
        <w:pStyle w:val="FirstParagraph"/>
      </w:pPr>
      <w:r>
        <w:t xml:space="preserve">40,922</w:t>
      </w:r>
    </w:p>
    <w:p>
      <w:pPr>
        <w:pStyle w:val="BodyText"/>
      </w:pPr>
      <w:r>
        <w:t xml:space="preserve">11,669</w:t>
      </w:r>
    </w:p>
    <w:p>
      <w:pPr>
        <w:pStyle w:val="FirstParagraph"/>
      </w:pPr>
      <w:r>
        <w:t xml:space="preserve">1,073</w:t>
      </w:r>
    </w:p>
    <w:p>
      <w:pPr>
        <w:pStyle w:val="FirstParagraph"/>
      </w:pPr>
      <w:r>
        <w:t xml:space="preserve">16,387</w:t>
      </w:r>
    </w:p>
    <w:p>
      <w:pPr>
        <w:pStyle w:val="BodyText"/>
      </w:pPr>
      <w:r>
        <w:t xml:space="preserve">12,003</w:t>
      </w:r>
    </w:p>
    <w:p>
      <w:pPr>
        <w:pStyle w:val="BodyText"/>
      </w:pPr>
      <w:r>
        <w:t xml:space="preserve">63,200</w:t>
      </w:r>
    </w:p>
    <w:p>
      <w:pPr>
        <w:pStyle w:val="BodyText"/>
      </w:pPr>
      <w:r>
        <w:t xml:space="preserve">468</w:t>
      </w:r>
    </w:p>
    <w:p>
      <w:pPr>
        <w:pStyle w:val="BodyText"/>
      </w:pPr>
      <w:r>
        <w:t xml:space="preserve">63,668</w:t>
      </w:r>
    </w:p>
    <w:p>
      <w:pPr>
        <w:pStyle w:val="BodyText"/>
      </w:pPr>
      <w:r>
        <w:t xml:space="preserve">326,121</w:t>
      </w:r>
    </w:p>
    <w:p>
      <w:pPr>
        <w:pStyle w:val="BodyText"/>
      </w:pPr>
      <w:r>
        <w:t xml:space="preserve">54,947</w:t>
      </w:r>
    </w:p>
    <w:p>
      <w:pPr>
        <w:pStyle w:val="BodyText"/>
      </w:pPr>
      <w:r>
        <w:t xml:space="preserve">448</w:t>
      </w:r>
    </w:p>
    <w:p>
      <w:pPr>
        <w:pStyle w:val="BodyText"/>
      </w:pPr>
      <w:r>
        <w:t xml:space="preserve">55,395</w:t>
      </w:r>
    </w:p>
    <w:p>
      <w:pPr>
        <w:pStyle w:val="BodyText"/>
      </w:pPr>
      <w:r>
        <w:t xml:space="preserve">284,132</w:t>
      </w:r>
    </w:p>
    <w:p>
      <w:pPr>
        <w:pStyle w:val="BodyText"/>
      </w:pPr>
      <w:r>
        <w:t xml:space="preserve">36,880</w:t>
      </w:r>
    </w:p>
    <w:p>
      <w:pPr>
        <w:pStyle w:val="BodyText"/>
      </w:pPr>
      <w:r>
        <w:t xml:space="preserve">2,458</w:t>
      </w:r>
    </w:p>
    <w:p>
      <w:pPr>
        <w:pStyle w:val="BodyText"/>
      </w:pPr>
      <w:r>
        <w:t xml:space="preserve">(1,301)</w:t>
      </w:r>
    </w:p>
    <w:p>
      <w:pPr>
        <w:pStyle w:val="BodyText"/>
      </w:pPr>
      <w:r>
        <w:t xml:space="preserve">534</w:t>
      </w:r>
    </w:p>
    <w:p>
      <w:pPr>
        <w:pStyle w:val="FirstParagraph"/>
      </w:pPr>
      <w:r>
        <w:t xml:space="preserve">1,671</w:t>
      </w:r>
    </w:p>
    <w:p>
      <w:pPr>
        <w:pStyle w:val="BodyText"/>
      </w:pPr>
      <w:r>
        <w:t xml:space="preserve">40,456</w:t>
      </w:r>
    </w:p>
    <w:p>
      <w:pPr>
        <w:pStyle w:val="BodyText"/>
      </w:pPr>
      <w:r>
        <w:t xml:space="preserve">400</w:t>
      </w:r>
    </w:p>
    <w:p>
      <w:pPr>
        <w:pStyle w:val="BodyText"/>
      </w:pPr>
      <w:r>
        <w:t xml:space="preserve">40,856</w:t>
      </w:r>
    </w:p>
    <w:p>
      <w:pPr>
        <w:pStyle w:val="BodyText"/>
      </w:pPr>
      <w:r>
        <w:t xml:space="preserve">229,806</w:t>
      </w:r>
    </w:p>
    <w:p>
      <w:pPr>
        <w:pStyle w:val="BodyText"/>
      </w:pPr>
      <w:r>
        <w:rPr>
          <w:rFonts w:hint="eastAsia"/>
        </w:rPr>
        <w:t xml:space="preserve">李源祥</w:t>
      </w:r>
    </w:p>
    <w:p>
      <w:pPr>
        <w:pStyle w:val="BodyText"/>
      </w:pPr>
      <w:r>
        <w:rPr>
          <w:rFonts w:hint="eastAsia"/>
        </w:rPr>
        <w:t xml:space="preserve">董事</w:t>
      </w:r>
    </w:p>
    <w:p>
      <w:pPr>
        <w:pStyle w:val="BodyText"/>
      </w:pPr>
      <w:r>
        <w:rPr>
          <w:rFonts w:hint="eastAsia"/>
        </w:rPr>
        <w:t xml:space="preserve">謝仕榮</w:t>
      </w:r>
    </w:p>
    <w:p>
      <w:pPr>
        <w:pStyle w:val="BodyText"/>
      </w:pPr>
      <w:r>
        <w:rPr>
          <w:rFonts w:hint="eastAsia"/>
        </w:rPr>
        <w:t xml:space="preserve">董事</w:t>
      </w:r>
    </w:p>
    <w:p>
      <w:pPr>
        <w:pStyle w:val="BodyText"/>
      </w:pPr>
      <w:r>
        <w:t xml:space="preserve">135</w:t>
      </w:r>
    </w:p>
    <w:p>
      <w:pPr>
        <w:pStyle w:val="BodyText"/>
      </w:pPr>
      <w:r>
        <w:rPr>
          <w:rFonts w:hint="eastAsia"/>
        </w:rPr>
        <w:t xml:space="preserve">合併財務狀況表概覽財務及營運回顧企業管治其他資料財務報表2020年報</w:t>
      </w:r>
    </w:p>
    <w:p>
      <w:pPr>
        <w:pStyle w:val="BodyText"/>
      </w:pPr>
      <w:r>
        <w:rPr>
          <w:rFonts w:hint="eastAsia"/>
        </w:rPr>
        <w:t xml:space="preserve">百萬美元</w:t>
      </w:r>
    </w:p>
    <w:p>
      <w:pPr>
        <w:pStyle w:val="BodyText"/>
      </w:pPr>
      <w:r>
        <w:rPr>
          <w:rFonts w:hint="eastAsia"/>
        </w:rPr>
        <w:t xml:space="preserve">附註</w:t>
      </w:r>
    </w:p>
    <w:p>
      <w:pPr>
        <w:pStyle w:val="BodyText"/>
      </w:pPr>
      <w:r>
        <w:rPr>
          <w:rFonts w:hint="eastAsia"/>
        </w:rPr>
        <w:t xml:space="preserve">股本</w:t>
      </w:r>
    </w:p>
    <w:p>
      <w:pPr>
        <w:pStyle w:val="BodyText"/>
      </w:pPr>
      <w:r>
        <w:rPr>
          <w:rFonts w:hint="eastAsia"/>
        </w:rPr>
        <w:t xml:space="preserve">僱員股票</w:t>
      </w:r>
      <w:r>
        <w:br/>
      </w:r>
      <w:r>
        <w:rPr>
          <w:rFonts w:hint="eastAsia"/>
        </w:rPr>
        <w:t xml:space="preserve">信託</w:t>
      </w:r>
    </w:p>
    <w:p>
      <w:pPr>
        <w:pStyle w:val="BodyText"/>
      </w:pPr>
      <w:r>
        <w:rPr>
          <w:rFonts w:hint="eastAsia"/>
        </w:rPr>
        <w:t xml:space="preserve">其他</w:t>
      </w:r>
      <w:r>
        <w:br/>
      </w:r>
      <w:r>
        <w:rPr>
          <w:rFonts w:hint="eastAsia"/>
        </w:rPr>
        <w:t xml:space="preserve">準備金</w:t>
      </w:r>
    </w:p>
    <w:p>
      <w:pPr>
        <w:pStyle w:val="BodyText"/>
      </w:pPr>
      <w:r>
        <w:rPr>
          <w:rFonts w:hint="eastAsia"/>
        </w:rPr>
        <w:t xml:space="preserve">保留</w:t>
      </w:r>
      <w:r>
        <w:br/>
      </w:r>
      <w:r>
        <w:rPr>
          <w:rFonts w:hint="eastAsia"/>
        </w:rPr>
        <w:t xml:space="preserve">盈利</w:t>
      </w:r>
    </w:p>
    <w:p>
      <w:pPr>
        <w:pStyle w:val="BodyText"/>
      </w:pPr>
      <w:r>
        <w:rPr>
          <w:rFonts w:hint="eastAsia"/>
        </w:rPr>
        <w:t xml:space="preserve">公平值</w:t>
      </w:r>
      <w:r>
        <w:br/>
      </w:r>
      <w:r>
        <w:rPr>
          <w:rFonts w:hint="eastAsia"/>
        </w:rPr>
        <w:t xml:space="preserve">準備金</w:t>
      </w:r>
    </w:p>
    <w:p>
      <w:pPr>
        <w:pStyle w:val="BodyText"/>
      </w:pPr>
      <w:r>
        <w:rPr>
          <w:rFonts w:hint="eastAsia"/>
        </w:rPr>
        <w:t xml:space="preserve">外幣換算</w:t>
      </w:r>
      <w:r>
        <w:br/>
      </w:r>
      <w:r>
        <w:rPr>
          <w:rFonts w:hint="eastAsia"/>
        </w:rPr>
        <w:t xml:space="preserve">準備金</w:t>
      </w:r>
    </w:p>
    <w:p>
      <w:pPr>
        <w:pStyle w:val="BodyText"/>
      </w:pPr>
      <w:r>
        <w:rPr>
          <w:rFonts w:hint="eastAsia"/>
        </w:rPr>
        <w:t xml:space="preserve">物業重估</w:t>
      </w:r>
      <w:r>
        <w:br/>
      </w:r>
      <w:r>
        <w:rPr>
          <w:rFonts w:hint="eastAsia"/>
        </w:rPr>
        <w:t xml:space="preserve">準備金</w:t>
      </w:r>
    </w:p>
    <w:p>
      <w:pPr>
        <w:pStyle w:val="BodyText"/>
      </w:pPr>
      <w:r>
        <w:rPr>
          <w:rFonts w:hint="eastAsia"/>
        </w:rPr>
        <w:t xml:space="preserve">其他</w:t>
      </w:r>
    </w:p>
    <w:p>
      <w:pPr>
        <w:pStyle w:val="BodyText"/>
      </w:pPr>
      <w:r>
        <w:rPr>
          <w:rFonts w:hint="eastAsia"/>
        </w:rPr>
        <w:t xml:space="preserve">非控股</w:t>
      </w:r>
      <w:r>
        <w:br/>
      </w:r>
      <w:r>
        <w:rPr>
          <w:rFonts w:hint="eastAsia"/>
        </w:rPr>
        <w:t xml:space="preserve">權益</w:t>
      </w:r>
    </w:p>
    <w:p>
      <w:pPr>
        <w:pStyle w:val="BodyText"/>
      </w:pPr>
      <w:r>
        <w:rPr>
          <w:rFonts w:hint="eastAsia"/>
        </w:rPr>
        <w:t xml:space="preserve">總權益</w:t>
      </w:r>
    </w:p>
    <w:p>
      <w:pPr>
        <w:pStyle w:val="BodyText"/>
      </w:pPr>
      <w:r>
        <w:rPr>
          <w:rFonts w:hint="eastAsia"/>
        </w:rPr>
        <w:t xml:space="preserve">其他全面收入</w:t>
      </w:r>
    </w:p>
    <w:p>
      <w:pPr>
        <w:pStyle w:val="BodyText"/>
      </w:pPr>
      <w:r>
        <w:rPr>
          <w:rFonts w:hint="eastAsia"/>
        </w:rPr>
        <w:t xml:space="preserve">於2020年1月1日的結餘，</w:t>
      </w:r>
    </w:p>
    <w:p>
      <w:pPr>
        <w:pStyle w:val="BodyText"/>
      </w:pPr>
      <w:r>
        <w:rPr>
          <w:rFonts w:hint="eastAsia"/>
        </w:rPr>
        <w:t xml:space="preserve">如前期呈報</w:t>
      </w:r>
    </w:p>
    <w:p>
      <w:pPr>
        <w:pStyle w:val="BodyText"/>
      </w:pPr>
      <w:r>
        <w:t xml:space="preserve">14,129</w:t>
      </w:r>
    </w:p>
    <w:p>
      <w:pPr>
        <w:pStyle w:val="FirstParagraph"/>
      </w:pPr>
      <w:r>
        <w:t xml:space="preserve">(11,887) 40,372</w:t>
      </w:r>
    </w:p>
    <w:p>
      <w:pPr>
        <w:pStyle w:val="BodyText"/>
      </w:pPr>
      <w:r>
        <w:t xml:space="preserve">14,663</w:t>
      </w:r>
    </w:p>
    <w:p>
      <w:pPr>
        <w:pStyle w:val="FirstParagraph"/>
      </w:pPr>
      <w:r>
        <w:t xml:space="preserve">1,163</w:t>
      </w:r>
    </w:p>
    <w:p>
      <w:pPr>
        <w:pStyle w:val="BodyText"/>
      </w:pPr>
      <w:r>
        <w:rPr>
          <w:rFonts w:hint="eastAsia"/>
        </w:rPr>
        <w:t xml:space="preserve">會計政策變更追溯調整</w:t>
      </w:r>
    </w:p>
    <w:p>
      <w:pPr>
        <w:pStyle w:val="BodyText"/>
      </w:pPr>
      <w:r>
        <w:t xml:space="preserve">48</w:t>
      </w:r>
    </w:p>
    <w:p>
      <w:pPr>
        <w:pStyle w:val="BodyText"/>
      </w:pPr>
      <w:r>
        <w:t xml:space="preserve">–</w:t>
      </w:r>
    </w:p>
    <w:p>
      <w:pPr>
        <w:pStyle w:val="BodyText"/>
      </w:pPr>
      <w:r>
        <w:t xml:space="preserve">–</w:t>
      </w:r>
    </w:p>
    <w:p>
      <w:pPr>
        <w:pStyle w:val="BodyText"/>
      </w:pPr>
      <w:r>
        <w:t xml:space="preserve">–</w:t>
      </w:r>
    </w:p>
    <w:p>
      <w:pPr>
        <w:pStyle w:val="BodyText"/>
      </w:pPr>
      <w:r>
        <w:t xml:space="preserve">550</w:t>
      </w:r>
    </w:p>
    <w:p>
      <w:pPr>
        <w:pStyle w:val="BodyText"/>
      </w:pPr>
      <w:r>
        <w:t xml:space="preserve">(2,994)</w:t>
      </w:r>
    </w:p>
    <w:p>
      <w:pPr>
        <w:pStyle w:val="BodyText"/>
      </w:pPr>
      <w:r>
        <w:t xml:space="preserve">–</w:t>
      </w:r>
    </w:p>
    <w:p>
      <w:pPr>
        <w:pStyle w:val="FirstParagraph"/>
      </w:pPr>
      <w:r>
        <w:rPr>
          <w:rFonts w:hint="eastAsia"/>
        </w:rPr>
        <w:t xml:space="preserve">於2020年1月1日的結餘，經調整</w:t>
      </w:r>
    </w:p>
    <w:p>
      <w:pPr>
        <w:pStyle w:val="BodyText"/>
      </w:pPr>
      <w:r>
        <w:t xml:space="preserve">14,129</w:t>
      </w:r>
    </w:p>
    <w:p>
      <w:pPr>
        <w:pStyle w:val="FirstParagraph"/>
      </w:pPr>
      <w:r>
        <w:t xml:space="preserve">(11,887) 40,922</w:t>
      </w:r>
    </w:p>
    <w:p>
      <w:pPr>
        <w:pStyle w:val="BodyText"/>
      </w:pPr>
      <w:r>
        <w:t xml:space="preserve">11,669</w:t>
      </w:r>
    </w:p>
    <w:p>
      <w:pPr>
        <w:pStyle w:val="FirstParagraph"/>
      </w:pPr>
      <w:r>
        <w:t xml:space="preserve">1,073</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26</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FirstParagraph"/>
      </w:pPr>
      <w:r>
        <w:t xml:space="preserve">80</w:t>
      </w:r>
    </w:p>
    <w:p>
      <w:pPr>
        <w:pStyle w:val="BodyText"/>
      </w:pPr>
      <w:r>
        <w:t xml:space="preserve">–</w:t>
      </w:r>
    </w:p>
    <w:p>
      <w:pPr>
        <w:pStyle w:val="BodyText"/>
      </w:pPr>
      <w:r>
        <w:t xml:space="preserve">81</w:t>
      </w:r>
    </w:p>
    <w:p>
      <w:pPr>
        <w:pStyle w:val="FirstParagraph"/>
      </w:pPr>
      <w:r>
        <w:t xml:space="preserve">5,779</w:t>
      </w:r>
    </w:p>
    <w:p>
      <w:pPr>
        <w:pStyle w:val="BodyText"/>
      </w:pPr>
      <w:r>
        <w:t xml:space="preserve">–</w:t>
      </w:r>
    </w:p>
    <w:p>
      <w:pPr>
        <w:pStyle w:val="BodyText"/>
      </w:pPr>
      <w:r>
        <w:t xml:space="preserve">4,850</w:t>
      </w:r>
    </w:p>
    <w:p>
      <w:pPr>
        <w:pStyle w:val="BodyText"/>
      </w:pPr>
      <w:r>
        <w:t xml:space="preserve">(1,345)</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941</w:t>
      </w:r>
    </w:p>
    <w:p>
      <w:pPr>
        <w:pStyle w:val="BodyText"/>
      </w:pPr>
      <w:r>
        <w:t xml:space="preserve">–</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5,779</w:t>
      </w:r>
    </w:p>
    <w:p>
      <w:pPr>
        <w:pStyle w:val="BodyText"/>
      </w:pPr>
      <w:r>
        <w:t xml:space="preserve">3,501</w:t>
      </w:r>
    </w:p>
    <w:p>
      <w:pPr>
        <w:pStyle w:val="BodyText"/>
      </w:pPr>
      <w:r>
        <w:t xml:space="preserve">931</w:t>
      </w:r>
    </w:p>
    <w:p>
      <w:pPr>
        <w:pStyle w:val="BodyText"/>
      </w:pPr>
      <w:r>
        <w:t xml:space="preserve">(1,997)</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FirstParagraph"/>
      </w:pPr>
      <w:r>
        <w:t xml:space="preserve">–</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6</w:t>
      </w:r>
    </w:p>
    <w:p>
      <w:pPr>
        <w:pStyle w:val="BodyText"/>
      </w:pPr>
      <w:r>
        <w:t xml:space="preserve">–</w:t>
      </w:r>
    </w:p>
    <w:p>
      <w:pPr>
        <w:pStyle w:val="BodyText"/>
      </w:pPr>
      <w:r>
        <w:t xml:space="preserve">–</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448</w:t>
      </w:r>
    </w:p>
    <w:p>
      <w:pPr>
        <w:pStyle w:val="BodyText"/>
      </w:pPr>
      <w:r>
        <w:t xml:space="preserve">57,956</w:t>
      </w:r>
    </w:p>
    <w:p>
      <w:pPr>
        <w:pStyle w:val="BodyText"/>
      </w:pPr>
      <w:r>
        <w:t xml:space="preserve">–</w:t>
      </w:r>
    </w:p>
    <w:p>
      <w:pPr>
        <w:pStyle w:val="BodyText"/>
      </w:pPr>
      <w:r>
        <w:t xml:space="preserve">(2,561)</w:t>
      </w:r>
    </w:p>
    <w:p>
      <w:pPr>
        <w:pStyle w:val="BodyText"/>
      </w:pPr>
      <w:r>
        <w:t xml:space="preserve">448</w:t>
      </w:r>
    </w:p>
    <w:p>
      <w:pPr>
        <w:pStyle w:val="BodyText"/>
      </w:pPr>
      <w:r>
        <w:t xml:space="preserve">55,395</w:t>
      </w:r>
    </w:p>
    <w:p>
      <w:pPr>
        <w:pStyle w:val="BodyText"/>
      </w:pPr>
      <w:r>
        <w:t xml:space="preserve">–</w:t>
      </w:r>
    </w:p>
    <w:p>
      <w:pPr>
        <w:pStyle w:val="BodyText"/>
      </w:pPr>
      <w:r>
        <w:t xml:space="preserve">5,779</w:t>
      </w:r>
    </w:p>
    <w:p>
      <w:pPr>
        <w:pStyle w:val="BodyText"/>
      </w:pPr>
      <w:r>
        <w:t xml:space="preserve">15</w:t>
      </w:r>
    </w:p>
    <w:p>
      <w:pPr>
        <w:pStyle w:val="BodyText"/>
      </w:pPr>
      <w:r>
        <w:t xml:space="preserve">4,865</w:t>
      </w:r>
    </w:p>
    <w:p>
      <w:pPr>
        <w:pStyle w:val="BodyText"/>
      </w:pPr>
      <w:r>
        <w:t xml:space="preserve">–</w:t>
      </w:r>
    </w:p>
    <w:p>
      <w:pPr>
        <w:pStyle w:val="BodyText"/>
      </w:pPr>
      <w:r>
        <w:t xml:space="preserve">10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(1,345)</w:t>
      </w:r>
    </w:p>
    <w:p>
      <w:pPr>
        <w:pStyle w:val="BodyText"/>
      </w:pPr>
      <w:r>
        <w:t xml:space="preserve">951</w:t>
      </w:r>
    </w:p>
    <w:p>
      <w:pPr>
        <w:pStyle w:val="BodyText"/>
      </w:pPr>
      <w:r>
        <w:t xml:space="preserve">6</w:t>
      </w:r>
    </w:p>
    <w:p>
      <w:pPr>
        <w:pStyle w:val="FirstParagraph"/>
      </w:pPr>
      <w:r>
        <w:t xml:space="preserve">25</w:t>
      </w:r>
    </w:p>
    <w:p>
      <w:pPr>
        <w:pStyle w:val="BodyText"/>
      </w:pPr>
      <w:r>
        <w:t xml:space="preserve">10,188</w:t>
      </w:r>
    </w:p>
    <w:p>
      <w:pPr>
        <w:pStyle w:val="FirstParagraph"/>
      </w:pPr>
      <w:r>
        <w:t xml:space="preserve">(2,002)</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26</w:t>
      </w:r>
    </w:p>
    <w:p>
      <w:pPr>
        <w:pStyle w:val="FirstParagraph"/>
      </w:pPr>
      <w:r>
        <w:t xml:space="preserve">80</w:t>
      </w:r>
    </w:p>
    <w:p>
      <w:pPr>
        <w:pStyle w:val="FirstParagraph"/>
      </w:pPr>
      <w:r>
        <w:t xml:space="preserve">–</w:t>
      </w:r>
    </w:p>
    <w:p>
      <w:pPr>
        <w:pStyle w:val="BodyText"/>
      </w:pPr>
      <w:r>
        <w:rPr>
          <w:rFonts w:hint="eastAsia"/>
        </w:rPr>
        <w:t xml:space="preserve">純利</w:t>
      </w:r>
    </w:p>
    <w:p>
      <w:pPr>
        <w:pStyle w:val="BodyText"/>
      </w:pPr>
      <w:r>
        <w:rPr>
          <w:rFonts w:hint="eastAsia"/>
        </w:rPr>
        <w:t xml:space="preserve">可供出售金融資產的公平值</w:t>
      </w:r>
    </w:p>
    <w:p>
      <w:pPr>
        <w:pStyle w:val="BodyText"/>
      </w:pPr>
      <w:r>
        <w:rPr>
          <w:rFonts w:hint="eastAsia"/>
        </w:rPr>
        <w:t xml:space="preserve">收益(2)</w:t>
      </w:r>
    </w:p>
    <w:p>
      <w:pPr>
        <w:pStyle w:val="BodyText"/>
      </w:pPr>
      <w:r>
        <w:rPr>
          <w:rFonts w:hint="eastAsia"/>
        </w:rPr>
        <w:t xml:space="preserve">於出售時轉撥至收入的可供</w:t>
      </w:r>
    </w:p>
    <w:p>
      <w:pPr>
        <w:pStyle w:val="BodyText"/>
      </w:pPr>
      <w:r>
        <w:rPr>
          <w:rFonts w:hint="eastAsia"/>
        </w:rPr>
        <w:t xml:space="preserve">出售金融資產的公平值收益(2)</w:t>
      </w:r>
    </w:p>
    <w:p>
      <w:pPr>
        <w:pStyle w:val="BodyText"/>
      </w:pPr>
      <w:r>
        <w:rPr>
          <w:rFonts w:hint="eastAsia"/>
        </w:rPr>
        <w:t xml:space="preserve">外幣換算調整</w:t>
      </w:r>
    </w:p>
    <w:p>
      <w:pPr>
        <w:pStyle w:val="BodyText"/>
      </w:pPr>
      <w:r>
        <w:rPr>
          <w:rFonts w:hint="eastAsia"/>
        </w:rPr>
        <w:t xml:space="preserve">現金流量對沖</w:t>
      </w:r>
    </w:p>
    <w:p>
      <w:pPr>
        <w:pStyle w:val="BodyText"/>
      </w:pPr>
      <w:r>
        <w:rPr>
          <w:rFonts w:hint="eastAsia"/>
        </w:rPr>
        <w:t xml:space="preserve">分佔聯營公司及合資公司的</w:t>
      </w:r>
    </w:p>
    <w:p>
      <w:pPr>
        <w:pStyle w:val="BodyText"/>
      </w:pPr>
      <w:r>
        <w:rPr>
          <w:rFonts w:hint="eastAsia"/>
        </w:rPr>
        <w:t xml:space="preserve">其他全面開支</w:t>
      </w:r>
    </w:p>
    <w:p>
      <w:pPr>
        <w:pStyle w:val="BodyText"/>
      </w:pPr>
      <w:r>
        <w:rPr>
          <w:rFonts w:hint="eastAsia"/>
        </w:rPr>
        <w:t xml:space="preserve">持作自用物業的重估虧損</w:t>
      </w:r>
    </w:p>
    <w:p>
      <w:pPr>
        <w:pStyle w:val="BodyText"/>
      </w:pPr>
      <w:r>
        <w:rPr>
          <w:rFonts w:hint="eastAsia"/>
        </w:rPr>
        <w:t xml:space="preserve">重新計量界定福利計劃</w:t>
      </w:r>
    </w:p>
    <w:p>
      <w:pPr>
        <w:pStyle w:val="BodyText"/>
      </w:pPr>
      <w:r>
        <w:rPr>
          <w:rFonts w:hint="eastAsia"/>
        </w:rPr>
        <w:t xml:space="preserve">淨負債的影響</w:t>
      </w:r>
    </w:p>
    <w:p>
      <w:pPr>
        <w:pStyle w:val="BodyText"/>
      </w:pPr>
      <w:r>
        <w:rPr>
          <w:rFonts w:hint="eastAsia"/>
        </w:rPr>
        <w:t xml:space="preserve">年內全面收入</w:t>
      </w:r>
      <w:r>
        <w:t xml:space="preserve"> </w:t>
      </w:r>
      <w:r>
        <w:rPr>
          <w:rFonts w:hint="eastAsia"/>
        </w:rPr>
        <w:t xml:space="preserve">∕（開支）總額</w:t>
      </w:r>
    </w:p>
    <w:p>
      <w:pPr>
        <w:pStyle w:val="BodyText"/>
      </w:pPr>
      <w:r>
        <w:rPr>
          <w:rFonts w:hint="eastAsia"/>
        </w:rPr>
        <w:t xml:space="preserve">股息</w:t>
      </w:r>
    </w:p>
    <w:p>
      <w:pPr>
        <w:pStyle w:val="BodyText"/>
      </w:pPr>
      <w:r>
        <w:t xml:space="preserve">14</w:t>
      </w:r>
    </w:p>
    <w:p>
      <w:pPr>
        <w:pStyle w:val="BodyText"/>
      </w:pPr>
      <w:r>
        <w:rPr>
          <w:rFonts w:hint="eastAsia"/>
        </w:rPr>
        <w:t xml:space="preserve">根據購股權計劃及代理購股</w:t>
      </w:r>
    </w:p>
    <w:p>
      <w:pPr>
        <w:pStyle w:val="BodyText"/>
      </w:pPr>
      <w:r>
        <w:rPr>
          <w:rFonts w:hint="eastAsia"/>
        </w:rPr>
        <w:t xml:space="preserve">計劃發行的股份</w:t>
      </w:r>
    </w:p>
    <w:p>
      <w:pPr>
        <w:pStyle w:val="BodyText"/>
      </w:pPr>
      <w:r>
        <w:rPr>
          <w:rFonts w:hint="eastAsia"/>
        </w:rPr>
        <w:t xml:space="preserve">收購非控股權益</w:t>
      </w:r>
    </w:p>
    <w:p>
      <w:pPr>
        <w:pStyle w:val="BodyText"/>
      </w:pPr>
      <w:r>
        <w:rPr>
          <w:rFonts w:hint="eastAsia"/>
        </w:rPr>
        <w:t xml:space="preserve">以股份為基礎的報酬</w:t>
      </w:r>
    </w:p>
    <w:p>
      <w:pPr>
        <w:pStyle w:val="BodyText"/>
      </w:pPr>
      <w:r>
        <w:rPr>
          <w:rFonts w:hint="eastAsia"/>
        </w:rPr>
        <w:t xml:space="preserve">注入僱員股票信託的股份</w:t>
      </w:r>
    </w:p>
    <w:p>
      <w:pPr>
        <w:pStyle w:val="BodyText"/>
      </w:pPr>
      <w:r>
        <w:rPr>
          <w:rFonts w:hint="eastAsia"/>
        </w:rPr>
        <w:t xml:space="preserve">自僱員股票信託轉出</w:t>
      </w:r>
    </w:p>
    <w:p>
      <w:pPr>
        <w:pStyle w:val="BodyText"/>
      </w:pPr>
      <w:r>
        <w:rPr>
          <w:rFonts w:hint="eastAsia"/>
        </w:rPr>
        <w:t xml:space="preserve">已歸屬股份</w:t>
      </w:r>
    </w:p>
    <w:p>
      <w:pPr>
        <w:pStyle w:val="BodyText"/>
      </w:pPr>
      <w:r>
        <w:rPr>
          <w:rFonts w:hint="eastAsia"/>
        </w:rPr>
        <w:t xml:space="preserve">於2020年12月31日的結餘</w:t>
      </w:r>
    </w:p>
    <w:p>
      <w:pPr>
        <w:pStyle w:val="BodyText"/>
      </w:pPr>
      <w:r>
        <w:rPr>
          <w:rFonts w:hint="eastAsia"/>
        </w:rPr>
        <w:t xml:space="preserve">附註：</w:t>
      </w:r>
    </w:p>
    <w:p>
      <w:pPr>
        <w:pStyle w:val="BodyText"/>
      </w:pPr>
      <w:r>
        <w:t xml:space="preserve">14,155</w:t>
      </w:r>
    </w:p>
    <w:p>
      <w:pPr>
        <w:pStyle w:val="FirstParagraph"/>
      </w:pPr>
      <w:r>
        <w:t xml:space="preserve">(11,891) 44,704</w:t>
      </w:r>
    </w:p>
    <w:p>
      <w:pPr>
        <w:pStyle w:val="BodyText"/>
      </w:pPr>
      <w:r>
        <w:t xml:space="preserve">15,170</w:t>
      </w:r>
    </w:p>
    <w:p>
      <w:pPr>
        <w:pStyle w:val="BodyText"/>
      </w:pPr>
      <w:r>
        <w:t xml:space="preserve">233</w:t>
      </w:r>
    </w:p>
    <w:p>
      <w:pPr>
        <w:pStyle w:val="BodyText"/>
      </w:pPr>
      <w:r>
        <w:t xml:space="preserve">1,027</w:t>
      </w:r>
    </w:p>
    <w:p>
      <w:pPr>
        <w:pStyle w:val="FirstParagraph"/>
      </w:pPr>
      <w:r>
        <w:t xml:space="preserve">468</w:t>
      </w:r>
    </w:p>
    <w:p>
      <w:pPr>
        <w:pStyle w:val="BodyText"/>
      </w:pPr>
      <w:r>
        <w:t xml:space="preserve">63,668</w:t>
      </w:r>
    </w:p>
    <w:p>
      <w:pPr>
        <w:numPr>
          <w:ilvl w:val="0"/>
          <w:numId w:val="1137"/>
        </w:numPr>
      </w:pPr>
      <w:r>
        <w:rPr>
          <w:rFonts w:hint="eastAsia"/>
        </w:rPr>
        <w:t xml:space="preserve">在適用情況下，金額乃經扣除稅項、保單持有人分紅及其他影子會計相關變動後呈列。</w:t>
      </w:r>
    </w:p>
    <w:p>
      <w:pPr>
        <w:numPr>
          <w:ilvl w:val="0"/>
          <w:numId w:val="1137"/>
        </w:numPr>
      </w:pPr>
      <w:r>
        <w:rPr>
          <w:rFonts w:hint="eastAsia"/>
        </w:rPr>
        <w:t xml:space="preserve">未扣除稅項、保單持有人分紅及其他影子會計相關變動，截至2020年12月31日止年度，與可供出售金融資產的公平值收益有關的金額為82.12億</w:t>
      </w:r>
    </w:p>
    <w:p>
      <w:pPr>
        <w:pStyle w:val="FirstParagraph"/>
      </w:pPr>
      <w:r>
        <w:rPr>
          <w:rFonts w:hint="eastAsia"/>
        </w:rPr>
        <w:t xml:space="preserve">美元及與於出售時轉撥至收入的可供出售金融資產的公平值收益有關的金額為14.43億美元。</w:t>
      </w:r>
    </w:p>
    <w:p>
      <w:pPr>
        <w:pStyle w:val="BodyText"/>
      </w:pPr>
      <w:r>
        <w:t xml:space="preserve">136</w:t>
      </w:r>
    </w:p>
    <w:p>
      <w:pPr>
        <w:pStyle w:val="BodyText"/>
      </w:pPr>
      <w:r>
        <w:rPr>
          <w:rFonts w:hint="eastAsia"/>
        </w:rPr>
        <w:t xml:space="preserve">合併權益變動表友邦保險控股有限公司</w:t>
      </w:r>
    </w:p>
    <w:p>
      <w:pPr>
        <w:pStyle w:val="BodyText"/>
      </w:pPr>
      <w:r>
        <w:rPr>
          <w:rFonts w:hint="eastAsia"/>
        </w:rPr>
        <w:t xml:space="preserve">百萬美元</w:t>
      </w:r>
    </w:p>
    <w:p>
      <w:pPr>
        <w:pStyle w:val="BodyText"/>
      </w:pPr>
      <w:r>
        <w:rPr>
          <w:rFonts w:hint="eastAsia"/>
        </w:rPr>
        <w:t xml:space="preserve">附註</w:t>
      </w:r>
    </w:p>
    <w:p>
      <w:pPr>
        <w:pStyle w:val="BodyText"/>
      </w:pPr>
      <w:r>
        <w:rPr>
          <w:rFonts w:hint="eastAsia"/>
        </w:rPr>
        <w:t xml:space="preserve">股本</w:t>
      </w:r>
    </w:p>
    <w:p>
      <w:pPr>
        <w:pStyle w:val="BodyText"/>
      </w:pPr>
      <w:r>
        <w:rPr>
          <w:rFonts w:hint="eastAsia"/>
        </w:rPr>
        <w:t xml:space="preserve">僱員股票</w:t>
      </w:r>
      <w:r>
        <w:br/>
      </w:r>
      <w:r>
        <w:rPr>
          <w:rFonts w:hint="eastAsia"/>
        </w:rPr>
        <w:t xml:space="preserve">信託</w:t>
      </w:r>
    </w:p>
    <w:p>
      <w:pPr>
        <w:pStyle w:val="BodyText"/>
      </w:pPr>
      <w:r>
        <w:rPr>
          <w:rFonts w:hint="eastAsia"/>
        </w:rPr>
        <w:t xml:space="preserve">其他</w:t>
      </w:r>
      <w:r>
        <w:br/>
      </w:r>
      <w:r>
        <w:rPr>
          <w:rFonts w:hint="eastAsia"/>
        </w:rPr>
        <w:t xml:space="preserve">準備金</w:t>
      </w:r>
    </w:p>
    <w:p>
      <w:pPr>
        <w:pStyle w:val="BodyText"/>
      </w:pPr>
      <w:r>
        <w:rPr>
          <w:rFonts w:hint="eastAsia"/>
        </w:rPr>
        <w:t xml:space="preserve">保留</w:t>
      </w:r>
      <w:r>
        <w:br/>
      </w:r>
      <w:r>
        <w:rPr>
          <w:rFonts w:hint="eastAsia"/>
        </w:rPr>
        <w:t xml:space="preserve">盈利</w:t>
      </w:r>
    </w:p>
    <w:p>
      <w:pPr>
        <w:pStyle w:val="BodyText"/>
      </w:pPr>
      <w:r>
        <w:rPr>
          <w:rFonts w:hint="eastAsia"/>
        </w:rPr>
        <w:t xml:space="preserve">公平值</w:t>
      </w:r>
      <w:r>
        <w:br/>
      </w:r>
      <w:r>
        <w:rPr>
          <w:rFonts w:hint="eastAsia"/>
        </w:rPr>
        <w:t xml:space="preserve">準備金</w:t>
      </w:r>
    </w:p>
    <w:p>
      <w:pPr>
        <w:pStyle w:val="BodyText"/>
      </w:pPr>
      <w:r>
        <w:rPr>
          <w:rFonts w:hint="eastAsia"/>
        </w:rPr>
        <w:t xml:space="preserve">外幣換算</w:t>
      </w:r>
      <w:r>
        <w:br/>
      </w:r>
      <w:r>
        <w:rPr>
          <w:rFonts w:hint="eastAsia"/>
        </w:rPr>
        <w:t xml:space="preserve">準備金</w:t>
      </w:r>
    </w:p>
    <w:p>
      <w:pPr>
        <w:pStyle w:val="BodyText"/>
      </w:pPr>
      <w:r>
        <w:rPr>
          <w:rFonts w:hint="eastAsia"/>
        </w:rPr>
        <w:t xml:space="preserve">物業重估</w:t>
      </w:r>
      <w:r>
        <w:br/>
      </w:r>
      <w:r>
        <w:rPr>
          <w:rFonts w:hint="eastAsia"/>
        </w:rPr>
        <w:t xml:space="preserve">準備金</w:t>
      </w:r>
    </w:p>
    <w:p>
      <w:pPr>
        <w:pStyle w:val="BodyText"/>
      </w:pPr>
      <w:r>
        <w:rPr>
          <w:rFonts w:hint="eastAsia"/>
        </w:rPr>
        <w:t xml:space="preserve">非控股</w:t>
      </w:r>
    </w:p>
    <w:p>
      <w:pPr>
        <w:pStyle w:val="BodyText"/>
      </w:pPr>
      <w:r>
        <w:rPr>
          <w:rFonts w:hint="eastAsia"/>
        </w:rPr>
        <w:t xml:space="preserve">其他</w:t>
      </w:r>
    </w:p>
    <w:p>
      <w:pPr>
        <w:pStyle w:val="BodyText"/>
      </w:pPr>
      <w:r>
        <w:rPr>
          <w:rFonts w:hint="eastAsia"/>
        </w:rPr>
        <w:t xml:space="preserve">權益</w:t>
      </w:r>
      <w:r>
        <w:t xml:space="preserve"> </w:t>
      </w:r>
      <w:r>
        <w:rPr>
          <w:rFonts w:hint="eastAsia"/>
        </w:rPr>
        <w:t xml:space="preserve">總權益</w:t>
      </w:r>
    </w:p>
    <w:p>
      <w:pPr>
        <w:pStyle w:val="BodyText"/>
      </w:pPr>
      <w:r>
        <w:rPr>
          <w:rFonts w:hint="eastAsia"/>
        </w:rPr>
        <w:t xml:space="preserve">其他全面收入</w:t>
      </w:r>
    </w:p>
    <w:p>
      <w:pPr>
        <w:pStyle w:val="BodyText"/>
      </w:pPr>
      <w:r>
        <w:t xml:space="preserve">14,073</w:t>
      </w:r>
    </w:p>
    <w:p>
      <w:pPr>
        <w:pStyle w:val="FirstParagraph"/>
      </w:pPr>
      <w:r>
        <w:t xml:space="preserve">(11,910)</w:t>
      </w:r>
    </w:p>
    <w:p>
      <w:pPr>
        <w:pStyle w:val="BodyText"/>
      </w:pPr>
      <w:r>
        <w:t xml:space="preserve">35,661</w:t>
      </w:r>
    </w:p>
    <w:p>
      <w:pPr>
        <w:pStyle w:val="BodyText"/>
      </w:pPr>
      <w:r>
        <w:t xml:space="preserve">2,211</w:t>
      </w:r>
    </w:p>
    <w:p>
      <w:pPr>
        <w:pStyle w:val="BodyText"/>
      </w:pPr>
      <w:r>
        <w:t xml:space="preserve">(1,301)</w:t>
      </w:r>
    </w:p>
    <w:p>
      <w:pPr>
        <w:pStyle w:val="BodyText"/>
      </w:pPr>
      <w:r>
        <w:t xml:space="preserve">1,020</w:t>
      </w:r>
    </w:p>
    <w:p>
      <w:pPr>
        <w:pStyle w:val="BodyText"/>
      </w:pPr>
      <w:r>
        <w:t xml:space="preserve">48</w:t>
      </w:r>
    </w:p>
    <w:p>
      <w:pPr>
        <w:pStyle w:val="BodyText"/>
      </w:pPr>
      <w:r>
        <w:t xml:space="preserve">–</w:t>
      </w:r>
    </w:p>
    <w:p>
      <w:pPr>
        <w:pStyle w:val="BodyText"/>
      </w:pPr>
      <w:r>
        <w:t xml:space="preserve">–</w:t>
      </w:r>
    </w:p>
    <w:p>
      <w:pPr>
        <w:pStyle w:val="BodyText"/>
      </w:pPr>
      <w:r>
        <w:t xml:space="preserve">–</w:t>
      </w:r>
    </w:p>
    <w:p>
      <w:pPr>
        <w:pStyle w:val="BodyText"/>
      </w:pPr>
      <w:r>
        <w:t xml:space="preserve">1,219</w:t>
      </w:r>
    </w:p>
    <w:p>
      <w:pPr>
        <w:pStyle w:val="BodyText"/>
      </w:pPr>
      <w:r>
        <w:t xml:space="preserve">247</w:t>
      </w:r>
    </w:p>
    <w:p>
      <w:pPr>
        <w:pStyle w:val="BodyText"/>
      </w:pPr>
      <w:r>
        <w:t xml:space="preserve">–</w:t>
      </w:r>
    </w:p>
    <w:p>
      <w:pPr>
        <w:pStyle w:val="BodyText"/>
      </w:pPr>
      <w:r>
        <w:rPr>
          <w:rFonts w:hint="eastAsia"/>
        </w:rPr>
        <w:t xml:space="preserve">於2019年1月1日的結餘，經調整(3)</w:t>
      </w:r>
    </w:p>
    <w:p>
      <w:pPr>
        <w:pStyle w:val="BodyText"/>
      </w:pPr>
      <w:r>
        <w:t xml:space="preserve">14,073</w:t>
      </w:r>
    </w:p>
    <w:p>
      <w:pPr>
        <w:pStyle w:val="FirstParagraph"/>
      </w:pPr>
      <w:r>
        <w:t xml:space="preserve">(11,910)</w:t>
      </w:r>
    </w:p>
    <w:p>
      <w:pPr>
        <w:pStyle w:val="BodyText"/>
      </w:pPr>
      <w:r>
        <w:t xml:space="preserve">36,880</w:t>
      </w:r>
    </w:p>
    <w:p>
      <w:pPr>
        <w:pStyle w:val="BodyText"/>
      </w:pPr>
      <w:r>
        <w:t xml:space="preserve">2,458</w:t>
      </w:r>
    </w:p>
    <w:p>
      <w:pPr>
        <w:pStyle w:val="BodyText"/>
      </w:pPr>
      <w:r>
        <w:t xml:space="preserve">(1,301)</w:t>
      </w:r>
    </w:p>
    <w:p>
      <w:pPr>
        <w:pStyle w:val="BodyText"/>
      </w:pPr>
      <w:r>
        <w:rPr>
          <w:rFonts w:hint="eastAsia"/>
        </w:rPr>
        <w:t xml:space="preserve">於2019年1月1日的結餘，</w:t>
      </w:r>
    </w:p>
    <w:p>
      <w:pPr>
        <w:pStyle w:val="BodyText"/>
      </w:pPr>
      <w:r>
        <w:rPr>
          <w:rFonts w:hint="eastAsia"/>
        </w:rPr>
        <w:t xml:space="preserve">如前期呈報(3)</w:t>
      </w:r>
    </w:p>
    <w:p>
      <w:pPr>
        <w:pStyle w:val="BodyText"/>
      </w:pPr>
      <w:r>
        <w:rPr>
          <w:rFonts w:hint="eastAsia"/>
        </w:rPr>
        <w:t xml:space="preserve">會計政策變更追溯調整(3)</w:t>
      </w:r>
    </w:p>
    <w:p>
      <w:pPr>
        <w:pStyle w:val="BodyText"/>
      </w:pPr>
      <w:r>
        <w:rPr>
          <w:rFonts w:hint="eastAsia"/>
        </w:rPr>
        <w:t xml:space="preserve">純利</w:t>
      </w:r>
    </w:p>
    <w:p>
      <w:pPr>
        <w:pStyle w:val="BodyText"/>
      </w:pPr>
      <w:r>
        <w:rPr>
          <w:rFonts w:hint="eastAsia"/>
        </w:rPr>
        <w:t xml:space="preserve">可供出售金融資產的公平值</w:t>
      </w:r>
    </w:p>
    <w:p>
      <w:pPr>
        <w:pStyle w:val="BodyText"/>
      </w:pPr>
      <w:r>
        <w:rPr>
          <w:rFonts w:hint="eastAsia"/>
        </w:rPr>
        <w:t xml:space="preserve">收益(2)</w:t>
      </w:r>
    </w:p>
    <w:p>
      <w:pPr>
        <w:pStyle w:val="BodyText"/>
      </w:pPr>
      <w:r>
        <w:rPr>
          <w:rFonts w:hint="eastAsia"/>
        </w:rPr>
        <w:t xml:space="preserve">於出售時轉撥至收入的可供</w:t>
      </w:r>
    </w:p>
    <w:p>
      <w:pPr>
        <w:pStyle w:val="BodyText"/>
      </w:pPr>
      <w:r>
        <w:rPr>
          <w:rFonts w:hint="eastAsia"/>
        </w:rPr>
        <w:t xml:space="preserve">出售金融資產的公平值收益(2)</w:t>
      </w:r>
    </w:p>
    <w:p>
      <w:pPr>
        <w:pStyle w:val="BodyText"/>
      </w:pPr>
      <w:r>
        <w:rPr>
          <w:rFonts w:hint="eastAsia"/>
        </w:rPr>
        <w:t xml:space="preserve">外幣換算調整</w:t>
      </w:r>
    </w:p>
    <w:p>
      <w:pPr>
        <w:pStyle w:val="BodyText"/>
      </w:pPr>
      <w:r>
        <w:rPr>
          <w:rFonts w:hint="eastAsia"/>
        </w:rPr>
        <w:t xml:space="preserve">現金流量對沖</w:t>
      </w:r>
    </w:p>
    <w:p>
      <w:pPr>
        <w:pStyle w:val="BodyText"/>
      </w:pPr>
      <w:r>
        <w:rPr>
          <w:rFonts w:hint="eastAsia"/>
        </w:rPr>
        <w:t xml:space="preserve">分佔聯營公司及合資公司的</w:t>
      </w:r>
      <w:r>
        <w:br/>
      </w:r>
      <w:r>
        <w:rPr>
          <w:rFonts w:hint="eastAsia"/>
        </w:rPr>
        <w:t xml:space="preserve">其他全面收入</w:t>
      </w:r>
      <w:r>
        <w:t xml:space="preserve"> </w:t>
      </w:r>
      <w:r>
        <w:rPr>
          <w:rFonts w:hint="eastAsia"/>
        </w:rPr>
        <w:t xml:space="preserve">∕（開支）</w:t>
      </w:r>
    </w:p>
    <w:p>
      <w:pPr>
        <w:pStyle w:val="BodyText"/>
      </w:pPr>
      <w:r>
        <w:rPr>
          <w:rFonts w:hint="eastAsia"/>
        </w:rPr>
        <w:t xml:space="preserve">持作自用物業的重估收益</w:t>
      </w:r>
    </w:p>
    <w:p>
      <w:pPr>
        <w:pStyle w:val="BodyText"/>
      </w:pPr>
      <w:r>
        <w:rPr>
          <w:rFonts w:hint="eastAsia"/>
        </w:rPr>
        <w:t xml:space="preserve">重新計量界定福利計劃</w:t>
      </w:r>
    </w:p>
    <w:p>
      <w:pPr>
        <w:pStyle w:val="BodyText"/>
      </w:pPr>
      <w:r>
        <w:rPr>
          <w:rFonts w:hint="eastAsia"/>
        </w:rPr>
        <w:t xml:space="preserve">淨負債的影響</w:t>
      </w:r>
    </w:p>
    <w:p>
      <w:pPr>
        <w:pStyle w:val="BodyText"/>
      </w:pPr>
      <w:r>
        <w:rPr>
          <w:rFonts w:hint="eastAsia"/>
        </w:rPr>
        <w:t xml:space="preserve">年內全面收入</w:t>
      </w:r>
      <w:r>
        <w:t xml:space="preserve"> </w:t>
      </w:r>
      <w:r>
        <w:rPr>
          <w:rFonts w:hint="eastAsia"/>
        </w:rPr>
        <w:t xml:space="preserve">∕（開支）總額</w:t>
      </w:r>
    </w:p>
    <w:p>
      <w:pPr>
        <w:pStyle w:val="BodyText"/>
      </w:pPr>
      <w:r>
        <w:rPr>
          <w:rFonts w:hint="eastAsia"/>
        </w:rPr>
        <w:t xml:space="preserve">股息</w:t>
      </w:r>
    </w:p>
    <w:p>
      <w:pPr>
        <w:pStyle w:val="BodyText"/>
      </w:pPr>
      <w:r>
        <w:t xml:space="preserve">14</w:t>
      </w:r>
    </w:p>
    <w:p>
      <w:pPr>
        <w:pStyle w:val="BodyText"/>
      </w:pPr>
      <w:r>
        <w:rPr>
          <w:rFonts w:hint="eastAsia"/>
        </w:rPr>
        <w:t xml:space="preserve">根據購股權計劃及代理購股</w:t>
      </w:r>
    </w:p>
    <w:p>
      <w:pPr>
        <w:pStyle w:val="BodyText"/>
      </w:pPr>
      <w:r>
        <w:rPr>
          <w:rFonts w:hint="eastAsia"/>
        </w:rPr>
        <w:t xml:space="preserve">計劃發行的股份</w:t>
      </w:r>
    </w:p>
    <w:p>
      <w:pPr>
        <w:pStyle w:val="BodyText"/>
      </w:pPr>
      <w:r>
        <w:rPr>
          <w:rFonts w:hint="eastAsia"/>
        </w:rPr>
        <w:t xml:space="preserve">收購非控股權益</w:t>
      </w:r>
    </w:p>
    <w:p>
      <w:pPr>
        <w:pStyle w:val="BodyText"/>
      </w:pPr>
      <w:r>
        <w:rPr>
          <w:rFonts w:hint="eastAsia"/>
        </w:rPr>
        <w:t xml:space="preserve">以股份為基礎的報酬</w:t>
      </w:r>
    </w:p>
    <w:p>
      <w:pPr>
        <w:pStyle w:val="BodyText"/>
      </w:pPr>
      <w:r>
        <w:rPr>
          <w:rFonts w:hint="eastAsia"/>
        </w:rPr>
        <w:t xml:space="preserve">注入僱員股票信託的股份</w:t>
      </w:r>
    </w:p>
    <w:p>
      <w:pPr>
        <w:pStyle w:val="BodyText"/>
      </w:pPr>
      <w:r>
        <w:rPr>
          <w:rFonts w:hint="eastAsia"/>
        </w:rPr>
        <w:t xml:space="preserve">自僱員股票信託轉出</w:t>
      </w:r>
    </w:p>
    <w:p>
      <w:pPr>
        <w:pStyle w:val="BodyText"/>
      </w:pPr>
      <w:r>
        <w:rPr>
          <w:rFonts w:hint="eastAsia"/>
        </w:rPr>
        <w:t xml:space="preserve">已歸屬股份</w:t>
      </w:r>
    </w:p>
    <w:p>
      <w:pPr>
        <w:pStyle w:val="BodyText"/>
      </w:pPr>
      <w:r>
        <w:rPr>
          <w:rFonts w:hint="eastAsia"/>
        </w:rPr>
        <w:t xml:space="preserve">於出售時轉撥至保留盈利的</w:t>
      </w:r>
    </w:p>
    <w:p>
      <w:pPr>
        <w:pStyle w:val="BodyText"/>
      </w:pPr>
      <w:r>
        <w:rPr>
          <w:rFonts w:hint="eastAsia"/>
        </w:rPr>
        <w:t xml:space="preserve">重估準備金</w:t>
      </w:r>
    </w:p>
    <w:p>
      <w:pPr>
        <w:pStyle w:val="BodyText"/>
      </w:pPr>
      <w:r>
        <w:rPr>
          <w:rFonts w:hint="eastAsia"/>
        </w:rPr>
        <w:t xml:space="preserve">於2019年12月31日的結餘</w:t>
      </w:r>
    </w:p>
    <w:p>
      <w:pPr>
        <w:pStyle w:val="BodyText"/>
      </w:pPr>
      <w:r>
        <w:rPr>
          <w:rFonts w:hint="eastAsia"/>
        </w:rPr>
        <w:t xml:space="preserve">－</w:t>
      </w:r>
      <w:r>
        <w:t xml:space="preserve"> </w:t>
      </w:r>
      <w:r>
        <w:rPr>
          <w:rFonts w:hint="eastAsia"/>
        </w:rPr>
        <w:t xml:space="preserve">經調整</w:t>
      </w:r>
    </w:p>
    <w:p>
      <w:pPr>
        <w:pStyle w:val="BodyText"/>
      </w:pPr>
      <w:r>
        <w:rPr>
          <w:rFonts w:hint="eastAsia"/>
        </w:rPr>
        <w:t xml:space="preserve">附註：</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56</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FirstParagraph"/>
      </w:pPr>
      <w:r>
        <w:t xml:space="preserve">59</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FirstParagraph"/>
      </w:pPr>
      <w:r>
        <w:t xml:space="preserve">88</w:t>
      </w:r>
    </w:p>
    <w:p>
      <w:pPr>
        <w:pStyle w:val="BodyText"/>
      </w:pPr>
      <w:r>
        <w:t xml:space="preserve">–</w:t>
      </w:r>
    </w:p>
    <w:p>
      <w:pPr>
        <w:pStyle w:val="FirstParagraph"/>
      </w:pPr>
      <w:r>
        <w:t xml:space="preserve">5,979</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9,747</w:t>
      </w:r>
    </w:p>
    <w:p>
      <w:pPr>
        <w:pStyle w:val="FirstParagraph"/>
      </w:pPr>
      <w:r>
        <w:t xml:space="preserve">–</w:t>
      </w:r>
    </w:p>
    <w:p>
      <w:pPr>
        <w:pStyle w:val="BodyText"/>
      </w:pPr>
      <w:r>
        <w:t xml:space="preserve">–</w:t>
      </w:r>
    </w:p>
    <w:p>
      <w:pPr>
        <w:pStyle w:val="BodyText"/>
      </w:pPr>
      <w:r>
        <w:t xml:space="preserve">9</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613</w:t>
      </w:r>
    </w:p>
    <w:p>
      <w:pPr>
        <w:pStyle w:val="BodyText"/>
      </w:pPr>
      <w:r>
        <w:t xml:space="preserve">–</w:t>
      </w:r>
    </w:p>
    <w:p>
      <w:pPr>
        <w:pStyle w:val="FirstParagraph"/>
      </w:pPr>
      <w:r>
        <w:t xml:space="preserve">–</w:t>
      </w:r>
    </w:p>
    <w:p>
      <w:pPr>
        <w:pStyle w:val="BodyText"/>
      </w:pPr>
      <w:r>
        <w:t xml:space="preserve">–</w:t>
      </w:r>
    </w:p>
    <w:p>
      <w:pPr>
        <w:pStyle w:val="BodyText"/>
      </w:pPr>
      <w:r>
        <w:t xml:space="preserve">5,979</w:t>
      </w:r>
    </w:p>
    <w:p>
      <w:pPr>
        <w:pStyle w:val="BodyText"/>
      </w:pPr>
      <w:r>
        <w:t xml:space="preserve">9,211</w:t>
      </w:r>
    </w:p>
    <w:p>
      <w:pPr>
        <w:pStyle w:val="BodyText"/>
      </w:pPr>
      <w:r>
        <w:t xml:space="preserve">603</w:t>
      </w:r>
    </w:p>
    <w:p>
      <w:pPr>
        <w:pStyle w:val="BodyText"/>
      </w:pPr>
      <w:r>
        <w:t xml:space="preserve">(1,961)</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24</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3</w:t>
      </w:r>
    </w:p>
    <w:p>
      <w:pPr>
        <w:pStyle w:val="BodyText"/>
      </w:pPr>
      <w:r>
        <w:t xml:space="preserve">–</w:t>
      </w:r>
    </w:p>
    <w:p>
      <w:pPr>
        <w:pStyle w:val="BodyText"/>
      </w:pPr>
      <w:r>
        <w:t xml:space="preserve">–</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400</w:t>
      </w:r>
    </w:p>
    <w:p>
      <w:pPr>
        <w:pStyle w:val="BodyText"/>
      </w:pPr>
      <w:r>
        <w:t xml:space="preserve">39,888</w:t>
      </w:r>
    </w:p>
    <w:p>
      <w:pPr>
        <w:pStyle w:val="BodyText"/>
      </w:pPr>
      <w:r>
        <w:t xml:space="preserve">–</w:t>
      </w:r>
    </w:p>
    <w:p>
      <w:pPr>
        <w:pStyle w:val="BodyText"/>
      </w:pPr>
      <w:r>
        <w:t xml:space="preserve">400</w:t>
      </w:r>
    </w:p>
    <w:p>
      <w:pPr>
        <w:pStyle w:val="BodyText"/>
      </w:pPr>
      <w:r>
        <w:t xml:space="preserve">39</w:t>
      </w:r>
    </w:p>
    <w:p>
      <w:pPr>
        <w:pStyle w:val="BodyText"/>
      </w:pPr>
      <w:r>
        <w:t xml:space="preserve">1,377</w:t>
      </w:r>
    </w:p>
    <w:p>
      <w:pPr>
        <w:pStyle w:val="BodyText"/>
      </w:pPr>
      <w:r>
        <w:t xml:space="preserve">41,265</w:t>
      </w:r>
    </w:p>
    <w:p>
      <w:pPr>
        <w:pStyle w:val="BodyText"/>
      </w:pPr>
      <w:r>
        <w:t xml:space="preserve">6,018</w:t>
      </w:r>
    </w:p>
    <w:p>
      <w:pPr>
        <w:pStyle w:val="BodyText"/>
      </w:pPr>
      <w:r>
        <w:t xml:space="preserve">26</w:t>
      </w:r>
    </w:p>
    <w:p>
      <w:pPr>
        <w:pStyle w:val="BodyText"/>
      </w:pPr>
      <w:r>
        <w:t xml:space="preserve">9,773</w:t>
      </w:r>
    </w:p>
    <w:p>
      <w:pPr>
        <w:pStyle w:val="BodyText"/>
      </w:pPr>
      <w:r>
        <w:t xml:space="preserve">–</w:t>
      </w:r>
    </w:p>
    <w:p>
      <w:pPr>
        <w:pStyle w:val="BodyText"/>
      </w:pPr>
      <w:r>
        <w:t xml:space="preserve">6</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71</w:t>
      </w:r>
    </w:p>
    <w:p>
      <w:pPr>
        <w:pStyle w:val="FirstParagraph"/>
      </w:pPr>
      <w:r>
        <w:t xml:space="preserve">–</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FirstParagraph"/>
      </w:pPr>
      <w:r>
        <w:t xml:space="preserve">619</w:t>
      </w:r>
    </w:p>
    <w:p>
      <w:pPr>
        <w:pStyle w:val="BodyText"/>
      </w:pPr>
      <w:r>
        <w:t xml:space="preserve">3</w:t>
      </w:r>
    </w:p>
    <w:p>
      <w:pPr>
        <w:pStyle w:val="FirstParagraph"/>
      </w:pPr>
      <w:r>
        <w:t xml:space="preserve">154</w:t>
      </w:r>
    </w:p>
    <w:p>
      <w:pPr>
        <w:pStyle w:val="FirstParagraph"/>
      </w:pPr>
      <w:r>
        <w:t xml:space="preserve">15,997</w:t>
      </w:r>
    </w:p>
    <w:p>
      <w:pPr>
        <w:pStyle w:val="BodyText"/>
      </w:pPr>
      <w:r>
        <w:t xml:space="preserve">(1,982)</w:t>
      </w:r>
    </w:p>
    <w:p>
      <w:pPr>
        <w:pStyle w:val="BodyText"/>
      </w:pPr>
      <w:r>
        <w:t xml:space="preserve">56</w:t>
      </w:r>
    </w:p>
    <w:p>
      <w:pPr>
        <w:pStyle w:val="FirstParagraph"/>
      </w:pPr>
      <w:r>
        <w:t xml:space="preserve">88</w:t>
      </w:r>
    </w:p>
    <w:p>
      <w:pPr>
        <w:pStyle w:val="FirstParagraph"/>
      </w:pPr>
      <w:r>
        <w:t xml:space="preserve">–</w:t>
      </w:r>
    </w:p>
    <w:p>
      <w:pPr>
        <w:pStyle w:val="BodyText"/>
      </w:pPr>
      <w:r>
        <w:t xml:space="preserve">–</w:t>
      </w:r>
    </w:p>
    <w:p>
      <w:pPr>
        <w:pStyle w:val="FirstParagraph"/>
      </w:pPr>
      <w:r>
        <w:t xml:space="preserve">943</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154</w:t>
      </w:r>
    </w:p>
    <w:p>
      <w:pPr>
        <w:pStyle w:val="BodyText"/>
      </w:pPr>
      <w:r>
        <w:t xml:space="preserve">–</w:t>
      </w:r>
    </w:p>
    <w:p>
      <w:pPr>
        <w:pStyle w:val="BodyText"/>
      </w:pPr>
      <w:r>
        <w:t xml:space="preserve">154</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FirstParagraph"/>
      </w:pPr>
      <w:r>
        <w:t xml:space="preserve">14,129</w:t>
      </w:r>
    </w:p>
    <w:p>
      <w:pPr>
        <w:pStyle w:val="FirstParagraph"/>
      </w:pPr>
      <w:r>
        <w:t xml:space="preserve">(11,887)</w:t>
      </w:r>
    </w:p>
    <w:p>
      <w:pPr>
        <w:pStyle w:val="BodyText"/>
      </w:pPr>
      <w:r>
        <w:t xml:space="preserve">40,922</w:t>
      </w:r>
    </w:p>
    <w:p>
      <w:pPr>
        <w:pStyle w:val="BodyText"/>
      </w:pPr>
      <w:r>
        <w:t xml:space="preserve">11,669</w:t>
      </w:r>
    </w:p>
    <w:p>
      <w:pPr>
        <w:pStyle w:val="FirstParagraph"/>
      </w:pPr>
      <w:r>
        <w:t xml:space="preserve">1,073</w:t>
      </w:r>
    </w:p>
    <w:p>
      <w:pPr>
        <w:pStyle w:val="FirstParagraph"/>
      </w:pPr>
      <w:r>
        <w:t xml:space="preserve">448</w:t>
      </w:r>
    </w:p>
    <w:p>
      <w:pPr>
        <w:pStyle w:val="BodyText"/>
      </w:pPr>
      <w:r>
        <w:t xml:space="preserve">55,395</w:t>
      </w:r>
    </w:p>
    <w:p>
      <w:pPr>
        <w:numPr>
          <w:ilvl w:val="0"/>
          <w:numId w:val="1159"/>
        </w:numPr>
      </w:pPr>
      <w:r>
        <w:rPr>
          <w:rFonts w:hint="eastAsia"/>
        </w:rPr>
        <w:t xml:space="preserve">在適用情況下，金額乃經扣除稅項、保單持有人分紅及其他影子會計相關變動後呈列。</w:t>
      </w:r>
    </w:p>
    <w:p>
      <w:pPr>
        <w:numPr>
          <w:ilvl w:val="0"/>
          <w:numId w:val="1159"/>
        </w:numPr>
      </w:pPr>
      <w:r>
        <w:rPr>
          <w:rFonts w:hint="eastAsia"/>
        </w:rPr>
        <w:t xml:space="preserve">未扣除稅項、保單持有人分紅及其他影子會計相關變動，截至2019年12月31日止年度，與可供出售金融資產的公平值收益有關的金額為141.73億</w:t>
      </w:r>
    </w:p>
    <w:p>
      <w:pPr>
        <w:pStyle w:val="FirstParagraph"/>
      </w:pPr>
      <w:r>
        <w:rPr>
          <w:rFonts w:hint="eastAsia"/>
        </w:rPr>
        <w:t xml:space="preserve">美元及與於出售時轉撥至收入的可供出售金融資產的公平值收益有關的金額為6.11億美元。</w:t>
      </w:r>
    </w:p>
    <w:p>
      <w:pPr>
        <w:pStyle w:val="Compact"/>
        <w:numPr>
          <w:ilvl w:val="0"/>
          <w:numId w:val="1160"/>
        </w:numPr>
      </w:pPr>
      <w:r>
        <w:rPr>
          <w:rFonts w:hint="eastAsia"/>
        </w:rPr>
        <w:t xml:space="preserve">2019年1月1日的結餘（如前期呈報）反映採納國際財務報告準則第16號的期初調整，如先前於本集團2019年報的合併財務報表所披露，物業重估</w:t>
      </w:r>
      <w:r>
        <w:br/>
      </w:r>
      <w:r>
        <w:rPr>
          <w:rFonts w:hint="eastAsia"/>
        </w:rPr>
        <w:t xml:space="preserve">準備金及總權益增加4.82億美元。該期初調整因附註48所述的會計政策變更追溯調整減少7,300萬美元。扣除國際財務報告準則第16號期初調整</w:t>
      </w:r>
      <w:r>
        <w:br/>
      </w:r>
      <w:r>
        <w:rPr>
          <w:rFonts w:hint="eastAsia"/>
        </w:rPr>
        <w:t xml:space="preserve">淨額4.09億美元，於2019年1月1日的總權益為408.56億美元。</w:t>
      </w:r>
    </w:p>
    <w:p>
      <w:pPr>
        <w:pStyle w:val="FirstParagraph"/>
      </w:pPr>
      <w:r>
        <w:t xml:space="preserve">137</w:t>
      </w:r>
    </w:p>
    <w:p>
      <w:pPr>
        <w:pStyle w:val="BodyText"/>
      </w:pPr>
      <w:r>
        <w:rPr>
          <w:rFonts w:hint="eastAsia"/>
        </w:rPr>
        <w:t xml:space="preserve">合併權益變動表概覽財務及營運回顧企業管治其他資料財務報表2020年報</w:t>
      </w:r>
    </w:p>
    <w:p>
      <w:pPr>
        <w:pStyle w:val="BodyText"/>
      </w:pPr>
      <w:r>
        <w:rPr>
          <w:rFonts w:hint="eastAsia"/>
        </w:rPr>
        <w:t xml:space="preserve">百萬美元</w:t>
      </w:r>
    </w:p>
    <w:p>
      <w:pPr>
        <w:pStyle w:val="BodyText"/>
      </w:pPr>
      <w:r>
        <w:rPr>
          <w:rFonts w:hint="eastAsia"/>
        </w:rPr>
        <w:t xml:space="preserve">來自經營活動的現金流量</w:t>
      </w:r>
    </w:p>
    <w:p>
      <w:pPr>
        <w:pStyle w:val="BodyText"/>
      </w:pPr>
      <w:r>
        <w:rPr>
          <w:rFonts w:hint="eastAsia"/>
        </w:rPr>
        <w:t xml:space="preserve">稅前溢利</w:t>
      </w:r>
    </w:p>
    <w:p>
      <w:pPr>
        <w:pStyle w:val="BodyText"/>
      </w:pPr>
      <w:r>
        <w:rPr>
          <w:rFonts w:hint="eastAsia"/>
        </w:rPr>
        <w:t xml:space="preserve">調整：</w:t>
      </w:r>
    </w:p>
    <w:p>
      <w:pPr>
        <w:pStyle w:val="BodyText"/>
      </w:pPr>
      <w:r>
        <w:rPr>
          <w:rFonts w:hint="eastAsia"/>
        </w:rPr>
        <w:t xml:space="preserve">金融投資</w:t>
      </w:r>
    </w:p>
    <w:p>
      <w:pPr>
        <w:pStyle w:val="BodyText"/>
      </w:pPr>
      <w:r>
        <w:rPr>
          <w:rFonts w:hint="eastAsia"/>
        </w:rPr>
        <w:t xml:space="preserve">保險及投資合約負債及遞延承保及啟動成本</w:t>
      </w:r>
    </w:p>
    <w:p>
      <w:pPr>
        <w:pStyle w:val="BodyText"/>
      </w:pPr>
      <w:r>
        <w:rPr>
          <w:rFonts w:hint="eastAsia"/>
        </w:rPr>
        <w:t xml:space="preserve">回購及證券外借協議的債項</w:t>
      </w:r>
    </w:p>
    <w:p>
      <w:pPr>
        <w:pStyle w:val="BodyText"/>
      </w:pPr>
      <w:r>
        <w:rPr>
          <w:rFonts w:hint="eastAsia"/>
        </w:rPr>
        <w:t xml:space="preserve">有關收購附屬公司的再保險佣金</w:t>
      </w:r>
    </w:p>
    <w:p>
      <w:pPr>
        <w:pStyle w:val="BodyText"/>
      </w:pPr>
      <w:r>
        <w:rPr>
          <w:rFonts w:hint="eastAsia"/>
        </w:rPr>
        <w:t xml:space="preserve">截至2020年</w:t>
      </w:r>
      <w:r>
        <w:br/>
      </w:r>
      <w:r>
        <w:rPr>
          <w:rFonts w:hint="eastAsia"/>
        </w:rPr>
        <w:t xml:space="preserve">12月31日止</w:t>
      </w:r>
      <w:r>
        <w:br/>
      </w:r>
      <w:r>
        <w:rPr>
          <w:rFonts w:hint="eastAsia"/>
        </w:rPr>
        <w:t xml:space="preserve">年度</w:t>
      </w:r>
    </w:p>
    <w:p>
      <w:pPr>
        <w:pStyle w:val="BodyText"/>
      </w:pPr>
      <w:r>
        <w:rPr>
          <w:rFonts w:hint="eastAsia"/>
        </w:rPr>
        <w:t xml:space="preserve">截至2019年</w:t>
      </w:r>
      <w:r>
        <w:br/>
      </w:r>
      <w:r>
        <w:rPr>
          <w:rFonts w:hint="eastAsia"/>
        </w:rPr>
        <w:t xml:space="preserve">12月31日止</w:t>
      </w:r>
      <w:r>
        <w:br/>
      </w:r>
      <w:r>
        <w:rPr>
          <w:rFonts w:hint="eastAsia"/>
        </w:rPr>
        <w:t xml:space="preserve">年度</w:t>
      </w:r>
      <w:r>
        <w:br/>
      </w:r>
      <w:r>
        <w:rPr>
          <w:rFonts w:hint="eastAsia"/>
        </w:rPr>
        <w:t xml:space="preserve">（經調整）</w:t>
      </w:r>
    </w:p>
    <w:p>
      <w:pPr>
        <w:pStyle w:val="BodyText"/>
      </w:pPr>
      <w:r>
        <w:t xml:space="preserve">7,270</w:t>
      </w:r>
    </w:p>
    <w:p>
      <w:pPr>
        <w:pStyle w:val="BodyText"/>
      </w:pPr>
      <w:r>
        <w:t xml:space="preserve">7,227</w:t>
      </w:r>
    </w:p>
    <w:p>
      <w:pPr>
        <w:pStyle w:val="BodyText"/>
      </w:pPr>
      <w:r>
        <w:t xml:space="preserve">(26,100)</w:t>
      </w:r>
    </w:p>
    <w:p>
      <w:pPr>
        <w:pStyle w:val="BodyText"/>
      </w:pPr>
      <w:r>
        <w:t xml:space="preserve">23,159</w:t>
      </w:r>
    </w:p>
    <w:p>
      <w:pPr>
        <w:pStyle w:val="FirstParagraph"/>
      </w:pPr>
      <w:r>
        <w:t xml:space="preserve">(22,708)</w:t>
      </w:r>
    </w:p>
    <w:p>
      <w:pPr>
        <w:pStyle w:val="BodyText"/>
      </w:pPr>
      <w:r>
        <w:t xml:space="preserve">19,499</w:t>
      </w:r>
    </w:p>
    <w:p>
      <w:pPr>
        <w:pStyle w:val="BodyText"/>
      </w:pPr>
      <w:r>
        <w:t xml:space="preserve">152</w:t>
      </w:r>
    </w:p>
    <w:p>
      <w:pPr>
        <w:pStyle w:val="BodyText"/>
      </w:pPr>
      <w:r>
        <w:t xml:space="preserve">632</w:t>
      </w:r>
    </w:p>
    <w:p>
      <w:pPr>
        <w:pStyle w:val="BodyText"/>
      </w:pPr>
      <w:r>
        <w:rPr>
          <w:rFonts w:hint="eastAsia"/>
        </w:rPr>
        <w:t xml:space="preserve">附註</w:t>
      </w:r>
    </w:p>
    <w:p>
      <w:pPr>
        <w:pStyle w:val="BodyText"/>
      </w:pPr>
      <w:r>
        <w:t xml:space="preserve">31</w:t>
      </w:r>
    </w:p>
    <w:p>
      <w:pPr>
        <w:pStyle w:val="BodyText"/>
      </w:pPr>
      <w:r>
        <w:t xml:space="preserve">5</w:t>
      </w:r>
    </w:p>
    <w:p>
      <w:pPr>
        <w:pStyle w:val="BodyText"/>
      </w:pPr>
      <w:r>
        <w:rPr>
          <w:rFonts w:hint="eastAsia"/>
        </w:rPr>
        <w:t xml:space="preserve">其他非現金營運項目，包括投資收入及匯率變動對若干營運項目的影響</w:t>
      </w:r>
    </w:p>
    <w:p>
      <w:pPr>
        <w:pStyle w:val="BodyText"/>
      </w:pPr>
      <w:r>
        <w:t xml:space="preserve">(8,510)</w:t>
      </w:r>
    </w:p>
    <w:p>
      <w:pPr>
        <w:pStyle w:val="BodyText"/>
      </w:pPr>
      <w:r>
        <w:t xml:space="preserve">(8,220)</w:t>
      </w:r>
    </w:p>
    <w:p>
      <w:pPr>
        <w:pStyle w:val="BodyText"/>
      </w:pPr>
      <w:r>
        <w:rPr>
          <w:rFonts w:hint="eastAsia"/>
        </w:rPr>
        <w:t xml:space="preserve">營運現金項目：</w:t>
      </w:r>
    </w:p>
    <w:p>
      <w:pPr>
        <w:pStyle w:val="BodyText"/>
      </w:pPr>
      <w:r>
        <w:rPr>
          <w:rFonts w:hint="eastAsia"/>
        </w:rPr>
        <w:t xml:space="preserve">已收利息</w:t>
      </w:r>
    </w:p>
    <w:p>
      <w:pPr>
        <w:pStyle w:val="BodyText"/>
      </w:pPr>
      <w:r>
        <w:rPr>
          <w:rFonts w:hint="eastAsia"/>
        </w:rPr>
        <w:t xml:space="preserve">已收股息</w:t>
      </w:r>
    </w:p>
    <w:p>
      <w:pPr>
        <w:pStyle w:val="BodyText"/>
      </w:pPr>
      <w:r>
        <w:rPr>
          <w:rFonts w:hint="eastAsia"/>
        </w:rPr>
        <w:t xml:space="preserve">已付利息</w:t>
      </w:r>
    </w:p>
    <w:p>
      <w:pPr>
        <w:pStyle w:val="BodyText"/>
      </w:pPr>
      <w:r>
        <w:rPr>
          <w:rFonts w:hint="eastAsia"/>
        </w:rPr>
        <w:t xml:space="preserve">已付稅項</w:t>
      </w:r>
    </w:p>
    <w:p>
      <w:pPr>
        <w:pStyle w:val="BodyText"/>
      </w:pPr>
      <w:r>
        <w:rPr>
          <w:rFonts w:hint="eastAsia"/>
        </w:rPr>
        <w:t xml:space="preserve">經營活動提供的現金淨額</w:t>
      </w:r>
    </w:p>
    <w:p>
      <w:pPr>
        <w:pStyle w:val="BodyText"/>
      </w:pPr>
      <w:r>
        <w:rPr>
          <w:rFonts w:hint="eastAsia"/>
        </w:rPr>
        <w:t xml:space="preserve">來自投資活動的現金流量</w:t>
      </w:r>
    </w:p>
    <w:p>
      <w:pPr>
        <w:pStyle w:val="BodyText"/>
      </w:pPr>
      <w:r>
        <w:rPr>
          <w:rFonts w:hint="eastAsia"/>
        </w:rPr>
        <w:t xml:space="preserve">無形資產付款</w:t>
      </w:r>
    </w:p>
    <w:p>
      <w:pPr>
        <w:pStyle w:val="BodyText"/>
      </w:pPr>
      <w:r>
        <w:rPr>
          <w:rFonts w:hint="eastAsia"/>
        </w:rPr>
        <w:t xml:space="preserve">來自聯營公司的分派或股息</w:t>
      </w:r>
    </w:p>
    <w:p>
      <w:pPr>
        <w:pStyle w:val="BodyText"/>
      </w:pPr>
      <w:r>
        <w:rPr>
          <w:rFonts w:hint="eastAsia"/>
        </w:rPr>
        <w:t xml:space="preserve">增加合資公司權益之付款</w:t>
      </w:r>
    </w:p>
    <w:p>
      <w:pPr>
        <w:pStyle w:val="BodyText"/>
      </w:pPr>
      <w:r>
        <w:rPr>
          <w:rFonts w:hint="eastAsia"/>
        </w:rPr>
        <w:t xml:space="preserve">銷售投資物業以及物業、廠房及設備所得款項</w:t>
      </w:r>
    </w:p>
    <w:p>
      <w:pPr>
        <w:pStyle w:val="BodyText"/>
      </w:pPr>
      <w:r>
        <w:rPr>
          <w:rFonts w:hint="eastAsia"/>
        </w:rPr>
        <w:t xml:space="preserve">投資物業以及物業、廠房及設備付款</w:t>
      </w:r>
    </w:p>
    <w:p>
      <w:pPr>
        <w:pStyle w:val="BodyText"/>
      </w:pPr>
      <w:r>
        <w:rPr>
          <w:rFonts w:hint="eastAsia"/>
        </w:rPr>
        <w:t xml:space="preserve">收購附屬公司，已扣除所得現金</w:t>
      </w:r>
    </w:p>
    <w:p>
      <w:pPr>
        <w:pStyle w:val="BodyText"/>
      </w:pPr>
      <w:r>
        <w:rPr>
          <w:rFonts w:hint="eastAsia"/>
        </w:rPr>
        <w:t xml:space="preserve">投資活動使用的現金淨額</w:t>
      </w:r>
    </w:p>
    <w:p>
      <w:pPr>
        <w:pStyle w:val="BodyText"/>
      </w:pPr>
      <w:r>
        <w:rPr>
          <w:rFonts w:hint="eastAsia"/>
        </w:rPr>
        <w:t xml:space="preserve">來自融資活動的現金流量</w:t>
      </w:r>
    </w:p>
    <w:p>
      <w:pPr>
        <w:pStyle w:val="BodyText"/>
      </w:pPr>
      <w:r>
        <w:rPr>
          <w:rFonts w:hint="eastAsia"/>
        </w:rPr>
        <w:t xml:space="preserve">發行中期票據及證券</w:t>
      </w:r>
    </w:p>
    <w:p>
      <w:pPr>
        <w:pStyle w:val="BodyText"/>
      </w:pPr>
      <w:r>
        <w:rPr>
          <w:rFonts w:hint="eastAsia"/>
        </w:rPr>
        <w:t xml:space="preserve">贖回中期票據</w:t>
      </w:r>
    </w:p>
    <w:p>
      <w:pPr>
        <w:pStyle w:val="BodyText"/>
      </w:pPr>
      <w:r>
        <w:rPr>
          <w:rFonts w:hint="eastAsia"/>
        </w:rPr>
        <w:t xml:space="preserve">其他借貸所得款項</w:t>
      </w:r>
    </w:p>
    <w:p>
      <w:pPr>
        <w:pStyle w:val="BodyText"/>
      </w:pPr>
      <w:r>
        <w:rPr>
          <w:rFonts w:hint="eastAsia"/>
        </w:rPr>
        <w:t xml:space="preserve">償還其他借貸</w:t>
      </w:r>
    </w:p>
    <w:p>
      <w:pPr>
        <w:pStyle w:val="BodyText"/>
      </w:pPr>
      <w:r>
        <w:rPr>
          <w:rFonts w:hint="eastAsia"/>
        </w:rPr>
        <w:t xml:space="preserve">收購非控股權益</w:t>
      </w:r>
    </w:p>
    <w:p>
      <w:pPr>
        <w:pStyle w:val="BodyText"/>
      </w:pPr>
      <w:r>
        <w:rPr>
          <w:rFonts w:hint="eastAsia"/>
        </w:rPr>
        <w:t xml:space="preserve">租賃負債付款(1)</w:t>
      </w:r>
    </w:p>
    <w:p>
      <w:pPr>
        <w:pStyle w:val="BodyText"/>
      </w:pPr>
      <w:r>
        <w:rPr>
          <w:rFonts w:hint="eastAsia"/>
        </w:rPr>
        <w:t xml:space="preserve">就中期票據支付的利息</w:t>
      </w:r>
    </w:p>
    <w:p>
      <w:pPr>
        <w:pStyle w:val="BodyText"/>
      </w:pPr>
      <w:r>
        <w:rPr>
          <w:rFonts w:hint="eastAsia"/>
        </w:rPr>
        <w:t xml:space="preserve">年內派付股息</w:t>
      </w:r>
    </w:p>
    <w:p>
      <w:pPr>
        <w:pStyle w:val="BodyText"/>
      </w:pPr>
      <w:r>
        <w:rPr>
          <w:rFonts w:hint="eastAsia"/>
        </w:rPr>
        <w:t xml:space="preserve">注入僱員股票信託的股份</w:t>
      </w:r>
    </w:p>
    <w:p>
      <w:pPr>
        <w:pStyle w:val="BodyText"/>
      </w:pPr>
      <w:r>
        <w:rPr>
          <w:rFonts w:hint="eastAsia"/>
        </w:rPr>
        <w:t xml:space="preserve">根據購股權計劃及代理購股計劃發行的股份</w:t>
      </w:r>
    </w:p>
    <w:p>
      <w:pPr>
        <w:pStyle w:val="BodyText"/>
      </w:pPr>
      <w:r>
        <w:rPr>
          <w:rFonts w:hint="eastAsia"/>
        </w:rPr>
        <w:t xml:space="preserve">融資活動提供</w:t>
      </w:r>
      <w:r>
        <w:t xml:space="preserve"> </w:t>
      </w:r>
      <w:r>
        <w:rPr>
          <w:rFonts w:hint="eastAsia"/>
        </w:rPr>
        <w:t xml:space="preserve">∕（使用）的現金淨額</w:t>
      </w:r>
    </w:p>
    <w:p>
      <w:pPr>
        <w:pStyle w:val="BodyText"/>
      </w:pPr>
      <w:r>
        <w:rPr>
          <w:rFonts w:hint="eastAsia"/>
        </w:rPr>
        <w:t xml:space="preserve">現金及現金等價物增加淨額</w:t>
      </w:r>
    </w:p>
    <w:p>
      <w:pPr>
        <w:pStyle w:val="BodyText"/>
      </w:pPr>
      <w:r>
        <w:rPr>
          <w:rFonts w:hint="eastAsia"/>
        </w:rPr>
        <w:t xml:space="preserve">財政年初的現金及現金等價物</w:t>
      </w:r>
    </w:p>
    <w:p>
      <w:pPr>
        <w:pStyle w:val="BodyText"/>
      </w:pPr>
      <w:r>
        <w:rPr>
          <w:rFonts w:hint="eastAsia"/>
        </w:rPr>
        <w:t xml:space="preserve">匯率變動對現金及現金等價物的影響</w:t>
      </w:r>
    </w:p>
    <w:p>
      <w:pPr>
        <w:pStyle w:val="BodyText"/>
      </w:pPr>
      <w:r>
        <w:rPr>
          <w:rFonts w:hint="eastAsia"/>
        </w:rPr>
        <w:t xml:space="preserve">財政年末的現金及現金等價物</w:t>
      </w:r>
    </w:p>
    <w:p>
      <w:pPr>
        <w:pStyle w:val="BodyText"/>
      </w:pPr>
      <w:r>
        <w:rPr>
          <w:rFonts w:hint="eastAsia"/>
        </w:rPr>
        <w:t xml:space="preserve">附註：</w:t>
      </w:r>
      <w:r>
        <w:br/>
      </w:r>
      <w:r>
        <w:t xml:space="preserve">(1) </w:t>
      </w:r>
      <w:r>
        <w:rPr>
          <w:rFonts w:hint="eastAsia"/>
        </w:rPr>
        <w:t xml:space="preserve">截至2020年12月31日止年度的租賃現金流出總額為1.87億美元（2019年：1.91億美元）。</w:t>
      </w:r>
    </w:p>
    <w:p>
      <w:pPr>
        <w:pStyle w:val="BodyText"/>
      </w:pPr>
      <w:r>
        <w:t xml:space="preserve">138</w:t>
      </w:r>
    </w:p>
    <w:p>
      <w:pPr>
        <w:pStyle w:val="BodyText"/>
      </w:pPr>
      <w:r>
        <w:t xml:space="preserve">15</w:t>
      </w:r>
    </w:p>
    <w:p>
      <w:pPr>
        <w:pStyle w:val="BodyText"/>
      </w:pPr>
      <w:r>
        <w:t xml:space="preserve">16</w:t>
      </w:r>
    </w:p>
    <w:p>
      <w:pPr>
        <w:pStyle w:val="BodyText"/>
      </w:pPr>
      <w:r>
        <w:t xml:space="preserve">16</w:t>
      </w:r>
    </w:p>
    <w:p>
      <w:pPr>
        <w:pStyle w:val="BodyText"/>
      </w:pPr>
      <w:r>
        <w:t xml:space="preserve">17, 18</w:t>
      </w:r>
    </w:p>
    <w:p>
      <w:pPr>
        <w:pStyle w:val="BodyText"/>
      </w:pPr>
      <w:r>
        <w:t xml:space="preserve">17, 18</w:t>
      </w:r>
    </w:p>
    <w:p>
      <w:pPr>
        <w:pStyle w:val="BodyText"/>
      </w:pPr>
      <w:r>
        <w:t xml:space="preserve">5</w:t>
      </w:r>
    </w:p>
    <w:p>
      <w:pPr>
        <w:pStyle w:val="BodyText"/>
      </w:pPr>
      <w:r>
        <w:t xml:space="preserve">30</w:t>
      </w:r>
    </w:p>
    <w:p>
      <w:pPr>
        <w:pStyle w:val="BodyText"/>
      </w:pPr>
      <w:r>
        <w:t xml:space="preserve">30</w:t>
      </w:r>
    </w:p>
    <w:p>
      <w:pPr>
        <w:pStyle w:val="BodyText"/>
      </w:pPr>
      <w:r>
        <w:t xml:space="preserve">30</w:t>
      </w:r>
    </w:p>
    <w:p>
      <w:pPr>
        <w:pStyle w:val="BodyText"/>
      </w:pPr>
      <w:r>
        <w:t xml:space="preserve">30</w:t>
      </w:r>
    </w:p>
    <w:p>
      <w:pPr>
        <w:pStyle w:val="BodyText"/>
      </w:pPr>
      <w:r>
        <w:t xml:space="preserve">7,054</w:t>
      </w:r>
    </w:p>
    <w:p>
      <w:pPr>
        <w:pStyle w:val="BodyText"/>
      </w:pPr>
      <w:r>
        <w:t xml:space="preserve">961</w:t>
      </w:r>
    </w:p>
    <w:p>
      <w:pPr>
        <w:pStyle w:val="FirstParagraph"/>
      </w:pPr>
      <w:r>
        <w:t xml:space="preserve">(1,027)</w:t>
      </w:r>
    </w:p>
    <w:p>
      <w:pPr>
        <w:pStyle w:val="BodyText"/>
      </w:pPr>
      <w:r>
        <w:t xml:space="preserve">2,357</w:t>
      </w:r>
    </w:p>
    <w:p>
      <w:pPr>
        <w:pStyle w:val="FirstParagraph"/>
      </w:pPr>
      <w:r>
        <w:t xml:space="preserve">3</w:t>
      </w:r>
    </w:p>
    <w:p>
      <w:pPr>
        <w:pStyle w:val="FirstParagraph"/>
      </w:pPr>
      <w:r>
        <w:t xml:space="preserve">–</w:t>
      </w:r>
    </w:p>
    <w:p>
      <w:pPr>
        <w:pStyle w:val="FirstParagraph"/>
      </w:pPr>
      <w:r>
        <w:t xml:space="preserve">(1,219)</w:t>
      </w:r>
    </w:p>
    <w:p>
      <w:pPr>
        <w:pStyle w:val="BodyText"/>
      </w:pPr>
      <w:r>
        <w:t xml:space="preserve">2,792</w:t>
      </w:r>
    </w:p>
    <w:p>
      <w:pPr>
        <w:pStyle w:val="BodyText"/>
      </w:pPr>
      <w:r>
        <w:t xml:space="preserve">–</w:t>
      </w:r>
    </w:p>
    <w:p>
      <w:pPr>
        <w:pStyle w:val="BodyText"/>
      </w:pPr>
      <w:r>
        <w:t xml:space="preserve">934</w:t>
      </w:r>
    </w:p>
    <w:p>
      <w:pPr>
        <w:pStyle w:val="FirstParagraph"/>
      </w:pPr>
      <w:r>
        <w:t xml:space="preserve">6,668</w:t>
      </w:r>
    </w:p>
    <w:p>
      <w:pPr>
        <w:pStyle w:val="BodyText"/>
      </w:pPr>
      <w:r>
        <w:t xml:space="preserve">884</w:t>
      </w:r>
    </w:p>
    <w:p>
      <w:pPr>
        <w:pStyle w:val="FirstParagraph"/>
      </w:pPr>
      <w:r>
        <w:t xml:space="preserve">3,337</w:t>
      </w:r>
    </w:p>
    <w:p>
      <w:pPr>
        <w:pStyle w:val="FirstParagraph"/>
      </w:pPr>
      <w:r>
        <w:t xml:space="preserve">3</w:t>
      </w:r>
    </w:p>
    <w:p>
      <w:pPr>
        <w:pStyle w:val="FirstParagraph"/>
      </w:pPr>
      <w:r>
        <w:t xml:space="preserve">190</w:t>
      </w:r>
    </w:p>
    <w:p>
      <w:pPr>
        <w:pStyle w:val="FirstParagraph"/>
      </w:pPr>
      <w:r>
        <w:t xml:space="preserve">1,301</w:t>
      </w:r>
    </w:p>
    <w:p>
      <w:pPr>
        <w:pStyle w:val="FirstParagraph"/>
      </w:pPr>
      <w:r>
        <w:t xml:space="preserve">1,559</w:t>
      </w:r>
    </w:p>
    <w:p>
      <w:pPr>
        <w:pStyle w:val="BodyText"/>
      </w:pPr>
      <w:r>
        <w:t xml:space="preserve">(1,561)</w:t>
      </w:r>
    </w:p>
    <w:p>
      <w:pPr>
        <w:pStyle w:val="FirstParagraph"/>
      </w:pPr>
      <w:r>
        <w:t xml:space="preserve">(2,002)</w:t>
      </w:r>
    </w:p>
    <w:p>
      <w:pPr>
        <w:pStyle w:val="BodyText"/>
      </w:pPr>
      <w:r>
        <w:t xml:space="preserve">(1,982)</w:t>
      </w:r>
    </w:p>
    <w:p>
      <w:pPr>
        <w:pStyle w:val="FirstParagraph"/>
      </w:pPr>
      <w:r>
        <w:t xml:space="preserve">26</w:t>
      </w:r>
    </w:p>
    <w:p>
      <w:pPr>
        <w:pStyle w:val="BodyText"/>
      </w:pPr>
      <w:r>
        <w:t xml:space="preserve">392</w:t>
      </w:r>
    </w:p>
    <w:p>
      <w:pPr>
        <w:pStyle w:val="BodyText"/>
      </w:pPr>
      <w:r>
        <w:t xml:space="preserve">1,530</w:t>
      </w:r>
    </w:p>
    <w:p>
      <w:pPr>
        <w:pStyle w:val="BodyText"/>
      </w:pPr>
      <w:r>
        <w:t xml:space="preserve">3,753</w:t>
      </w:r>
    </w:p>
    <w:p>
      <w:pPr>
        <w:pStyle w:val="BodyText"/>
      </w:pPr>
      <w:r>
        <w:t xml:space="preserve">110</w:t>
      </w:r>
    </w:p>
    <w:p>
      <w:pPr>
        <w:pStyle w:val="BodyText"/>
      </w:pPr>
      <w:r>
        <w:t xml:space="preserve">5,393</w:t>
      </w:r>
    </w:p>
    <w:p>
      <w:pPr>
        <w:pStyle w:val="FirstParagraph"/>
      </w:pPr>
      <w:r>
        <w:t xml:space="preserve">56</w:t>
      </w:r>
    </w:p>
    <w:p>
      <w:pPr>
        <w:pStyle w:val="BodyText"/>
      </w:pPr>
      <w:r>
        <w:t xml:space="preserve">(1,520)</w:t>
      </w:r>
    </w:p>
    <w:p>
      <w:pPr>
        <w:pStyle w:val="BodyText"/>
      </w:pPr>
      <w:r>
        <w:t xml:space="preserve">1,572</w:t>
      </w:r>
    </w:p>
    <w:p>
      <w:pPr>
        <w:pStyle w:val="BodyText"/>
      </w:pPr>
      <w:r>
        <w:t xml:space="preserve">2,146</w:t>
      </w:r>
    </w:p>
    <w:p>
      <w:pPr>
        <w:pStyle w:val="BodyText"/>
      </w:pPr>
      <w:r>
        <w:t xml:space="preserve">35</w:t>
      </w:r>
    </w:p>
    <w:p>
      <w:pPr>
        <w:pStyle w:val="BodyText"/>
      </w:pPr>
      <w:r>
        <w:t xml:space="preserve">3,753</w:t>
      </w:r>
    </w:p>
    <w:p>
      <w:pPr>
        <w:pStyle w:val="BodyText"/>
      </w:pPr>
      <w:r>
        <w:rPr>
          <w:rFonts w:hint="eastAsia"/>
        </w:rPr>
        <w:t xml:space="preserve">合併現金流量表友邦保險控股有限公司</w:t>
      </w:r>
    </w:p>
    <w:p>
      <w:pPr>
        <w:pStyle w:val="BodyText"/>
      </w:pPr>
      <w:r>
        <w:rPr>
          <w:rFonts w:hint="eastAsia"/>
        </w:rPr>
        <w:t xml:space="preserve">上述合併現金流量表的現金及現金等價物進一步分析如下：</w:t>
      </w:r>
    </w:p>
    <w:p>
      <w:pPr>
        <w:pStyle w:val="BodyText"/>
      </w:pPr>
      <w:r>
        <w:rPr>
          <w:rFonts w:hint="eastAsia"/>
        </w:rPr>
        <w:t xml:space="preserve">百萬美元</w:t>
      </w:r>
    </w:p>
    <w:p>
      <w:pPr>
        <w:pStyle w:val="BodyText"/>
      </w:pPr>
      <w:r>
        <w:rPr>
          <w:rFonts w:hint="eastAsia"/>
        </w:rPr>
        <w:t xml:space="preserve">合併財務狀況表的現金及現金等價物</w:t>
      </w:r>
    </w:p>
    <w:p>
      <w:pPr>
        <w:pStyle w:val="BodyText"/>
      </w:pPr>
      <w:r>
        <w:rPr>
          <w:rFonts w:hint="eastAsia"/>
        </w:rPr>
        <w:t xml:space="preserve">銀行透支</w:t>
      </w:r>
    </w:p>
    <w:p>
      <w:pPr>
        <w:pStyle w:val="BodyText"/>
      </w:pPr>
      <w:r>
        <w:rPr>
          <w:rFonts w:hint="eastAsia"/>
        </w:rPr>
        <w:t xml:space="preserve">合併現金流量表的現金及現金等價物</w:t>
      </w:r>
    </w:p>
    <w:p>
      <w:pPr>
        <w:pStyle w:val="BodyText"/>
      </w:pPr>
      <w:r>
        <w:rPr>
          <w:rFonts w:hint="eastAsia"/>
        </w:rPr>
        <w:t xml:space="preserve">附註</w:t>
      </w:r>
    </w:p>
    <w:p>
      <w:pPr>
        <w:pStyle w:val="BodyText"/>
      </w:pPr>
      <w:r>
        <w:t xml:space="preserve">26</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5,619</w:t>
      </w:r>
    </w:p>
    <w:p>
      <w:pPr>
        <w:pStyle w:val="FirstParagraph"/>
      </w:pPr>
      <w:r>
        <w:t xml:space="preserve">5,393</w:t>
      </w:r>
    </w:p>
    <w:p>
      <w:pPr>
        <w:pStyle w:val="BodyText"/>
      </w:pPr>
      <w:r>
        <w:t xml:space="preserve">3,941</w:t>
      </w:r>
    </w:p>
    <w:p>
      <w:pPr>
        <w:pStyle w:val="FirstParagraph"/>
      </w:pPr>
      <w:r>
        <w:t xml:space="preserve">3,753</w:t>
      </w:r>
    </w:p>
    <w:p>
      <w:pPr>
        <w:pStyle w:val="BodyText"/>
      </w:pPr>
      <w:r>
        <w:t xml:space="preserve">139</w:t>
      </w:r>
    </w:p>
    <w:p>
      <w:pPr>
        <w:pStyle w:val="BodyText"/>
      </w:pPr>
      <w:r>
        <w:rPr>
          <w:rFonts w:hint="eastAsia"/>
        </w:rPr>
        <w:t xml:space="preserve">合併現金流量表概覽財務及營運回顧企業管治其他資料財務報表2020年報</w:t>
      </w:r>
    </w:p>
    <w:p>
      <w:pPr>
        <w:pStyle w:val="Compact"/>
        <w:numPr>
          <w:ilvl w:val="0"/>
          <w:numId w:val="1177"/>
        </w:numPr>
      </w:pPr>
      <w:r>
        <w:rPr>
          <w:rFonts w:hint="eastAsia"/>
        </w:rPr>
        <w:t xml:space="preserve">公司資料</w:t>
      </w:r>
    </w:p>
    <w:p>
      <w:pPr>
        <w:pStyle w:val="FirstParagraph"/>
      </w:pPr>
      <w:r>
        <w:rPr>
          <w:rFonts w:hint="eastAsia"/>
        </w:rPr>
        <w:t xml:space="preserve">友邦保險控股有限公司（「本公司」）於2009年8月24日在香港註冊成立為有限公司，其註冊辦事處地址為香港中環干諾道中1</w:t>
      </w:r>
    </w:p>
    <w:p>
      <w:pPr>
        <w:pStyle w:val="BodyText"/>
      </w:pPr>
      <w:r>
        <w:rPr>
          <w:rFonts w:hint="eastAsia"/>
        </w:rPr>
        <w:t xml:space="preserve">號友邦金融中心35樓。</w:t>
      </w:r>
    </w:p>
    <w:p>
      <w:pPr>
        <w:pStyle w:val="BodyText"/>
      </w:pPr>
      <w:r>
        <w:rPr>
          <w:rFonts w:hint="eastAsia"/>
        </w:rPr>
        <w:t xml:space="preserve">友邦保險控股有限公司於香港聯合交易所有限公司主板上市（股份代號為「1299」）；其美國預託證券（一級）於場外交易市場</w:t>
      </w:r>
    </w:p>
    <w:p>
      <w:pPr>
        <w:pStyle w:val="BodyText"/>
      </w:pPr>
      <w:r>
        <w:rPr>
          <w:rFonts w:hint="eastAsia"/>
        </w:rPr>
        <w:t xml:space="preserve">進行買賣（交易編號為「AAGIY」）。</w:t>
      </w:r>
    </w:p>
    <w:p>
      <w:pPr>
        <w:pStyle w:val="BodyText"/>
      </w:pPr>
      <w:r>
        <w:rPr>
          <w:rFonts w:hint="eastAsia"/>
        </w:rPr>
        <w:t xml:space="preserve">友邦保險控股有限公司及其附屬公司（統稱「友邦保險」或「本集團」）是以提供壽險為主的金融服務供應商，業務遍及18個</w:t>
      </w:r>
    </w:p>
    <w:p>
      <w:pPr>
        <w:pStyle w:val="BodyText"/>
      </w:pPr>
      <w:r>
        <w:rPr>
          <w:rFonts w:hint="eastAsia"/>
        </w:rPr>
        <w:t xml:space="preserve">市場。本集團的主要業務為在亞洲區承保壽險業務、提供人壽、意外及醫療保險和儲蓄計劃，以及向其客戶分銷相關投資及</w:t>
      </w:r>
    </w:p>
    <w:p>
      <w:pPr>
        <w:pStyle w:val="BodyText"/>
      </w:pPr>
      <w:r>
        <w:rPr>
          <w:rFonts w:hint="eastAsia"/>
        </w:rPr>
        <w:t xml:space="preserve">其他金融服務產品。</w:t>
      </w:r>
    </w:p>
    <w:p>
      <w:pPr>
        <w:pStyle w:val="Compact"/>
        <w:numPr>
          <w:ilvl w:val="0"/>
          <w:numId w:val="1178"/>
        </w:numPr>
      </w:pPr>
      <w:r>
        <w:rPr>
          <w:rFonts w:hint="eastAsia"/>
        </w:rPr>
        <w:t xml:space="preserve">主要會計政策</w:t>
      </w:r>
    </w:p>
    <w:p>
      <w:pPr>
        <w:pStyle w:val="FirstParagraph"/>
      </w:pPr>
      <w:r>
        <w:t xml:space="preserve">2.1 </w:t>
      </w:r>
      <w:r>
        <w:rPr>
          <w:rFonts w:hint="eastAsia"/>
        </w:rPr>
        <w:t xml:space="preserve">編製基準及合規聲明</w:t>
      </w:r>
    </w:p>
    <w:p>
      <w:pPr>
        <w:pStyle w:val="BodyText"/>
      </w:pPr>
      <w:r>
        <w:rPr>
          <w:rFonts w:hint="eastAsia"/>
        </w:rPr>
        <w:t xml:space="preserve">合併財務報表乃根據所有適用的香港財務報告準則、國際財務報告準則及香港《公司條例》所編製。國際財務報告準則大致</w:t>
      </w:r>
    </w:p>
    <w:p>
      <w:pPr>
        <w:pStyle w:val="BodyText"/>
      </w:pPr>
      <w:r>
        <w:rPr>
          <w:rFonts w:hint="eastAsia"/>
        </w:rPr>
        <w:t xml:space="preserve">與香港財務報告準則一致，本集團編製此等合併財務報表時選擇的會計政策致使本集團可同時遵守香港財務報告準則及國際</w:t>
      </w:r>
    </w:p>
    <w:p>
      <w:pPr>
        <w:pStyle w:val="BodyText"/>
      </w:pPr>
      <w:r>
        <w:rPr>
          <w:rFonts w:hint="eastAsia"/>
        </w:rPr>
        <w:t xml:space="preserve">財務報告準則。此等合併財務報表中對國際財務報告準則、國際會計準則及國際財務報告詮釋委員會制訂的詮釋的引用，應</w:t>
      </w:r>
    </w:p>
    <w:p>
      <w:pPr>
        <w:pStyle w:val="BodyText"/>
      </w:pPr>
      <w:r>
        <w:rPr>
          <w:rFonts w:hint="eastAsia"/>
        </w:rPr>
        <w:t xml:space="preserve">視為引用相應的香港財務報告準則、香港會計準則及香港（國際財務報告詮釋委員會）的詮釋（視情況而定）。因此，當中並</w:t>
      </w:r>
    </w:p>
    <w:p>
      <w:pPr>
        <w:pStyle w:val="BodyText"/>
      </w:pPr>
      <w:r>
        <w:rPr>
          <w:rFonts w:hint="eastAsia"/>
        </w:rPr>
        <w:t xml:space="preserve">不存在任何香港財務報告準則與國際財務報告準則間的會計慣例差別，而影響此等合併財務報表。</w:t>
      </w:r>
    </w:p>
    <w:p>
      <w:pPr>
        <w:pStyle w:val="BodyText"/>
      </w:pPr>
      <w:r>
        <w:rPr>
          <w:rFonts w:hint="eastAsia"/>
        </w:rPr>
        <w:t xml:space="preserve">合併財務報表於2021年3月12日已獲董事會核准刊發。</w:t>
      </w:r>
    </w:p>
    <w:p>
      <w:pPr>
        <w:pStyle w:val="BodyText"/>
      </w:pPr>
      <w:r>
        <w:rPr>
          <w:rFonts w:hint="eastAsia"/>
        </w:rPr>
        <w:t xml:space="preserve">合併財務報表已採用歷史成本法編製，並就可供出售金融資產、指定按公平值計入損益的若干金融資產及負債、衍生金融工</w:t>
      </w:r>
    </w:p>
    <w:p>
      <w:pPr>
        <w:pStyle w:val="BodyText"/>
      </w:pPr>
      <w:r>
        <w:rPr>
          <w:rFonts w:hint="eastAsia"/>
        </w:rPr>
        <w:t xml:space="preserve">具、持作自用物業以及投資物業（均以公平值列賬）的重估作出修訂。</w:t>
      </w:r>
    </w:p>
    <w:p>
      <w:pPr>
        <w:pStyle w:val="BodyText"/>
      </w:pPr>
      <w:r>
        <w:rPr>
          <w:rFonts w:hint="eastAsia"/>
        </w:rPr>
        <w:t xml:space="preserve">本集團各實體於合併財務報表所列項目，乃以該實體營運所在的主要經濟環境的貨幣（功能貨幣）計量。本公司的功能貨幣</w:t>
      </w:r>
    </w:p>
    <w:p>
      <w:pPr>
        <w:pStyle w:val="BodyText"/>
      </w:pPr>
      <w:r>
        <w:rPr>
          <w:rFonts w:hint="eastAsia"/>
        </w:rPr>
        <w:t xml:space="preserve">及本公司與本集團的呈列貨幣為美元。除另有說明外，合併財務報表乃以百萬美元呈列。</w:t>
      </w:r>
    </w:p>
    <w:p>
      <w:pPr>
        <w:pStyle w:val="BodyText"/>
      </w:pPr>
      <w:r>
        <w:rPr>
          <w:rFonts w:hint="eastAsia"/>
        </w:rPr>
        <w:t xml:space="preserve">除下文及附註48所述外，採納的會計政策與以往財政年度所採納的一致。</w:t>
      </w:r>
    </w:p>
    <w:p>
      <w:pPr>
        <w:pStyle w:val="BodyText"/>
      </w:pPr>
      <w:r>
        <w:t xml:space="preserve">140</w:t>
      </w:r>
    </w:p>
    <w:p>
      <w:pPr>
        <w:pStyle w:val="BodyText"/>
      </w:pPr>
      <w:r>
        <w:rPr>
          <w:rFonts w:hint="eastAsia"/>
        </w:rPr>
        <w:t xml:space="preserve">合併財務報表附註及主要會計政策友邦保險控股有限公司</w:t>
      </w:r>
    </w:p>
    <w:p>
      <w:pPr>
        <w:pStyle w:val="Compact"/>
        <w:numPr>
          <w:ilvl w:val="0"/>
          <w:numId w:val="1179"/>
        </w:numPr>
      </w:pPr>
      <w:r>
        <w:rPr>
          <w:rFonts w:hint="eastAsia"/>
        </w:rPr>
        <w:t xml:space="preserve">主要會計政策（續）</w:t>
      </w:r>
    </w:p>
    <w:p>
      <w:pPr>
        <w:pStyle w:val="FirstParagraph"/>
      </w:pPr>
      <w:r>
        <w:t xml:space="preserve">2.1 </w:t>
      </w:r>
      <w:r>
        <w:rPr>
          <w:rFonts w:hint="eastAsia"/>
        </w:rPr>
        <w:t xml:space="preserve">編製基準及合規聲明（續）</w:t>
      </w:r>
    </w:p>
    <w:p>
      <w:pPr>
        <w:pStyle w:val="Compact"/>
        <w:numPr>
          <w:ilvl w:val="0"/>
          <w:numId w:val="1180"/>
        </w:numPr>
      </w:pPr>
      <w:r>
        <w:rPr>
          <w:rFonts w:hint="eastAsia"/>
        </w:rPr>
        <w:t xml:space="preserve">下列準則及修訂於截至2020年12月31日止財政年度生效，惟本集團選擇採用臨時豁免（詳見下文）：</w:t>
      </w:r>
    </w:p>
    <w:p>
      <w:pPr>
        <w:pStyle w:val="FirstParagraph"/>
      </w:pPr>
      <w:r>
        <w:t xml:space="preserve">• </w:t>
      </w:r>
      <w:r>
        <w:rPr>
          <w:rFonts w:hint="eastAsia"/>
        </w:rPr>
        <w:t xml:space="preserve">國際財務報告準則第9號，「金融工具」，闡述金融資產及金融負債的分類、計量及確認。國際財務報告準則第9號規</w:t>
      </w:r>
    </w:p>
    <w:p>
      <w:pPr>
        <w:pStyle w:val="BodyText"/>
      </w:pPr>
      <w:r>
        <w:rPr>
          <w:rFonts w:hint="eastAsia"/>
        </w:rPr>
        <w:t xml:space="preserve">定金融資產分類為單獨的計量類別：按公平值計量且其變動計入損益(FVTPL)或計入其他全面收入(FVOCI)類別及按攤</w:t>
      </w:r>
    </w:p>
    <w:p>
      <w:pPr>
        <w:pStyle w:val="BodyText"/>
      </w:pPr>
      <w:r>
        <w:rPr>
          <w:rFonts w:hint="eastAsia"/>
        </w:rPr>
        <w:t xml:space="preserve">銷成本計量類別。該分類根據實體管理其金融工具的業務模式及該金融工具的合約現金流量特點於初次確認時釐定。</w:t>
      </w:r>
    </w:p>
    <w:p>
      <w:pPr>
        <w:pStyle w:val="BodyText"/>
      </w:pPr>
      <w:r>
        <w:rPr>
          <w:rFonts w:hint="eastAsia"/>
        </w:rPr>
        <w:t xml:space="preserve">倘若可消除或大幅減低會計錯配，於初次確認時亦可選擇不可撤回地將原本符合按攤銷成本或FVOCI計量的金融資產</w:t>
      </w:r>
    </w:p>
    <w:p>
      <w:pPr>
        <w:pStyle w:val="BodyText"/>
      </w:pPr>
      <w:r>
        <w:rPr>
          <w:rFonts w:hint="eastAsia"/>
        </w:rPr>
        <w:t xml:space="preserve">指定為FVTPL。此外，經過修訂的預期信貸虧損模式取代國際會計準則第39號的已產生虧損減值模式。就金融負債而</w:t>
      </w:r>
    </w:p>
    <w:p>
      <w:pPr>
        <w:pStyle w:val="BodyText"/>
      </w:pPr>
      <w:r>
        <w:rPr>
          <w:rFonts w:hint="eastAsia"/>
        </w:rPr>
        <w:t xml:space="preserve">言，該準則保留了國際會計準則第39號的大部分規定。該準則的主要變動為，倘金融負債以公平值列賬，除非會造成</w:t>
      </w:r>
    </w:p>
    <w:p>
      <w:pPr>
        <w:pStyle w:val="BodyText"/>
      </w:pPr>
      <w:r>
        <w:rPr>
          <w:rFonts w:hint="eastAsia"/>
        </w:rPr>
        <w:t xml:space="preserve">會計錯配，否則由於實體本身的信貸風險而產生的公平值變動部分須計入其他全面收入而非計入損益。此外，該新準</w:t>
      </w:r>
    </w:p>
    <w:p>
      <w:pPr>
        <w:pStyle w:val="BodyText"/>
      </w:pPr>
      <w:r>
        <w:rPr>
          <w:rFonts w:hint="eastAsia"/>
        </w:rPr>
        <w:t xml:space="preserve">則修訂了對沖會計模式，以更密切地與實體的風險管理策略達成一致。國際會計準則理事會對國際財務報告準則第9</w:t>
      </w:r>
    </w:p>
    <w:p>
      <w:pPr>
        <w:pStyle w:val="BodyText"/>
      </w:pPr>
      <w:r>
        <w:rPr>
          <w:rFonts w:hint="eastAsia"/>
        </w:rPr>
        <w:t xml:space="preserve">號的其中兩項作出進一步修訂。含倘若現金流量僅為支付本金及利息以及業務模式為「持有以收取」或「持有以收取</w:t>
      </w:r>
    </w:p>
    <w:p>
      <w:pPr>
        <w:pStyle w:val="BodyText"/>
      </w:pPr>
      <w:r>
        <w:rPr>
          <w:rFonts w:hint="eastAsia"/>
        </w:rPr>
        <w:t xml:space="preserve">及出售」具有負補償的預付款項特性的金融資產可按攤銷成本或FVOCI計量。非重大的修訂或不會導致終止確認的金</w:t>
      </w:r>
    </w:p>
    <w:p>
      <w:pPr>
        <w:pStyle w:val="BodyText"/>
      </w:pPr>
      <w:r>
        <w:rPr>
          <w:rFonts w:hint="eastAsia"/>
        </w:rPr>
        <w:t xml:space="preserve">融負債交換須於損益確認。本集團正對該新準則進行詳細評估。</w:t>
      </w:r>
    </w:p>
    <w:p>
      <w:pPr>
        <w:pStyle w:val="BodyText"/>
      </w:pPr>
      <w:r>
        <w:rPr>
          <w:rFonts w:hint="eastAsia"/>
        </w:rPr>
        <w:t xml:space="preserve">該準則於2018年1月1日或之後開始的財政期間強制生效（惟具有負補償的預付款項特性及修訂不會導致終止確認的金</w:t>
      </w:r>
    </w:p>
    <w:p>
      <w:pPr>
        <w:pStyle w:val="BodyText"/>
      </w:pPr>
      <w:r>
        <w:rPr>
          <w:rFonts w:hint="eastAsia"/>
        </w:rPr>
        <w:t xml:space="preserve">融負債交換除外，彼等於2019年1月1日或之後開始的財政期間生效），但如下文所述，本集團符合臨時豁免資格。</w:t>
      </w:r>
    </w:p>
    <w:p>
      <w:pPr>
        <w:pStyle w:val="BodyText"/>
      </w:pPr>
      <w:r>
        <w:t xml:space="preserve">• </w:t>
      </w:r>
      <w:r>
        <w:rPr>
          <w:rFonts w:hint="eastAsia"/>
        </w:rPr>
        <w:t xml:space="preserve">國際會計準則理事會於2016年9月12日頒佈對國際財務報告準則第4號的修訂，「保險合約，應用國際財務報告準則第</w:t>
      </w:r>
    </w:p>
    <w:p>
      <w:pPr>
        <w:pStyle w:val="BodyText"/>
      </w:pPr>
      <w:r>
        <w:rPr>
          <w:rFonts w:hint="eastAsia"/>
        </w:rPr>
        <w:t xml:space="preserve">9號金融工具與國際財務報告準則第4號」，為解決國際財務報告準則第9號及國際財務報告準則第17號，「保險合約」</w:t>
      </w:r>
    </w:p>
    <w:p>
      <w:pPr>
        <w:pStyle w:val="BodyText"/>
      </w:pPr>
      <w:r>
        <w:rPr>
          <w:rFonts w:hint="eastAsia"/>
        </w:rPr>
        <w:t xml:space="preserve">的不同生效日期提供兩個選擇方案。該等方案包括：如主要業務涉及保險的公司，可選擇（稱為「延後法」）將國際財</w:t>
      </w:r>
    </w:p>
    <w:p>
      <w:pPr>
        <w:pStyle w:val="BodyText"/>
      </w:pPr>
      <w:r>
        <w:rPr>
          <w:rFonts w:hint="eastAsia"/>
        </w:rPr>
        <w:t xml:space="preserve">務報告準則第9號的生效日期推遲至國際財務報告準則第17號的生效日期與於2021年1月1日或之後開始的財政報告期</w:t>
      </w:r>
    </w:p>
    <w:p>
      <w:pPr>
        <w:pStyle w:val="BodyText"/>
      </w:pPr>
      <w:r>
        <w:rPr>
          <w:rFonts w:hint="eastAsia"/>
        </w:rPr>
        <w:t xml:space="preserve">間兩者中的較早日期，以及允許實體將由國際財務報告準則第17號應用前可能產生的若干會計錯配影響從損益中剔</w:t>
      </w:r>
    </w:p>
    <w:p>
      <w:pPr>
        <w:pStyle w:val="BodyText"/>
      </w:pPr>
      <w:r>
        <w:rPr>
          <w:rFonts w:hint="eastAsia"/>
        </w:rPr>
        <w:t xml:space="preserve">除。於2020年6月25日，國際會計準則理事會頒布對國際財務報告準則第4號及國際財務報告準則第17號的修訂，國</w:t>
      </w:r>
    </w:p>
    <w:p>
      <w:pPr>
        <w:pStyle w:val="BodyText"/>
      </w:pPr>
      <w:r>
        <w:rPr>
          <w:rFonts w:hint="eastAsia"/>
        </w:rPr>
        <w:t xml:space="preserve">際財務報告準則第17號的生效日期將推遲至2023年1月1日或之後開始的年度報告期間，及部分保險公司（包括本集</w:t>
      </w:r>
    </w:p>
    <w:p>
      <w:pPr>
        <w:pStyle w:val="BodyText"/>
      </w:pPr>
      <w:r>
        <w:rPr>
          <w:rFonts w:hint="eastAsia"/>
        </w:rPr>
        <w:t xml:space="preserve">團）現時有關應用國際財務報告準則第9號的豁免將繼續生效以使國際財務報告準則第9號及國際財務報告準則第17號</w:t>
      </w:r>
    </w:p>
    <w:p>
      <w:pPr>
        <w:pStyle w:val="BodyText"/>
      </w:pPr>
      <w:r>
        <w:rPr>
          <w:rFonts w:hint="eastAsia"/>
        </w:rPr>
        <w:t xml:space="preserve">能夠同時實施。</w:t>
      </w:r>
    </w:p>
    <w:p>
      <w:pPr>
        <w:pStyle w:val="BodyText"/>
      </w:pPr>
      <w:r>
        <w:t xml:space="preserve">141</w:t>
      </w:r>
    </w:p>
    <w:p>
      <w:pPr>
        <w:pStyle w:val="BodyText"/>
      </w:pPr>
      <w:r>
        <w:rPr>
          <w:rFonts w:hint="eastAsia"/>
        </w:rPr>
        <w:t xml:space="preserve">概覽財務及營運回顧企業管治其他資料財務報表2020年報</w:t>
      </w:r>
    </w:p>
    <w:p>
      <w:pPr>
        <w:pStyle w:val="Compact"/>
        <w:numPr>
          <w:ilvl w:val="0"/>
          <w:numId w:val="1181"/>
        </w:numPr>
      </w:pPr>
      <w:r>
        <w:rPr>
          <w:rFonts w:hint="eastAsia"/>
        </w:rPr>
        <w:t xml:space="preserve">主要會計政策（續）</w:t>
      </w:r>
    </w:p>
    <w:p>
      <w:pPr>
        <w:pStyle w:val="FirstParagraph"/>
      </w:pPr>
      <w:r>
        <w:t xml:space="preserve">2.1 </w:t>
      </w:r>
      <w:r>
        <w:rPr>
          <w:rFonts w:hint="eastAsia"/>
        </w:rPr>
        <w:t xml:space="preserve">編製基準及合規聲明（續）</w:t>
      </w:r>
    </w:p>
    <w:p>
      <w:pPr>
        <w:pStyle w:val="Compact"/>
        <w:numPr>
          <w:ilvl w:val="0"/>
          <w:numId w:val="1182"/>
        </w:numPr>
      </w:pPr>
      <w:r>
        <w:rPr>
          <w:rFonts w:hint="eastAsia"/>
        </w:rPr>
        <w:t xml:space="preserve">下列準則及修訂於截至2020年12月31日止財政年度生效，惟本集團選擇採用臨時豁免（詳見下文）：（續）</w:t>
      </w:r>
    </w:p>
    <w:p>
      <w:pPr>
        <w:pStyle w:val="FirstParagraph"/>
      </w:pPr>
      <w:r>
        <w:rPr>
          <w:rFonts w:hint="eastAsia"/>
        </w:rPr>
        <w:t xml:space="preserve">本集團已進行首次資格評估且符合國際財務報告準則第9號有關延後法的規定，因此決定將國際財務報告準則第9號應</w:t>
      </w:r>
    </w:p>
    <w:p>
      <w:pPr>
        <w:pStyle w:val="BodyText"/>
      </w:pPr>
      <w:r>
        <w:rPr>
          <w:rFonts w:hint="eastAsia"/>
        </w:rPr>
        <w:t xml:space="preserve">用於2023年1月1日開始的年度報告期間。於首次資格評估後，本集團的業務並無出現任何導致需要就應用延後法的</w:t>
      </w:r>
    </w:p>
    <w:p>
      <w:pPr>
        <w:pStyle w:val="BodyText"/>
      </w:pPr>
      <w:r>
        <w:rPr>
          <w:rFonts w:hint="eastAsia"/>
        </w:rPr>
        <w:t xml:space="preserve">資格測試作重新評估的變動。有關資格評估的進一步詳情載於本集團2019年報的合併財務報表。以下為與延後法有</w:t>
      </w:r>
    </w:p>
    <w:p>
      <w:pPr>
        <w:pStyle w:val="BodyText"/>
      </w:pPr>
      <w:r>
        <w:rPr>
          <w:rFonts w:hint="eastAsia"/>
        </w:rPr>
        <w:t xml:space="preserve">關的金融資產的其他資料說明：</w:t>
      </w:r>
    </w:p>
    <w:p>
      <w:pPr>
        <w:pStyle w:val="BodyText"/>
      </w:pPr>
      <w:r>
        <w:rPr>
          <w:rFonts w:hint="eastAsia"/>
        </w:rPr>
        <w:t xml:space="preserve">本集團的金融資產分為以下兩個組別：</w:t>
      </w:r>
    </w:p>
    <w:p>
      <w:pPr>
        <w:pStyle w:val="Compact"/>
        <w:numPr>
          <w:ilvl w:val="0"/>
          <w:numId w:val="1183"/>
        </w:numPr>
      </w:pPr>
      <w:r>
        <w:rPr>
          <w:rFonts w:hint="eastAsia"/>
        </w:rPr>
        <w:t xml:space="preserve">根據國際財務報告準則第9號，金融資產具有「僅為支付本金及利息」(SPPI)的現金流量，而且並非持作買賣或按</w:t>
      </w:r>
    </w:p>
    <w:p>
      <w:pPr>
        <w:pStyle w:val="FirstParagraph"/>
      </w:pPr>
      <w:r>
        <w:rPr>
          <w:rFonts w:hint="eastAsia"/>
        </w:rPr>
        <w:t xml:space="preserve">公平值基準管理；及</w:t>
      </w:r>
    </w:p>
    <w:p>
      <w:pPr>
        <w:pStyle w:val="Compact"/>
        <w:numPr>
          <w:ilvl w:val="0"/>
          <w:numId w:val="1184"/>
        </w:numPr>
      </w:pPr>
      <w:r>
        <w:rPr>
          <w:rFonts w:hint="eastAsia"/>
        </w:rPr>
        <w:t xml:space="preserve">(i)中所指明者以外的所有金融資產。</w:t>
      </w:r>
    </w:p>
    <w:p>
      <w:pPr>
        <w:pStyle w:val="FirstParagraph"/>
      </w:pPr>
      <w:r>
        <w:rPr>
          <w:rFonts w:hint="eastAsia"/>
        </w:rPr>
        <w:t xml:space="preserve">下表列示該等兩個組別的金融資產的公平值及公平值變動：</w:t>
      </w:r>
    </w:p>
    <w:p>
      <w:pPr>
        <w:pStyle w:val="BodyText"/>
      </w:pPr>
      <w:r>
        <w:rPr>
          <w:rFonts w:hint="eastAsia"/>
        </w:rPr>
        <w:t xml:space="preserve">於2020年12月31日的公平值</w:t>
      </w:r>
    </w:p>
    <w:p>
      <w:pPr>
        <w:pStyle w:val="BodyText"/>
      </w:pPr>
      <w:r>
        <w:rPr>
          <w:rFonts w:hint="eastAsia"/>
        </w:rPr>
        <w:t xml:space="preserve">截至2020年12月31日止年度的公平值變動</w:t>
      </w:r>
    </w:p>
    <w:p>
      <w:pPr>
        <w:pStyle w:val="BodyText"/>
      </w:pPr>
      <w:r>
        <w:rPr>
          <w:rFonts w:hint="eastAsia"/>
        </w:rPr>
        <w:t xml:space="preserve">符合SPPI準則及並非</w:t>
      </w:r>
      <w:r>
        <w:br/>
      </w:r>
      <w:r>
        <w:rPr>
          <w:rFonts w:hint="eastAsia"/>
        </w:rPr>
        <w:t xml:space="preserve">持作買賣或按公平值</w:t>
      </w:r>
      <w:r>
        <w:br/>
      </w:r>
      <w:r>
        <w:rPr>
          <w:rFonts w:hint="eastAsia"/>
        </w:rPr>
        <w:t xml:space="preserve">基準管理之金融資產</w:t>
      </w:r>
    </w:p>
    <w:p>
      <w:pPr>
        <w:pStyle w:val="BodyText"/>
      </w:pPr>
      <w:r>
        <w:rPr>
          <w:rFonts w:hint="eastAsia"/>
        </w:rPr>
        <w:t xml:space="preserve">其他</w:t>
      </w:r>
    </w:p>
    <w:p>
      <w:pPr>
        <w:pStyle w:val="BodyText"/>
      </w:pPr>
      <w:r>
        <w:rPr>
          <w:rFonts w:hint="eastAsia"/>
        </w:rPr>
        <w:t xml:space="preserve">總計</w:t>
      </w:r>
    </w:p>
    <w:p>
      <w:pPr>
        <w:pStyle w:val="BodyText"/>
      </w:pPr>
      <w:r>
        <w:rPr>
          <w:rFonts w:hint="eastAsia"/>
        </w:rPr>
        <w:t xml:space="preserve">符合SPPI準則及並非</w:t>
      </w:r>
      <w:r>
        <w:br/>
      </w:r>
      <w:r>
        <w:rPr>
          <w:rFonts w:hint="eastAsia"/>
        </w:rPr>
        <w:t xml:space="preserve">持作買賣或按公平值</w:t>
      </w:r>
      <w:r>
        <w:br/>
      </w:r>
      <w:r>
        <w:rPr>
          <w:rFonts w:hint="eastAsia"/>
        </w:rPr>
        <w:t xml:space="preserve">基準管理之金融資產</w:t>
      </w:r>
    </w:p>
    <w:p>
      <w:pPr>
        <w:pStyle w:val="BodyText"/>
      </w:pPr>
      <w:r>
        <w:rPr>
          <w:rFonts w:hint="eastAsia"/>
        </w:rPr>
        <w:t xml:space="preserve">其他</w:t>
      </w:r>
    </w:p>
    <w:p>
      <w:pPr>
        <w:pStyle w:val="BodyText"/>
      </w:pPr>
      <w:r>
        <w:rPr>
          <w:rFonts w:hint="eastAsia"/>
        </w:rPr>
        <w:t xml:space="preserve">總計</w:t>
      </w:r>
    </w:p>
    <w:p>
      <w:pPr>
        <w:pStyle w:val="BodyText"/>
      </w:pPr>
      <w:r>
        <w:t xml:space="preserve">192,362</w:t>
      </w:r>
    </w:p>
    <w:p>
      <w:pPr>
        <w:pStyle w:val="BodyText"/>
      </w:pPr>
      <w:r>
        <w:t xml:space="preserve">9,519</w:t>
      </w:r>
    </w:p>
    <w:p>
      <w:pPr>
        <w:pStyle w:val="BodyText"/>
      </w:pPr>
      <w:r>
        <w:t xml:space="preserve">201,881</w:t>
      </w:r>
    </w:p>
    <w:p>
      <w:pPr>
        <w:pStyle w:val="BodyText"/>
      </w:pPr>
      <w:r>
        <w:t xml:space="preserve">13,001(1) 60,397(2)</w:t>
      </w:r>
    </w:p>
    <w:p>
      <w:pPr>
        <w:pStyle w:val="BodyText"/>
      </w:pPr>
      <w:r>
        <w:t xml:space="preserve">73,398</w:t>
      </w:r>
    </w:p>
    <w:p>
      <w:pPr>
        <w:pStyle w:val="BodyText"/>
      </w:pPr>
      <w:r>
        <w:t xml:space="preserve">205,363</w:t>
      </w:r>
    </w:p>
    <w:p>
      <w:pPr>
        <w:pStyle w:val="BodyText"/>
      </w:pPr>
      <w:r>
        <w:t xml:space="preserve">69,916</w:t>
      </w:r>
    </w:p>
    <w:p>
      <w:pPr>
        <w:pStyle w:val="BodyText"/>
      </w:pPr>
      <w:r>
        <w:t xml:space="preserve">275,279</w:t>
      </w:r>
    </w:p>
    <w:p>
      <w:pPr>
        <w:pStyle w:val="BodyText"/>
      </w:pPr>
      <w:r>
        <w:t xml:space="preserve">9,181</w:t>
      </w:r>
    </w:p>
    <w:p>
      <w:pPr>
        <w:pStyle w:val="BodyText"/>
      </w:pPr>
      <w:r>
        <w:t xml:space="preserve">–</w:t>
      </w:r>
    </w:p>
    <w:p>
      <w:pPr>
        <w:pStyle w:val="BodyText"/>
      </w:pPr>
      <w:r>
        <w:t xml:space="preserve">9,181</w:t>
      </w:r>
    </w:p>
    <w:p>
      <w:pPr>
        <w:pStyle w:val="BodyText"/>
      </w:pPr>
      <w:r>
        <w:t xml:space="preserve">223</w:t>
      </w:r>
    </w:p>
    <w:p>
      <w:pPr>
        <w:pStyle w:val="BodyText"/>
      </w:pPr>
      <w:r>
        <w:t xml:space="preserve">6,394</w:t>
      </w:r>
    </w:p>
    <w:p>
      <w:pPr>
        <w:pStyle w:val="BodyText"/>
      </w:pPr>
      <w:r>
        <w:t xml:space="preserve">6,617</w:t>
      </w:r>
    </w:p>
    <w:p>
      <w:pPr>
        <w:pStyle w:val="BodyText"/>
      </w:pPr>
      <w:r>
        <w:t xml:space="preserve">9,404</w:t>
      </w:r>
    </w:p>
    <w:p>
      <w:pPr>
        <w:pStyle w:val="BodyText"/>
      </w:pPr>
      <w:r>
        <w:t xml:space="preserve">6,394</w:t>
      </w:r>
    </w:p>
    <w:p>
      <w:pPr>
        <w:pStyle w:val="BodyText"/>
      </w:pPr>
      <w:r>
        <w:t xml:space="preserve">15,798</w:t>
      </w:r>
    </w:p>
    <w:p>
      <w:pPr>
        <w:pStyle w:val="BodyText"/>
      </w:pPr>
      <w:r>
        <w:rPr>
          <w:rFonts w:hint="eastAsia"/>
        </w:rPr>
        <w:t xml:space="preserve">於2019年12月31日的公平值</w:t>
      </w:r>
    </w:p>
    <w:p>
      <w:pPr>
        <w:pStyle w:val="BodyText"/>
      </w:pPr>
      <w:r>
        <w:rPr>
          <w:rFonts w:hint="eastAsia"/>
        </w:rPr>
        <w:t xml:space="preserve">截至2019年12月31日止年度的公平值變動</w:t>
      </w:r>
    </w:p>
    <w:p>
      <w:pPr>
        <w:pStyle w:val="BodyText"/>
      </w:pPr>
      <w:r>
        <w:rPr>
          <w:rFonts w:hint="eastAsia"/>
        </w:rPr>
        <w:t xml:space="preserve">符合SPPI準則及並非</w:t>
      </w:r>
      <w:r>
        <w:br/>
      </w:r>
      <w:r>
        <w:rPr>
          <w:rFonts w:hint="eastAsia"/>
        </w:rPr>
        <w:t xml:space="preserve">持作買賣或按公平值</w:t>
      </w:r>
      <w:r>
        <w:br/>
      </w:r>
      <w:r>
        <w:rPr>
          <w:rFonts w:hint="eastAsia"/>
        </w:rPr>
        <w:t xml:space="preserve">基準管理之金融資產</w:t>
      </w:r>
    </w:p>
    <w:p>
      <w:pPr>
        <w:pStyle w:val="BodyText"/>
      </w:pPr>
      <w:r>
        <w:rPr>
          <w:rFonts w:hint="eastAsia"/>
        </w:rPr>
        <w:t xml:space="preserve">其他</w:t>
      </w:r>
    </w:p>
    <w:p>
      <w:pPr>
        <w:pStyle w:val="BodyText"/>
      </w:pPr>
      <w:r>
        <w:rPr>
          <w:rFonts w:hint="eastAsia"/>
        </w:rPr>
        <w:t xml:space="preserve">總計</w:t>
      </w:r>
    </w:p>
    <w:p>
      <w:pPr>
        <w:pStyle w:val="BodyText"/>
      </w:pPr>
      <w:r>
        <w:rPr>
          <w:rFonts w:hint="eastAsia"/>
        </w:rPr>
        <w:t xml:space="preserve">符合SPPI準則及並非</w:t>
      </w:r>
      <w:r>
        <w:br/>
      </w:r>
      <w:r>
        <w:rPr>
          <w:rFonts w:hint="eastAsia"/>
        </w:rPr>
        <w:t xml:space="preserve">持作買賣或按公平值</w:t>
      </w:r>
      <w:r>
        <w:br/>
      </w:r>
      <w:r>
        <w:rPr>
          <w:rFonts w:hint="eastAsia"/>
        </w:rPr>
        <w:t xml:space="preserve">基準管理之金融資產</w:t>
      </w:r>
    </w:p>
    <w:p>
      <w:pPr>
        <w:pStyle w:val="BodyText"/>
      </w:pPr>
      <w:r>
        <w:rPr>
          <w:rFonts w:hint="eastAsia"/>
        </w:rPr>
        <w:t xml:space="preserve">其他</w:t>
      </w:r>
    </w:p>
    <w:p>
      <w:pPr>
        <w:pStyle w:val="BodyText"/>
      </w:pPr>
      <w:r>
        <w:rPr>
          <w:rFonts w:hint="eastAsia"/>
        </w:rPr>
        <w:t xml:space="preserve">總計</w:t>
      </w:r>
    </w:p>
    <w:p>
      <w:pPr>
        <w:pStyle w:val="BodyText"/>
      </w:pPr>
      <w:r>
        <w:t xml:space="preserve">162,997</w:t>
      </w:r>
    </w:p>
    <w:p>
      <w:pPr>
        <w:pStyle w:val="BodyText"/>
      </w:pPr>
      <w:r>
        <w:t xml:space="preserve">8,987</w:t>
      </w:r>
    </w:p>
    <w:p>
      <w:pPr>
        <w:pStyle w:val="BodyText"/>
      </w:pPr>
      <w:r>
        <w:t xml:space="preserve">171,984</w:t>
      </w:r>
    </w:p>
    <w:p>
      <w:pPr>
        <w:pStyle w:val="BodyText"/>
      </w:pPr>
      <w:r>
        <w:t xml:space="preserve">15,266</w:t>
      </w:r>
    </w:p>
    <w:p>
      <w:pPr>
        <w:pStyle w:val="BodyText"/>
      </w:pPr>
      <w:r>
        <w:t xml:space="preserve">189</w:t>
      </w:r>
    </w:p>
    <w:p>
      <w:pPr>
        <w:pStyle w:val="BodyText"/>
      </w:pPr>
      <w:r>
        <w:t xml:space="preserve">15,455</w:t>
      </w:r>
    </w:p>
    <w:p>
      <w:pPr>
        <w:pStyle w:val="BodyText"/>
      </w:pPr>
      <w:r>
        <w:t xml:space="preserve">13,842(1)</w:t>
      </w:r>
    </w:p>
    <w:p>
      <w:pPr>
        <w:pStyle w:val="BodyText"/>
      </w:pPr>
      <w:r>
        <w:t xml:space="preserve">50,881(2)</w:t>
      </w:r>
    </w:p>
    <w:p>
      <w:pPr>
        <w:pStyle w:val="BodyText"/>
      </w:pPr>
      <w:r>
        <w:t xml:space="preserve">64,723</w:t>
      </w:r>
    </w:p>
    <w:p>
      <w:pPr>
        <w:pStyle w:val="BodyText"/>
      </w:pPr>
      <w:r>
        <w:t xml:space="preserve">176,839</w:t>
      </w:r>
    </w:p>
    <w:p>
      <w:pPr>
        <w:pStyle w:val="BodyText"/>
      </w:pPr>
      <w:r>
        <w:t xml:space="preserve">59,868</w:t>
      </w:r>
    </w:p>
    <w:p>
      <w:pPr>
        <w:pStyle w:val="BodyText"/>
      </w:pPr>
      <w:r>
        <w:t xml:space="preserve">236,707</w:t>
      </w:r>
    </w:p>
    <w:p>
      <w:pPr>
        <w:pStyle w:val="BodyText"/>
      </w:pPr>
      <w:r>
        <w:t xml:space="preserve">–</w:t>
      </w:r>
    </w:p>
    <w:p>
      <w:pPr>
        <w:pStyle w:val="BodyText"/>
      </w:pPr>
      <w:r>
        <w:t xml:space="preserve">15,266</w:t>
      </w:r>
    </w:p>
    <w:p>
      <w:pPr>
        <w:pStyle w:val="BodyText"/>
      </w:pPr>
      <w:r>
        <w:t xml:space="preserve">4,990</w:t>
      </w:r>
    </w:p>
    <w:p>
      <w:pPr>
        <w:pStyle w:val="BodyText"/>
      </w:pPr>
      <w:r>
        <w:t xml:space="preserve">5,179</w:t>
      </w:r>
    </w:p>
    <w:p>
      <w:pPr>
        <w:pStyle w:val="BodyText"/>
      </w:pPr>
      <w:r>
        <w:t xml:space="preserve">4,990</w:t>
      </w:r>
    </w:p>
    <w:p>
      <w:pPr>
        <w:pStyle w:val="BodyText"/>
      </w:pPr>
      <w:r>
        <w:t xml:space="preserve">20,445</w:t>
      </w:r>
    </w:p>
    <w:p>
      <w:pPr>
        <w:pStyle w:val="BodyText"/>
      </w:pPr>
      <w:r>
        <w:rPr>
          <w:rFonts w:hint="eastAsia"/>
        </w:rPr>
        <w:t xml:space="preserve">百萬美元</w:t>
      </w:r>
    </w:p>
    <w:p>
      <w:pPr>
        <w:pStyle w:val="BodyText"/>
      </w:pPr>
      <w:r>
        <w:rPr>
          <w:rFonts w:hint="eastAsia"/>
        </w:rPr>
        <w:t xml:space="preserve">債務證券</w:t>
      </w:r>
    </w:p>
    <w:p>
      <w:pPr>
        <w:pStyle w:val="BodyText"/>
      </w:pPr>
      <w:r>
        <w:rPr>
          <w:rFonts w:hint="eastAsia"/>
        </w:rPr>
        <w:t xml:space="preserve">其他金融資產</w:t>
      </w:r>
    </w:p>
    <w:p>
      <w:pPr>
        <w:pStyle w:val="BodyText"/>
      </w:pPr>
      <w:r>
        <w:rPr>
          <w:rFonts w:hint="eastAsia"/>
        </w:rPr>
        <w:t xml:space="preserve">總計(3)</w:t>
      </w:r>
    </w:p>
    <w:p>
      <w:pPr>
        <w:pStyle w:val="BodyText"/>
      </w:pPr>
      <w:r>
        <w:rPr>
          <w:rFonts w:hint="eastAsia"/>
        </w:rPr>
        <w:t xml:space="preserve">百萬美元</w:t>
      </w:r>
    </w:p>
    <w:p>
      <w:pPr>
        <w:pStyle w:val="BodyText"/>
      </w:pPr>
      <w:r>
        <w:rPr>
          <w:rFonts w:hint="eastAsia"/>
        </w:rPr>
        <w:t xml:space="preserve">債務證券</w:t>
      </w:r>
    </w:p>
    <w:p>
      <w:pPr>
        <w:pStyle w:val="BodyText"/>
      </w:pPr>
      <w:r>
        <w:rPr>
          <w:rFonts w:hint="eastAsia"/>
        </w:rPr>
        <w:t xml:space="preserve">其他金融資產</w:t>
      </w:r>
    </w:p>
    <w:p>
      <w:pPr>
        <w:pStyle w:val="BodyText"/>
      </w:pPr>
      <w:r>
        <w:rPr>
          <w:rFonts w:hint="eastAsia"/>
        </w:rPr>
        <w:t xml:space="preserve">總計(3)</w:t>
      </w:r>
    </w:p>
    <w:p>
      <w:pPr>
        <w:pStyle w:val="BodyText"/>
      </w:pPr>
      <w:r>
        <w:rPr>
          <w:rFonts w:hint="eastAsia"/>
        </w:rPr>
        <w:t xml:space="preserve">附註：</w:t>
      </w:r>
    </w:p>
    <w:p>
      <w:pPr>
        <w:numPr>
          <w:ilvl w:val="0"/>
          <w:numId w:val="1185"/>
        </w:numPr>
      </w:pPr>
      <w:r>
        <w:rPr>
          <w:rFonts w:hint="eastAsia"/>
        </w:rPr>
        <w:t xml:space="preserve">符合SPPI準則的其他金融資產的結餘包括貸款及存款、其他應收款項、應計投資收入以及現金及現金等價物。</w:t>
      </w:r>
    </w:p>
    <w:p>
      <w:pPr>
        <w:numPr>
          <w:ilvl w:val="0"/>
          <w:numId w:val="1185"/>
        </w:numPr>
      </w:pPr>
      <w:r>
        <w:rPr>
          <w:rFonts w:hint="eastAsia"/>
        </w:rPr>
        <w:t xml:space="preserve">結餘主要指股本證券、衍生金融工具及現金等價物。</w:t>
      </w:r>
    </w:p>
    <w:p>
      <w:pPr>
        <w:numPr>
          <w:ilvl w:val="0"/>
          <w:numId w:val="1185"/>
        </w:numPr>
      </w:pPr>
      <w:r>
        <w:rPr>
          <w:rFonts w:hint="eastAsia"/>
        </w:rPr>
        <w:t xml:space="preserve">合併財務報表內的若干金融資產（包括貸款及存款項下的保單貸款、再保險應收款項以及其他應收款項下的保險應收款項）63.48億美元</w:t>
      </w:r>
      <w:r>
        <w:br/>
      </w:r>
      <w:r>
        <w:rPr>
          <w:rFonts w:hint="eastAsia"/>
        </w:rPr>
        <w:t xml:space="preserve">（2019年：55.61億美元）並無計入上表，原因為該等項目將根據與國際財務報告準則第9號並行採納的國際財務報告準則第17號入賬。</w:t>
      </w:r>
    </w:p>
    <w:p>
      <w:pPr>
        <w:pStyle w:val="FirstParagraph"/>
      </w:pPr>
      <w:r>
        <w:rPr>
          <w:rFonts w:hint="eastAsia"/>
        </w:rPr>
        <w:t xml:space="preserve">上文所列符合SPPI準則及並非持作買賣或按公平值基準管理之金融資產主要為債務證券。有關該等債務證券信貸質</w:t>
      </w:r>
    </w:p>
    <w:p>
      <w:pPr>
        <w:pStyle w:val="BodyText"/>
      </w:pPr>
      <w:r>
        <w:rPr>
          <w:rFonts w:hint="eastAsia"/>
        </w:rPr>
        <w:t xml:space="preserve">素分析的其他資料載於附註21。</w:t>
      </w:r>
    </w:p>
    <w:p>
      <w:pPr>
        <w:pStyle w:val="BodyText"/>
      </w:pPr>
      <w:r>
        <w:t xml:space="preserve">142</w:t>
      </w:r>
    </w:p>
    <w:p>
      <w:pPr>
        <w:pStyle w:val="BodyText"/>
      </w:pPr>
      <w:r>
        <w:rPr>
          <w:rFonts w:hint="eastAsia"/>
        </w:rPr>
        <w:t xml:space="preserve">友邦保險控股有限公司</w:t>
      </w:r>
    </w:p>
    <w:p>
      <w:pPr>
        <w:pStyle w:val="Compact"/>
        <w:numPr>
          <w:ilvl w:val="0"/>
          <w:numId w:val="1186"/>
        </w:numPr>
      </w:pPr>
      <w:r>
        <w:rPr>
          <w:rFonts w:hint="eastAsia"/>
        </w:rPr>
        <w:t xml:space="preserve">主要會計政策（續）</w:t>
      </w:r>
    </w:p>
    <w:p>
      <w:pPr>
        <w:pStyle w:val="FirstParagraph"/>
      </w:pPr>
      <w:r>
        <w:t xml:space="preserve">2.1 </w:t>
      </w:r>
      <w:r>
        <w:rPr>
          <w:rFonts w:hint="eastAsia"/>
        </w:rPr>
        <w:t xml:space="preserve">編製基準及合規聲明（續）</w:t>
      </w:r>
    </w:p>
    <w:p>
      <w:pPr>
        <w:pStyle w:val="Compact"/>
        <w:numPr>
          <w:ilvl w:val="0"/>
          <w:numId w:val="1187"/>
        </w:numPr>
      </w:pPr>
      <w:r>
        <w:rPr>
          <w:rFonts w:hint="eastAsia"/>
        </w:rPr>
        <w:t xml:space="preserve">下列準則及修訂於截至2020年12月31日止財政年度生效，惟本集團選擇採用臨時豁免（詳見下文）：（續）</w:t>
      </w:r>
    </w:p>
    <w:p>
      <w:pPr>
        <w:pStyle w:val="FirstParagraph"/>
      </w:pPr>
      <w:r>
        <w:t xml:space="preserve">• </w:t>
      </w:r>
      <w:r>
        <w:rPr>
          <w:rFonts w:hint="eastAsia"/>
        </w:rPr>
        <w:t xml:space="preserve">由於本公司並不符合臨時豁免的資格，故不得在其獨立財務報表中應用延後法。</w:t>
      </w:r>
    </w:p>
    <w:p>
      <w:pPr>
        <w:pStyle w:val="BodyText"/>
      </w:pPr>
      <w:r>
        <w:rPr>
          <w:rFonts w:hint="eastAsia"/>
        </w:rPr>
        <w:t xml:space="preserve">國際財務報告準則第9號將金融資產分為三個主要類別：按攤銷成本、FVOCI及FVTPL計量。該等分類取代國際會計</w:t>
      </w:r>
    </w:p>
    <w:p>
      <w:pPr>
        <w:pStyle w:val="BodyText"/>
      </w:pPr>
      <w:r>
        <w:rPr>
          <w:rFonts w:hint="eastAsia"/>
        </w:rPr>
        <w:t xml:space="preserve">準則第39號的類別，即持有至到期之投資、貸款及應收款項、可供出售金融資產及按FVTPL計量之金融資產。根據國</w:t>
      </w:r>
    </w:p>
    <w:p>
      <w:pPr>
        <w:pStyle w:val="BodyText"/>
      </w:pPr>
      <w:r>
        <w:rPr>
          <w:rFonts w:hint="eastAsia"/>
        </w:rPr>
        <w:t xml:space="preserve">際財務報告準則第9號，金融資產的分類乃基於所管理金融資產的業務模式及其合約現金流量特點而定。此外，倘若</w:t>
      </w:r>
    </w:p>
    <w:p>
      <w:pPr>
        <w:pStyle w:val="BodyText"/>
      </w:pPr>
      <w:r>
        <w:rPr>
          <w:rFonts w:hint="eastAsia"/>
        </w:rPr>
        <w:t xml:space="preserve">可消除或大幅減少會計錯配，於初次確認時本公司可選擇不可撤回地將原本符合按攤銷成本或FVOCI計量的金融資產</w:t>
      </w:r>
    </w:p>
    <w:p>
      <w:pPr>
        <w:pStyle w:val="BodyText"/>
      </w:pPr>
      <w:r>
        <w:rPr>
          <w:rFonts w:hint="eastAsia"/>
        </w:rPr>
        <w:t xml:space="preserve">指定為FVTPL。金融負債的分類及計量類別維持不變。</w:t>
      </w:r>
    </w:p>
    <w:p>
      <w:pPr>
        <w:pStyle w:val="BodyText"/>
      </w:pPr>
      <w:r>
        <w:rPr>
          <w:rFonts w:hint="eastAsia"/>
        </w:rPr>
        <w:t xml:space="preserve">國際財務報告準則第9號以前瞻性預期信貸虧損模式取代國際會計準則第39號之「已產生虧損」模式。預期信貸虧損</w:t>
      </w:r>
    </w:p>
    <w:p>
      <w:pPr>
        <w:pStyle w:val="BodyText"/>
      </w:pPr>
      <w:r>
        <w:rPr>
          <w:rFonts w:hint="eastAsia"/>
        </w:rPr>
        <w:t xml:space="preserve">模式要求持續計量與金融資產有關之信貸風險，因此確認預期信貸虧損之時間較根據國際會計準則第39號之「已產生</w:t>
      </w:r>
    </w:p>
    <w:p>
      <w:pPr>
        <w:pStyle w:val="BodyText"/>
      </w:pPr>
      <w:r>
        <w:rPr>
          <w:rFonts w:hint="eastAsia"/>
        </w:rPr>
        <w:t xml:space="preserve">虧損」會計模式確認之時間為早。新減值模式適用於按攤銷成本計量的金融資產及按FVOCI計量的債務證券。</w:t>
      </w:r>
    </w:p>
    <w:p>
      <w:pPr>
        <w:pStyle w:val="BodyText"/>
      </w:pPr>
      <w:r>
        <w:rPr>
          <w:rFonts w:hint="eastAsia"/>
        </w:rPr>
        <w:t xml:space="preserve">本公司的財務狀況表及權益變動表分別於本集團的合併財務報表附註46及47中披露。</w:t>
      </w:r>
    </w:p>
    <w:p>
      <w:pPr>
        <w:pStyle w:val="Compact"/>
        <w:numPr>
          <w:ilvl w:val="0"/>
          <w:numId w:val="1188"/>
        </w:numPr>
      </w:pPr>
      <w:r>
        <w:rPr>
          <w:rFonts w:hint="eastAsia"/>
        </w:rPr>
        <w:t xml:space="preserve">下列相關新準則修訂乃於截至2020年12月31日止財政年度首次採納，且對本集團並無重大影響：</w:t>
      </w:r>
    </w:p>
    <w:p>
      <w:pPr>
        <w:pStyle w:val="FirstParagraph"/>
      </w:pPr>
      <w:r>
        <w:t xml:space="preserve">• </w:t>
      </w:r>
      <w:r>
        <w:rPr>
          <w:rFonts w:hint="eastAsia"/>
        </w:rPr>
        <w:t xml:space="preserve">對國際會計準則第1號及國際會計準則第8號的修訂，「重大的定義」；</w:t>
      </w:r>
    </w:p>
    <w:p>
      <w:pPr>
        <w:pStyle w:val="BodyText"/>
      </w:pPr>
      <w:r>
        <w:t xml:space="preserve">• </w:t>
      </w:r>
      <w:r>
        <w:rPr>
          <w:rFonts w:hint="eastAsia"/>
        </w:rPr>
        <w:t xml:space="preserve">對國際會計準則第39號及國際財務報告準則第7號的修訂，「利率基準改革」；及</w:t>
      </w:r>
    </w:p>
    <w:p>
      <w:pPr>
        <w:pStyle w:val="BodyText"/>
      </w:pPr>
      <w:r>
        <w:t xml:space="preserve">• </w:t>
      </w:r>
      <w:r>
        <w:rPr>
          <w:rFonts w:hint="eastAsia"/>
        </w:rPr>
        <w:t xml:space="preserve">對國際財務報告準則第3號的修訂，「業務的定義」。</w:t>
      </w:r>
    </w:p>
    <w:p>
      <w:pPr>
        <w:pStyle w:val="Compact"/>
        <w:numPr>
          <w:ilvl w:val="0"/>
          <w:numId w:val="1189"/>
        </w:numPr>
      </w:pPr>
      <w:r>
        <w:rPr>
          <w:rFonts w:hint="eastAsia"/>
        </w:rPr>
        <w:t xml:space="preserve">下列已頒佈的相關新準則修訂尚未於截至2020年12月31日止財政年度生效，且未獲提前採納（本集團被要求採納的財政</w:t>
      </w:r>
    </w:p>
    <w:p>
      <w:pPr>
        <w:pStyle w:val="FirstParagraph"/>
      </w:pPr>
      <w:r>
        <w:rPr>
          <w:rFonts w:hint="eastAsia"/>
        </w:rPr>
        <w:t xml:space="preserve">年度載於括號之內）。本集團已評估此等新修訂對其財務狀況及經營業績的影響，預期此等新準則不會對本集團的財務狀</w:t>
      </w:r>
    </w:p>
    <w:p>
      <w:pPr>
        <w:pStyle w:val="BodyText"/>
      </w:pPr>
      <w:r>
        <w:rPr>
          <w:rFonts w:hint="eastAsia"/>
        </w:rPr>
        <w:t xml:space="preserve">況或經營業績造成重大影響：</w:t>
      </w:r>
    </w:p>
    <w:p>
      <w:pPr>
        <w:pStyle w:val="BodyText"/>
      </w:pPr>
      <w:r>
        <w:t xml:space="preserve">• </w:t>
      </w:r>
      <w:r>
        <w:rPr>
          <w:rFonts w:hint="eastAsia"/>
        </w:rPr>
        <w:t xml:space="preserve">對國際會計準則第1號的修訂，「負債歸類為即期或非即期」（2023年）；</w:t>
      </w:r>
    </w:p>
    <w:p>
      <w:pPr>
        <w:pStyle w:val="BodyText"/>
      </w:pPr>
      <w:r>
        <w:t xml:space="preserve">• </w:t>
      </w:r>
      <w:r>
        <w:rPr>
          <w:rFonts w:hint="eastAsia"/>
        </w:rPr>
        <w:t xml:space="preserve">對國際會計準則第1號及國際財務報告準則實務報告第2號的修訂，「會計政策披露」（2023年）；</w:t>
      </w:r>
    </w:p>
    <w:p>
      <w:pPr>
        <w:pStyle w:val="BodyText"/>
      </w:pPr>
      <w:r>
        <w:t xml:space="preserve">• </w:t>
      </w:r>
      <w:r>
        <w:rPr>
          <w:rFonts w:hint="eastAsia"/>
        </w:rPr>
        <w:t xml:space="preserve">對國際會計準則第8號的修訂，「會計估計的定義」（2023年）；</w:t>
      </w:r>
    </w:p>
    <w:p>
      <w:pPr>
        <w:pStyle w:val="BodyText"/>
      </w:pPr>
      <w:r>
        <w:t xml:space="preserve">• </w:t>
      </w:r>
      <w:r>
        <w:rPr>
          <w:rFonts w:hint="eastAsia"/>
        </w:rPr>
        <w:t xml:space="preserve">對國際會計準則第16號的修訂，「作擬定用途前的所得款項」（2022年）；</w:t>
      </w:r>
    </w:p>
    <w:p>
      <w:pPr>
        <w:pStyle w:val="BodyText"/>
      </w:pPr>
      <w:r>
        <w:t xml:space="preserve">• </w:t>
      </w:r>
      <w:r>
        <w:rPr>
          <w:rFonts w:hint="eastAsia"/>
        </w:rPr>
        <w:t xml:space="preserve">對國際會計準則第37號的修訂，「履行合約的成本」（2022年）；</w:t>
      </w:r>
    </w:p>
    <w:p>
      <w:pPr>
        <w:pStyle w:val="BodyText"/>
      </w:pPr>
      <w:r>
        <w:t xml:space="preserve">• </w:t>
      </w:r>
      <w:r>
        <w:rPr>
          <w:rFonts w:hint="eastAsia"/>
        </w:rPr>
        <w:t xml:space="preserve">對國際會計準則第41號的修訂，「公平值計量的稅項」（2022年）；</w:t>
      </w:r>
    </w:p>
    <w:p>
      <w:pPr>
        <w:pStyle w:val="BodyText"/>
      </w:pPr>
      <w:r>
        <w:t xml:space="preserve">• </w:t>
      </w:r>
      <w:r>
        <w:rPr>
          <w:rFonts w:hint="eastAsia"/>
        </w:rPr>
        <w:t xml:space="preserve">對國際財務報告準則第1號的修訂，「附屬公司作為首次採用者」（2022年）；</w:t>
      </w:r>
    </w:p>
    <w:p>
      <w:pPr>
        <w:pStyle w:val="BodyText"/>
      </w:pPr>
      <w:r>
        <w:t xml:space="preserve">• </w:t>
      </w:r>
      <w:r>
        <w:rPr>
          <w:rFonts w:hint="eastAsia"/>
        </w:rPr>
        <w:t xml:space="preserve">對國際財務報告準則第3號的修訂，「概念框架指引」（2022年）；</w:t>
      </w:r>
    </w:p>
    <w:p>
      <w:pPr>
        <w:pStyle w:val="BodyText"/>
      </w:pPr>
      <w:r>
        <w:t xml:space="preserve">• </w:t>
      </w:r>
      <w:r>
        <w:rPr>
          <w:rFonts w:hint="eastAsia"/>
        </w:rPr>
        <w:t xml:space="preserve">對國際財務報告準則第9號的修訂，「終止確認金融負債的10%測試中的收費」（2022年）；</w:t>
      </w:r>
    </w:p>
    <w:p>
      <w:pPr>
        <w:pStyle w:val="BodyText"/>
      </w:pPr>
      <w:r>
        <w:t xml:space="preserve">• </w:t>
      </w:r>
      <w:r>
        <w:rPr>
          <w:rFonts w:hint="eastAsia"/>
        </w:rPr>
        <w:t xml:space="preserve">對國際財務報告準則第9號、國際會計準則第39號、國際財務報告準則第7號、國際財務報告準則第4號及國際財務報</w:t>
      </w:r>
    </w:p>
    <w:p>
      <w:pPr>
        <w:pStyle w:val="BodyText"/>
      </w:pPr>
      <w:r>
        <w:rPr>
          <w:rFonts w:hint="eastAsia"/>
        </w:rPr>
        <w:t xml:space="preserve">告準則第16號的修訂，「第2階段利率基準改革」（2021年）；</w:t>
      </w:r>
    </w:p>
    <w:p>
      <w:pPr>
        <w:pStyle w:val="BodyText"/>
      </w:pPr>
      <w:r>
        <w:t xml:space="preserve">• </w:t>
      </w:r>
      <w:r>
        <w:rPr>
          <w:rFonts w:hint="eastAsia"/>
        </w:rPr>
        <w:t xml:space="preserve">對國際財務報告準則第16號的修訂，「2019冠狀病毒病相關租金寬減」（2021年）；及</w:t>
      </w:r>
    </w:p>
    <w:p>
      <w:pPr>
        <w:pStyle w:val="BodyText"/>
      </w:pPr>
      <w:r>
        <w:t xml:space="preserve">• </w:t>
      </w:r>
      <w:r>
        <w:rPr>
          <w:rFonts w:hint="eastAsia"/>
        </w:rPr>
        <w:t xml:space="preserve">對國際財務報告準則第16號的修訂，「租賃優惠」（2022年）。</w:t>
      </w:r>
    </w:p>
    <w:p>
      <w:pPr>
        <w:pStyle w:val="BodyText"/>
      </w:pPr>
      <w:r>
        <w:t xml:space="preserve">143</w:t>
      </w:r>
    </w:p>
    <w:p>
      <w:pPr>
        <w:pStyle w:val="BodyText"/>
      </w:pPr>
      <w:r>
        <w:rPr>
          <w:rFonts w:hint="eastAsia"/>
        </w:rPr>
        <w:t xml:space="preserve">概覽財務及營運回顧企業管治其他資料財務報表2020年報</w:t>
      </w:r>
    </w:p>
    <w:p>
      <w:pPr>
        <w:pStyle w:val="Compact"/>
        <w:numPr>
          <w:ilvl w:val="0"/>
          <w:numId w:val="1190"/>
        </w:numPr>
      </w:pPr>
      <w:r>
        <w:rPr>
          <w:rFonts w:hint="eastAsia"/>
        </w:rPr>
        <w:t xml:space="preserve">主要會計政策（續）</w:t>
      </w:r>
    </w:p>
    <w:p>
      <w:pPr>
        <w:pStyle w:val="FirstParagraph"/>
      </w:pPr>
      <w:r>
        <w:t xml:space="preserve">2.1 </w:t>
      </w:r>
      <w:r>
        <w:rPr>
          <w:rFonts w:hint="eastAsia"/>
        </w:rPr>
        <w:t xml:space="preserve">編製基準及合規聲明（續）</w:t>
      </w:r>
    </w:p>
    <w:p>
      <w:pPr>
        <w:pStyle w:val="Compact"/>
        <w:numPr>
          <w:ilvl w:val="0"/>
          <w:numId w:val="1191"/>
        </w:numPr>
      </w:pPr>
      <w:r>
        <w:rPr>
          <w:rFonts w:hint="eastAsia"/>
        </w:rPr>
        <w:t xml:space="preserve">下列已頒佈的相關新準則尚未於截至2020年12月31日止財政年度生效，且未獲提前採納：</w:t>
      </w:r>
    </w:p>
    <w:p>
      <w:pPr>
        <w:pStyle w:val="FirstParagraph"/>
      </w:pPr>
      <w:r>
        <w:t xml:space="preserve">• </w:t>
      </w:r>
      <w:r>
        <w:rPr>
          <w:rFonts w:hint="eastAsia"/>
        </w:rPr>
        <w:t xml:space="preserve">國際財務報告準則第17號，「保險合約」（前國際財務報告準則第4號階段二）將取代現行的國際財務報告準則第4號，</w:t>
      </w:r>
    </w:p>
    <w:p>
      <w:pPr>
        <w:pStyle w:val="BodyText"/>
      </w:pPr>
      <w:r>
        <w:rPr>
          <w:rFonts w:hint="eastAsia"/>
        </w:rPr>
        <w:t xml:space="preserve">「保險合約」。國際財務報告準則第17號包括對保險合約計量及溢利確認的現行會計處理的基本區別。「一般模式」乃</w:t>
      </w:r>
    </w:p>
    <w:p>
      <w:pPr>
        <w:pStyle w:val="BodyText"/>
      </w:pPr>
      <w:r>
        <w:rPr>
          <w:rFonts w:hint="eastAsia"/>
        </w:rPr>
        <w:t xml:space="preserve">基於具備風險調整及遞延處理未賺取溢利的貼現現金流量模式，為一個適用於與相關項目的回報掛鉤且符合若干規定</w:t>
      </w:r>
    </w:p>
    <w:p>
      <w:pPr>
        <w:pStyle w:val="BodyText"/>
      </w:pPr>
      <w:r>
        <w:rPr>
          <w:rFonts w:hint="eastAsia"/>
        </w:rPr>
        <w:t xml:space="preserve">的保險合約的單一計量模式。此外，國際財務報告準則第17號規定並要求更多細節的信息，並要求全面收入表須採用</w:t>
      </w:r>
    </w:p>
    <w:p>
      <w:pPr>
        <w:pStyle w:val="BodyText"/>
      </w:pPr>
      <w:r>
        <w:rPr>
          <w:rFonts w:hint="eastAsia"/>
        </w:rPr>
        <w:t xml:space="preserve">新的呈報格式載列，並擴大披露範圍。於2017年12月12日，香港會計師公會批准了香港財務報告準則第17號，「保險</w:t>
      </w:r>
    </w:p>
    <w:p>
      <w:pPr>
        <w:pStyle w:val="BodyText"/>
      </w:pPr>
      <w:r>
        <w:rPr>
          <w:rFonts w:hint="eastAsia"/>
        </w:rPr>
        <w:t xml:space="preserve">合約」的發佈。於2020年6月25日，國際會計準則理事會頒佈了對國際財務報告準則第17號的修訂，及國際財務報告</w:t>
      </w:r>
    </w:p>
    <w:p>
      <w:pPr>
        <w:pStyle w:val="BodyText"/>
      </w:pPr>
      <w:r>
        <w:rPr>
          <w:rFonts w:hint="eastAsia"/>
        </w:rPr>
        <w:t xml:space="preserve">準則第17號的生效日期將推遲至2023年1月1日或之後開始的年度報告期間。於2020年10月，香港會計師公會已完成</w:t>
      </w:r>
    </w:p>
    <w:p>
      <w:pPr>
        <w:pStyle w:val="BodyText"/>
      </w:pPr>
      <w:r>
        <w:rPr>
          <w:rFonts w:hint="eastAsia"/>
        </w:rPr>
        <w:t xml:space="preserve">對國際財務報告準則第17號的同等修訂的背書並頒佈該修訂。本集團現正對該等新準則進行詳細評估。</w:t>
      </w:r>
    </w:p>
    <w:p>
      <w:pPr>
        <w:pStyle w:val="Compact"/>
        <w:numPr>
          <w:ilvl w:val="0"/>
          <w:numId w:val="1192"/>
        </w:numPr>
      </w:pPr>
      <w:r>
        <w:rPr>
          <w:rFonts w:hint="eastAsia"/>
        </w:rPr>
        <w:t xml:space="preserve">會計政策的自願變動</w:t>
      </w:r>
    </w:p>
    <w:p>
      <w:pPr>
        <w:pStyle w:val="FirstParagraph"/>
      </w:pPr>
      <w:r>
        <w:rPr>
          <w:rFonts w:hint="eastAsia"/>
        </w:rPr>
        <w:t xml:space="preserve">於報告期間，本集團已修訂其有關確認及計量具特定資產組合的其他分紅業務的保險合約負債的會計政策。於該會計政</w:t>
      </w:r>
    </w:p>
    <w:p>
      <w:pPr>
        <w:pStyle w:val="BodyText"/>
      </w:pPr>
      <w:r>
        <w:rPr>
          <w:rFonts w:hint="eastAsia"/>
        </w:rPr>
        <w:t xml:space="preserve">策變更前，本集團根據保證給付及非保證分紅的現值減去將從保單持有人收取的估計未來淨保費確認及計量該業務的保</w:t>
      </w:r>
    </w:p>
    <w:p>
      <w:pPr>
        <w:pStyle w:val="BodyText"/>
      </w:pPr>
      <w:r>
        <w:rPr>
          <w:rFonts w:hint="eastAsia"/>
        </w:rPr>
        <w:t xml:space="preserve">險合約負債。自2020年1月1日起生效並追溯應用，本集團現根據保證給付的現值減去將從保單持有人收取的估計未來淨</w:t>
      </w:r>
    </w:p>
    <w:p>
      <w:pPr>
        <w:pStyle w:val="BodyText"/>
      </w:pPr>
      <w:r>
        <w:rPr>
          <w:rFonts w:hint="eastAsia"/>
        </w:rPr>
        <w:t xml:space="preserve">保費確認及計量該業務的保險合約負債。此外，假設於合併財務狀況表日期的所有相關盈餘將根據保單持有人的分紅宣</w:t>
      </w:r>
    </w:p>
    <w:p>
      <w:pPr>
        <w:pStyle w:val="BodyText"/>
      </w:pPr>
      <w:r>
        <w:rPr>
          <w:rFonts w:hint="eastAsia"/>
        </w:rPr>
        <w:t xml:space="preserve">派為保單持有人紅利，保險合約負債就該具特定資產組合的其他分紅業務將分配予保單持有人的淨資產值按相關比例入</w:t>
      </w:r>
    </w:p>
    <w:p>
      <w:pPr>
        <w:pStyle w:val="BodyText"/>
      </w:pPr>
      <w:r>
        <w:rPr>
          <w:rFonts w:hint="eastAsia"/>
        </w:rPr>
        <w:t xml:space="preserve">賬。此方法與產生自分紅業務的保險合約負債現時的會計處理方法一致。該具特定資產組合的其他分紅業務持有的資產</w:t>
      </w:r>
    </w:p>
    <w:p>
      <w:pPr>
        <w:pStyle w:val="BodyText"/>
      </w:pPr>
      <w:r>
        <w:rPr>
          <w:rFonts w:hint="eastAsia"/>
        </w:rPr>
        <w:t xml:space="preserve">給付按相關的紅利規則分配，該紅利規則由相關董事會基於適用監管要求並考慮獲委任精算師的推薦建議後設定。該保</w:t>
      </w:r>
    </w:p>
    <w:p>
      <w:pPr>
        <w:pStyle w:val="BodyText"/>
      </w:pPr>
      <w:r>
        <w:rPr>
          <w:rFonts w:hint="eastAsia"/>
        </w:rPr>
        <w:t xml:space="preserve">單持有人的分紅程度或會隨時間變化。</w:t>
      </w:r>
    </w:p>
    <w:p>
      <w:pPr>
        <w:pStyle w:val="BodyText"/>
      </w:pPr>
      <w:r>
        <w:rPr>
          <w:rFonts w:hint="eastAsia"/>
        </w:rPr>
        <w:t xml:space="preserve">該會計政策的自願變動影響於附註48論述。</w:t>
      </w:r>
    </w:p>
    <w:p>
      <w:pPr>
        <w:pStyle w:val="BodyText"/>
      </w:pPr>
      <w:r>
        <w:rPr>
          <w:rFonts w:hint="eastAsia"/>
        </w:rPr>
        <w:t xml:space="preserve">編製本集團合併財務報表所採納的主要會計政策載列如下。此等政策已於所有呈列期間貫徹應用。本公司的財務狀況表及權</w:t>
      </w:r>
    </w:p>
    <w:p>
      <w:pPr>
        <w:pStyle w:val="BodyText"/>
      </w:pPr>
      <w:r>
        <w:rPr>
          <w:rFonts w:hint="eastAsia"/>
        </w:rPr>
        <w:t xml:space="preserve">益變動表（分別載於附註46及47）乃根據本集團的會計政策（附註2.3所載與本公司投資及附註2.5.5所載與金融工具有關的會</w:t>
      </w:r>
    </w:p>
    <w:p>
      <w:pPr>
        <w:pStyle w:val="BodyText"/>
      </w:pPr>
      <w:r>
        <w:rPr>
          <w:rFonts w:hint="eastAsia"/>
        </w:rPr>
        <w:t xml:space="preserve">計政策除外）編製。</w:t>
      </w:r>
    </w:p>
    <w:p>
      <w:pPr>
        <w:pStyle w:val="BodyText"/>
      </w:pPr>
      <w:r>
        <w:t xml:space="preserve">2.2 </w:t>
      </w:r>
      <w:r>
        <w:rPr>
          <w:rFonts w:hint="eastAsia"/>
        </w:rPr>
        <w:t xml:space="preserve">營運溢利</w:t>
      </w:r>
    </w:p>
    <w:p>
      <w:pPr>
        <w:pStyle w:val="BodyText"/>
      </w:pPr>
      <w:r>
        <w:rPr>
          <w:rFonts w:hint="eastAsia"/>
        </w:rPr>
        <w:t xml:space="preserve">本集團大部分業務具有長遠特性，就管理層的決策及內部表現管理目的而言，本集團使用稱為「營運溢利」的財務表現指標</w:t>
      </w:r>
    </w:p>
    <w:p>
      <w:pPr>
        <w:pStyle w:val="BodyText"/>
      </w:pPr>
      <w:r>
        <w:rPr>
          <w:rFonts w:hint="eastAsia"/>
        </w:rPr>
        <w:t xml:space="preserve">評估其業績及經營分部。營運溢利包括基於本集團在內涵價值補充資料中所採用的假設得出的股權及房地產投資的預期長期</w:t>
      </w:r>
    </w:p>
    <w:p>
      <w:pPr>
        <w:pStyle w:val="BodyText"/>
      </w:pPr>
      <w:r>
        <w:rPr>
          <w:rFonts w:hint="eastAsia"/>
        </w:rPr>
        <w:t xml:space="preserve">投資回報。本集團界定稅後營運溢利為扣除以下非營運項目的純利：</w:t>
      </w:r>
    </w:p>
    <w:p>
      <w:pPr>
        <w:pStyle w:val="BodyText"/>
      </w:pPr>
      <w:r>
        <w:t xml:space="preserve">• </w:t>
      </w:r>
      <w:r>
        <w:rPr>
          <w:rFonts w:hint="eastAsia"/>
        </w:rPr>
        <w:t xml:space="preserve">股權及房地產相關預期及實際投資回報之間的短期波動；</w:t>
      </w:r>
    </w:p>
    <w:p>
      <w:pPr>
        <w:pStyle w:val="BodyText"/>
      </w:pPr>
      <w:r>
        <w:t xml:space="preserve">• </w:t>
      </w:r>
      <w:r>
        <w:rPr>
          <w:rFonts w:hint="eastAsia"/>
        </w:rPr>
        <w:t xml:space="preserve">其他投資回報（包括因市場因素產生的短期波動）；及</w:t>
      </w:r>
    </w:p>
    <w:p>
      <w:pPr>
        <w:pStyle w:val="BodyText"/>
      </w:pPr>
      <w:r>
        <w:t xml:space="preserve">• </w:t>
      </w:r>
      <w:r>
        <w:rPr>
          <w:rFonts w:hint="eastAsia"/>
        </w:rPr>
        <w:t xml:space="preserve">管理層視作非營運收入及開支的其他重大項目。</w:t>
      </w:r>
    </w:p>
    <w:p>
      <w:pPr>
        <w:pStyle w:val="BodyText"/>
      </w:pPr>
      <w:r>
        <w:rPr>
          <w:rFonts w:hint="eastAsia"/>
        </w:rPr>
        <w:t xml:space="preserve">本集團認為呈列營運溢利可加強理解及比較其表現及其經營分部的表現。本集團認為，在剔除此等非營運項目的波動性影響</w:t>
      </w:r>
    </w:p>
    <w:p>
      <w:pPr>
        <w:pStyle w:val="BodyText"/>
      </w:pPr>
      <w:r>
        <w:rPr>
          <w:rFonts w:hint="eastAsia"/>
        </w:rPr>
        <w:t xml:space="preserve">（大部分取決於市場因素）後，可更清楚地識別表現趨勢。</w:t>
      </w:r>
    </w:p>
    <w:p>
      <w:pPr>
        <w:pStyle w:val="BodyText"/>
      </w:pPr>
      <w:r>
        <w:rPr>
          <w:rFonts w:hint="eastAsia"/>
        </w:rPr>
        <w:t xml:space="preserve">營運溢利乃以額外資料方式提供，以貫徹基準協助比較於不同報告期間的業務趨勢，及加強對財務表現的整體理解。</w:t>
      </w:r>
    </w:p>
    <w:p>
      <w:pPr>
        <w:pStyle w:val="BodyText"/>
      </w:pPr>
      <w:r>
        <w:t xml:space="preserve">144</w:t>
      </w:r>
    </w:p>
    <w:p>
      <w:pPr>
        <w:pStyle w:val="BodyText"/>
      </w:pPr>
      <w:r>
        <w:rPr>
          <w:rFonts w:hint="eastAsia"/>
        </w:rPr>
        <w:t xml:space="preserve">友邦保險控股有限公司</w:t>
      </w:r>
    </w:p>
    <w:p>
      <w:pPr>
        <w:pStyle w:val="Compact"/>
        <w:numPr>
          <w:ilvl w:val="0"/>
          <w:numId w:val="1193"/>
        </w:numPr>
      </w:pPr>
      <w:r>
        <w:rPr>
          <w:rFonts w:hint="eastAsia"/>
        </w:rPr>
        <w:t xml:space="preserve">主要會計政策（續）</w:t>
      </w:r>
    </w:p>
    <w:p>
      <w:pPr>
        <w:pStyle w:val="FirstParagraph"/>
      </w:pPr>
      <w:r>
        <w:t xml:space="preserve">2.3 </w:t>
      </w:r>
      <w:r>
        <w:rPr>
          <w:rFonts w:hint="eastAsia"/>
        </w:rPr>
        <w:t xml:space="preserve">合併基準</w:t>
      </w:r>
    </w:p>
    <w:p>
      <w:pPr>
        <w:pStyle w:val="BodyText"/>
      </w:pPr>
      <w:r>
        <w:rPr>
          <w:rFonts w:hint="eastAsia"/>
        </w:rPr>
        <w:t xml:space="preserve">附屬公司</w:t>
      </w:r>
    </w:p>
    <w:p>
      <w:pPr>
        <w:pStyle w:val="BodyText"/>
      </w:pPr>
      <w:r>
        <w:rPr>
          <w:rFonts w:hint="eastAsia"/>
        </w:rPr>
        <w:t xml:space="preserve">附屬公司指本集團有權管控的所有實體（包括結構性實體）。結構性實體指設立目的為使投票權或類似權利不會成為決定控</w:t>
      </w:r>
    </w:p>
    <w:p>
      <w:pPr>
        <w:pStyle w:val="BodyText"/>
      </w:pPr>
      <w:r>
        <w:rPr>
          <w:rFonts w:hint="eastAsia"/>
        </w:rPr>
        <w:t xml:space="preserve">制該實體人士的主要因素（如任何投票權僅與行政任務有關的情況）且相關業務透過合約安排方式規管的實體。本集團釐定</w:t>
      </w:r>
    </w:p>
    <w:p>
      <w:pPr>
        <w:pStyle w:val="BodyText"/>
      </w:pPr>
      <w:r>
        <w:rPr>
          <w:rFonts w:hint="eastAsia"/>
        </w:rPr>
        <w:t xml:space="preserve">投資基金及結構證券（如本集團擁有權益的抵押債務證券、按揭抵押證券及其他資產抵押證券）為結構性實體。</w:t>
      </w:r>
    </w:p>
    <w:p>
      <w:pPr>
        <w:pStyle w:val="BodyText"/>
      </w:pPr>
      <w:r>
        <w:rPr>
          <w:rFonts w:hint="eastAsia"/>
        </w:rPr>
        <w:t xml:space="preserve">當本集團因參與某實體而承受風險或有權享有其可變回報，且能夠透過對實體行使權力而影響有關回報時，本集團對該實體</w:t>
      </w:r>
    </w:p>
    <w:p>
      <w:pPr>
        <w:pStyle w:val="BodyText"/>
      </w:pPr>
      <w:r>
        <w:rPr>
          <w:rFonts w:hint="eastAsia"/>
        </w:rPr>
        <w:t xml:space="preserve">擁有控制權。附屬公司自控制權轉入本集團當日起合併入賬，並於本集團不再對其擁有控制權時不再合併入賬。集團內公司</w:t>
      </w:r>
    </w:p>
    <w:p>
      <w:pPr>
        <w:pStyle w:val="BodyText"/>
      </w:pPr>
      <w:r>
        <w:rPr>
          <w:rFonts w:hint="eastAsia"/>
        </w:rPr>
        <w:t xml:space="preserve">間交易予以撇銷。</w:t>
      </w:r>
    </w:p>
    <w:p>
      <w:pPr>
        <w:pStyle w:val="BodyText"/>
      </w:pPr>
      <w:r>
        <w:rPr>
          <w:rFonts w:hint="eastAsia"/>
        </w:rPr>
        <w:t xml:space="preserve">本集團採用收購會計法，將收購的附屬公司入賬，除非收購事項構成本集團重組共同控制實體的一部分。根據此方法，收購</w:t>
      </w:r>
    </w:p>
    <w:p>
      <w:pPr>
        <w:pStyle w:val="BodyText"/>
      </w:pPr>
      <w:r>
        <w:rPr>
          <w:rFonts w:hint="eastAsia"/>
        </w:rPr>
        <w:t xml:space="preserve">成本乃按收購日期應付代價、股份發行或承擔的負債的公平值計量。收購成本超出所收購附屬公司淨資產公平值的數額乃入</w:t>
      </w:r>
    </w:p>
    <w:p>
      <w:pPr>
        <w:pStyle w:val="BodyText"/>
      </w:pPr>
      <w:r>
        <w:rPr>
          <w:rFonts w:hint="eastAsia"/>
        </w:rPr>
        <w:t xml:space="preserve">賬列作商譽（見下文附註2.10）。本集團與商譽分開確認所收購附屬公司可識別資產、承擔的負債以及任何非控股權益。收購</w:t>
      </w:r>
    </w:p>
    <w:p>
      <w:pPr>
        <w:pStyle w:val="BodyText"/>
      </w:pPr>
      <w:r>
        <w:rPr>
          <w:rFonts w:hint="eastAsia"/>
        </w:rPr>
        <w:t xml:space="preserve">方於附屬公司的淨資產權益超出收購成本的任何盈餘乃記入合併收入表。</w:t>
      </w:r>
    </w:p>
    <w:p>
      <w:pPr>
        <w:pStyle w:val="BodyText"/>
      </w:pPr>
      <w:r>
        <w:rPr>
          <w:rFonts w:hint="eastAsia"/>
        </w:rPr>
        <w:t xml:space="preserve">本集團的合併財務報表包括友邦保險控股有限公司及其擁有控股權益的附屬公司的資產、負債及業績（乃採用截至報告日期</w:t>
      </w:r>
    </w:p>
    <w:p>
      <w:pPr>
        <w:pStyle w:val="BodyText"/>
      </w:pPr>
      <w:r>
        <w:rPr>
          <w:rFonts w:hint="eastAsia"/>
        </w:rPr>
        <w:t xml:space="preserve">的賬目）。</w:t>
      </w:r>
    </w:p>
    <w:p>
      <w:pPr>
        <w:pStyle w:val="BodyText"/>
      </w:pPr>
      <w:r>
        <w:rPr>
          <w:rFonts w:hint="eastAsia"/>
        </w:rPr>
        <w:t xml:space="preserve">投資基金</w:t>
      </w:r>
    </w:p>
    <w:p>
      <w:pPr>
        <w:pStyle w:val="BodyText"/>
      </w:pPr>
      <w:r>
        <w:rPr>
          <w:rFonts w:hint="eastAsia"/>
        </w:rPr>
        <w:t xml:space="preserve">本集團從中擁有權益及權力可規管其相關業務從而影響基金回報的投資基金於財務報表內合併入賬。在評估過程中，本集團</w:t>
      </w:r>
    </w:p>
    <w:p>
      <w:pPr>
        <w:pStyle w:val="BodyText"/>
      </w:pPr>
      <w:r>
        <w:rPr>
          <w:rFonts w:hint="eastAsia"/>
        </w:rPr>
        <w:t xml:space="preserve">考慮實際合約權利及實際控制權。倘本集團並未持有一間公司50%以上投票權，但其有實際能力規管該實體的相關業務，則</w:t>
      </w:r>
    </w:p>
    <w:p>
      <w:pPr>
        <w:pStyle w:val="BodyText"/>
      </w:pPr>
      <w:r>
        <w:rPr>
          <w:rFonts w:hint="eastAsia"/>
        </w:rPr>
        <w:t xml:space="preserve">可能對該實體產生實際控制權。基於前述事實及情況，倘本集團有權力罷黜或控制有能力規管基金相關業務的有關方，且本</w:t>
      </w:r>
    </w:p>
    <w:p>
      <w:pPr>
        <w:pStyle w:val="BodyText"/>
      </w:pPr>
      <w:r>
        <w:rPr>
          <w:rFonts w:hint="eastAsia"/>
        </w:rPr>
        <w:t xml:space="preserve">集團承擔投資基金可變回報所帶來的風險，則上述有關方將予合併入賬。可變回報包括享有被投資公司溢利或分派的權利及</w:t>
      </w:r>
    </w:p>
    <w:p>
      <w:pPr>
        <w:pStyle w:val="BodyText"/>
      </w:pPr>
      <w:r>
        <w:rPr>
          <w:rFonts w:hint="eastAsia"/>
        </w:rPr>
        <w:t xml:space="preserve">承擔被投資公司虧損的義務。</w:t>
      </w:r>
    </w:p>
    <w:p>
      <w:pPr>
        <w:pStyle w:val="BodyText"/>
      </w:pPr>
      <w:r>
        <w:rPr>
          <w:rFonts w:hint="eastAsia"/>
        </w:rPr>
        <w:t xml:space="preserve">僱員股票信託</w:t>
      </w:r>
    </w:p>
    <w:p>
      <w:pPr>
        <w:pStyle w:val="BodyText"/>
      </w:pPr>
      <w:r>
        <w:rPr>
          <w:rFonts w:hint="eastAsia"/>
        </w:rPr>
        <w:t xml:space="preserve">成立信託乃為購買本公司股份，以便透過以股份為基礎的報酬計劃於未來期間向參與者分派。這些信託的合併乃按國際財務</w:t>
      </w:r>
    </w:p>
    <w:p>
      <w:pPr>
        <w:pStyle w:val="BodyText"/>
      </w:pPr>
      <w:r>
        <w:rPr>
          <w:rFonts w:hint="eastAsia"/>
        </w:rPr>
        <w:t xml:space="preserve">報告準則第10號予以評核；倘本集團被視為控制此信託，此信託會合併入賬。信託購買的股份於歸屬時未提供予參與者的部</w:t>
      </w:r>
    </w:p>
    <w:p>
      <w:pPr>
        <w:pStyle w:val="BodyText"/>
      </w:pPr>
      <w:r>
        <w:rPr>
          <w:rFonts w:hint="eastAsia"/>
        </w:rPr>
        <w:t xml:space="preserve">分會於合併財務狀況表按成本列賬並作為「僱員股票信託」列報，以及於合併權益變動表作為權益的減項。</w:t>
      </w:r>
    </w:p>
    <w:p>
      <w:pPr>
        <w:pStyle w:val="BodyText"/>
      </w:pPr>
      <w:r>
        <w:rPr>
          <w:rFonts w:hint="eastAsia"/>
        </w:rPr>
        <w:t xml:space="preserve">非控股權益</w:t>
      </w:r>
    </w:p>
    <w:p>
      <w:pPr>
        <w:pStyle w:val="BodyText"/>
      </w:pPr>
      <w:r>
        <w:rPr>
          <w:rFonts w:hint="eastAsia"/>
        </w:rPr>
        <w:t xml:space="preserve">非控股權益於權益內呈列，惟少數股東於可沽售負債所產生的非控股權益除外（例如單位持有人於合併投資基金的權益）。</w:t>
      </w:r>
    </w:p>
    <w:p>
      <w:pPr>
        <w:pStyle w:val="BodyText"/>
      </w:pPr>
      <w:r>
        <w:rPr>
          <w:rFonts w:hint="eastAsia"/>
        </w:rPr>
        <w:t xml:space="preserve">當有關權益確認為負債時，則反映合併實體的淨資產。</w:t>
      </w:r>
    </w:p>
    <w:p>
      <w:pPr>
        <w:pStyle w:val="BodyText"/>
      </w:pPr>
      <w:r>
        <w:rPr>
          <w:rFonts w:hint="eastAsia"/>
        </w:rPr>
        <w:t xml:space="preserve">收購及出售非控股權益乃視作權益持有人之間的交易，惟少數股東於可沽售負債所產生的非控股權益除外。因此，非控股權</w:t>
      </w:r>
    </w:p>
    <w:p>
      <w:pPr>
        <w:pStyle w:val="BodyText"/>
      </w:pPr>
      <w:r>
        <w:rPr>
          <w:rFonts w:hint="eastAsia"/>
        </w:rPr>
        <w:t xml:space="preserve">益的收購成本或售價與非控股權益賬面值之間的任何差額，乃確認為權益的增加或減少。</w:t>
      </w:r>
    </w:p>
    <w:p>
      <w:pPr>
        <w:pStyle w:val="BodyText"/>
      </w:pPr>
      <w:r>
        <w:t xml:space="preserve">145</w:t>
      </w:r>
    </w:p>
    <w:p>
      <w:pPr>
        <w:pStyle w:val="BodyText"/>
      </w:pPr>
      <w:r>
        <w:rPr>
          <w:rFonts w:hint="eastAsia"/>
        </w:rPr>
        <w:t xml:space="preserve">概覽財務及營運回顧企業管治其他資料財務報表2020年報</w:t>
      </w:r>
    </w:p>
    <w:p>
      <w:pPr>
        <w:pStyle w:val="Compact"/>
        <w:numPr>
          <w:ilvl w:val="0"/>
          <w:numId w:val="1194"/>
        </w:numPr>
      </w:pPr>
      <w:r>
        <w:rPr>
          <w:rFonts w:hint="eastAsia"/>
        </w:rPr>
        <w:t xml:space="preserve">主要會計政策（續）</w:t>
      </w:r>
    </w:p>
    <w:p>
      <w:pPr>
        <w:pStyle w:val="FirstParagraph"/>
      </w:pPr>
      <w:r>
        <w:t xml:space="preserve">2.3 </w:t>
      </w:r>
      <w:r>
        <w:rPr>
          <w:rFonts w:hint="eastAsia"/>
        </w:rPr>
        <w:t xml:space="preserve">合併基準（續）</w:t>
      </w:r>
    </w:p>
    <w:p>
      <w:pPr>
        <w:pStyle w:val="BodyText"/>
      </w:pPr>
      <w:r>
        <w:rPr>
          <w:rFonts w:hint="eastAsia"/>
        </w:rPr>
        <w:t xml:space="preserve">聯營公司及合資公司</w:t>
      </w:r>
    </w:p>
    <w:p>
      <w:pPr>
        <w:pStyle w:val="BodyText"/>
      </w:pPr>
      <w:r>
        <w:rPr>
          <w:rFonts w:hint="eastAsia"/>
        </w:rPr>
        <w:t xml:space="preserve">聯營公司指本集團從中擁有重大影響力但並非擁有控制權或共同控制權的實體。一般而言，倘本集團持有20%至50%的投票</w:t>
      </w:r>
    </w:p>
    <w:p>
      <w:pPr>
        <w:pStyle w:val="BodyText"/>
      </w:pPr>
      <w:r>
        <w:rPr>
          <w:rFonts w:hint="eastAsia"/>
        </w:rPr>
        <w:t xml:space="preserve">權，則假設為擁有重大影響力。合資公司乃本集團與其他訂約方進行經濟活動，並會受合約協議產生的共同控制所限的實</w:t>
      </w:r>
    </w:p>
    <w:p>
      <w:pPr>
        <w:pStyle w:val="BodyText"/>
      </w:pPr>
      <w:r>
        <w:rPr>
          <w:rFonts w:hint="eastAsia"/>
        </w:rPr>
        <w:t xml:space="preserve">體。</w:t>
      </w:r>
    </w:p>
    <w:p>
      <w:pPr>
        <w:pStyle w:val="BodyText"/>
      </w:pPr>
      <w:r>
        <w:rPr>
          <w:rFonts w:hint="eastAsia"/>
        </w:rPr>
        <w:t xml:space="preserve">本集團與其聯營公司及合資公司之間的交易收益，乃以本集團於聯營公司及合資公司的權益為限撇銷。虧損亦同樣予以撇</w:t>
      </w:r>
    </w:p>
    <w:p>
      <w:pPr>
        <w:pStyle w:val="BodyText"/>
      </w:pPr>
      <w:r>
        <w:rPr>
          <w:rFonts w:hint="eastAsia"/>
        </w:rPr>
        <w:t xml:space="preserve">銷，惟交易提供證據顯示實體間轉移的資產出現減值除外。</w:t>
      </w:r>
    </w:p>
    <w:p>
      <w:pPr>
        <w:pStyle w:val="BodyText"/>
      </w:pPr>
      <w:r>
        <w:rPr>
          <w:rFonts w:hint="eastAsia"/>
        </w:rPr>
        <w:t xml:space="preserve">於聯營公司及合資公司的投資以權益會計法入賬。根據此方法，於聯營公司或合資公司的投資成本，連同本集團分佔該實體</w:t>
      </w:r>
    </w:p>
    <w:p>
      <w:pPr>
        <w:pStyle w:val="BodyText"/>
      </w:pPr>
      <w:r>
        <w:rPr>
          <w:rFonts w:hint="eastAsia"/>
        </w:rPr>
        <w:t xml:space="preserve">收購後的權益變化，乃於合併財務狀況表計入為資產。成本包括收購所產生的商譽。本集團分佔收購後的溢利或虧損於合併</w:t>
      </w:r>
    </w:p>
    <w:p>
      <w:pPr>
        <w:pStyle w:val="BodyText"/>
      </w:pPr>
      <w:r>
        <w:rPr>
          <w:rFonts w:hint="eastAsia"/>
        </w:rPr>
        <w:t xml:space="preserve">收入表確認，而其所分佔收購後於權益中的變動則於其他全面收入確認。當本集團不再對此投資擁有重大影響力時，則不再</w:t>
      </w:r>
    </w:p>
    <w:p>
      <w:pPr>
        <w:pStyle w:val="BodyText"/>
      </w:pPr>
      <w:r>
        <w:rPr>
          <w:rFonts w:hint="eastAsia"/>
        </w:rPr>
        <w:t xml:space="preserve">使用權益會計法。倘本集團於聯營公司或合資公司分佔的虧損相等於或超過其所佔權益，額外虧損僅於本集團負有法律或推</w:t>
      </w:r>
    </w:p>
    <w:p>
      <w:pPr>
        <w:pStyle w:val="BodyText"/>
      </w:pPr>
      <w:r>
        <w:rPr>
          <w:rFonts w:hint="eastAsia"/>
        </w:rPr>
        <w:t xml:space="preserve">定責任或代表聯營公司或合資公司付款時方會作出撥備，並確認為負債。</w:t>
      </w:r>
    </w:p>
    <w:p>
      <w:pPr>
        <w:pStyle w:val="BodyText"/>
      </w:pPr>
      <w:r>
        <w:rPr>
          <w:rFonts w:hint="eastAsia"/>
        </w:rPr>
        <w:t xml:space="preserve">本公司的投資</w:t>
      </w:r>
    </w:p>
    <w:p>
      <w:pPr>
        <w:pStyle w:val="BodyText"/>
      </w:pPr>
      <w:r>
        <w:rPr>
          <w:rFonts w:hint="eastAsia"/>
        </w:rPr>
        <w:t xml:space="preserve">於本公司的財務狀況表，附屬公司、聯營公司及合資公司按成本列賬，惟出現減值除外。本公司於投資基金（例如互惠基金</w:t>
      </w:r>
    </w:p>
    <w:p>
      <w:pPr>
        <w:pStyle w:val="BodyText"/>
      </w:pPr>
      <w:r>
        <w:rPr>
          <w:rFonts w:hint="eastAsia"/>
        </w:rPr>
        <w:t xml:space="preserve">及單位信託）的權益乃按公平值計入損益計量。</w:t>
      </w:r>
    </w:p>
    <w:p>
      <w:pPr>
        <w:pStyle w:val="BodyText"/>
      </w:pPr>
      <w:r>
        <w:t xml:space="preserve">2.4 </w:t>
      </w:r>
      <w:r>
        <w:rPr>
          <w:rFonts w:hint="eastAsia"/>
        </w:rPr>
        <w:t xml:space="preserve">保險及投資合約</w:t>
      </w:r>
    </w:p>
    <w:p>
      <w:pPr>
        <w:pStyle w:val="BodyText"/>
      </w:pPr>
      <w:r>
        <w:rPr>
          <w:rFonts w:hint="eastAsia"/>
        </w:rPr>
        <w:t xml:space="preserve">本集團已採用貫徹一致的會計政策，以計量及確認保險及投資合約，除在少數情況下，本集團參照適用司法權區的法定要求</w:t>
      </w:r>
    </w:p>
    <w:p>
      <w:pPr>
        <w:pStyle w:val="BodyText"/>
      </w:pPr>
      <w:r>
        <w:rPr>
          <w:rFonts w:hint="eastAsia"/>
        </w:rPr>
        <w:t xml:space="preserve">計量保險合約負債（見附註2.4.3）。</w:t>
      </w:r>
    </w:p>
    <w:p>
      <w:pPr>
        <w:pStyle w:val="BodyText"/>
      </w:pPr>
      <w:r>
        <w:rPr>
          <w:rFonts w:hint="eastAsia"/>
        </w:rPr>
        <w:t xml:space="preserve">產品分類</w:t>
      </w:r>
    </w:p>
    <w:p>
      <w:pPr>
        <w:pStyle w:val="BodyText"/>
      </w:pPr>
      <w:r>
        <w:rPr>
          <w:rFonts w:hint="eastAsia"/>
        </w:rPr>
        <w:t xml:space="preserve">本集團按保險風險水平將其合約分類為保險合約或投資合約。保險合約指轉移重大保險風險的合約，而投資合約指並無重大</w:t>
      </w:r>
    </w:p>
    <w:p>
      <w:pPr>
        <w:pStyle w:val="BodyText"/>
      </w:pPr>
      <w:r>
        <w:rPr>
          <w:rFonts w:hint="eastAsia"/>
        </w:rPr>
        <w:t xml:space="preserve">保險風險的合約。稱為傳統分紅壽險業務的部分保險及投資合約，具備酌情分紅特點，讓客戶可收取保證給付以外的額外非</w:t>
      </w:r>
    </w:p>
    <w:p>
      <w:pPr>
        <w:pStyle w:val="BodyText"/>
      </w:pPr>
      <w:r>
        <w:rPr>
          <w:rFonts w:hint="eastAsia"/>
        </w:rPr>
        <w:t xml:space="preserve">保證給付，例如保單持有人紅利或分紅。本集團應用與保險合約相同的會計政策，以確認及計量具備酌情分紅特點的投資合</w:t>
      </w:r>
    </w:p>
    <w:p>
      <w:pPr>
        <w:pStyle w:val="BodyText"/>
      </w:pPr>
      <w:r>
        <w:rPr>
          <w:rFonts w:hint="eastAsia"/>
        </w:rPr>
        <w:t xml:space="preserve">約所產生的責任及遞延承保成本。本集團稱此等合約為傳統分紅壽險業務。</w:t>
      </w:r>
    </w:p>
    <w:p>
      <w:pPr>
        <w:pStyle w:val="BodyText"/>
      </w:pPr>
      <w:r>
        <w:rPr>
          <w:rFonts w:hint="eastAsia"/>
        </w:rPr>
        <w:t xml:space="preserve">倘存在受保事故導致本集團須向客戶支付巨額的額外賠償的情況（不包括缺乏商業理據者），合約則列作保險合約入賬。對</w:t>
      </w:r>
    </w:p>
    <w:p>
      <w:pPr>
        <w:pStyle w:val="BodyText"/>
      </w:pPr>
      <w:r>
        <w:rPr>
          <w:rFonts w:hint="eastAsia"/>
        </w:rPr>
        <w:t xml:space="preserve">於並無包含酌情分紅特點的投資合約，應用國際會計準則第39號，「金融工具：計量及確認」。倘合約包含投資管理成分，應</w:t>
      </w:r>
    </w:p>
    <w:p>
      <w:pPr>
        <w:pStyle w:val="BodyText"/>
      </w:pPr>
      <w:r>
        <w:rPr>
          <w:rFonts w:hint="eastAsia"/>
        </w:rPr>
        <w:t xml:space="preserve">用國際財務報告準則第15號，「來自客戶合約的收益」。國際財務報告準則第4號允許對具備酌情分紅特點的保險合約及投資</w:t>
      </w:r>
    </w:p>
    <w:p>
      <w:pPr>
        <w:pStyle w:val="BodyText"/>
      </w:pPr>
      <w:r>
        <w:rPr>
          <w:rFonts w:hint="eastAsia"/>
        </w:rPr>
        <w:t xml:space="preserve">合約沿用以往應用的會計政策，而本集團已採用此項基準入賬此等合約。倘一項合約被分類為保險或投資合約，則其後不會</w:t>
      </w:r>
    </w:p>
    <w:p>
      <w:pPr>
        <w:pStyle w:val="BodyText"/>
      </w:pPr>
      <w:r>
        <w:rPr>
          <w:rFonts w:hint="eastAsia"/>
        </w:rPr>
        <w:t xml:space="preserve">再被分類，惟於其後修改協議條款除外。</w:t>
      </w:r>
    </w:p>
    <w:p>
      <w:pPr>
        <w:pStyle w:val="BodyText"/>
      </w:pPr>
      <w:r>
        <w:t xml:space="preserve">146</w:t>
      </w:r>
    </w:p>
    <w:p>
      <w:pPr>
        <w:pStyle w:val="BodyText"/>
      </w:pPr>
      <w:r>
        <w:rPr>
          <w:rFonts w:hint="eastAsia"/>
        </w:rPr>
        <w:t xml:space="preserve">友邦保險控股有限公司</w:t>
      </w:r>
    </w:p>
    <w:p>
      <w:pPr>
        <w:pStyle w:val="Compact"/>
        <w:numPr>
          <w:ilvl w:val="0"/>
          <w:numId w:val="1195"/>
        </w:numPr>
      </w:pPr>
      <w:r>
        <w:rPr>
          <w:rFonts w:hint="eastAsia"/>
        </w:rPr>
        <w:t xml:space="preserve">主要會計政策（續）</w:t>
      </w:r>
    </w:p>
    <w:p>
      <w:pPr>
        <w:pStyle w:val="FirstParagraph"/>
      </w:pPr>
      <w:r>
        <w:t xml:space="preserve">2.4 </w:t>
      </w:r>
      <w:r>
        <w:rPr>
          <w:rFonts w:hint="eastAsia"/>
        </w:rPr>
        <w:t xml:space="preserve">保險及投資合約（續）</w:t>
      </w:r>
    </w:p>
    <w:p>
      <w:pPr>
        <w:pStyle w:val="BodyText"/>
      </w:pPr>
      <w:r>
        <w:rPr>
          <w:rFonts w:hint="eastAsia"/>
        </w:rPr>
        <w:t xml:space="preserve">產品分類（續）</w:t>
      </w:r>
    </w:p>
    <w:p>
      <w:pPr>
        <w:pStyle w:val="BodyText"/>
      </w:pPr>
      <w:r>
        <w:rPr>
          <w:rFonts w:hint="eastAsia"/>
        </w:rPr>
        <w:t xml:space="preserve">若干具備酌情分紅特點的合約補足應付保單持有人的保證給付金額。此等合約與其他保險及投資合約不同，皆因本集團可全</w:t>
      </w:r>
    </w:p>
    <w:p>
      <w:pPr>
        <w:pStyle w:val="BodyText"/>
      </w:pPr>
      <w:r>
        <w:rPr>
          <w:rFonts w:hint="eastAsia"/>
        </w:rPr>
        <w:t xml:space="preserve">權決定宣派給付的金額及</w:t>
      </w:r>
      <w:r>
        <w:t xml:space="preserve"> </w:t>
      </w:r>
      <w:r>
        <w:rPr>
          <w:rFonts w:hint="eastAsia"/>
        </w:rPr>
        <w:t xml:space="preserve">∕或時間，以及如何在不同組別的保單持有人之間分派此等給付。客戶可能獲派保證給付以外的額</w:t>
      </w:r>
    </w:p>
    <w:p>
      <w:pPr>
        <w:pStyle w:val="BodyText"/>
      </w:pPr>
      <w:r>
        <w:rPr>
          <w:rFonts w:hint="eastAsia"/>
        </w:rPr>
        <w:t xml:space="preserve">外給付或分紅：</w:t>
      </w:r>
    </w:p>
    <w:p>
      <w:pPr>
        <w:pStyle w:val="BodyText"/>
      </w:pPr>
      <w:r>
        <w:t xml:space="preserve">• </w:t>
      </w:r>
      <w:r>
        <w:rPr>
          <w:rFonts w:hint="eastAsia"/>
        </w:rPr>
        <w:t xml:space="preserve">額外給付或分紅很可能為合約給付總額的重大部分；</w:t>
      </w:r>
    </w:p>
    <w:p>
      <w:pPr>
        <w:pStyle w:val="BodyText"/>
      </w:pPr>
      <w:r>
        <w:t xml:space="preserve">• </w:t>
      </w:r>
      <w:r>
        <w:rPr>
          <w:rFonts w:hint="eastAsia"/>
        </w:rPr>
        <w:t xml:space="preserve">額外給付或分紅金額或時間基於合約由本集團全權決定；及</w:t>
      </w:r>
    </w:p>
    <w:p>
      <w:pPr>
        <w:pStyle w:val="BodyText"/>
      </w:pPr>
      <w:r>
        <w:t xml:space="preserve">• </w:t>
      </w:r>
      <w:r>
        <w:rPr>
          <w:rFonts w:hint="eastAsia"/>
        </w:rPr>
        <w:t xml:space="preserve">額外給付或分紅基於以下各項而以合約訂立：</w:t>
      </w:r>
    </w:p>
    <w:p>
      <w:pPr>
        <w:pStyle w:val="BodyText"/>
      </w:pPr>
      <w:r>
        <w:rPr>
          <w:rFonts w:hint="eastAsia"/>
        </w:rPr>
        <w:t xml:space="preserve">－</w:t>
      </w:r>
      <w:r>
        <w:t xml:space="preserve"> </w:t>
      </w:r>
      <w:r>
        <w:rPr>
          <w:rFonts w:hint="eastAsia"/>
        </w:rPr>
        <w:t xml:space="preserve">特定合約組別或特定合約類型的表現；</w:t>
      </w:r>
    </w:p>
    <w:p>
      <w:pPr>
        <w:pStyle w:val="BodyText"/>
      </w:pPr>
      <w:r>
        <w:rPr>
          <w:rFonts w:hint="eastAsia"/>
        </w:rPr>
        <w:t xml:space="preserve">－</w:t>
      </w:r>
      <w:r>
        <w:t xml:space="preserve"> </w:t>
      </w:r>
      <w:r>
        <w:rPr>
          <w:rFonts w:hint="eastAsia"/>
        </w:rPr>
        <w:t xml:space="preserve">於發行人持有的特定資產組別的已變現及</w:t>
      </w:r>
      <w:r>
        <w:t xml:space="preserve"> </w:t>
      </w:r>
      <w:r>
        <w:rPr>
          <w:rFonts w:hint="eastAsia"/>
        </w:rPr>
        <w:t xml:space="preserve">∕或未變現的投資回報；或</w:t>
      </w:r>
    </w:p>
    <w:p>
      <w:pPr>
        <w:pStyle w:val="BodyText"/>
      </w:pPr>
      <w:r>
        <w:rPr>
          <w:rFonts w:hint="eastAsia"/>
        </w:rPr>
        <w:t xml:space="preserve">－</w:t>
      </w:r>
      <w:r>
        <w:t xml:space="preserve"> </w:t>
      </w:r>
      <w:r>
        <w:rPr>
          <w:rFonts w:hint="eastAsia"/>
        </w:rPr>
        <w:t xml:space="preserve">簽發合約的本公司、基金或其他實體的溢利或虧損。</w:t>
      </w:r>
    </w:p>
    <w:p>
      <w:pPr>
        <w:pStyle w:val="BodyText"/>
      </w:pPr>
      <w:r>
        <w:rPr>
          <w:rFonts w:hint="eastAsia"/>
        </w:rPr>
        <w:t xml:space="preserve">在某些司法權區，傳統分紅壽險業務以分紅基金承保，其資產與本公司或分公司的其他資產個別劃分。分配自此等分紅基金</w:t>
      </w:r>
    </w:p>
    <w:p>
      <w:pPr>
        <w:pStyle w:val="BodyText"/>
      </w:pPr>
      <w:r>
        <w:rPr>
          <w:rFonts w:hint="eastAsia"/>
        </w:rPr>
        <w:t xml:space="preserve">所持資產的給付，須受法規確立的最低保單持有人分紅機制所規範。具特定資產組合的其他分紅業務指預期保單持有人將收</w:t>
      </w:r>
    </w:p>
    <w:p>
      <w:pPr>
        <w:pStyle w:val="BodyText"/>
      </w:pPr>
      <w:r>
        <w:rPr>
          <w:rFonts w:hint="eastAsia"/>
        </w:rPr>
        <w:t xml:space="preserve">取保險公司基於相關獨立投資資產的表現而酌情釐定的額外給付的業務，而本集團亦就支持該類別資產而作出明確的法定準</w:t>
      </w:r>
    </w:p>
    <w:p>
      <w:pPr>
        <w:pStyle w:val="BodyText"/>
      </w:pPr>
      <w:r>
        <w:rPr>
          <w:rFonts w:hint="eastAsia"/>
        </w:rPr>
        <w:t xml:space="preserve">備金撥備並於相關地區申報。該具特定資產組合的其他分紅業務持有的資產給付按相關的紅利規則分配。該紅利規則由相關</w:t>
      </w:r>
    </w:p>
    <w:p>
      <w:pPr>
        <w:pStyle w:val="BodyText"/>
      </w:pPr>
      <w:r>
        <w:rPr>
          <w:rFonts w:hint="eastAsia"/>
        </w:rPr>
        <w:t xml:space="preserve">董事會基於適用監管要求並考慮獲委任精算師的推薦建議後設定。此類保單持有人的分紅程度或會隨時間變化。目前應用於</w:t>
      </w:r>
    </w:p>
    <w:p>
      <w:pPr>
        <w:pStyle w:val="BodyText"/>
      </w:pPr>
      <w:r>
        <w:rPr>
          <w:rFonts w:hint="eastAsia"/>
        </w:rPr>
        <w:t xml:space="preserve">確認及計量分紅基金及具特定資產組合的其他分紅業務的保險合約負債的保單持有人分紅比例就地區分類載列如下：</w:t>
      </w:r>
    </w:p>
    <w:p>
      <w:pPr>
        <w:pStyle w:val="BodyText"/>
      </w:pPr>
      <w:r>
        <w:rPr>
          <w:rFonts w:hint="eastAsia"/>
        </w:rPr>
        <w:t xml:space="preserve">國家</w:t>
      </w:r>
    </w:p>
    <w:p>
      <w:pPr>
        <w:pStyle w:val="BodyText"/>
      </w:pPr>
      <w:r>
        <w:rPr>
          <w:rFonts w:hint="eastAsia"/>
        </w:rPr>
        <w:t xml:space="preserve">分紅基金</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澳洲</w:t>
      </w:r>
    </w:p>
    <w:p>
      <w:pPr>
        <w:pStyle w:val="BodyText"/>
      </w:pPr>
      <w:r>
        <w:rPr>
          <w:rFonts w:hint="eastAsia"/>
        </w:rPr>
        <w:t xml:space="preserve">汶萊</w:t>
      </w:r>
    </w:p>
    <w:p>
      <w:pPr>
        <w:pStyle w:val="BodyText"/>
      </w:pPr>
      <w:r>
        <w:rPr>
          <w:rFonts w:hint="eastAsia"/>
        </w:rPr>
        <w:t xml:space="preserve">具特定資產組合的其他分紅業務</w:t>
      </w:r>
    </w:p>
    <w:p>
      <w:pPr>
        <w:pStyle w:val="BodyText"/>
      </w:pPr>
      <w:r>
        <w:rPr>
          <w:rFonts w:hint="eastAsia"/>
        </w:rPr>
        <w:t xml:space="preserve">香港</w:t>
      </w:r>
    </w:p>
    <w:p>
      <w:pPr>
        <w:pStyle w:val="BodyText"/>
      </w:pPr>
      <w:r>
        <w:rPr>
          <w:rFonts w:hint="eastAsia"/>
        </w:rPr>
        <w:t xml:space="preserve">在某些司法權區，分紅業務並非以特定基金承保，而本集團稱其為無特定資產組合的其他分紅業務。</w:t>
      </w:r>
    </w:p>
    <w:p>
      <w:pPr>
        <w:pStyle w:val="BodyText"/>
      </w:pPr>
      <w:r>
        <w:rPr>
          <w:rFonts w:hint="eastAsia"/>
        </w:rPr>
        <w:t xml:space="preserve">目前保單持有人的分紅</w:t>
      </w:r>
    </w:p>
    <w:p>
      <w:pPr>
        <w:pStyle w:val="BodyText"/>
      </w:pPr>
      <w:r>
        <w:t xml:space="preserve">90%</w:t>
      </w:r>
    </w:p>
    <w:p>
      <w:pPr>
        <w:pStyle w:val="BodyText"/>
      </w:pPr>
      <w:r>
        <w:t xml:space="preserve">90%</w:t>
      </w:r>
    </w:p>
    <w:p>
      <w:pPr>
        <w:pStyle w:val="BodyText"/>
      </w:pPr>
      <w:r>
        <w:t xml:space="preserve">70%</w:t>
      </w:r>
    </w:p>
    <w:p>
      <w:pPr>
        <w:pStyle w:val="BodyText"/>
      </w:pPr>
      <w:r>
        <w:t xml:space="preserve">80%</w:t>
      </w:r>
    </w:p>
    <w:p>
      <w:pPr>
        <w:pStyle w:val="BodyText"/>
      </w:pPr>
      <w:r>
        <w:t xml:space="preserve">80%</w:t>
      </w:r>
    </w:p>
    <w:p>
      <w:pPr>
        <w:pStyle w:val="BodyText"/>
      </w:pPr>
      <w:r>
        <w:t xml:space="preserve">70% – 90%</w:t>
      </w:r>
    </w:p>
    <w:p>
      <w:pPr>
        <w:pStyle w:val="BodyText"/>
      </w:pPr>
      <w:r>
        <w:t xml:space="preserve">147</w:t>
      </w:r>
    </w:p>
    <w:p>
      <w:pPr>
        <w:pStyle w:val="BodyText"/>
      </w:pPr>
      <w:r>
        <w:rPr>
          <w:rFonts w:hint="eastAsia"/>
        </w:rPr>
        <w:t xml:space="preserve">概覽財務及營運回顧企業管治其他資料財務報表2020年報</w:t>
      </w:r>
    </w:p>
    <w:p>
      <w:pPr>
        <w:pStyle w:val="Compact"/>
        <w:numPr>
          <w:ilvl w:val="0"/>
          <w:numId w:val="1196"/>
        </w:numPr>
      </w:pPr>
      <w:r>
        <w:rPr>
          <w:rFonts w:hint="eastAsia"/>
        </w:rPr>
        <w:t xml:space="preserve">主要會計政策（續）</w:t>
      </w:r>
    </w:p>
    <w:p>
      <w:pPr>
        <w:pStyle w:val="FirstParagraph"/>
      </w:pPr>
      <w:r>
        <w:t xml:space="preserve">2.4 </w:t>
      </w:r>
      <w:r>
        <w:rPr>
          <w:rFonts w:hint="eastAsia"/>
        </w:rPr>
        <w:t xml:space="preserve">保險及投資合約（續）</w:t>
      </w:r>
    </w:p>
    <w:p>
      <w:pPr>
        <w:pStyle w:val="BodyText"/>
      </w:pPr>
      <w:r>
        <w:rPr>
          <w:rFonts w:hint="eastAsia"/>
        </w:rPr>
        <w:t xml:space="preserve">產品分類（續）</w:t>
      </w:r>
    </w:p>
    <w:p>
      <w:pPr>
        <w:pStyle w:val="BodyText"/>
      </w:pPr>
      <w:r>
        <w:rPr>
          <w:rFonts w:hint="eastAsia"/>
        </w:rPr>
        <w:t xml:space="preserve">本集團的產品可分為下列主要類別：</w:t>
      </w:r>
    </w:p>
    <w:p>
      <w:pPr>
        <w:pStyle w:val="BodyText"/>
      </w:pPr>
      <w:r>
        <w:rPr>
          <w:rFonts w:hint="eastAsia"/>
        </w:rPr>
        <w:t xml:space="preserve">保單類型</w:t>
      </w:r>
    </w:p>
    <w:p>
      <w:pPr>
        <w:pStyle w:val="BodyText"/>
      </w:pPr>
      <w:r>
        <w:rPr>
          <w:rFonts w:hint="eastAsia"/>
        </w:rPr>
        <w:t xml:space="preserve">傳統分紅壽險</w:t>
      </w:r>
    </w:p>
    <w:p>
      <w:pPr>
        <w:pStyle w:val="BodyText"/>
      </w:pPr>
      <w:r>
        <w:rPr>
          <w:rFonts w:hint="eastAsia"/>
        </w:rPr>
        <w:t xml:space="preserve">應付給付說明</w:t>
      </w:r>
    </w:p>
    <w:p>
      <w:pPr>
        <w:pStyle w:val="BodyText"/>
      </w:pPr>
      <w:r>
        <w:rPr>
          <w:rFonts w:hint="eastAsia"/>
        </w:rPr>
        <w:t xml:space="preserve">保險合約負債(1)</w:t>
      </w:r>
    </w:p>
    <w:p>
      <w:pPr>
        <w:pStyle w:val="BodyText"/>
      </w:pPr>
      <w:r>
        <w:rPr>
          <w:rFonts w:hint="eastAsia"/>
        </w:rPr>
        <w:t xml:space="preserve">投資合約負債</w:t>
      </w:r>
    </w:p>
    <w:p>
      <w:pPr>
        <w:pStyle w:val="BodyText"/>
      </w:pPr>
      <w:r>
        <w:rPr>
          <w:rFonts w:hint="eastAsia"/>
        </w:rPr>
        <w:t xml:space="preserve">會計基準：</w:t>
      </w:r>
    </w:p>
    <w:p>
      <w:pPr>
        <w:pStyle w:val="BodyText"/>
      </w:pPr>
      <w:r>
        <w:rPr>
          <w:rFonts w:hint="eastAsia"/>
        </w:rPr>
        <w:t xml:space="preserve">分紅基金及具特定</w:t>
      </w:r>
      <w:r>
        <w:br/>
      </w:r>
      <w:r>
        <w:rPr>
          <w:rFonts w:hint="eastAsia"/>
        </w:rPr>
        <w:t xml:space="preserve">資產組合的其他</w:t>
      </w:r>
      <w:r>
        <w:br/>
      </w:r>
      <w:r>
        <w:rPr>
          <w:rFonts w:hint="eastAsia"/>
        </w:rPr>
        <w:t xml:space="preserve">分紅業務</w:t>
      </w:r>
    </w:p>
    <w:p>
      <w:pPr>
        <w:pStyle w:val="BodyText"/>
      </w:pPr>
      <w:r>
        <w:rPr>
          <w:rFonts w:hint="eastAsia"/>
        </w:rPr>
        <w:t xml:space="preserve">分紅產品包括保障及儲蓄元素。於身</w:t>
      </w:r>
      <w:r>
        <w:br/>
      </w:r>
      <w:r>
        <w:rPr>
          <w:rFonts w:hint="eastAsia"/>
        </w:rPr>
        <w:t xml:space="preserve">故或期滿時應付的保證基本款項可因</w:t>
      </w:r>
      <w:r>
        <w:br/>
      </w:r>
      <w:r>
        <w:rPr>
          <w:rFonts w:hint="eastAsia"/>
        </w:rPr>
        <w:t xml:space="preserve">紅利或分紅而增加，紅利總金額乃按</w:t>
      </w:r>
      <w:r>
        <w:br/>
      </w:r>
      <w:r>
        <w:rPr>
          <w:rFonts w:hint="eastAsia"/>
        </w:rPr>
        <w:t xml:space="preserve">特定基金的資產及負債的表現釐定。</w:t>
      </w:r>
      <w:r>
        <w:br/>
      </w:r>
      <w:r>
        <w:rPr>
          <w:rFonts w:hint="eastAsia"/>
        </w:rPr>
        <w:t xml:space="preserve">宣派紅利及分紅的時間由保險公司酌</w:t>
      </w:r>
      <w:r>
        <w:br/>
      </w:r>
      <w:r>
        <w:rPr>
          <w:rFonts w:hint="eastAsia"/>
        </w:rPr>
        <w:t xml:space="preserve">情決定</w:t>
      </w:r>
    </w:p>
    <w:p>
      <w:pPr>
        <w:pStyle w:val="BodyText"/>
      </w:pPr>
      <w:r>
        <w:rPr>
          <w:rFonts w:hint="eastAsia"/>
        </w:rPr>
        <w:t xml:space="preserve">就分紅基金而言，當地法規一般規定</w:t>
      </w:r>
      <w:r>
        <w:br/>
      </w:r>
      <w:r>
        <w:rPr>
          <w:rFonts w:hint="eastAsia"/>
        </w:rPr>
        <w:t xml:space="preserve">最低保單持有人的宣派分紅比例</w:t>
      </w:r>
    </w:p>
    <w:p>
      <w:pPr>
        <w:pStyle w:val="BodyText"/>
      </w:pPr>
      <w:r>
        <w:rPr>
          <w:rFonts w:hint="eastAsia"/>
        </w:rPr>
        <w:t xml:space="preserve">保險合約負債就扣除將從保單持有</w:t>
      </w:r>
      <w:r>
        <w:br/>
      </w:r>
      <w:r>
        <w:rPr>
          <w:rFonts w:hint="eastAsia"/>
        </w:rPr>
        <w:t xml:space="preserve">人收取的估計未來淨保費後的保證</w:t>
      </w:r>
      <w:r>
        <w:br/>
      </w:r>
      <w:r>
        <w:rPr>
          <w:rFonts w:hint="eastAsia"/>
        </w:rPr>
        <w:t xml:space="preserve">給付現值作出撥備。此外，保險合</w:t>
      </w:r>
      <w:r>
        <w:br/>
      </w:r>
      <w:r>
        <w:rPr>
          <w:rFonts w:hint="eastAsia"/>
        </w:rPr>
        <w:t xml:space="preserve">約負債就分紅基金及具特定資產組</w:t>
      </w:r>
      <w:r>
        <w:br/>
      </w:r>
      <w:r>
        <w:rPr>
          <w:rFonts w:hint="eastAsia"/>
        </w:rPr>
        <w:t xml:space="preserve">合的其他分紅業務淨資產值，假設</w:t>
      </w:r>
      <w:r>
        <w:br/>
      </w:r>
      <w:r>
        <w:rPr>
          <w:rFonts w:hint="eastAsia"/>
        </w:rPr>
        <w:t xml:space="preserve">其全部表現皆根據目前保單持有人</w:t>
      </w:r>
      <w:r>
        <w:br/>
      </w:r>
      <w:r>
        <w:rPr>
          <w:rFonts w:hint="eastAsia"/>
        </w:rPr>
        <w:t xml:space="preserve">分紅機制宣派紅利而入賬。此外，</w:t>
      </w:r>
      <w:r>
        <w:br/>
      </w:r>
      <w:r>
        <w:rPr>
          <w:rFonts w:hint="eastAsia"/>
        </w:rPr>
        <w:t xml:space="preserve">有限付款合約的遞延溢利負債予以</w:t>
      </w:r>
      <w:r>
        <w:br/>
      </w:r>
      <w:r>
        <w:rPr>
          <w:rFonts w:hint="eastAsia"/>
        </w:rPr>
        <w:t xml:space="preserve">確認</w:t>
      </w:r>
    </w:p>
    <w:p>
      <w:pPr>
        <w:pStyle w:val="BodyText"/>
      </w:pPr>
      <w:r>
        <w:rPr>
          <w:rFonts w:hint="eastAsia"/>
        </w:rPr>
        <w:t xml:space="preserve">不適用，因國際財務報</w:t>
      </w:r>
      <w:r>
        <w:br/>
      </w:r>
      <w:r>
        <w:rPr>
          <w:rFonts w:hint="eastAsia"/>
        </w:rPr>
        <w:t xml:space="preserve">告準則第4號允許具備酌</w:t>
      </w:r>
      <w:r>
        <w:br/>
      </w:r>
      <w:r>
        <w:rPr>
          <w:rFonts w:hint="eastAsia"/>
        </w:rPr>
        <w:t xml:space="preserve">情分紅特點的合約入賬</w:t>
      </w:r>
      <w:r>
        <w:br/>
      </w:r>
      <w:r>
        <w:rPr>
          <w:rFonts w:hint="eastAsia"/>
        </w:rPr>
        <w:t xml:space="preserve">列作保險合約</w:t>
      </w:r>
    </w:p>
    <w:p>
      <w:pPr>
        <w:pStyle w:val="BodyText"/>
      </w:pPr>
      <w:r>
        <w:rPr>
          <w:rFonts w:hint="eastAsia"/>
        </w:rPr>
        <w:t xml:space="preserve">就具特定資產組合的其他分紅業務而</w:t>
      </w:r>
      <w:r>
        <w:br/>
      </w:r>
      <w:r>
        <w:rPr>
          <w:rFonts w:hint="eastAsia"/>
        </w:rPr>
        <w:t xml:space="preserve">言，該特定資產組合持有的資產給付</w:t>
      </w:r>
      <w:r>
        <w:br/>
      </w:r>
      <w:r>
        <w:rPr>
          <w:rFonts w:hint="eastAsia"/>
        </w:rPr>
        <w:t xml:space="preserve">按相關的紅利規則分配。該紅利規則</w:t>
      </w:r>
      <w:r>
        <w:br/>
      </w:r>
      <w:r>
        <w:rPr>
          <w:rFonts w:hint="eastAsia"/>
        </w:rPr>
        <w:t xml:space="preserve">由相關董事會基於適用監管要求並考</w:t>
      </w:r>
      <w:r>
        <w:br/>
      </w:r>
      <w:r>
        <w:rPr>
          <w:rFonts w:hint="eastAsia"/>
        </w:rPr>
        <w:t xml:space="preserve">慮獲委任精算師的推薦建議後設定。</w:t>
      </w:r>
      <w:r>
        <w:br/>
      </w:r>
      <w:r>
        <w:rPr>
          <w:rFonts w:hint="eastAsia"/>
        </w:rPr>
        <w:t xml:space="preserve">此類保單持有人的分紅程度或會隨時</w:t>
      </w:r>
      <w:r>
        <w:br/>
      </w:r>
      <w:r>
        <w:rPr>
          <w:rFonts w:hint="eastAsia"/>
        </w:rPr>
        <w:t xml:space="preserve">間變化</w:t>
      </w:r>
    </w:p>
    <w:p>
      <w:pPr>
        <w:pStyle w:val="BodyText"/>
      </w:pPr>
      <w:r>
        <w:rPr>
          <w:rFonts w:hint="eastAsia"/>
        </w:rPr>
        <w:t xml:space="preserve">無特定資產組合的</w:t>
      </w:r>
      <w:r>
        <w:br/>
      </w:r>
      <w:r>
        <w:rPr>
          <w:rFonts w:hint="eastAsia"/>
        </w:rPr>
        <w:t xml:space="preserve">其他分紅業務</w:t>
      </w:r>
    </w:p>
    <w:p>
      <w:pPr>
        <w:pStyle w:val="BodyText"/>
      </w:pPr>
      <w:r>
        <w:rPr>
          <w:rFonts w:hint="eastAsia"/>
        </w:rPr>
        <w:t xml:space="preserve">分紅產品包括保障及儲蓄元素。於身</w:t>
      </w:r>
      <w:r>
        <w:br/>
      </w:r>
      <w:r>
        <w:rPr>
          <w:rFonts w:hint="eastAsia"/>
        </w:rPr>
        <w:t xml:space="preserve">故或期滿時應付的保證基本款項可因</w:t>
      </w:r>
      <w:r>
        <w:br/>
      </w:r>
      <w:r>
        <w:rPr>
          <w:rFonts w:hint="eastAsia"/>
        </w:rPr>
        <w:t xml:space="preserve">紅利或分紅而增加，紅利的派付時間</w:t>
      </w:r>
      <w:r>
        <w:br/>
      </w:r>
      <w:r>
        <w:rPr>
          <w:rFonts w:hint="eastAsia"/>
        </w:rPr>
        <w:t xml:space="preserve">或金額由保險公司經考慮投資經驗等</w:t>
      </w:r>
      <w:r>
        <w:br/>
      </w:r>
      <w:r>
        <w:rPr>
          <w:rFonts w:hint="eastAsia"/>
        </w:rPr>
        <w:t xml:space="preserve">因素後酌情決定</w:t>
      </w:r>
    </w:p>
    <w:p>
      <w:pPr>
        <w:pStyle w:val="BodyText"/>
      </w:pPr>
      <w:r>
        <w:rPr>
          <w:rFonts w:hint="eastAsia"/>
        </w:rPr>
        <w:t xml:space="preserve">保險合約負債就扣除將從保單持有</w:t>
      </w:r>
      <w:r>
        <w:br/>
      </w:r>
      <w:r>
        <w:rPr>
          <w:rFonts w:hint="eastAsia"/>
        </w:rPr>
        <w:t xml:space="preserve">人收取的估計未來淨保費後的保證</w:t>
      </w:r>
      <w:r>
        <w:br/>
      </w:r>
      <w:r>
        <w:rPr>
          <w:rFonts w:hint="eastAsia"/>
        </w:rPr>
        <w:t xml:space="preserve">給付及非保證分紅的現值作出撥</w:t>
      </w:r>
      <w:r>
        <w:br/>
      </w:r>
      <w:r>
        <w:rPr>
          <w:rFonts w:hint="eastAsia"/>
        </w:rPr>
        <w:t xml:space="preserve">備。此外，有限付款合約的遞延溢</w:t>
      </w:r>
      <w:r>
        <w:br/>
      </w:r>
      <w:r>
        <w:rPr>
          <w:rFonts w:hint="eastAsia"/>
        </w:rPr>
        <w:t xml:space="preserve">利負債予以確認</w:t>
      </w:r>
    </w:p>
    <w:p>
      <w:pPr>
        <w:pStyle w:val="BodyText"/>
      </w:pPr>
      <w:r>
        <w:rPr>
          <w:rFonts w:hint="eastAsia"/>
        </w:rPr>
        <w:t xml:space="preserve">不適用，因國際財務報</w:t>
      </w:r>
      <w:r>
        <w:br/>
      </w:r>
      <w:r>
        <w:rPr>
          <w:rFonts w:hint="eastAsia"/>
        </w:rPr>
        <w:t xml:space="preserve">告準則第4號允許具備酌</w:t>
      </w:r>
      <w:r>
        <w:br/>
      </w:r>
      <w:r>
        <w:rPr>
          <w:rFonts w:hint="eastAsia"/>
        </w:rPr>
        <w:t xml:space="preserve">情分紅特點的合約入賬</w:t>
      </w:r>
      <w:r>
        <w:br/>
      </w:r>
      <w:r>
        <w:rPr>
          <w:rFonts w:hint="eastAsia"/>
        </w:rPr>
        <w:t xml:space="preserve">列作保險合約</w:t>
      </w:r>
    </w:p>
    <w:p>
      <w:pPr>
        <w:pStyle w:val="BodyText"/>
      </w:pPr>
      <w:r>
        <w:rPr>
          <w:rFonts w:hint="eastAsia"/>
        </w:rPr>
        <w:t xml:space="preserve">非分紅壽險、年金及</w:t>
      </w:r>
      <w:r>
        <w:br/>
      </w:r>
      <w:r>
        <w:rPr>
          <w:rFonts w:hint="eastAsia"/>
        </w:rPr>
        <w:t xml:space="preserve">其他保障產品</w:t>
      </w:r>
    </w:p>
    <w:p>
      <w:pPr>
        <w:pStyle w:val="BodyText"/>
      </w:pPr>
      <w:r>
        <w:rPr>
          <w:rFonts w:hint="eastAsia"/>
        </w:rPr>
        <w:t xml:space="preserve">保險公司無權決定應付給付</w:t>
      </w:r>
    </w:p>
    <w:p>
      <w:pPr>
        <w:pStyle w:val="BodyText"/>
      </w:pPr>
      <w:r>
        <w:rPr>
          <w:rFonts w:hint="eastAsia"/>
        </w:rPr>
        <w:t xml:space="preserve">萬能壽險</w:t>
      </w:r>
    </w:p>
    <w:p>
      <w:pPr>
        <w:pStyle w:val="BodyText"/>
      </w:pPr>
      <w:r>
        <w:rPr>
          <w:rFonts w:hint="eastAsia"/>
        </w:rPr>
        <w:t xml:space="preserve">單位連結式</w:t>
      </w:r>
    </w:p>
    <w:p>
      <w:pPr>
        <w:pStyle w:val="BodyText"/>
      </w:pPr>
      <w:r>
        <w:rPr>
          <w:rFonts w:hint="eastAsia"/>
        </w:rPr>
        <w:t xml:space="preserve">附註：</w:t>
      </w:r>
    </w:p>
    <w:p>
      <w:pPr>
        <w:pStyle w:val="BodyText"/>
      </w:pPr>
      <w:r>
        <w:rPr>
          <w:rFonts w:hint="eastAsia"/>
        </w:rPr>
        <w:t xml:space="preserve">給付乃按帳戶結餘計算，按保險公司</w:t>
      </w:r>
      <w:r>
        <w:br/>
      </w:r>
      <w:r>
        <w:rPr>
          <w:rFonts w:hint="eastAsia"/>
        </w:rPr>
        <w:t xml:space="preserve">所定利率存入利息，及視客戶而定的</w:t>
      </w:r>
      <w:r>
        <w:br/>
      </w:r>
      <w:r>
        <w:rPr>
          <w:rFonts w:hint="eastAsia"/>
        </w:rPr>
        <w:t xml:space="preserve">身故給付</w:t>
      </w:r>
    </w:p>
    <w:p>
      <w:pPr>
        <w:pStyle w:val="BodyText"/>
      </w:pPr>
      <w:r>
        <w:rPr>
          <w:rFonts w:hint="eastAsia"/>
        </w:rPr>
        <w:t xml:space="preserve">此等產品可能以儲蓄產品為主，或會</w:t>
      </w:r>
      <w:r>
        <w:br/>
      </w:r>
      <w:r>
        <w:rPr>
          <w:rFonts w:hint="eastAsia"/>
        </w:rPr>
        <w:t xml:space="preserve">將儲蓄結合保障元素</w:t>
      </w:r>
    </w:p>
    <w:p>
      <w:pPr>
        <w:pStyle w:val="Compact"/>
        <w:numPr>
          <w:ilvl w:val="0"/>
          <w:numId w:val="1197"/>
        </w:numPr>
      </w:pPr>
      <w:r>
        <w:rPr>
          <w:rFonts w:hint="eastAsia"/>
        </w:rPr>
        <w:t xml:space="preserve">在少數情況下，本集團參照適用司法權區的法定要求計量保險合約負債。</w:t>
      </w:r>
    </w:p>
    <w:p>
      <w:pPr>
        <w:pStyle w:val="FirstParagraph"/>
      </w:pPr>
      <w:r>
        <w:rPr>
          <w:rFonts w:hint="eastAsia"/>
        </w:rPr>
        <w:t xml:space="preserve">財務報表附註中，單位連結式合約與退休金合約一併呈列，以供披露。</w:t>
      </w:r>
    </w:p>
    <w:p>
      <w:pPr>
        <w:pStyle w:val="BodyText"/>
      </w:pPr>
      <w:r>
        <w:rPr>
          <w:rFonts w:hint="eastAsia"/>
        </w:rPr>
        <w:t xml:space="preserve">保險合約負債反映扣除將從保單持</w:t>
      </w:r>
      <w:r>
        <w:br/>
      </w:r>
      <w:r>
        <w:rPr>
          <w:rFonts w:hint="eastAsia"/>
        </w:rPr>
        <w:t xml:space="preserve">有人收取的估計未來淨保費後的未</w:t>
      </w:r>
      <w:r>
        <w:br/>
      </w:r>
      <w:r>
        <w:rPr>
          <w:rFonts w:hint="eastAsia"/>
        </w:rPr>
        <w:t xml:space="preserve">來保單給付現值。此外，有限付款</w:t>
      </w:r>
      <w:r>
        <w:br/>
      </w:r>
      <w:r>
        <w:rPr>
          <w:rFonts w:hint="eastAsia"/>
        </w:rPr>
        <w:t xml:space="preserve">合約的遞延溢利負債予以確認</w:t>
      </w:r>
    </w:p>
    <w:p>
      <w:pPr>
        <w:pStyle w:val="BodyText"/>
      </w:pPr>
      <w:r>
        <w:rPr>
          <w:rFonts w:hint="eastAsia"/>
        </w:rPr>
        <w:t xml:space="preserve">保險合約負債反映累計價值，即已</w:t>
      </w:r>
      <w:r>
        <w:br/>
      </w:r>
      <w:r>
        <w:rPr>
          <w:rFonts w:hint="eastAsia"/>
        </w:rPr>
        <w:t xml:space="preserve">收保費及已記賬投資回報，並扣除</w:t>
      </w:r>
      <w:r>
        <w:br/>
      </w:r>
      <w:r>
        <w:rPr>
          <w:rFonts w:hint="eastAsia"/>
        </w:rPr>
        <w:t xml:space="preserve">申購手續費、死亡率及傷病率成本</w:t>
      </w:r>
      <w:r>
        <w:br/>
      </w:r>
      <w:r>
        <w:rPr>
          <w:rFonts w:hint="eastAsia"/>
        </w:rPr>
        <w:t xml:space="preserve">及費用。此外，遞延收益及額外保</w:t>
      </w:r>
      <w:r>
        <w:br/>
      </w:r>
      <w:r>
        <w:rPr>
          <w:rFonts w:hint="eastAsia"/>
        </w:rPr>
        <w:t xml:space="preserve">險給付的負債亦會入賬</w:t>
      </w:r>
    </w:p>
    <w:p>
      <w:pPr>
        <w:pStyle w:val="BodyText"/>
      </w:pPr>
      <w:r>
        <w:rPr>
          <w:rFonts w:hint="eastAsia"/>
        </w:rPr>
        <w:t xml:space="preserve">保險合約負債反映累計價值，即已</w:t>
      </w:r>
      <w:r>
        <w:br/>
      </w:r>
      <w:r>
        <w:rPr>
          <w:rFonts w:hint="eastAsia"/>
        </w:rPr>
        <w:t xml:space="preserve">收保費及已記賬投資回報，並扣除</w:t>
      </w:r>
      <w:r>
        <w:br/>
      </w:r>
      <w:r>
        <w:rPr>
          <w:rFonts w:hint="eastAsia"/>
        </w:rPr>
        <w:t xml:space="preserve">申購手續費、死亡率及傷病率成本</w:t>
      </w:r>
      <w:r>
        <w:br/>
      </w:r>
      <w:r>
        <w:rPr>
          <w:rFonts w:hint="eastAsia"/>
        </w:rPr>
        <w:t xml:space="preserve">及費用。此外，遞延收益及額外保</w:t>
      </w:r>
      <w:r>
        <w:br/>
      </w:r>
      <w:r>
        <w:rPr>
          <w:rFonts w:hint="eastAsia"/>
        </w:rPr>
        <w:t xml:space="preserve">險給付的負債亦會入賬</w:t>
      </w:r>
    </w:p>
    <w:p>
      <w:pPr>
        <w:pStyle w:val="BodyText"/>
      </w:pPr>
      <w:r>
        <w:rPr>
          <w:rFonts w:hint="eastAsia"/>
        </w:rPr>
        <w:t xml:space="preserve">投資合約負債乃按攤銷</w:t>
      </w:r>
      <w:r>
        <w:br/>
      </w:r>
      <w:r>
        <w:rPr>
          <w:rFonts w:hint="eastAsia"/>
        </w:rPr>
        <w:t xml:space="preserve">成本計量</w:t>
      </w:r>
    </w:p>
    <w:p>
      <w:pPr>
        <w:pStyle w:val="BodyText"/>
      </w:pPr>
      <w:r>
        <w:rPr>
          <w:rFonts w:hint="eastAsia"/>
        </w:rPr>
        <w:t xml:space="preserve">不適用，因此等合約一</w:t>
      </w:r>
      <w:r>
        <w:br/>
      </w:r>
      <w:r>
        <w:rPr>
          <w:rFonts w:hint="eastAsia"/>
        </w:rPr>
        <w:t xml:space="preserve">般附帶重大保險風險</w:t>
      </w:r>
    </w:p>
    <w:p>
      <w:pPr>
        <w:pStyle w:val="BodyText"/>
      </w:pPr>
      <w:r>
        <w:rPr>
          <w:rFonts w:hint="eastAsia"/>
        </w:rPr>
        <w:t xml:space="preserve">投資合約負債以公平值</w:t>
      </w:r>
      <w:r>
        <w:br/>
      </w:r>
      <w:r>
        <w:rPr>
          <w:rFonts w:hint="eastAsia"/>
        </w:rPr>
        <w:t xml:space="preserve">（參照累計價值釐定）計</w:t>
      </w:r>
      <w:r>
        <w:br/>
      </w:r>
      <w:r>
        <w:rPr>
          <w:rFonts w:hint="eastAsia"/>
        </w:rPr>
        <w:t xml:space="preserve">量</w:t>
      </w:r>
    </w:p>
    <w:p>
      <w:pPr>
        <w:pStyle w:val="BodyText"/>
      </w:pPr>
      <w:r>
        <w:t xml:space="preserve">148</w:t>
      </w:r>
    </w:p>
    <w:p>
      <w:pPr>
        <w:pStyle w:val="BodyText"/>
      </w:pPr>
      <w:r>
        <w:rPr>
          <w:rFonts w:hint="eastAsia"/>
        </w:rPr>
        <w:t xml:space="preserve">友邦保險控股有限公司</w:t>
      </w:r>
    </w:p>
    <w:p>
      <w:pPr>
        <w:pStyle w:val="Compact"/>
        <w:numPr>
          <w:ilvl w:val="0"/>
          <w:numId w:val="1198"/>
        </w:numPr>
      </w:pPr>
      <w:r>
        <w:rPr>
          <w:rFonts w:hint="eastAsia"/>
        </w:rPr>
        <w:t xml:space="preserve">主要會計政策（續）</w:t>
      </w:r>
    </w:p>
    <w:p>
      <w:pPr>
        <w:pStyle w:val="FirstParagraph"/>
      </w:pPr>
      <w:r>
        <w:t xml:space="preserve">2.4 </w:t>
      </w:r>
      <w:r>
        <w:rPr>
          <w:rFonts w:hint="eastAsia"/>
        </w:rPr>
        <w:t xml:space="preserve">保險及投資合約（續）</w:t>
      </w:r>
    </w:p>
    <w:p>
      <w:pPr>
        <w:pStyle w:val="BodyText"/>
      </w:pPr>
      <w:r>
        <w:rPr>
          <w:rFonts w:hint="eastAsia"/>
        </w:rPr>
        <w:t xml:space="preserve">產品分類（續）</w:t>
      </w:r>
    </w:p>
    <w:p>
      <w:pPr>
        <w:pStyle w:val="BodyText"/>
      </w:pPr>
      <w:r>
        <w:rPr>
          <w:rFonts w:hint="eastAsia"/>
        </w:rPr>
        <w:t xml:space="preserve">保險及投資合約的會計基準於下文附註2.4.1及2.4.2詳述。</w:t>
      </w:r>
    </w:p>
    <w:p>
      <w:pPr>
        <w:pStyle w:val="BodyText"/>
      </w:pPr>
      <w:r>
        <w:t xml:space="preserve">2.4.1 </w:t>
      </w:r>
      <w:r>
        <w:rPr>
          <w:rFonts w:hint="eastAsia"/>
        </w:rPr>
        <w:t xml:space="preserve">保險合約及具備酌情分紅特點的投資合約</w:t>
      </w:r>
    </w:p>
    <w:p>
      <w:pPr>
        <w:pStyle w:val="BodyText"/>
      </w:pPr>
      <w:r>
        <w:rPr>
          <w:rFonts w:hint="eastAsia"/>
        </w:rPr>
        <w:t xml:space="preserve">保費</w:t>
      </w:r>
    </w:p>
    <w:p>
      <w:pPr>
        <w:pStyle w:val="BodyText"/>
      </w:pPr>
      <w:r>
        <w:rPr>
          <w:rFonts w:hint="eastAsia"/>
        </w:rPr>
        <w:t xml:space="preserve">來自壽險合約的保費，包括分紅保單及終身永續年金保單，於自保單持有人應收取時確認為收益。給付及費用已就此等收益</w:t>
      </w:r>
    </w:p>
    <w:p>
      <w:pPr>
        <w:pStyle w:val="BodyText"/>
      </w:pPr>
      <w:r>
        <w:rPr>
          <w:rFonts w:hint="eastAsia"/>
        </w:rPr>
        <w:t xml:space="preserve">作出撥備，以便於保單估計年期內確認溢利。就有限支付合約而言，保費在到期時於損益確認，任何超額溢利則於收入表遞</w:t>
      </w:r>
    </w:p>
    <w:p>
      <w:pPr>
        <w:pStyle w:val="BodyText"/>
      </w:pPr>
      <w:r>
        <w:rPr>
          <w:rFonts w:hint="eastAsia"/>
        </w:rPr>
        <w:t xml:space="preserve">延及確認，以配合目前的有效保單，或就年金而言，預期給付金額。</w:t>
      </w:r>
    </w:p>
    <w:p>
      <w:pPr>
        <w:pStyle w:val="BodyText"/>
      </w:pPr>
      <w:r>
        <w:rPr>
          <w:rFonts w:hint="eastAsia"/>
        </w:rPr>
        <w:t xml:space="preserve">具投資特色但包含相當保險風險而被視作保險合約的保險合約（如萬能壽險及若干單位連結式合約）收取的保費金額乃累計</w:t>
      </w:r>
    </w:p>
    <w:p>
      <w:pPr>
        <w:pStyle w:val="BodyText"/>
      </w:pPr>
      <w:r>
        <w:rPr>
          <w:rFonts w:hint="eastAsia"/>
        </w:rPr>
        <w:t xml:space="preserve">為存款。來自此等合約的收益包括期內有關保險、行政及退保成本的保單費用。</w:t>
      </w:r>
    </w:p>
    <w:p>
      <w:pPr>
        <w:pStyle w:val="BodyText"/>
      </w:pPr>
      <w:r>
        <w:rPr>
          <w:rFonts w:hint="eastAsia"/>
        </w:rPr>
        <w:t xml:space="preserve">首筆支付費用於相關合約估計年期內確認。計入開支的保單給付及賠款，包括於期內產生並超出有關保單持有人合約存款的</w:t>
      </w:r>
    </w:p>
    <w:p>
      <w:pPr>
        <w:pStyle w:val="BodyText"/>
      </w:pPr>
      <w:r>
        <w:rPr>
          <w:rFonts w:hint="eastAsia"/>
        </w:rPr>
        <w:t xml:space="preserve">給付賠償及計入保單持有人存款的利息。</w:t>
      </w:r>
    </w:p>
    <w:p>
      <w:pPr>
        <w:pStyle w:val="BodyText"/>
      </w:pPr>
      <w:r>
        <w:rPr>
          <w:rFonts w:hint="eastAsia"/>
        </w:rPr>
        <w:t xml:space="preserve">遞延收益負債</w:t>
      </w:r>
    </w:p>
    <w:p>
      <w:pPr>
        <w:pStyle w:val="BodyText"/>
      </w:pPr>
      <w:r>
        <w:rPr>
          <w:rFonts w:hint="eastAsia"/>
        </w:rPr>
        <w:t xml:space="preserve">遞延收益負債指首筆支付費用及其他非對等收費，乃於業務估計年期內收取並確認於合併收入表。累計價值的獨立負債已確</w:t>
      </w:r>
    </w:p>
    <w:p>
      <w:pPr>
        <w:pStyle w:val="BodyText"/>
      </w:pPr>
      <w:r>
        <w:rPr>
          <w:rFonts w:hint="eastAsia"/>
        </w:rPr>
        <w:t xml:space="preserve">立。</w:t>
      </w:r>
    </w:p>
    <w:p>
      <w:pPr>
        <w:pStyle w:val="BodyText"/>
      </w:pPr>
      <w:r>
        <w:rPr>
          <w:rFonts w:hint="eastAsia"/>
        </w:rPr>
        <w:t xml:space="preserve">遞延溢利負債</w:t>
      </w:r>
    </w:p>
    <w:p>
      <w:pPr>
        <w:pStyle w:val="BodyText"/>
      </w:pPr>
      <w:r>
        <w:rPr>
          <w:rFonts w:hint="eastAsia"/>
        </w:rPr>
        <w:t xml:space="preserve">因傳統保險合約產生的遞延溢利負債指超額溢利，乃於業務估計年期內收取並確認於合併收入表。未來保單賠償的獨立負債</w:t>
      </w:r>
    </w:p>
    <w:p>
      <w:pPr>
        <w:pStyle w:val="BodyText"/>
      </w:pPr>
      <w:r>
        <w:rPr>
          <w:rFonts w:hint="eastAsia"/>
        </w:rPr>
        <w:t xml:space="preserve">已確立。</w:t>
      </w:r>
    </w:p>
    <w:p>
      <w:pPr>
        <w:pStyle w:val="BodyText"/>
      </w:pPr>
      <w:r>
        <w:rPr>
          <w:rFonts w:hint="eastAsia"/>
        </w:rPr>
        <w:t xml:space="preserve">遞延承保成本</w:t>
      </w:r>
    </w:p>
    <w:p>
      <w:pPr>
        <w:pStyle w:val="BodyText"/>
      </w:pPr>
      <w:r>
        <w:rPr>
          <w:rFonts w:hint="eastAsia"/>
        </w:rPr>
        <w:t xml:space="preserve">取得新保險合約的成本包括佣金及分銷成本、核保及其他保單簽發開支，此等成本隨產生新業務保單或重續現有業務而改變</w:t>
      </w:r>
    </w:p>
    <w:p>
      <w:pPr>
        <w:pStyle w:val="BodyText"/>
      </w:pPr>
      <w:r>
        <w:rPr>
          <w:rFonts w:hint="eastAsia"/>
        </w:rPr>
        <w:t xml:space="preserve">及主要與此等業務有關，乃遞延入賬為資產。於簽發保單的年度內，會評估遞延承保成本的可收回機會，以確保此等成本可</w:t>
      </w:r>
    </w:p>
    <w:p>
      <w:pPr>
        <w:pStyle w:val="BodyText"/>
      </w:pPr>
      <w:r>
        <w:rPr>
          <w:rFonts w:hint="eastAsia"/>
        </w:rPr>
        <w:t xml:space="preserve">自保單的估計未來利潤中收回，並於其後至少每年再評估一次。未來投資收入亦會用於評估可收回機會。倘承保成本被視作</w:t>
      </w:r>
    </w:p>
    <w:p>
      <w:pPr>
        <w:pStyle w:val="BodyText"/>
      </w:pPr>
      <w:r>
        <w:rPr>
          <w:rFonts w:hint="eastAsia"/>
        </w:rPr>
        <w:t xml:space="preserve">於簽發保單日期或其後無法收回，則此等成本於合併收入表列作開支。</w:t>
      </w:r>
    </w:p>
    <w:p>
      <w:pPr>
        <w:pStyle w:val="BodyText"/>
      </w:pPr>
      <w:r>
        <w:rPr>
          <w:rFonts w:hint="eastAsia"/>
        </w:rPr>
        <w:t xml:space="preserve">壽險及年金保單的遞延承保成本於合約的預計年期內，按預期保費的某個固定百分比攤銷。於簽發保單日期估計預期保費，</w:t>
      </w:r>
    </w:p>
    <w:p>
      <w:pPr>
        <w:pStyle w:val="BodyText"/>
      </w:pPr>
      <w:r>
        <w:rPr>
          <w:rFonts w:hint="eastAsia"/>
        </w:rPr>
        <w:t xml:space="preserve">並於合約的整個年期內貫徹應用，惟於進行負債充足性測試時發現不足情況除外（見下文）。</w:t>
      </w:r>
    </w:p>
    <w:p>
      <w:pPr>
        <w:pStyle w:val="BodyText"/>
      </w:pPr>
      <w:r>
        <w:t xml:space="preserve">149</w:t>
      </w:r>
    </w:p>
    <w:p>
      <w:pPr>
        <w:pStyle w:val="BodyText"/>
      </w:pPr>
      <w:r>
        <w:rPr>
          <w:rFonts w:hint="eastAsia"/>
        </w:rPr>
        <w:t xml:space="preserve">概覽財務及營運回顧企業管治其他資料財務報表2020年報</w:t>
      </w:r>
    </w:p>
    <w:p>
      <w:pPr>
        <w:pStyle w:val="Compact"/>
        <w:numPr>
          <w:ilvl w:val="0"/>
          <w:numId w:val="1199"/>
        </w:numPr>
      </w:pPr>
      <w:r>
        <w:rPr>
          <w:rFonts w:hint="eastAsia"/>
        </w:rPr>
        <w:t xml:space="preserve">主要會計政策（續）</w:t>
      </w:r>
    </w:p>
    <w:p>
      <w:pPr>
        <w:pStyle w:val="FirstParagraph"/>
      </w:pPr>
      <w:r>
        <w:t xml:space="preserve">2.4 </w:t>
      </w:r>
      <w:r>
        <w:rPr>
          <w:rFonts w:hint="eastAsia"/>
        </w:rPr>
        <w:t xml:space="preserve">保險及投資合約（續）</w:t>
      </w:r>
    </w:p>
    <w:p>
      <w:pPr>
        <w:pStyle w:val="BodyText"/>
      </w:pPr>
      <w:r>
        <w:t xml:space="preserve">2.4.1 </w:t>
      </w:r>
      <w:r>
        <w:rPr>
          <w:rFonts w:hint="eastAsia"/>
        </w:rPr>
        <w:t xml:space="preserve">保險合約及具備酌情分紅特點的投資合約（續）</w:t>
      </w:r>
    </w:p>
    <w:p>
      <w:pPr>
        <w:pStyle w:val="BodyText"/>
      </w:pPr>
      <w:r>
        <w:rPr>
          <w:rFonts w:hint="eastAsia"/>
        </w:rPr>
        <w:t xml:space="preserve">遞延承保成本（續）</w:t>
      </w:r>
    </w:p>
    <w:p>
      <w:pPr>
        <w:pStyle w:val="BodyText"/>
      </w:pPr>
      <w:r>
        <w:rPr>
          <w:rFonts w:hint="eastAsia"/>
        </w:rPr>
        <w:t xml:space="preserve">萬能壽險及單位連結式合約的遞延承保成本乃於合約的預期年期內，按估計預期於合約年期內實現的毛利現值的某個固定百</w:t>
      </w:r>
    </w:p>
    <w:p>
      <w:pPr>
        <w:pStyle w:val="BodyText"/>
      </w:pPr>
      <w:r>
        <w:rPr>
          <w:rFonts w:hint="eastAsia"/>
        </w:rPr>
        <w:t xml:space="preserve">分比或按直線基準攤銷。估計毛利包括就死亡率、行政、投資及退保而評估的預期金額，並扣除超出保單持有人結餘的給付</w:t>
      </w:r>
    </w:p>
    <w:p>
      <w:pPr>
        <w:pStyle w:val="BodyText"/>
      </w:pPr>
      <w:r>
        <w:rPr>
          <w:rFonts w:hint="eastAsia"/>
        </w:rPr>
        <w:t xml:space="preserve">賠償、行政開支及已記賬利息。估計毛利會定期作出修訂。用於計算經修訂的估計預期毛利現值的利率，乃為應用於餘下給</w:t>
      </w:r>
    </w:p>
    <w:p>
      <w:pPr>
        <w:pStyle w:val="BodyText"/>
      </w:pPr>
      <w:r>
        <w:rPr>
          <w:rFonts w:hint="eastAsia"/>
        </w:rPr>
        <w:t xml:space="preserve">付期間的最近經修訂利率。實際結果與估計經驗的差異乃反映於盈利中。</w:t>
      </w:r>
    </w:p>
    <w:p>
      <w:pPr>
        <w:pStyle w:val="BodyText"/>
      </w:pPr>
      <w:r>
        <w:rPr>
          <w:rFonts w:hint="eastAsia"/>
        </w:rPr>
        <w:t xml:space="preserve">在少數情況下，本集團參照適用司法權區的法定要求計量保險合約負債，被視為可收回的承保成本列作保險合約負債的組成</w:t>
      </w:r>
    </w:p>
    <w:p>
      <w:pPr>
        <w:pStyle w:val="BodyText"/>
      </w:pPr>
      <w:r>
        <w:rPr>
          <w:rFonts w:hint="eastAsia"/>
        </w:rPr>
        <w:t xml:space="preserve">部分，並在相應保單的年期內遞延及攤銷。</w:t>
      </w:r>
    </w:p>
    <w:p>
      <w:pPr>
        <w:pStyle w:val="BodyText"/>
      </w:pPr>
      <w:r>
        <w:rPr>
          <w:rFonts w:hint="eastAsia"/>
        </w:rPr>
        <w:t xml:space="preserve">遞延銷售獎勵</w:t>
      </w:r>
    </w:p>
    <w:p>
      <w:pPr>
        <w:pStyle w:val="BodyText"/>
      </w:pPr>
      <w:r>
        <w:rPr>
          <w:rFonts w:hint="eastAsia"/>
        </w:rPr>
        <w:t xml:space="preserve">於以下情況，包括首日分紅、持續分紅及提升結算利率等遞延銷售獎勵，乃採用與攤銷承保成本相同的方法及假設予以遞延</w:t>
      </w:r>
    </w:p>
    <w:p>
      <w:pPr>
        <w:pStyle w:val="BodyText"/>
      </w:pPr>
      <w:r>
        <w:rPr>
          <w:rFonts w:hint="eastAsia"/>
        </w:rPr>
        <w:t xml:space="preserve">及攤銷：</w:t>
      </w:r>
    </w:p>
    <w:p>
      <w:pPr>
        <w:pStyle w:val="BodyText"/>
      </w:pPr>
      <w:r>
        <w:t xml:space="preserve">• </w:t>
      </w:r>
      <w:r>
        <w:rPr>
          <w:rFonts w:hint="eastAsia"/>
        </w:rPr>
        <w:t xml:space="preserve">銷售獎勵乃確認為保險合約負債的一部分；</w:t>
      </w:r>
    </w:p>
    <w:p>
      <w:pPr>
        <w:pStyle w:val="BodyText"/>
      </w:pPr>
      <w:r>
        <w:t xml:space="preserve">• </w:t>
      </w:r>
      <w:r>
        <w:rPr>
          <w:rFonts w:hint="eastAsia"/>
        </w:rPr>
        <w:t xml:space="preserve">此等項目於訂立合約當日在合約內明示；</w:t>
      </w:r>
    </w:p>
    <w:p>
      <w:pPr>
        <w:pStyle w:val="BodyText"/>
      </w:pPr>
      <w:r>
        <w:t xml:space="preserve">• </w:t>
      </w:r>
      <w:r>
        <w:rPr>
          <w:rFonts w:hint="eastAsia"/>
        </w:rPr>
        <w:t xml:space="preserve">此等項目附帶於並無銷售獎勵的類似合約所記賬的金額；及</w:t>
      </w:r>
    </w:p>
    <w:p>
      <w:pPr>
        <w:pStyle w:val="BodyText"/>
      </w:pPr>
      <w:r>
        <w:t xml:space="preserve">• </w:t>
      </w:r>
      <w:r>
        <w:rPr>
          <w:rFonts w:hint="eastAsia"/>
        </w:rPr>
        <w:t xml:space="preserve">此等項目較獎勵後期間的各預期持續結算利率為高。</w:t>
      </w:r>
    </w:p>
    <w:p>
      <w:pPr>
        <w:pStyle w:val="BodyText"/>
      </w:pPr>
      <w:r>
        <w:rPr>
          <w:rFonts w:hint="eastAsia"/>
        </w:rPr>
        <w:t xml:space="preserve">分拆</w:t>
      </w:r>
    </w:p>
    <w:p>
      <w:pPr>
        <w:pStyle w:val="BodyText"/>
      </w:pPr>
      <w:r>
        <w:rPr>
          <w:rFonts w:hint="eastAsia"/>
        </w:rPr>
        <w:t xml:space="preserve">保險合約的存款部分於符合以下兩項條件時予以分拆：</w:t>
      </w:r>
    </w:p>
    <w:p>
      <w:pPr>
        <w:pStyle w:val="BodyText"/>
      </w:pPr>
      <w:r>
        <w:t xml:space="preserve">• </w:t>
      </w:r>
      <w:r>
        <w:rPr>
          <w:rFonts w:hint="eastAsia"/>
        </w:rPr>
        <w:t xml:space="preserve">存款部分（包括任何內含退保選擇權）可分開計量（即不需計及保險部分）；及</w:t>
      </w:r>
    </w:p>
    <w:p>
      <w:pPr>
        <w:pStyle w:val="BodyText"/>
      </w:pPr>
      <w:r>
        <w:t xml:space="preserve">• </w:t>
      </w:r>
      <w:r>
        <w:rPr>
          <w:rFonts w:hint="eastAsia"/>
        </w:rPr>
        <w:t xml:space="preserve">本集團的會計政策並無另行要求確認來自存款組成部分的所有責任及權利。</w:t>
      </w:r>
    </w:p>
    <w:p>
      <w:pPr>
        <w:pStyle w:val="BodyText"/>
      </w:pPr>
      <w:r>
        <w:rPr>
          <w:rFonts w:hint="eastAsia"/>
        </w:rPr>
        <w:t xml:space="preserve">分離計賬</w:t>
      </w:r>
    </w:p>
    <w:p>
      <w:pPr>
        <w:pStyle w:val="BodyText"/>
      </w:pPr>
      <w:r>
        <w:rPr>
          <w:rFonts w:hint="eastAsia"/>
        </w:rPr>
        <w:t xml:space="preserve">由於本集團的若干保險合約包括與主合約並無明確及密切關連的嵌入式衍生工具，此等合約與保險合約分離計賬及列作衍生</w:t>
      </w:r>
    </w:p>
    <w:p>
      <w:pPr>
        <w:pStyle w:val="BodyText"/>
      </w:pPr>
      <w:r>
        <w:rPr>
          <w:rFonts w:hint="eastAsia"/>
        </w:rPr>
        <w:t xml:space="preserve">工具入賬。</w:t>
      </w:r>
    </w:p>
    <w:p>
      <w:pPr>
        <w:pStyle w:val="BodyText"/>
      </w:pPr>
      <w:r>
        <w:rPr>
          <w:rFonts w:hint="eastAsia"/>
        </w:rPr>
        <w:t xml:space="preserve">給付及賠償</w:t>
      </w:r>
    </w:p>
    <w:p>
      <w:pPr>
        <w:pStyle w:val="BodyText"/>
      </w:pPr>
      <w:r>
        <w:rPr>
          <w:rFonts w:hint="eastAsia"/>
        </w:rPr>
        <w:t xml:space="preserve">保險合約給付反映於期內產生的所有到期、退保、提取及賠款的成本，以及預計宣派紅利時的應計保單持有人紅利。</w:t>
      </w:r>
    </w:p>
    <w:p>
      <w:pPr>
        <w:pStyle w:val="BodyText"/>
      </w:pPr>
      <w:r>
        <w:rPr>
          <w:rFonts w:hint="eastAsia"/>
        </w:rPr>
        <w:t xml:space="preserve">所產生的意外及醫療保險賠款包括期內發生的所有損失（不論有否報告）、有關處理成本、可收回款項下調及來自過往年度</w:t>
      </w:r>
    </w:p>
    <w:p>
      <w:pPr>
        <w:pStyle w:val="BodyText"/>
      </w:pPr>
      <w:r>
        <w:rPr>
          <w:rFonts w:hint="eastAsia"/>
        </w:rPr>
        <w:t xml:space="preserve">的未賠款的任何調整。</w:t>
      </w:r>
    </w:p>
    <w:p>
      <w:pPr>
        <w:pStyle w:val="BodyText"/>
      </w:pPr>
      <w:r>
        <w:rPr>
          <w:rFonts w:hint="eastAsia"/>
        </w:rPr>
        <w:t xml:space="preserve">處理賠款成本包括因磋商及處理賠款而產生的內部及外部成本，並已列入營運開支。</w:t>
      </w:r>
    </w:p>
    <w:p>
      <w:pPr>
        <w:pStyle w:val="BodyText"/>
      </w:pPr>
      <w:r>
        <w:t xml:space="preserve">150</w:t>
      </w:r>
    </w:p>
    <w:p>
      <w:pPr>
        <w:pStyle w:val="BodyText"/>
      </w:pPr>
      <w:r>
        <w:rPr>
          <w:rFonts w:hint="eastAsia"/>
        </w:rPr>
        <w:t xml:space="preserve">友邦保險控股有限公司</w:t>
      </w:r>
    </w:p>
    <w:p>
      <w:pPr>
        <w:pStyle w:val="Compact"/>
        <w:numPr>
          <w:ilvl w:val="0"/>
          <w:numId w:val="1200"/>
        </w:numPr>
      </w:pPr>
      <w:r>
        <w:rPr>
          <w:rFonts w:hint="eastAsia"/>
        </w:rPr>
        <w:t xml:space="preserve">主要會計政策（續）</w:t>
      </w:r>
    </w:p>
    <w:p>
      <w:pPr>
        <w:pStyle w:val="FirstParagraph"/>
      </w:pPr>
      <w:r>
        <w:t xml:space="preserve">2.4 </w:t>
      </w:r>
      <w:r>
        <w:rPr>
          <w:rFonts w:hint="eastAsia"/>
        </w:rPr>
        <w:t xml:space="preserve">保險及投資合約（續）</w:t>
      </w:r>
    </w:p>
    <w:p>
      <w:pPr>
        <w:pStyle w:val="BodyText"/>
      </w:pPr>
      <w:r>
        <w:t xml:space="preserve">2.4.1 </w:t>
      </w:r>
      <w:r>
        <w:rPr>
          <w:rFonts w:hint="eastAsia"/>
        </w:rPr>
        <w:t xml:space="preserve">保險合約及具備酌情分紅特點的投資合約（續）</w:t>
      </w:r>
    </w:p>
    <w:p>
      <w:pPr>
        <w:pStyle w:val="BodyText"/>
      </w:pPr>
      <w:r>
        <w:rPr>
          <w:rFonts w:hint="eastAsia"/>
        </w:rPr>
        <w:t xml:space="preserve">保險合約負債（包括與具備酌情分紅特點的投資合約有關的負債）</w:t>
      </w:r>
    </w:p>
    <w:p>
      <w:pPr>
        <w:pStyle w:val="BodyText"/>
      </w:pPr>
      <w:r>
        <w:rPr>
          <w:rFonts w:hint="eastAsia"/>
        </w:rPr>
        <w:t xml:space="preserve">保險合約負債指就壽險保單而言的估計未來保單持有人給付負債。</w:t>
      </w:r>
    </w:p>
    <w:p>
      <w:pPr>
        <w:pStyle w:val="BodyText"/>
      </w:pPr>
      <w:r>
        <w:rPr>
          <w:rFonts w:hint="eastAsia"/>
        </w:rPr>
        <w:t xml:space="preserve">壽險保單的未來保單給付乃以平準式淨保費評價法計算，即將支付的估計未來保單給付現值，扣除將自保單持有人收取的估</w:t>
      </w:r>
    </w:p>
    <w:p>
      <w:pPr>
        <w:pStyle w:val="BodyText"/>
      </w:pPr>
      <w:r>
        <w:rPr>
          <w:rFonts w:hint="eastAsia"/>
        </w:rPr>
        <w:t xml:space="preserve">計未來淨保費的現值。</w:t>
      </w:r>
    </w:p>
    <w:p>
      <w:pPr>
        <w:pStyle w:val="BodyText"/>
      </w:pPr>
      <w:r>
        <w:rPr>
          <w:rFonts w:hint="eastAsia"/>
        </w:rPr>
        <w:t xml:space="preserve">就具有明確帳戶結餘的合約（如萬能壽險及單位連結式合約）而言，保險合約負債相等於累計價值，即已收保費及已記入保</w:t>
      </w:r>
    </w:p>
    <w:p>
      <w:pPr>
        <w:pStyle w:val="BodyText"/>
      </w:pPr>
      <w:r>
        <w:rPr>
          <w:rFonts w:hint="eastAsia"/>
        </w:rPr>
        <w:t xml:space="preserve">單的投資回報，並扣除就死亡率及傷病率成本與開支收費。</w:t>
      </w:r>
    </w:p>
    <w:p>
      <w:pPr>
        <w:pStyle w:val="BodyText"/>
      </w:pPr>
      <w:r>
        <w:rPr>
          <w:rFonts w:hint="eastAsia"/>
        </w:rPr>
        <w:t xml:space="preserve">理賠選擇權入賬列作相關保險或投資合約的整體組成部分，惟此等選擇權提供年金化給付則除外，於此情況下，將確立額外</w:t>
      </w:r>
    </w:p>
    <w:p>
      <w:pPr>
        <w:pStyle w:val="BodyText"/>
      </w:pPr>
      <w:r>
        <w:rPr>
          <w:rFonts w:hint="eastAsia"/>
        </w:rPr>
        <w:t xml:space="preserve">負債，以預期年金化日期的預期年金化款項現值超出當日預期帳戶結餘為限。倘發出的理賠選擇權附帶的保證費率低於市場</w:t>
      </w:r>
    </w:p>
    <w:p>
      <w:pPr>
        <w:pStyle w:val="BodyText"/>
      </w:pPr>
      <w:r>
        <w:rPr>
          <w:rFonts w:hint="eastAsia"/>
        </w:rPr>
        <w:t xml:space="preserve">利率，則保險或投資合約負債並不反映其後市場利率下跌的任何撥備，惟於進行負債充足性測試時發現不足情況除外。</w:t>
      </w:r>
    </w:p>
    <w:p>
      <w:pPr>
        <w:pStyle w:val="BodyText"/>
      </w:pPr>
      <w:r>
        <w:rPr>
          <w:rFonts w:hint="eastAsia"/>
        </w:rPr>
        <w:t xml:space="preserve">本集團透過扣除自保單持有人收取的估計未來淨保費後的保證給付現值設立一個負債項目，入賬以分紅基金承保的分紅業務</w:t>
      </w:r>
    </w:p>
    <w:p>
      <w:pPr>
        <w:pStyle w:val="BodyText"/>
      </w:pPr>
      <w:r>
        <w:rPr>
          <w:rFonts w:hint="eastAsia"/>
        </w:rPr>
        <w:t xml:space="preserve">及具特定資產組合的其他分紅業務保險合約負債。此外，假設於合併財務狀況表日期的所有相關盈餘將根據上文附註2.4所</w:t>
      </w:r>
    </w:p>
    <w:p>
      <w:pPr>
        <w:pStyle w:val="BodyText"/>
      </w:pPr>
      <w:r>
        <w:rPr>
          <w:rFonts w:hint="eastAsia"/>
        </w:rPr>
        <w:t xml:space="preserve">述保單持有人的分紅宣派為保單持有人紅利，一項保險負債就分紅基金及具特定資產組合的其他分紅業務將分配予保單持有</w:t>
      </w:r>
    </w:p>
    <w:p>
      <w:pPr>
        <w:pStyle w:val="BodyText"/>
      </w:pPr>
      <w:r>
        <w:rPr>
          <w:rFonts w:hint="eastAsia"/>
        </w:rPr>
        <w:t xml:space="preserve">人的淨資產值按相關比例入賬。本集團透過就扣除自保單持有人收取的估計未來淨保費後的保證給付及非保證分紅現值確立</w:t>
      </w:r>
    </w:p>
    <w:p>
      <w:pPr>
        <w:pStyle w:val="BodyText"/>
      </w:pPr>
      <w:r>
        <w:rPr>
          <w:rFonts w:hint="eastAsia"/>
        </w:rPr>
        <w:t xml:space="preserve">負債，以便將無特定資產組合的其他分紅業務入賬。</w:t>
      </w:r>
    </w:p>
    <w:p>
      <w:pPr>
        <w:pStyle w:val="BodyText"/>
      </w:pPr>
      <w:r>
        <w:rPr>
          <w:rFonts w:hint="eastAsia"/>
        </w:rPr>
        <w:t xml:space="preserve">負債充足性測試</w:t>
      </w:r>
    </w:p>
    <w:p>
      <w:pPr>
        <w:pStyle w:val="BodyText"/>
      </w:pPr>
      <w:r>
        <w:rPr>
          <w:rFonts w:hint="eastAsia"/>
        </w:rPr>
        <w:t xml:space="preserve">負債充足性乃根據本集團的承保、提供服務及計量保險合約盈利能力的方式，按合約組合而評估。各報告分部均進行負債充</w:t>
      </w:r>
    </w:p>
    <w:p>
      <w:pPr>
        <w:pStyle w:val="BodyText"/>
      </w:pPr>
      <w:r>
        <w:rPr>
          <w:rFonts w:hint="eastAsia"/>
        </w:rPr>
        <w:t xml:space="preserve">足性測試。</w:t>
      </w:r>
    </w:p>
    <w:p>
      <w:pPr>
        <w:pStyle w:val="BodyText"/>
      </w:pPr>
      <w:r>
        <w:rPr>
          <w:rFonts w:hint="eastAsia"/>
        </w:rPr>
        <w:t xml:space="preserve">就傳統壽險合約而言，保險合約負債乃於扣除遞延承保成本以及所收購的保險合約的業務價值後，於估值日期與按最佳估計</w:t>
      </w:r>
    </w:p>
    <w:p>
      <w:pPr>
        <w:pStyle w:val="BodyText"/>
      </w:pPr>
      <w:r>
        <w:rPr>
          <w:rFonts w:hint="eastAsia"/>
        </w:rPr>
        <w:t xml:space="preserve">基準計算的總保費估值進行比對。倘出現不足金額，則遞延承保成本的未經攤銷結餘及所收購的保險合約的業務價值乃按不</w:t>
      </w:r>
    </w:p>
    <w:p>
      <w:pPr>
        <w:pStyle w:val="BodyText"/>
      </w:pPr>
      <w:r>
        <w:rPr>
          <w:rFonts w:hint="eastAsia"/>
        </w:rPr>
        <w:t xml:space="preserve">足數額撇減。倘就撇減特定合約組合的未經攤銷結餘至零後仍有不足金額，則淨負債按餘下不足金額增加。</w:t>
      </w:r>
    </w:p>
    <w:p>
      <w:pPr>
        <w:pStyle w:val="BodyText"/>
      </w:pPr>
      <w:r>
        <w:rPr>
          <w:rFonts w:hint="eastAsia"/>
        </w:rPr>
        <w:t xml:space="preserve">就萬能壽險及具備酌情分紅特點的投資合約而言，遞延承保成本經扣減遞延收益負債後與估計毛利比較。倘出現不足金額，</w:t>
      </w:r>
    </w:p>
    <w:p>
      <w:pPr>
        <w:pStyle w:val="BodyText"/>
      </w:pPr>
      <w:r>
        <w:rPr>
          <w:rFonts w:hint="eastAsia"/>
        </w:rPr>
        <w:t xml:space="preserve">則撇減遞延承保成本。</w:t>
      </w:r>
    </w:p>
    <w:p>
      <w:pPr>
        <w:pStyle w:val="BodyText"/>
      </w:pPr>
      <w:r>
        <w:rPr>
          <w:rFonts w:hint="eastAsia"/>
        </w:rPr>
        <w:t xml:space="preserve">財務保證</w:t>
      </w:r>
    </w:p>
    <w:p>
      <w:pPr>
        <w:pStyle w:val="BodyText"/>
      </w:pPr>
      <w:r>
        <w:rPr>
          <w:rFonts w:hint="eastAsia"/>
        </w:rPr>
        <w:t xml:space="preserve">財務保證視為保險合約。就此等合約而言的負債於產生虧損時確認。</w:t>
      </w:r>
    </w:p>
    <w:p>
      <w:pPr>
        <w:pStyle w:val="BodyText"/>
      </w:pPr>
      <w:r>
        <w:t xml:space="preserve">151</w:t>
      </w:r>
    </w:p>
    <w:p>
      <w:pPr>
        <w:pStyle w:val="BodyText"/>
      </w:pPr>
      <w:r>
        <w:rPr>
          <w:rFonts w:hint="eastAsia"/>
        </w:rPr>
        <w:t xml:space="preserve">概覽財務及營運回顧企業管治其他資料財務報表2020年報</w:t>
      </w:r>
    </w:p>
    <w:p>
      <w:pPr>
        <w:pStyle w:val="Compact"/>
        <w:numPr>
          <w:ilvl w:val="0"/>
          <w:numId w:val="1201"/>
        </w:numPr>
      </w:pPr>
      <w:r>
        <w:rPr>
          <w:rFonts w:hint="eastAsia"/>
        </w:rPr>
        <w:t xml:space="preserve">主要會計政策（續）</w:t>
      </w:r>
    </w:p>
    <w:p>
      <w:pPr>
        <w:pStyle w:val="FirstParagraph"/>
      </w:pPr>
      <w:r>
        <w:t xml:space="preserve">2.4 </w:t>
      </w:r>
      <w:r>
        <w:rPr>
          <w:rFonts w:hint="eastAsia"/>
        </w:rPr>
        <w:t xml:space="preserve">保險及投資合約（續）</w:t>
      </w:r>
    </w:p>
    <w:p>
      <w:pPr>
        <w:pStyle w:val="BodyText"/>
      </w:pPr>
      <w:r>
        <w:t xml:space="preserve">2.4.2 </w:t>
      </w:r>
      <w:r>
        <w:rPr>
          <w:rFonts w:hint="eastAsia"/>
        </w:rPr>
        <w:t xml:space="preserve">投資合約</w:t>
      </w:r>
    </w:p>
    <w:p>
      <w:pPr>
        <w:pStyle w:val="BodyText"/>
      </w:pPr>
      <w:r>
        <w:rPr>
          <w:rFonts w:hint="eastAsia"/>
        </w:rPr>
        <w:t xml:space="preserve">投資合約不包含足以視作保險合約的保險風險，並入賬列作財務負債，有別於具備酌情分紅特點的投資合約，因此等合約並</w:t>
      </w:r>
    </w:p>
    <w:p>
      <w:pPr>
        <w:pStyle w:val="BodyText"/>
      </w:pPr>
      <w:r>
        <w:rPr>
          <w:rFonts w:hint="eastAsia"/>
        </w:rPr>
        <w:t xml:space="preserve">不屬於國際會計準則第39號的範疇，故入賬列作保險合約。</w:t>
      </w:r>
    </w:p>
    <w:p>
      <w:pPr>
        <w:pStyle w:val="BodyText"/>
      </w:pPr>
      <w:r>
        <w:rPr>
          <w:rFonts w:hint="eastAsia"/>
        </w:rPr>
        <w:t xml:space="preserve">來自此等合約的收益包括就保險成本、費用及提早退保而於合約扣除的多項收費（保單費用、手續費、管理費及退保手續</w:t>
      </w:r>
    </w:p>
    <w:p>
      <w:pPr>
        <w:pStyle w:val="BodyText"/>
      </w:pPr>
      <w:r>
        <w:rPr>
          <w:rFonts w:hint="eastAsia"/>
        </w:rPr>
        <w:t xml:space="preserve">費）。首年收費於提供服務的合約年期內攤銷。</w:t>
      </w:r>
    </w:p>
    <w:p>
      <w:pPr>
        <w:pStyle w:val="BodyText"/>
      </w:pPr>
      <w:r>
        <w:rPr>
          <w:rFonts w:hint="eastAsia"/>
        </w:rPr>
        <w:t xml:space="preserve">投資合約費用收益</w:t>
      </w:r>
    </w:p>
    <w:p>
      <w:pPr>
        <w:pStyle w:val="BodyText"/>
      </w:pPr>
      <w:r>
        <w:rPr>
          <w:rFonts w:hint="eastAsia"/>
        </w:rPr>
        <w:t xml:space="preserve">客戶就保單管理、投資管理、退保或其他合約服務而支付費用。此等費用可以是固定金額或隨所管理的金額而變更，並一般</w:t>
      </w:r>
    </w:p>
    <w:p>
      <w:pPr>
        <w:pStyle w:val="BodyText"/>
      </w:pPr>
      <w:r>
        <w:rPr>
          <w:rFonts w:hint="eastAsia"/>
        </w:rPr>
        <w:t xml:space="preserve">於保單持有人的帳戶結餘以調整方式扣除。此等費用乃於已收取的期間內確認為收益，惟此等費用與未來期間提供的服務有</w:t>
      </w:r>
    </w:p>
    <w:p>
      <w:pPr>
        <w:pStyle w:val="BodyText"/>
      </w:pPr>
      <w:r>
        <w:rPr>
          <w:rFonts w:hint="eastAsia"/>
        </w:rPr>
        <w:t xml:space="preserve">關除外，於此情況下，此等費用遞延至提供服務時予以確認。</w:t>
      </w:r>
    </w:p>
    <w:p>
      <w:pPr>
        <w:pStyle w:val="BodyText"/>
      </w:pPr>
      <w:r>
        <w:rPr>
          <w:rFonts w:hint="eastAsia"/>
        </w:rPr>
        <w:t xml:space="preserve">倘預期將來會退還從保單持有人收取的部分費用，則本公司不會將相關費用確認為收益，並會建立銷售誘因負債，該負債構</w:t>
      </w:r>
    </w:p>
    <w:p>
      <w:pPr>
        <w:pStyle w:val="BodyText"/>
      </w:pPr>
      <w:r>
        <w:rPr>
          <w:rFonts w:hint="eastAsia"/>
        </w:rPr>
        <w:t xml:space="preserve">成投資合約負債的一部分。</w:t>
      </w:r>
    </w:p>
    <w:p>
      <w:pPr>
        <w:pStyle w:val="BodyText"/>
      </w:pPr>
      <w:r>
        <w:rPr>
          <w:rFonts w:hint="eastAsia"/>
        </w:rPr>
        <w:t xml:space="preserve">啟動及其他「首筆」支付費用（按帳戶結餘計算以作為啟動合約代價的費用）自若干非分紅投資及退休金合約收取。倘投資合</w:t>
      </w:r>
    </w:p>
    <w:p>
      <w:pPr>
        <w:pStyle w:val="BodyText"/>
      </w:pPr>
      <w:r>
        <w:rPr>
          <w:rFonts w:hint="eastAsia"/>
        </w:rPr>
        <w:t xml:space="preserve">約乃以經攤銷成本入賬，則此等費用在保單的預期年期內攤銷及確認，作為對有效收益率的調整。倘投資合約按公平值計</w:t>
      </w:r>
    </w:p>
    <w:p>
      <w:pPr>
        <w:pStyle w:val="BodyText"/>
      </w:pPr>
      <w:r>
        <w:rPr>
          <w:rFonts w:hint="eastAsia"/>
        </w:rPr>
        <w:t xml:space="preserve">量，則與提供投資管理服務有關的首筆支付費用乃於提供服務時攤銷及確認。</w:t>
      </w:r>
    </w:p>
    <w:p>
      <w:pPr>
        <w:pStyle w:val="BodyText"/>
      </w:pPr>
      <w:r>
        <w:rPr>
          <w:rFonts w:hint="eastAsia"/>
        </w:rPr>
        <w:t xml:space="preserve">遞延啟動成本</w:t>
      </w:r>
    </w:p>
    <w:p>
      <w:pPr>
        <w:pStyle w:val="BodyText"/>
      </w:pPr>
      <w:r>
        <w:rPr>
          <w:rFonts w:hint="eastAsia"/>
        </w:rPr>
        <w:t xml:space="preserve">附帶投資管理服務的投資合約的承保成本包括與簽發各項新合約直接有關的佣金及其他衍生費用，會於提供服務的期間遞延</w:t>
      </w:r>
    </w:p>
    <w:p>
      <w:pPr>
        <w:pStyle w:val="BodyText"/>
      </w:pPr>
      <w:r>
        <w:rPr>
          <w:rFonts w:hint="eastAsia"/>
        </w:rPr>
        <w:t xml:space="preserve">及攤銷。遞延啟動成本乃於各報告日期進行可收回性測試。</w:t>
      </w:r>
    </w:p>
    <w:p>
      <w:pPr>
        <w:pStyle w:val="BodyText"/>
      </w:pPr>
      <w:r>
        <w:rPr>
          <w:rFonts w:hint="eastAsia"/>
        </w:rPr>
        <w:t xml:space="preserve">不附帶投資管理服務的新投資合約的承保成本列作實際利率的一部分，而實際利率乃用於計算有關投資合約負債的經攤銷成</w:t>
      </w:r>
    </w:p>
    <w:p>
      <w:pPr>
        <w:pStyle w:val="BodyText"/>
      </w:pPr>
      <w:r>
        <w:rPr>
          <w:rFonts w:hint="eastAsia"/>
        </w:rPr>
        <w:t xml:space="preserve">本。</w:t>
      </w:r>
    </w:p>
    <w:p>
      <w:pPr>
        <w:pStyle w:val="BodyText"/>
      </w:pPr>
      <w:r>
        <w:rPr>
          <w:rFonts w:hint="eastAsia"/>
        </w:rPr>
        <w:t xml:space="preserve">投資合約負債</w:t>
      </w:r>
    </w:p>
    <w:p>
      <w:pPr>
        <w:pStyle w:val="BodyText"/>
      </w:pPr>
      <w:r>
        <w:rPr>
          <w:rFonts w:hint="eastAsia"/>
        </w:rPr>
        <w:t xml:space="preserve">就投資合約而收取的存款不會通過合併收入表入賬，而直接於合併財務狀況表入賬列作投資合約負債調整，以反映帳戶結</w:t>
      </w:r>
    </w:p>
    <w:p>
      <w:pPr>
        <w:pStyle w:val="BodyText"/>
      </w:pPr>
      <w:r>
        <w:rPr>
          <w:rFonts w:hint="eastAsia"/>
        </w:rPr>
        <w:t xml:space="preserve">餘，惟此等合約應佔的投資收入及費用除外。</w:t>
      </w:r>
    </w:p>
    <w:p>
      <w:pPr>
        <w:pStyle w:val="BodyText"/>
      </w:pPr>
      <w:r>
        <w:rPr>
          <w:rFonts w:hint="eastAsia"/>
        </w:rPr>
        <w:t xml:space="preserve">本集團大部分分類為投資合約的合約屬於單位連結式合約，其計量直接與相關投資資產相連結。此等合約指維持以符合保單</w:t>
      </w:r>
    </w:p>
    <w:p>
      <w:pPr>
        <w:pStyle w:val="BodyText"/>
      </w:pPr>
      <w:r>
        <w:rPr>
          <w:rFonts w:hint="eastAsia"/>
        </w:rPr>
        <w:t xml:space="preserve">持有人特定投資目標的投資組合，而此等保單持有人一般承受此等投資的信貸及市場風險。此等負債按公平值列賬，而公平</w:t>
      </w:r>
    </w:p>
    <w:p>
      <w:pPr>
        <w:pStyle w:val="BodyText"/>
      </w:pPr>
      <w:r>
        <w:rPr>
          <w:rFonts w:hint="eastAsia"/>
        </w:rPr>
        <w:t xml:space="preserve">值乃經參照累計價值（目前的單位值）而釐定，並於損益表確認其變動。保單管理費、投資管理費、退保手續費及就客戶的</w:t>
      </w:r>
    </w:p>
    <w:p>
      <w:pPr>
        <w:pStyle w:val="BodyText"/>
      </w:pPr>
      <w:r>
        <w:rPr>
          <w:rFonts w:hint="eastAsia"/>
        </w:rPr>
        <w:t xml:space="preserve">帳戶結餘向若干保單持有人所徵收的稅項列入收益，並按上文「投資合約費用收益」項下所述方式入賬。</w:t>
      </w:r>
    </w:p>
    <w:p>
      <w:pPr>
        <w:pStyle w:val="BodyText"/>
      </w:pPr>
      <w:r>
        <w:rPr>
          <w:rFonts w:hint="eastAsia"/>
        </w:rPr>
        <w:t xml:space="preserve">非單位連結式投資合約負債乃以經攤銷成本列賬，即於初始確認日期已收取代價的公平值扣除本金付款（例如交易成本及首</w:t>
      </w:r>
    </w:p>
    <w:p>
      <w:pPr>
        <w:pStyle w:val="BodyText"/>
      </w:pPr>
      <w:r>
        <w:rPr>
          <w:rFonts w:hint="eastAsia"/>
        </w:rPr>
        <w:t xml:space="preserve">筆支付費用）的淨影響，並使用實際利率法增減初始金額與到期日價值之間的任何差額計算的累計攤銷，以及扣除退保款項</w:t>
      </w:r>
    </w:p>
    <w:p>
      <w:pPr>
        <w:pStyle w:val="BodyText"/>
      </w:pPr>
      <w:r>
        <w:rPr>
          <w:rFonts w:hint="eastAsia"/>
        </w:rPr>
        <w:t xml:space="preserve">的任何撇減。實際利率是把付款貼現至初始金額的利率。於各報告日期，遞延收益負債乃以按實際利率貼現計算的未來最佳</w:t>
      </w:r>
    </w:p>
    <w:p>
      <w:pPr>
        <w:pStyle w:val="BodyText"/>
      </w:pPr>
      <w:r>
        <w:rPr>
          <w:rFonts w:hint="eastAsia"/>
        </w:rPr>
        <w:t xml:space="preserve">估計現金流量價值而釐定。任何調整會即時於合併收入表確認為收入或開支。</w:t>
      </w:r>
    </w:p>
    <w:p>
      <w:pPr>
        <w:pStyle w:val="BodyText"/>
      </w:pPr>
      <w:r>
        <w:rPr>
          <w:rFonts w:hint="eastAsia"/>
        </w:rPr>
        <w:t xml:space="preserve">倘投資合約受退保選擇權規限，則財務負債的經攤銷成本不會低於就適用的貨幣時間值貼現計算的退保應付金額入賬。</w:t>
      </w:r>
    </w:p>
    <w:p>
      <w:pPr>
        <w:pStyle w:val="BodyText"/>
      </w:pPr>
      <w:r>
        <w:t xml:space="preserve">152</w:t>
      </w:r>
    </w:p>
    <w:p>
      <w:pPr>
        <w:pStyle w:val="BodyText"/>
      </w:pPr>
      <w:r>
        <w:rPr>
          <w:rFonts w:hint="eastAsia"/>
        </w:rPr>
        <w:t xml:space="preserve">友邦保險控股有限公司</w:t>
      </w:r>
    </w:p>
    <w:p>
      <w:pPr>
        <w:pStyle w:val="Compact"/>
        <w:numPr>
          <w:ilvl w:val="0"/>
          <w:numId w:val="1202"/>
        </w:numPr>
      </w:pPr>
      <w:r>
        <w:rPr>
          <w:rFonts w:hint="eastAsia"/>
        </w:rPr>
        <w:t xml:space="preserve">主要會計政策（續）</w:t>
      </w:r>
    </w:p>
    <w:p>
      <w:pPr>
        <w:pStyle w:val="FirstParagraph"/>
      </w:pPr>
      <w:r>
        <w:t xml:space="preserve">2.4 </w:t>
      </w:r>
      <w:r>
        <w:rPr>
          <w:rFonts w:hint="eastAsia"/>
        </w:rPr>
        <w:t xml:space="preserve">保險及投資合約（續）</w:t>
      </w:r>
    </w:p>
    <w:p>
      <w:pPr>
        <w:pStyle w:val="BodyText"/>
      </w:pPr>
      <w:r>
        <w:t xml:space="preserve">2.4.2 </w:t>
      </w:r>
      <w:r>
        <w:rPr>
          <w:rFonts w:hint="eastAsia"/>
        </w:rPr>
        <w:t xml:space="preserve">投資合約（續）</w:t>
      </w:r>
    </w:p>
    <w:p>
      <w:pPr>
        <w:pStyle w:val="BodyText"/>
      </w:pPr>
      <w:r>
        <w:rPr>
          <w:rFonts w:hint="eastAsia"/>
        </w:rPr>
        <w:t xml:space="preserve">遞延收費收入負債</w:t>
      </w:r>
    </w:p>
    <w:p>
      <w:pPr>
        <w:pStyle w:val="BodyText"/>
      </w:pPr>
      <w:r>
        <w:rPr>
          <w:rFonts w:hint="eastAsia"/>
        </w:rPr>
        <w:t xml:space="preserve">遞延收費收入負債指首筆支付費用及其他非對等收費，乃於業務估計年期內收取並確認於合併收入表。累計價值的獨立負債</w:t>
      </w:r>
    </w:p>
    <w:p>
      <w:pPr>
        <w:pStyle w:val="BodyText"/>
      </w:pPr>
      <w:r>
        <w:rPr>
          <w:rFonts w:hint="eastAsia"/>
        </w:rPr>
        <w:t xml:space="preserve">已確立。</w:t>
      </w:r>
    </w:p>
    <w:p>
      <w:pPr>
        <w:pStyle w:val="BodyText"/>
      </w:pPr>
      <w:r>
        <w:t xml:space="preserve">2.4.3 </w:t>
      </w:r>
      <w:r>
        <w:rPr>
          <w:rFonts w:hint="eastAsia"/>
        </w:rPr>
        <w:t xml:space="preserve">保險及投資合約</w:t>
      </w:r>
    </w:p>
    <w:p>
      <w:pPr>
        <w:pStyle w:val="BodyText"/>
      </w:pPr>
      <w:r>
        <w:rPr>
          <w:rFonts w:hint="eastAsia"/>
        </w:rPr>
        <w:t xml:space="preserve">再保險</w:t>
      </w:r>
    </w:p>
    <w:p>
      <w:pPr>
        <w:pStyle w:val="BodyText"/>
      </w:pPr>
      <w:r>
        <w:rPr>
          <w:rFonts w:hint="eastAsia"/>
        </w:rPr>
        <w:t xml:space="preserve">本集團於正常業務過程中分出再保險業務，而自留額則隨不同業務變更。再保險成本在相關再保險保單年期內入賬，採用的</w:t>
      </w:r>
    </w:p>
    <w:p>
      <w:pPr>
        <w:pStyle w:val="BodyText"/>
      </w:pPr>
      <w:r>
        <w:rPr>
          <w:rFonts w:hint="eastAsia"/>
        </w:rPr>
        <w:t xml:space="preserve">假設與相關保單貫徹一致。</w:t>
      </w:r>
    </w:p>
    <w:p>
      <w:pPr>
        <w:pStyle w:val="BodyText"/>
      </w:pPr>
      <w:r>
        <w:rPr>
          <w:rFonts w:hint="eastAsia"/>
        </w:rPr>
        <w:t xml:space="preserve">分出的保費及償付的賠款於合併收入表及財務狀況表按總額基準呈列。</w:t>
      </w:r>
    </w:p>
    <w:p>
      <w:pPr>
        <w:pStyle w:val="BodyText"/>
      </w:pPr>
      <w:r>
        <w:rPr>
          <w:rFonts w:hint="eastAsia"/>
        </w:rPr>
        <w:t xml:space="preserve">再保險資產包括分出的保險負債的應收金額。自再保險公司可收回的金額，乃以符合再保險的保險或投資合約負債或已付給</w:t>
      </w:r>
    </w:p>
    <w:p>
      <w:pPr>
        <w:pStyle w:val="BodyText"/>
      </w:pPr>
      <w:r>
        <w:rPr>
          <w:rFonts w:hint="eastAsia"/>
        </w:rPr>
        <w:t xml:space="preserve">付的方式估計，並根據相關再保險合約得出。</w:t>
      </w:r>
    </w:p>
    <w:p>
      <w:pPr>
        <w:pStyle w:val="BodyText"/>
      </w:pPr>
      <w:r>
        <w:rPr>
          <w:rFonts w:hint="eastAsia"/>
        </w:rPr>
        <w:t xml:space="preserve">倘再保險合約主要轉移財務風險（而不是保險風險），則此等合約透過合併財務狀況表直接入賬，而不會列入再保險資產或</w:t>
      </w:r>
    </w:p>
    <w:p>
      <w:pPr>
        <w:pStyle w:val="BodyText"/>
      </w:pPr>
      <w:r>
        <w:rPr>
          <w:rFonts w:hint="eastAsia"/>
        </w:rPr>
        <w:t xml:space="preserve">負債。已付或已收的代價扣除再保險者預留的任何明示已識別保費或費用會被確認為存款資產或負債。</w:t>
      </w:r>
    </w:p>
    <w:p>
      <w:pPr>
        <w:pStyle w:val="BodyText"/>
      </w:pPr>
      <w:r>
        <w:rPr>
          <w:rFonts w:hint="eastAsia"/>
        </w:rPr>
        <w:t xml:space="preserve">倘再保險資產出現減值，則本集團會扣減相應的賬面值，並於合併收入表確認減值虧損。在初始確認再保險資產後，倘有客</w:t>
      </w:r>
    </w:p>
    <w:p>
      <w:pPr>
        <w:pStyle w:val="BodyText"/>
      </w:pPr>
      <w:r>
        <w:rPr>
          <w:rFonts w:hint="eastAsia"/>
        </w:rPr>
        <w:t xml:space="preserve">觀憑證顯示本集團可能無法根據合約條款收回到期的所有金額，並能夠可靠地計量對本集團自再保險公司收取的金額構成的</w:t>
      </w:r>
    </w:p>
    <w:p>
      <w:pPr>
        <w:pStyle w:val="BodyText"/>
      </w:pPr>
      <w:r>
        <w:rPr>
          <w:rFonts w:hint="eastAsia"/>
        </w:rPr>
        <w:t xml:space="preserve">影響，則再保險資產乃出現減值。</w:t>
      </w:r>
    </w:p>
    <w:p>
      <w:pPr>
        <w:pStyle w:val="BodyText"/>
      </w:pPr>
      <w:r>
        <w:rPr>
          <w:rFonts w:hint="eastAsia"/>
        </w:rPr>
        <w:t xml:space="preserve">按再保險合約獲得的首筆保費回扣為再保險負債。該負債初始確認為扣減遞延承保及啟動成本，最多為相關遞延承保成本或</w:t>
      </w:r>
    </w:p>
    <w:p>
      <w:pPr>
        <w:pStyle w:val="BodyText"/>
      </w:pPr>
      <w:r>
        <w:rPr>
          <w:rFonts w:hint="eastAsia"/>
        </w:rPr>
        <w:t xml:space="preserve">相關收購業務價值（如有）的賬面值，任何超額於其他負債中確認。該再保險負債根據相關保險合約的解除而解除。該再保</w:t>
      </w:r>
    </w:p>
    <w:p>
      <w:pPr>
        <w:pStyle w:val="BodyText"/>
      </w:pPr>
      <w:r>
        <w:rPr>
          <w:rFonts w:hint="eastAsia"/>
        </w:rPr>
        <w:t xml:space="preserve">險負債於期內的變動確認為分保保險及投資合約給付。</w:t>
      </w:r>
    </w:p>
    <w:p>
      <w:pPr>
        <w:pStyle w:val="BodyText"/>
      </w:pPr>
      <w:r>
        <w:rPr>
          <w:rFonts w:hint="eastAsia"/>
        </w:rPr>
        <w:t xml:space="preserve">收購業務價值</w:t>
      </w:r>
    </w:p>
    <w:p>
      <w:pPr>
        <w:pStyle w:val="BodyText"/>
      </w:pPr>
      <w:r>
        <w:rPr>
          <w:rFonts w:hint="eastAsia"/>
        </w:rPr>
        <w:t xml:space="preserve">就長期保險合約及具備酌情分紅特點的投資合約組成的組合而言，收購業務價值不論直接或透過購入附屬公司計入，皆確認</w:t>
      </w:r>
    </w:p>
    <w:p>
      <w:pPr>
        <w:pStyle w:val="BodyText"/>
      </w:pPr>
      <w:r>
        <w:rPr>
          <w:rFonts w:hint="eastAsia"/>
        </w:rPr>
        <w:t xml:space="preserve">為一項資產。倘此項資產乃來自收購合資公司或聯營公司的投資，則收購業務價值以此投資的賬面值持有。於所有情況下，</w:t>
      </w:r>
    </w:p>
    <w:p>
      <w:pPr>
        <w:pStyle w:val="BodyText"/>
      </w:pPr>
      <w:r>
        <w:rPr>
          <w:rFonts w:hint="eastAsia"/>
        </w:rPr>
        <w:t xml:space="preserve">收購業務價值按系統化基準在收購組合的合約估計年期內攤銷。攤銷率反映所收購有效保單業務的價值現況。收購業務價值</w:t>
      </w:r>
    </w:p>
    <w:p>
      <w:pPr>
        <w:pStyle w:val="BodyText"/>
      </w:pPr>
      <w:r>
        <w:rPr>
          <w:rFonts w:hint="eastAsia"/>
        </w:rPr>
        <w:t xml:space="preserve">的賬面值會每年檢討以確定減值，任何減幅則於合併收入表扣除。</w:t>
      </w:r>
    </w:p>
    <w:p>
      <w:pPr>
        <w:pStyle w:val="BodyText"/>
      </w:pPr>
      <w:r>
        <w:t xml:space="preserve">153</w:t>
      </w:r>
    </w:p>
    <w:p>
      <w:pPr>
        <w:pStyle w:val="BodyText"/>
      </w:pPr>
      <w:r>
        <w:rPr>
          <w:rFonts w:hint="eastAsia"/>
        </w:rPr>
        <w:t xml:space="preserve">概覽財務及營運回顧企業管治其他資料財務報表2020年報</w:t>
      </w:r>
    </w:p>
    <w:p>
      <w:pPr>
        <w:pStyle w:val="Compact"/>
        <w:numPr>
          <w:ilvl w:val="0"/>
          <w:numId w:val="1203"/>
        </w:numPr>
      </w:pPr>
      <w:r>
        <w:rPr>
          <w:rFonts w:hint="eastAsia"/>
        </w:rPr>
        <w:t xml:space="preserve">主要會計政策（續）</w:t>
      </w:r>
    </w:p>
    <w:p>
      <w:pPr>
        <w:pStyle w:val="FirstParagraph"/>
      </w:pPr>
      <w:r>
        <w:t xml:space="preserve">2.4 </w:t>
      </w:r>
      <w:r>
        <w:rPr>
          <w:rFonts w:hint="eastAsia"/>
        </w:rPr>
        <w:t xml:space="preserve">保險及投資合約（續）</w:t>
      </w:r>
    </w:p>
    <w:p>
      <w:pPr>
        <w:pStyle w:val="BodyText"/>
      </w:pPr>
      <w:r>
        <w:t xml:space="preserve">2.4.3 </w:t>
      </w:r>
      <w:r>
        <w:rPr>
          <w:rFonts w:hint="eastAsia"/>
        </w:rPr>
        <w:t xml:space="preserve">保險及投資合約（續）</w:t>
      </w:r>
    </w:p>
    <w:p>
      <w:pPr>
        <w:pStyle w:val="BodyText"/>
      </w:pPr>
      <w:r>
        <w:rPr>
          <w:rFonts w:hint="eastAsia"/>
        </w:rPr>
        <w:t xml:space="preserve">影子會計</w:t>
      </w:r>
    </w:p>
    <w:p>
      <w:pPr>
        <w:pStyle w:val="BodyText"/>
      </w:pPr>
      <w:r>
        <w:rPr>
          <w:rFonts w:hint="eastAsia"/>
        </w:rPr>
        <w:t xml:space="preserve">影子會計乃應用於被分類為可供出售的金融資產擔保的保險合約及若干具備酌情分紅特點的投資合約。影子會計適用於遞延</w:t>
      </w:r>
    </w:p>
    <w:p>
      <w:pPr>
        <w:pStyle w:val="BodyText"/>
      </w:pPr>
      <w:r>
        <w:rPr>
          <w:rFonts w:hint="eastAsia"/>
        </w:rPr>
        <w:t xml:space="preserve">承保成本、收購業務價值、遞延啟動成本及具備酌情分紅特點的投資合約負債，目的是把計入合併收入表的已變現收益或虧</w:t>
      </w:r>
    </w:p>
    <w:p>
      <w:pPr>
        <w:pStyle w:val="BodyText"/>
      </w:pPr>
      <w:r>
        <w:rPr>
          <w:rFonts w:hint="eastAsia"/>
        </w:rPr>
        <w:t xml:space="preserve">損，以相同方式將保險負債或資產的未變現收益或虧損的影響計入其他全面收入。相應於收費或抵免而作出資產或負債的調</w:t>
      </w:r>
    </w:p>
    <w:p>
      <w:pPr>
        <w:pStyle w:val="BodyText"/>
      </w:pPr>
      <w:r>
        <w:rPr>
          <w:rFonts w:hint="eastAsia"/>
        </w:rPr>
        <w:t xml:space="preserve">整，會直接於股東權益的未變現收益及虧損確認。</w:t>
      </w:r>
    </w:p>
    <w:p>
      <w:pPr>
        <w:pStyle w:val="BodyText"/>
      </w:pPr>
      <w:r>
        <w:rPr>
          <w:rFonts w:hint="eastAsia"/>
        </w:rPr>
        <w:t xml:space="preserve">參照法定要求計量的保險合約（包括具有酌情分紅特點的投資合約）負債</w:t>
      </w:r>
    </w:p>
    <w:p>
      <w:pPr>
        <w:pStyle w:val="BodyText"/>
      </w:pPr>
      <w:r>
        <w:rPr>
          <w:rFonts w:hint="eastAsia"/>
        </w:rPr>
        <w:t xml:space="preserve">在少數情況下，本集團參照適用司法權區的法定要求計量保險合約負債。該等國家的保險合約負債絕大部分按來自保單持有</w:t>
      </w:r>
    </w:p>
    <w:p>
      <w:pPr>
        <w:pStyle w:val="BodyText"/>
      </w:pPr>
      <w:r>
        <w:rPr>
          <w:rFonts w:hint="eastAsia"/>
        </w:rPr>
        <w:t xml:space="preserve">人的未來收入及向其作出的付款的現值淨額計量。採用的貼現率反映當前市場利率。所收取的保費超出賠款及開支的部分</w:t>
      </w:r>
    </w:p>
    <w:p>
      <w:pPr>
        <w:pStyle w:val="BodyText"/>
      </w:pPr>
      <w:r>
        <w:rPr>
          <w:rFonts w:hint="eastAsia"/>
        </w:rPr>
        <w:t xml:space="preserve">（利潤邊際）於合約有效期內以能反映向保單持有人提供服務的模式的方式確認。於損益中確認的保險合約負債變動反映該</w:t>
      </w:r>
    </w:p>
    <w:p>
      <w:pPr>
        <w:pStyle w:val="BodyText"/>
      </w:pPr>
      <w:r>
        <w:rPr>
          <w:rFonts w:hint="eastAsia"/>
        </w:rPr>
        <w:t xml:space="preserve">利潤邊際的預期解除。</w:t>
      </w:r>
    </w:p>
    <w:p>
      <w:pPr>
        <w:pStyle w:val="BodyText"/>
      </w:pPr>
      <w:r>
        <w:rPr>
          <w:rFonts w:hint="eastAsia"/>
        </w:rPr>
        <w:t xml:space="preserve">其他評稅及徵費</w:t>
      </w:r>
    </w:p>
    <w:p>
      <w:pPr>
        <w:pStyle w:val="BodyText"/>
      </w:pPr>
      <w:r>
        <w:rPr>
          <w:rFonts w:hint="eastAsia"/>
        </w:rPr>
        <w:t xml:space="preserve">本集團有可能需要繳付多項不同的週期性保險相關評稅或保證基金徵費。相關撥備已在因過往事件而引致現有責任（法律或</w:t>
      </w:r>
    </w:p>
    <w:p>
      <w:pPr>
        <w:pStyle w:val="BodyText"/>
      </w:pPr>
      <w:r>
        <w:rPr>
          <w:rFonts w:hint="eastAsia"/>
        </w:rPr>
        <w:t xml:space="preserve">推定）時設定。此等金額不會列入保險或投資合約負債，惟列入合併財務狀況表的「撥備」一項。</w:t>
      </w:r>
    </w:p>
    <w:p>
      <w:pPr>
        <w:pStyle w:val="BodyText"/>
      </w:pPr>
      <w:r>
        <w:t xml:space="preserve">2.5 </w:t>
      </w:r>
      <w:r>
        <w:rPr>
          <w:rFonts w:hint="eastAsia"/>
        </w:rPr>
        <w:t xml:space="preserve">金融工具</w:t>
      </w:r>
    </w:p>
    <w:p>
      <w:pPr>
        <w:pStyle w:val="BodyText"/>
      </w:pPr>
      <w:r>
        <w:t xml:space="preserve">2.5.1 </w:t>
      </w:r>
      <w:r>
        <w:rPr>
          <w:rFonts w:hint="eastAsia"/>
        </w:rPr>
        <w:t xml:space="preserve">金融工具的分類及劃分</w:t>
      </w:r>
    </w:p>
    <w:p>
      <w:pPr>
        <w:pStyle w:val="BodyText"/>
      </w:pPr>
      <w:r>
        <w:rPr>
          <w:rFonts w:hint="eastAsia"/>
        </w:rPr>
        <w:t xml:space="preserve">按公平值計入損益的金融資產及負債</w:t>
      </w:r>
    </w:p>
    <w:p>
      <w:pPr>
        <w:pStyle w:val="BodyText"/>
      </w:pPr>
      <w:r>
        <w:rPr>
          <w:rFonts w:hint="eastAsia"/>
        </w:rPr>
        <w:t xml:space="preserve">按公平值計入損益的金融資產及負債包括兩個類別：</w:t>
      </w:r>
    </w:p>
    <w:p>
      <w:pPr>
        <w:pStyle w:val="BodyText"/>
      </w:pPr>
      <w:r>
        <w:t xml:space="preserve">• </w:t>
      </w:r>
      <w:r>
        <w:rPr>
          <w:rFonts w:hint="eastAsia"/>
        </w:rPr>
        <w:t xml:space="preserve">於初始確認時劃分為按公平值計入損益的金融資產或負債；及</w:t>
      </w:r>
    </w:p>
    <w:p>
      <w:pPr>
        <w:pStyle w:val="BodyText"/>
      </w:pPr>
      <w:r>
        <w:t xml:space="preserve">• </w:t>
      </w:r>
      <w:r>
        <w:rPr>
          <w:rFonts w:hint="eastAsia"/>
        </w:rPr>
        <w:t xml:space="preserve">分類為持作買賣的金融資產或負債。</w:t>
      </w:r>
    </w:p>
    <w:p>
      <w:pPr>
        <w:pStyle w:val="BodyText"/>
      </w:pPr>
      <w:r>
        <w:rPr>
          <w:rFonts w:hint="eastAsia"/>
        </w:rPr>
        <w:t xml:space="preserve">倘能消除計量上不協調情況或倘相關資產及負債經常地按公平值基準管理，則管理層會指定該金融資產及負債按公平值計入</w:t>
      </w:r>
    </w:p>
    <w:p>
      <w:pPr>
        <w:pStyle w:val="BodyText"/>
      </w:pPr>
      <w:r>
        <w:rPr>
          <w:rFonts w:hint="eastAsia"/>
        </w:rPr>
        <w:t xml:space="preserve">損益，包括：</w:t>
      </w:r>
    </w:p>
    <w:p>
      <w:pPr>
        <w:pStyle w:val="BodyText"/>
      </w:pPr>
      <w:r>
        <w:t xml:space="preserve">• </w:t>
      </w:r>
      <w:r>
        <w:rPr>
          <w:rFonts w:hint="eastAsia"/>
        </w:rPr>
        <w:t xml:space="preserve">持有的金融資產用作擔保單位連結式合約及分紅基金；</w:t>
      </w:r>
    </w:p>
    <w:p>
      <w:pPr>
        <w:pStyle w:val="BodyText"/>
      </w:pPr>
      <w:r>
        <w:t xml:space="preserve">• </w:t>
      </w:r>
      <w:r>
        <w:rPr>
          <w:rFonts w:hint="eastAsia"/>
        </w:rPr>
        <w:t xml:space="preserve">以公平值基準管理的其他金融資產；包括本集團的權益投資組合及本集團全面合併的投資基金持有的投資；及</w:t>
      </w:r>
    </w:p>
    <w:p>
      <w:pPr>
        <w:pStyle w:val="BodyText"/>
      </w:pPr>
      <w:r>
        <w:t xml:space="preserve">• </w:t>
      </w:r>
      <w:r>
        <w:rPr>
          <w:rFonts w:hint="eastAsia"/>
        </w:rPr>
        <w:t xml:space="preserve">載有嵌入式衍生工具的複合工具，其中的嵌入式衍生工具原應分離計賬。</w:t>
      </w:r>
    </w:p>
    <w:p>
      <w:pPr>
        <w:pStyle w:val="BodyText"/>
      </w:pPr>
      <w:r>
        <w:rPr>
          <w:rFonts w:hint="eastAsia"/>
        </w:rPr>
        <w:t xml:space="preserve">分類為持作買賣的金融資產及負債包括主要以短期出售為目的而購入的金融資產，有憑證顯示有短期獲利的金融資產組合的</w:t>
      </w:r>
    </w:p>
    <w:p>
      <w:pPr>
        <w:pStyle w:val="BodyText"/>
      </w:pPr>
      <w:r>
        <w:rPr>
          <w:rFonts w:hint="eastAsia"/>
        </w:rPr>
        <w:t xml:space="preserve">一部分，以及衍生工具資產及負債。</w:t>
      </w:r>
    </w:p>
    <w:p>
      <w:pPr>
        <w:pStyle w:val="BodyText"/>
      </w:pPr>
      <w:r>
        <w:rPr>
          <w:rFonts w:hint="eastAsia"/>
        </w:rPr>
        <w:t xml:space="preserve">指定按公平值計入損益的權益工具的股息收入乃於合併收入表確認為投資收入，並一般於證券除息時確認。利息收入乃按應</w:t>
      </w:r>
    </w:p>
    <w:p>
      <w:pPr>
        <w:pStyle w:val="BodyText"/>
      </w:pPr>
      <w:r>
        <w:rPr>
          <w:rFonts w:hint="eastAsia"/>
        </w:rPr>
        <w:t xml:space="preserve">計基準確認。對指定按公平值計入損益的所有金融資產而言，公平值變動乃於投資經驗確認。</w:t>
      </w:r>
    </w:p>
    <w:p>
      <w:pPr>
        <w:pStyle w:val="BodyText"/>
      </w:pPr>
      <w:r>
        <w:rPr>
          <w:rFonts w:hint="eastAsia"/>
        </w:rPr>
        <w:t xml:space="preserve">按公平值計入損益的金融資產及負債的交易成本於產生時列作開支。</w:t>
      </w:r>
    </w:p>
    <w:p>
      <w:pPr>
        <w:pStyle w:val="BodyText"/>
      </w:pPr>
      <w:r>
        <w:t xml:space="preserve">154</w:t>
      </w:r>
    </w:p>
    <w:p>
      <w:pPr>
        <w:pStyle w:val="BodyText"/>
      </w:pPr>
      <w:r>
        <w:rPr>
          <w:rFonts w:hint="eastAsia"/>
        </w:rPr>
        <w:t xml:space="preserve">友邦保險控股有限公司</w:t>
      </w:r>
    </w:p>
    <w:p>
      <w:pPr>
        <w:pStyle w:val="Compact"/>
        <w:numPr>
          <w:ilvl w:val="0"/>
          <w:numId w:val="1204"/>
        </w:numPr>
      </w:pPr>
      <w:r>
        <w:rPr>
          <w:rFonts w:hint="eastAsia"/>
        </w:rPr>
        <w:t xml:space="preserve">主要會計政策（續）</w:t>
      </w:r>
    </w:p>
    <w:p>
      <w:pPr>
        <w:pStyle w:val="FirstParagraph"/>
      </w:pPr>
      <w:r>
        <w:t xml:space="preserve">2.5 </w:t>
      </w:r>
      <w:r>
        <w:rPr>
          <w:rFonts w:hint="eastAsia"/>
        </w:rPr>
        <w:t xml:space="preserve">金融工具（續）</w:t>
      </w:r>
    </w:p>
    <w:p>
      <w:pPr>
        <w:pStyle w:val="BodyText"/>
      </w:pPr>
      <w:r>
        <w:t xml:space="preserve">2.5.1 </w:t>
      </w:r>
      <w:r>
        <w:rPr>
          <w:rFonts w:hint="eastAsia"/>
        </w:rPr>
        <w:t xml:space="preserve">金融工具的分類及劃分（續）</w:t>
      </w:r>
    </w:p>
    <w:p>
      <w:pPr>
        <w:pStyle w:val="BodyText"/>
      </w:pPr>
      <w:r>
        <w:rPr>
          <w:rFonts w:hint="eastAsia"/>
        </w:rPr>
        <w:t xml:space="preserve">可供出售金融資產</w:t>
      </w:r>
    </w:p>
    <w:p>
      <w:pPr>
        <w:pStyle w:val="BodyText"/>
      </w:pPr>
      <w:r>
        <w:rPr>
          <w:rFonts w:hint="eastAsia"/>
        </w:rPr>
        <w:t xml:space="preserve">金融資產除按公平值計入損益的金融資產及貸款及應收款項外，乃分類為可供出售。</w:t>
      </w:r>
    </w:p>
    <w:p>
      <w:pPr>
        <w:pStyle w:val="BodyText"/>
      </w:pPr>
      <w:r>
        <w:rPr>
          <w:rFonts w:hint="eastAsia"/>
        </w:rPr>
        <w:t xml:space="preserve">可供出售類別於以相關投資擔保的保險及投資合約負債及股東權益並非以公平值基準管理時使用。此等資產主要包括本集團</w:t>
      </w:r>
    </w:p>
    <w:p>
      <w:pPr>
        <w:pStyle w:val="BodyText"/>
      </w:pPr>
      <w:r>
        <w:rPr>
          <w:rFonts w:hint="eastAsia"/>
        </w:rPr>
        <w:t xml:space="preserve">的債務證券（不包括為分紅基金及單位連結式合約提供擔保的債務證券）。可供出售金融資產按初始公平值加上應佔交易成</w:t>
      </w:r>
    </w:p>
    <w:p>
      <w:pPr>
        <w:pStyle w:val="BodyText"/>
      </w:pPr>
      <w:r>
        <w:rPr>
          <w:rFonts w:hint="eastAsia"/>
        </w:rPr>
        <w:t xml:space="preserve">本確認。對可供出售債務證券而言，其成本與面值之間的差額會被攤銷。可供出售金融資產按其後公平值計量。分類為可供</w:t>
      </w:r>
    </w:p>
    <w:p>
      <w:pPr>
        <w:pStyle w:val="BodyText"/>
      </w:pPr>
      <w:r>
        <w:rPr>
          <w:rFonts w:hint="eastAsia"/>
        </w:rPr>
        <w:t xml:space="preserve">出售債務證券的利息收入乃採用實際利率法於合併收入表確認為投資收入。</w:t>
      </w:r>
    </w:p>
    <w:p>
      <w:pPr>
        <w:pStyle w:val="BodyText"/>
      </w:pPr>
      <w:r>
        <w:rPr>
          <w:rFonts w:hint="eastAsia"/>
        </w:rPr>
        <w:t xml:space="preserve">分類為可供出售證券的未變現收益及虧損包括就外幣換算產生的差額與其他公平值變動之間的差額。貨幣性可供出售投資</w:t>
      </w:r>
    </w:p>
    <w:p>
      <w:pPr>
        <w:pStyle w:val="BodyText"/>
      </w:pPr>
      <w:r>
        <w:rPr>
          <w:rFonts w:hint="eastAsia"/>
        </w:rPr>
        <w:t xml:space="preserve">（例如債務證券）的外幣換算差額乃如按經攤銷成本列賬而計算，並因此於合併收入表確認為投資經驗。對於可供出售金融</w:t>
      </w:r>
    </w:p>
    <w:p>
      <w:pPr>
        <w:pStyle w:val="BodyText"/>
      </w:pPr>
      <w:r>
        <w:rPr>
          <w:rFonts w:hint="eastAsia"/>
        </w:rPr>
        <w:t xml:space="preserve">資產的減值，請參閱「金融資產的減值」一節。</w:t>
      </w:r>
    </w:p>
    <w:p>
      <w:pPr>
        <w:pStyle w:val="BodyText"/>
      </w:pPr>
      <w:r>
        <w:rPr>
          <w:rFonts w:hint="eastAsia"/>
        </w:rPr>
        <w:t xml:space="preserve">分類為可供出售證券的公平值變動（不包括減值虧損及相關外匯收益及虧損）於其他全面收入確認並於權益內一項獨立公平</w:t>
      </w:r>
    </w:p>
    <w:p>
      <w:pPr>
        <w:pStyle w:val="BodyText"/>
      </w:pPr>
      <w:r>
        <w:rPr>
          <w:rFonts w:hint="eastAsia"/>
        </w:rPr>
        <w:t xml:space="preserve">值準備金累計。減值虧損及相關外匯收益及虧損於合併收入表內確認。</w:t>
      </w:r>
    </w:p>
    <w:p>
      <w:pPr>
        <w:pStyle w:val="BodyText"/>
      </w:pPr>
      <w:r>
        <w:rPr>
          <w:rFonts w:hint="eastAsia"/>
        </w:rPr>
        <w:t xml:space="preserve">金融資產的已變現收益及虧損</w:t>
      </w:r>
    </w:p>
    <w:p>
      <w:pPr>
        <w:pStyle w:val="BodyText"/>
      </w:pPr>
      <w:r>
        <w:rPr>
          <w:rFonts w:hint="eastAsia"/>
        </w:rPr>
        <w:t xml:space="preserve">可供出售金融資產的已變現收益及虧損以出售所得款項與其原始成本或經攤銷成本（如適用）之差額釐定。經攤銷成本以指</w:t>
      </w:r>
    </w:p>
    <w:p>
      <w:pPr>
        <w:pStyle w:val="BodyText"/>
      </w:pPr>
      <w:r>
        <w:rPr>
          <w:rFonts w:hint="eastAsia"/>
        </w:rPr>
        <w:t xml:space="preserve">定識別法釐定。</w:t>
      </w:r>
    </w:p>
    <w:p>
      <w:pPr>
        <w:pStyle w:val="BodyText"/>
      </w:pPr>
      <w:r>
        <w:rPr>
          <w:rFonts w:hint="eastAsia"/>
        </w:rPr>
        <w:t xml:space="preserve">金融工具的確認</w:t>
      </w:r>
    </w:p>
    <w:p>
      <w:pPr>
        <w:pStyle w:val="BodyText"/>
      </w:pPr>
      <w:r>
        <w:rPr>
          <w:rFonts w:hint="eastAsia"/>
        </w:rPr>
        <w:t xml:space="preserve">購買及出售金融工具乃於交易日期確認，交易日期為本集團落實購買或出售資產的日期。</w:t>
      </w:r>
    </w:p>
    <w:p>
      <w:pPr>
        <w:pStyle w:val="BodyText"/>
      </w:pPr>
      <w:r>
        <w:rPr>
          <w:rFonts w:hint="eastAsia"/>
        </w:rPr>
        <w:t xml:space="preserve">金融資產的終止確認及抵銷</w:t>
      </w:r>
    </w:p>
    <w:p>
      <w:pPr>
        <w:pStyle w:val="BodyText"/>
      </w:pPr>
      <w:r>
        <w:rPr>
          <w:rFonts w:hint="eastAsia"/>
        </w:rPr>
        <w:t xml:space="preserve">當從金融資產收取現金流量的權利已屆滿或當本集團已轉移絕大部分風險及回報的擁有權時，本集團會終止確認金融資產。</w:t>
      </w:r>
    </w:p>
    <w:p>
      <w:pPr>
        <w:pStyle w:val="BodyText"/>
      </w:pPr>
      <w:r>
        <w:rPr>
          <w:rFonts w:hint="eastAsia"/>
        </w:rPr>
        <w:t xml:space="preserve">倘本集團既非轉移亦非保留金融資產的絕大部分風險及回報的擁有權，則於其不再擁有資產控制權時終止確認金融資產。對</w:t>
      </w:r>
    </w:p>
    <w:p>
      <w:pPr>
        <w:pStyle w:val="BodyText"/>
      </w:pPr>
      <w:r>
        <w:rPr>
          <w:rFonts w:hint="eastAsia"/>
        </w:rPr>
        <w:t xml:space="preserve">於轉移後仍保留的資產控制權，本集團繼續按其持續參與的程度確認資產。持續參與的程度乃以本集團面對資產公平值變動</w:t>
      </w:r>
    </w:p>
    <w:p>
      <w:pPr>
        <w:pStyle w:val="BodyText"/>
      </w:pPr>
      <w:r>
        <w:rPr>
          <w:rFonts w:hint="eastAsia"/>
        </w:rPr>
        <w:t xml:space="preserve">的程度釐定。</w:t>
      </w:r>
    </w:p>
    <w:p>
      <w:pPr>
        <w:pStyle w:val="BodyText"/>
      </w:pPr>
      <w:r>
        <w:rPr>
          <w:rFonts w:hint="eastAsia"/>
        </w:rPr>
        <w:t xml:space="preserve">僅在有法定許可執行可抵銷經確認金額的權利及有計劃以淨額基準結算或同時變現資產及償還負債的情況下，方可抵銷金融</w:t>
      </w:r>
    </w:p>
    <w:p>
      <w:pPr>
        <w:pStyle w:val="BodyText"/>
      </w:pPr>
      <w:r>
        <w:rPr>
          <w:rFonts w:hint="eastAsia"/>
        </w:rPr>
        <w:t xml:space="preserve">資產及負債及於合併財務狀況表列報所得淨額。</w:t>
      </w:r>
    </w:p>
    <w:p>
      <w:pPr>
        <w:pStyle w:val="BodyText"/>
      </w:pPr>
      <w:r>
        <w:rPr>
          <w:rFonts w:hint="eastAsia"/>
        </w:rPr>
        <w:t xml:space="preserve">貸款及應收款項</w:t>
      </w:r>
    </w:p>
    <w:p>
      <w:pPr>
        <w:pStyle w:val="BodyText"/>
      </w:pPr>
      <w:r>
        <w:rPr>
          <w:rFonts w:hint="eastAsia"/>
        </w:rPr>
        <w:t xml:space="preserve">貸款及應收款項乃擁有固定或可釐定付款以及沒有於活躍市場報價的非衍生金融資產。彼等初始值按公平值加上交易成本確</w:t>
      </w:r>
    </w:p>
    <w:p>
      <w:pPr>
        <w:pStyle w:val="BodyText"/>
      </w:pPr>
      <w:r>
        <w:rPr>
          <w:rFonts w:hint="eastAsia"/>
        </w:rPr>
        <w:t xml:space="preserve">認，其後則採用實際利率法，按經攤銷成本以及扣除任何減值虧損後列賬。來自貸款及應收款項的利息收入乃採用實際利率</w:t>
      </w:r>
    </w:p>
    <w:p>
      <w:pPr>
        <w:pStyle w:val="BodyText"/>
      </w:pPr>
      <w:r>
        <w:rPr>
          <w:rFonts w:hint="eastAsia"/>
        </w:rPr>
        <w:t xml:space="preserve">法於合併收入表確認為投資收入。</w:t>
      </w:r>
    </w:p>
    <w:p>
      <w:pPr>
        <w:pStyle w:val="BodyText"/>
      </w:pPr>
      <w:r>
        <w:t xml:space="preserve">155</w:t>
      </w:r>
    </w:p>
    <w:p>
      <w:pPr>
        <w:pStyle w:val="BodyText"/>
      </w:pPr>
      <w:r>
        <w:rPr>
          <w:rFonts w:hint="eastAsia"/>
        </w:rPr>
        <w:t xml:space="preserve">概覽財務及營運回顧企業管治其他資料財務報表2020年報</w:t>
      </w:r>
    </w:p>
    <w:p>
      <w:pPr>
        <w:pStyle w:val="Compact"/>
        <w:numPr>
          <w:ilvl w:val="0"/>
          <w:numId w:val="1205"/>
        </w:numPr>
      </w:pPr>
      <w:r>
        <w:rPr>
          <w:rFonts w:hint="eastAsia"/>
        </w:rPr>
        <w:t xml:space="preserve">主要會計政策（續）</w:t>
      </w:r>
    </w:p>
    <w:p>
      <w:pPr>
        <w:pStyle w:val="FirstParagraph"/>
      </w:pPr>
      <w:r>
        <w:t xml:space="preserve">2.5 </w:t>
      </w:r>
      <w:r>
        <w:rPr>
          <w:rFonts w:hint="eastAsia"/>
        </w:rPr>
        <w:t xml:space="preserve">金融工具（續）</w:t>
      </w:r>
    </w:p>
    <w:p>
      <w:pPr>
        <w:pStyle w:val="BodyText"/>
      </w:pPr>
      <w:r>
        <w:t xml:space="preserve">2.5.1 </w:t>
      </w:r>
      <w:r>
        <w:rPr>
          <w:rFonts w:hint="eastAsia"/>
        </w:rPr>
        <w:t xml:space="preserve">金融工具的分類及劃分（續）</w:t>
      </w:r>
    </w:p>
    <w:p>
      <w:pPr>
        <w:pStyle w:val="BodyText"/>
      </w:pPr>
      <w:r>
        <w:rPr>
          <w:rFonts w:hint="eastAsia"/>
        </w:rPr>
        <w:t xml:space="preserve">定期存款</w:t>
      </w:r>
    </w:p>
    <w:p>
      <w:pPr>
        <w:pStyle w:val="BodyText"/>
      </w:pPr>
      <w:r>
        <w:rPr>
          <w:rFonts w:hint="eastAsia"/>
        </w:rPr>
        <w:t xml:space="preserve">存款包括由於購入時的到期日超過三個月而不符合現金及現金等價物定義的金融機構定期存款。若干此等結餘須受限於附註</w:t>
      </w:r>
    </w:p>
    <w:p>
      <w:pPr>
        <w:pStyle w:val="BodyText"/>
      </w:pPr>
      <w:r>
        <w:rPr>
          <w:rFonts w:hint="eastAsia"/>
        </w:rPr>
        <w:t xml:space="preserve">21「金融投資」所披露的監管或其他限制。存款乃使用實際利率法按經攤銷成本列賬。</w:t>
      </w:r>
    </w:p>
    <w:p>
      <w:pPr>
        <w:pStyle w:val="BodyText"/>
      </w:pPr>
      <w:r>
        <w:rPr>
          <w:rFonts w:hint="eastAsia"/>
        </w:rPr>
        <w:t xml:space="preserve">現金及現金等價物</w:t>
      </w:r>
    </w:p>
    <w:p>
      <w:pPr>
        <w:pStyle w:val="BodyText"/>
      </w:pPr>
      <w:r>
        <w:rPr>
          <w:rFonts w:hint="eastAsia"/>
        </w:rPr>
        <w:t xml:space="preserve">現金及現金等價物包括手持現金、存放於銀行的通知存款及持作現金管理用途並於購入時到期日為三個月或以下或價值變動</w:t>
      </w:r>
    </w:p>
    <w:p>
      <w:pPr>
        <w:pStyle w:val="BodyText"/>
      </w:pPr>
      <w:r>
        <w:rPr>
          <w:rFonts w:hint="eastAsia"/>
        </w:rPr>
        <w:t xml:space="preserve">風險較少及可轉換為已知金額現金的其他短期高流動性投資。現金及現金等價物亦包括就衍生工具交易、回購協議及逆向回</w:t>
      </w:r>
    </w:p>
    <w:p>
      <w:pPr>
        <w:pStyle w:val="BodyText"/>
      </w:pPr>
      <w:r>
        <w:rPr>
          <w:rFonts w:hint="eastAsia"/>
        </w:rPr>
        <w:t xml:space="preserve">購協議交易所收取作為抵押品的現金，以及就單位連結式產品為保單持有人的利益而持有的現金及現金等價物。現金及現金</w:t>
      </w:r>
    </w:p>
    <w:p>
      <w:pPr>
        <w:pStyle w:val="BodyText"/>
      </w:pPr>
      <w:r>
        <w:rPr>
          <w:rFonts w:hint="eastAsia"/>
        </w:rPr>
        <w:t xml:space="preserve">等價物乃使用實際利率法按經攤銷成本計量。</w:t>
      </w:r>
    </w:p>
    <w:p>
      <w:pPr>
        <w:pStyle w:val="BodyText"/>
      </w:pPr>
      <w:r>
        <w:t xml:space="preserve">2.5.2 </w:t>
      </w:r>
      <w:r>
        <w:rPr>
          <w:rFonts w:hint="eastAsia"/>
        </w:rPr>
        <w:t xml:space="preserve">非衍生金融工具的公平值</w:t>
      </w:r>
    </w:p>
    <w:p>
      <w:pPr>
        <w:pStyle w:val="BodyText"/>
      </w:pPr>
      <w:r>
        <w:rPr>
          <w:rFonts w:hint="eastAsia"/>
        </w:rPr>
        <w:t xml:space="preserve">金融工具的公平值指於計量日期在市場參與者之間，以有秩序交易因出售資產而收取的或因轉移負債而支付的金額，並參考</w:t>
      </w:r>
    </w:p>
    <w:p>
      <w:pPr>
        <w:pStyle w:val="BodyText"/>
      </w:pPr>
      <w:r>
        <w:rPr>
          <w:rFonts w:hint="eastAsia"/>
        </w:rPr>
        <w:t xml:space="preserve">了有關資產或負債的具體特點，以及假設本集團可在最有利市場進行轉移。於活躍市場買賣的金融工具（例如按公平值計入</w:t>
      </w:r>
    </w:p>
    <w:p>
      <w:pPr>
        <w:pStyle w:val="BodyText"/>
      </w:pPr>
      <w:r>
        <w:rPr>
          <w:rFonts w:hint="eastAsia"/>
        </w:rPr>
        <w:t xml:space="preserve">損益的金融工具及可供出售證券）的公平值乃根據於合併財務狀況表日期的市場報價計算。就本集團持有的金融資產使用的</w:t>
      </w:r>
    </w:p>
    <w:p>
      <w:pPr>
        <w:pStyle w:val="BodyText"/>
      </w:pPr>
      <w:r>
        <w:rPr>
          <w:rFonts w:hint="eastAsia"/>
        </w:rPr>
        <w:t xml:space="preserve">市場報價乃當時的買入價，因買入價被認為在當時狀況下是買賣差價中最能代表公平值的價格。非於活躍市場買賣的金融工</w:t>
      </w:r>
    </w:p>
    <w:p>
      <w:pPr>
        <w:pStyle w:val="BodyText"/>
      </w:pPr>
      <w:r>
        <w:rPr>
          <w:rFonts w:hint="eastAsia"/>
        </w:rPr>
        <w:t xml:space="preserve">具公平值則採用估值方法釐定。本集團採用不同方法及基於各合併財務狀況表日期的市況作出假設。採用估值方法的目的乃</w:t>
      </w:r>
    </w:p>
    <w:p>
      <w:pPr>
        <w:pStyle w:val="BodyText"/>
      </w:pPr>
      <w:r>
        <w:rPr>
          <w:rFonts w:hint="eastAsia"/>
        </w:rPr>
        <w:t xml:space="preserve">估計於合併財務狀況表日期市場參與者之間有秩序交易的價格。</w:t>
      </w:r>
    </w:p>
    <w:p>
      <w:pPr>
        <w:pStyle w:val="BodyText"/>
      </w:pPr>
      <w:r>
        <w:rPr>
          <w:rFonts w:hint="eastAsia"/>
        </w:rPr>
        <w:t xml:space="preserve">以公平值列賬的金融工具乃採用附註23所述的公平值等級計量。</w:t>
      </w:r>
    </w:p>
    <w:p>
      <w:pPr>
        <w:pStyle w:val="BodyText"/>
      </w:pPr>
      <w:r>
        <w:t xml:space="preserve">2.5.3 </w:t>
      </w:r>
      <w:r>
        <w:rPr>
          <w:rFonts w:hint="eastAsia"/>
        </w:rPr>
        <w:t xml:space="preserve">金融資產的減值</w:t>
      </w:r>
    </w:p>
    <w:p>
      <w:pPr>
        <w:pStyle w:val="BodyText"/>
      </w:pPr>
      <w:r>
        <w:rPr>
          <w:rFonts w:hint="eastAsia"/>
        </w:rPr>
        <w:t xml:space="preserve">概論</w:t>
      </w:r>
    </w:p>
    <w:p>
      <w:pPr>
        <w:pStyle w:val="BodyText"/>
      </w:pPr>
      <w:r>
        <w:rPr>
          <w:rFonts w:hint="eastAsia"/>
        </w:rPr>
        <w:t xml:space="preserve">金融資產乃按定期基準評估減值。本集團於各報告日期評估是否存在客觀憑證顯示某項金融資產或某類金融資產出現減值。</w:t>
      </w:r>
    </w:p>
    <w:p>
      <w:pPr>
        <w:pStyle w:val="BodyText"/>
      </w:pPr>
      <w:r>
        <w:rPr>
          <w:rFonts w:hint="eastAsia"/>
        </w:rPr>
        <w:t xml:space="preserve">僅在初始確認某項資產後發生一項或多項事件（虧損事件），而此虧損事件（或多項事件）影響有關金融資產或金融資產類別</w:t>
      </w:r>
    </w:p>
    <w:p>
      <w:pPr>
        <w:pStyle w:val="BodyText"/>
      </w:pPr>
      <w:r>
        <w:rPr>
          <w:rFonts w:hint="eastAsia"/>
        </w:rPr>
        <w:t xml:space="preserve">未來現金流量的估計，且有關現金流量能夠可靠估計並因而出現客觀減值憑證時，有關金融資產或有關金融資產類別方才出</w:t>
      </w:r>
    </w:p>
    <w:p>
      <w:pPr>
        <w:pStyle w:val="BodyText"/>
      </w:pPr>
      <w:r>
        <w:rPr>
          <w:rFonts w:hint="eastAsia"/>
        </w:rPr>
        <w:t xml:space="preserve">現減值及產生減值虧損。</w:t>
      </w:r>
    </w:p>
    <w:p>
      <w:pPr>
        <w:pStyle w:val="BodyText"/>
      </w:pPr>
      <w:r>
        <w:rPr>
          <w:rFonts w:hint="eastAsia"/>
        </w:rPr>
        <w:t xml:space="preserve">對於貸款及應收款項，本集團首先評估金融資產是否存在個別的重大客觀減值憑證。倘本集團確認個別評估的金融資產並不</w:t>
      </w:r>
    </w:p>
    <w:p>
      <w:pPr>
        <w:pStyle w:val="BodyText"/>
      </w:pPr>
      <w:r>
        <w:rPr>
          <w:rFonts w:hint="eastAsia"/>
        </w:rPr>
        <w:t xml:space="preserve">存在客觀減值憑證，則不論資產是否重大，資產列入存在類似信貸風險特點的金融資產組別，並以共同方式評估減值。以個</w:t>
      </w:r>
    </w:p>
    <w:p>
      <w:pPr>
        <w:pStyle w:val="BodyText"/>
      </w:pPr>
      <w:r>
        <w:rPr>
          <w:rFonts w:hint="eastAsia"/>
        </w:rPr>
        <w:t xml:space="preserve">別方式評估減值的資產及於現時或將會繼續確認減值虧損的資產不會列入共同減值評估。</w:t>
      </w:r>
    </w:p>
    <w:p>
      <w:pPr>
        <w:pStyle w:val="BodyText"/>
      </w:pPr>
      <w:r>
        <w:rPr>
          <w:rFonts w:hint="eastAsia"/>
        </w:rPr>
        <w:t xml:space="preserve">可供出售金融工具</w:t>
      </w:r>
    </w:p>
    <w:p>
      <w:pPr>
        <w:pStyle w:val="BodyText"/>
      </w:pPr>
      <w:r>
        <w:rPr>
          <w:rFonts w:hint="eastAsia"/>
        </w:rPr>
        <w:t xml:space="preserve">當可供出售資產下降的公平值已於其他全面收入確認且有客觀憑證顯示資產出現減值，則已於其他全面收入直接確認的累計</w:t>
      </w:r>
    </w:p>
    <w:p>
      <w:pPr>
        <w:pStyle w:val="BodyText"/>
      </w:pPr>
      <w:r>
        <w:rPr>
          <w:rFonts w:hint="eastAsia"/>
        </w:rPr>
        <w:t xml:space="preserve">虧損於當期損益內確認。</w:t>
      </w:r>
    </w:p>
    <w:p>
      <w:pPr>
        <w:pStyle w:val="BodyText"/>
      </w:pPr>
      <w:r>
        <w:rPr>
          <w:rFonts w:hint="eastAsia"/>
        </w:rPr>
        <w:t xml:space="preserve">倘分類為可供出售債務工具的公平值於隨後期間增加，而此項增加可客觀地視為與於損益表確認減值虧損後發生的事件有</w:t>
      </w:r>
    </w:p>
    <w:p>
      <w:pPr>
        <w:pStyle w:val="BodyText"/>
      </w:pPr>
      <w:r>
        <w:rPr>
          <w:rFonts w:hint="eastAsia"/>
        </w:rPr>
        <w:t xml:space="preserve">關，則減值虧損乃透過損益表撥回。倘於確認可供出售債務證券的減值虧損後，資產出現價值進一步下降，則僅會在有客觀</w:t>
      </w:r>
    </w:p>
    <w:p>
      <w:pPr>
        <w:pStyle w:val="BodyText"/>
      </w:pPr>
      <w:r>
        <w:rPr>
          <w:rFonts w:hint="eastAsia"/>
        </w:rPr>
        <w:t xml:space="preserve">憑證顯示有關虧損源自進一步減值事件的情況下確認為減值。</w:t>
      </w:r>
    </w:p>
    <w:p>
      <w:pPr>
        <w:pStyle w:val="BodyText"/>
      </w:pPr>
      <w:r>
        <w:t xml:space="preserve">156</w:t>
      </w:r>
    </w:p>
    <w:p>
      <w:pPr>
        <w:pStyle w:val="BodyText"/>
      </w:pPr>
      <w:r>
        <w:rPr>
          <w:rFonts w:hint="eastAsia"/>
        </w:rPr>
        <w:t xml:space="preserve">友邦保險控股有限公司</w:t>
      </w:r>
    </w:p>
    <w:p>
      <w:pPr>
        <w:pStyle w:val="Compact"/>
        <w:numPr>
          <w:ilvl w:val="0"/>
          <w:numId w:val="1206"/>
        </w:numPr>
      </w:pPr>
      <w:r>
        <w:rPr>
          <w:rFonts w:hint="eastAsia"/>
        </w:rPr>
        <w:t xml:space="preserve">主要會計政策（續）</w:t>
      </w:r>
    </w:p>
    <w:p>
      <w:pPr>
        <w:pStyle w:val="FirstParagraph"/>
      </w:pPr>
      <w:r>
        <w:t xml:space="preserve">2.5 </w:t>
      </w:r>
      <w:r>
        <w:rPr>
          <w:rFonts w:hint="eastAsia"/>
        </w:rPr>
        <w:t xml:space="preserve">金融工具（續）</w:t>
      </w:r>
    </w:p>
    <w:p>
      <w:pPr>
        <w:pStyle w:val="BodyText"/>
      </w:pPr>
      <w:r>
        <w:t xml:space="preserve">2.5.3 </w:t>
      </w:r>
      <w:r>
        <w:rPr>
          <w:rFonts w:hint="eastAsia"/>
        </w:rPr>
        <w:t xml:space="preserve">金融資產的減值（續）</w:t>
      </w:r>
    </w:p>
    <w:p>
      <w:pPr>
        <w:pStyle w:val="BodyText"/>
      </w:pPr>
      <w:r>
        <w:rPr>
          <w:rFonts w:hint="eastAsia"/>
        </w:rPr>
        <w:t xml:space="preserve">貸款及應收款項</w:t>
      </w:r>
    </w:p>
    <w:p>
      <w:pPr>
        <w:pStyle w:val="BodyText"/>
      </w:pPr>
      <w:r>
        <w:rPr>
          <w:rFonts w:hint="eastAsia"/>
        </w:rPr>
        <w:t xml:space="preserve">倘本集團很可能無法根據工具的合約條款收回本金及</w:t>
      </w:r>
      <w:r>
        <w:t xml:space="preserve"> </w:t>
      </w:r>
      <w:r>
        <w:rPr>
          <w:rFonts w:hint="eastAsia"/>
        </w:rPr>
        <w:t xml:space="preserve">∕或到期利息，則貸款及應收款項被視為已減值。當確認已減值時，賬</w:t>
      </w:r>
    </w:p>
    <w:p>
      <w:pPr>
        <w:pStyle w:val="BodyText"/>
      </w:pPr>
      <w:r>
        <w:rPr>
          <w:rFonts w:hint="eastAsia"/>
        </w:rPr>
        <w:t xml:space="preserve">面值乃透過於損益扣除而減少。按揭貸款或應收款項的賬面值乃透過使用撥備帳戶而減少，而任何撥備金額則於損益確認為</w:t>
      </w:r>
    </w:p>
    <w:p>
      <w:pPr>
        <w:pStyle w:val="BodyText"/>
      </w:pPr>
      <w:r>
        <w:rPr>
          <w:rFonts w:hint="eastAsia"/>
        </w:rPr>
        <w:t xml:space="preserve">減值虧損。</w:t>
      </w:r>
    </w:p>
    <w:p>
      <w:pPr>
        <w:pStyle w:val="BodyText"/>
      </w:pPr>
      <w:r>
        <w:t xml:space="preserve">2.5.4 </w:t>
      </w:r>
      <w:r>
        <w:rPr>
          <w:rFonts w:hint="eastAsia"/>
        </w:rPr>
        <w:t xml:space="preserve">衍生金融工具</w:t>
      </w:r>
    </w:p>
    <w:p>
      <w:pPr>
        <w:pStyle w:val="BodyText"/>
      </w:pPr>
      <w:r>
        <w:rPr>
          <w:rFonts w:hint="eastAsia"/>
        </w:rPr>
        <w:t xml:space="preserve">衍生金融工具主要包括主要從相關外幣匯率及利率而獲得價值的外匯合約及利率掉期。所有衍生工具初始以其公平值於合併</w:t>
      </w:r>
    </w:p>
    <w:p>
      <w:pPr>
        <w:pStyle w:val="BodyText"/>
      </w:pPr>
      <w:r>
        <w:rPr>
          <w:rFonts w:hint="eastAsia"/>
        </w:rPr>
        <w:t xml:space="preserve">財務狀況表確認，此公平值乃其已扣除交易成本（乃列作用開支並構成首日虧損）的成本。有關工具隨後以其公平值重新計</w:t>
      </w:r>
    </w:p>
    <w:p>
      <w:pPr>
        <w:pStyle w:val="BodyText"/>
      </w:pPr>
      <w:r>
        <w:rPr>
          <w:rFonts w:hint="eastAsia"/>
        </w:rPr>
        <w:t xml:space="preserve">量，而此價值的變動則於損益確認。公平值從市場報價或（倘無法取得有關報價）採用估值方法（例如貼現現金流量模型或</w:t>
      </w:r>
    </w:p>
    <w:p>
      <w:pPr>
        <w:pStyle w:val="BodyText"/>
      </w:pPr>
      <w:r>
        <w:rPr>
          <w:rFonts w:hint="eastAsia"/>
        </w:rPr>
        <w:t xml:space="preserve">期權定價模型）取得。所有衍生工具均於公平值為正數時以資產列賬及於公平值為負數時以負債列賬。</w:t>
      </w:r>
    </w:p>
    <w:p>
      <w:pPr>
        <w:pStyle w:val="BodyText"/>
      </w:pPr>
      <w:r>
        <w:rPr>
          <w:rFonts w:hint="eastAsia"/>
        </w:rPr>
        <w:t xml:space="preserve">用作經濟對沖的衍生工具</w:t>
      </w:r>
    </w:p>
    <w:p>
      <w:pPr>
        <w:pStyle w:val="BodyText"/>
      </w:pPr>
      <w:r>
        <w:rPr>
          <w:rFonts w:hint="eastAsia"/>
        </w:rPr>
        <w:t xml:space="preserve">雖然本集團按風險管理架構訂立衍生工具交易以提供經濟對沖，但僅在少數特定情況下就此等交易採用對沖會計。這是因為</w:t>
      </w:r>
    </w:p>
    <w:p>
      <w:pPr>
        <w:pStyle w:val="BodyText"/>
      </w:pPr>
      <w:r>
        <w:rPr>
          <w:rFonts w:hint="eastAsia"/>
        </w:rPr>
        <w:t xml:space="preserve">此等交易並不符合特定國際財務報告準則中有關合資格採用對沖會計的規則，或為符合對沖會計準則的書面規定過度繁苛。</w:t>
      </w:r>
    </w:p>
    <w:p>
      <w:pPr>
        <w:pStyle w:val="BodyText"/>
      </w:pPr>
      <w:r>
        <w:rPr>
          <w:rFonts w:hint="eastAsia"/>
        </w:rPr>
        <w:t xml:space="preserve">在不應用對沖會計的情況下，此等交易視作持作買賣，而公平值變動乃於投資經驗中即時確認。</w:t>
      </w:r>
    </w:p>
    <w:p>
      <w:pPr>
        <w:pStyle w:val="BodyText"/>
      </w:pPr>
      <w:r>
        <w:rPr>
          <w:rFonts w:hint="eastAsia"/>
        </w:rPr>
        <w:t xml:space="preserve">現金流量對沖</w:t>
      </w:r>
    </w:p>
    <w:p>
      <w:pPr>
        <w:pStyle w:val="BodyText"/>
      </w:pPr>
      <w:r>
        <w:rPr>
          <w:rFonts w:hint="eastAsia"/>
        </w:rPr>
        <w:t xml:space="preserve">在少數情況下，本集團已將若干衍生工具指定為與高概率預計交易（如預計購買債務證券）的現金流量有關的利率風險對沖</w:t>
      </w:r>
    </w:p>
    <w:p>
      <w:pPr>
        <w:pStyle w:val="BodyText"/>
      </w:pPr>
      <w:r>
        <w:rPr>
          <w:rFonts w:hint="eastAsia"/>
        </w:rPr>
        <w:t xml:space="preserve">工具。倘該等對沖工具有效，則被指定為對沖工具的衍生工具的公平值變動會在權益內的其他全面收入的現金流量對沖儲備</w:t>
      </w:r>
    </w:p>
    <w:p>
      <w:pPr>
        <w:pStyle w:val="BodyText"/>
      </w:pPr>
      <w:r>
        <w:rPr>
          <w:rFonts w:hint="eastAsia"/>
        </w:rPr>
        <w:t xml:space="preserve">中確認。與無效部分有關的收益或虧損會即時於損益確認。於對沖項目影響損益時，現金流量對沖儲備中累計的金額會重新</w:t>
      </w:r>
    </w:p>
    <w:p>
      <w:pPr>
        <w:pStyle w:val="BodyText"/>
      </w:pPr>
      <w:r>
        <w:rPr>
          <w:rFonts w:hint="eastAsia"/>
        </w:rPr>
        <w:t xml:space="preserve">分類至損益。就預計購買分類為可供出售的債務證券而言，預期現金流量會於確認所購買債券的票息或出售證券時影響損</w:t>
      </w:r>
    </w:p>
    <w:p>
      <w:pPr>
        <w:pStyle w:val="BodyText"/>
      </w:pPr>
      <w:r>
        <w:rPr>
          <w:rFonts w:hint="eastAsia"/>
        </w:rPr>
        <w:t xml:space="preserve">益。當發生下列其中一種情況時，則會終止採用對沖會計：當一項指定為對沖工具的衍生工具在預計交易發生之前到期或售</w:t>
      </w:r>
    </w:p>
    <w:p>
      <w:pPr>
        <w:pStyle w:val="BodyText"/>
      </w:pPr>
      <w:r>
        <w:rPr>
          <w:rFonts w:hint="eastAsia"/>
        </w:rPr>
        <w:t xml:space="preserve">出、終止或行使時，當對沖不再高度有效或預期不會高度有效，或當本集團撤銷指定對沖關係時。於該等情況下，自對沖有</w:t>
      </w:r>
    </w:p>
    <w:p>
      <w:pPr>
        <w:pStyle w:val="BodyText"/>
      </w:pPr>
      <w:r>
        <w:rPr>
          <w:rFonts w:hint="eastAsia"/>
        </w:rPr>
        <w:t xml:space="preserve">效期起，在其他全面收入中確認的對沖工具累計盈虧，應獨立保留在權益內直至預計交易發生。該金額於對沖項目影響損益</w:t>
      </w:r>
    </w:p>
    <w:p>
      <w:pPr>
        <w:pStyle w:val="BodyText"/>
      </w:pPr>
      <w:r>
        <w:rPr>
          <w:rFonts w:hint="eastAsia"/>
        </w:rPr>
        <w:t xml:space="preserve">時重新分類至損益。當預計交易預期不會再發生時，全部金額應即時重新分類至損益。</w:t>
      </w:r>
    </w:p>
    <w:p>
      <w:pPr>
        <w:pStyle w:val="BodyText"/>
      </w:pPr>
      <w:r>
        <w:rPr>
          <w:rFonts w:hint="eastAsia"/>
        </w:rPr>
        <w:t xml:space="preserve">嵌入式衍生工具</w:t>
      </w:r>
    </w:p>
    <w:p>
      <w:pPr>
        <w:pStyle w:val="BodyText"/>
      </w:pPr>
      <w:r>
        <w:rPr>
          <w:rFonts w:hint="eastAsia"/>
        </w:rPr>
        <w:t xml:space="preserve">嵌入式衍生工具乃嵌入其他非衍生主體金融工具內以創造混合式工具的衍生工具。倘嵌入式衍生工具的經濟特點及風險與主</w:t>
      </w:r>
    </w:p>
    <w:p>
      <w:pPr>
        <w:pStyle w:val="BodyText"/>
      </w:pPr>
      <w:r>
        <w:rPr>
          <w:rFonts w:hint="eastAsia"/>
        </w:rPr>
        <w:t xml:space="preserve">體工具的經濟特點及風險並無密切關連，及倘混合式工具並非以公平值計量且公平值變動並非於損益確認，則嵌入式衍生工</w:t>
      </w:r>
    </w:p>
    <w:p>
      <w:pPr>
        <w:pStyle w:val="BodyText"/>
      </w:pPr>
      <w:r>
        <w:rPr>
          <w:rFonts w:hint="eastAsia"/>
        </w:rPr>
        <w:t xml:space="preserve">具乃分離計賬及根據國際會計準則第39號按公平值以衍生工具列賬。</w:t>
      </w:r>
    </w:p>
    <w:p>
      <w:pPr>
        <w:pStyle w:val="BodyText"/>
      </w:pPr>
      <w:r>
        <w:t xml:space="preserve">157</w:t>
      </w:r>
    </w:p>
    <w:p>
      <w:pPr>
        <w:pStyle w:val="BodyText"/>
      </w:pPr>
      <w:r>
        <w:rPr>
          <w:rFonts w:hint="eastAsia"/>
        </w:rPr>
        <w:t xml:space="preserve">概覽財務及營運回顧企業管治其他資料財務報表2020年報</w:t>
      </w:r>
    </w:p>
    <w:p>
      <w:pPr>
        <w:pStyle w:val="Compact"/>
        <w:numPr>
          <w:ilvl w:val="0"/>
          <w:numId w:val="1207"/>
        </w:numPr>
      </w:pPr>
      <w:r>
        <w:rPr>
          <w:rFonts w:hint="eastAsia"/>
        </w:rPr>
        <w:t xml:space="preserve">主要會計政策（續）</w:t>
      </w:r>
    </w:p>
    <w:p>
      <w:pPr>
        <w:pStyle w:val="FirstParagraph"/>
      </w:pPr>
      <w:r>
        <w:t xml:space="preserve">2.5 </w:t>
      </w:r>
      <w:r>
        <w:rPr>
          <w:rFonts w:hint="eastAsia"/>
        </w:rPr>
        <w:t xml:space="preserve">金融工具（續）</w:t>
      </w:r>
    </w:p>
    <w:p>
      <w:pPr>
        <w:pStyle w:val="BodyText"/>
      </w:pPr>
      <w:r>
        <w:t xml:space="preserve">2.5.5 </w:t>
      </w:r>
      <w:r>
        <w:rPr>
          <w:rFonts w:hint="eastAsia"/>
        </w:rPr>
        <w:t xml:space="preserve">本公司的金融工具</w:t>
      </w:r>
    </w:p>
    <w:p>
      <w:pPr>
        <w:pStyle w:val="BodyText"/>
      </w:pPr>
      <w:r>
        <w:rPr>
          <w:rFonts w:hint="eastAsia"/>
        </w:rPr>
        <w:t xml:space="preserve">金融資產被分類為按攤銷成本、FVOCI或FVTPL計量。金融資產的分類根據管理金融資產的業務模式及其合約現金流量特點</w:t>
      </w:r>
    </w:p>
    <w:p>
      <w:pPr>
        <w:pStyle w:val="BodyText"/>
      </w:pPr>
      <w:r>
        <w:rPr>
          <w:rFonts w:hint="eastAsia"/>
        </w:rPr>
        <w:t xml:space="preserve">釐定。</w:t>
      </w:r>
    </w:p>
    <w:p>
      <w:pPr>
        <w:pStyle w:val="BodyText"/>
      </w:pPr>
      <w:r>
        <w:rPr>
          <w:rFonts w:hint="eastAsia"/>
        </w:rPr>
        <w:t xml:space="preserve">倘金融資產符合以下條件，則有關金融資產按攤銷成本計量：</w:t>
      </w:r>
    </w:p>
    <w:p>
      <w:pPr>
        <w:pStyle w:val="BodyText"/>
      </w:pPr>
      <w:r>
        <w:t xml:space="preserve">• </w:t>
      </w:r>
      <w:r>
        <w:rPr>
          <w:rFonts w:hint="eastAsia"/>
        </w:rPr>
        <w:t xml:space="preserve">該金融資產在以持有資產以收取合約現金流量為目的之業務模式下持有；及</w:t>
      </w:r>
    </w:p>
    <w:p>
      <w:pPr>
        <w:pStyle w:val="BodyText"/>
      </w:pPr>
      <w:r>
        <w:t xml:space="preserve">• </w:t>
      </w:r>
      <w:r>
        <w:rPr>
          <w:rFonts w:hint="eastAsia"/>
        </w:rPr>
        <w:t xml:space="preserve">該金融資產的合約條款訂明在特定日期產生的現金流量僅為支付本金及未償還本金的利息。</w:t>
      </w:r>
    </w:p>
    <w:p>
      <w:pPr>
        <w:pStyle w:val="BodyText"/>
      </w:pPr>
      <w:r>
        <w:rPr>
          <w:rFonts w:hint="eastAsia"/>
        </w:rPr>
        <w:t xml:space="preserve">倘債務證券符合以下條件，則有關債務證券按FVOCI計量：</w:t>
      </w:r>
    </w:p>
    <w:p>
      <w:pPr>
        <w:pStyle w:val="BodyText"/>
      </w:pPr>
      <w:r>
        <w:t xml:space="preserve">• </w:t>
      </w:r>
      <w:r>
        <w:rPr>
          <w:rFonts w:hint="eastAsia"/>
        </w:rPr>
        <w:t xml:space="preserve">該債務證券在透過同時收取合約現金流量及出售金融資產為目的之業務模式下持有；及</w:t>
      </w:r>
    </w:p>
    <w:p>
      <w:pPr>
        <w:pStyle w:val="BodyText"/>
      </w:pPr>
      <w:r>
        <w:t xml:space="preserve">• </w:t>
      </w:r>
      <w:r>
        <w:rPr>
          <w:rFonts w:hint="eastAsia"/>
        </w:rPr>
        <w:t xml:space="preserve">該債務證券的合約條款訂明在特定日期產生的現金流量僅為支付本金及未償還本金的利息。</w:t>
      </w:r>
    </w:p>
    <w:p>
      <w:pPr>
        <w:pStyle w:val="BodyText"/>
      </w:pPr>
      <w:r>
        <w:rPr>
          <w:rFonts w:hint="eastAsia"/>
        </w:rPr>
        <w:t xml:space="preserve">並非按上述分類為按攤銷成本或FVOCI計量的所有金融資產均按FVTPL計量。</w:t>
      </w:r>
    </w:p>
    <w:p>
      <w:pPr>
        <w:pStyle w:val="BodyText"/>
      </w:pPr>
      <w:r>
        <w:rPr>
          <w:rFonts w:hint="eastAsia"/>
        </w:rPr>
        <w:t xml:space="preserve">除了與預期信貸虧損、利息收入（使用實際利率法計算）及外匯收益及虧損有關的變動均計入於損益以外，按FVOCI計量的</w:t>
      </w:r>
    </w:p>
    <w:p>
      <w:pPr>
        <w:pStyle w:val="BodyText"/>
      </w:pPr>
      <w:r>
        <w:rPr>
          <w:rFonts w:hint="eastAsia"/>
        </w:rPr>
        <w:t xml:space="preserve">債務證券的公平值變動於其他全面收入確認。當投資終止確認時，於其他全面收入累計的金額由權益回收至損益。</w:t>
      </w:r>
    </w:p>
    <w:p>
      <w:pPr>
        <w:pStyle w:val="BodyText"/>
      </w:pPr>
      <w:r>
        <w:rPr>
          <w:rFonts w:hint="eastAsia"/>
        </w:rPr>
        <w:t xml:space="preserve">按FVTPL計量的金融資產及利息的公平值變動於損益確認。</w:t>
      </w:r>
    </w:p>
    <w:p>
      <w:pPr>
        <w:pStyle w:val="BodyText"/>
      </w:pPr>
      <w:r>
        <w:rPr>
          <w:rFonts w:hint="eastAsia"/>
        </w:rPr>
        <w:t xml:space="preserve">本公司就按攤銷成本計量的金融資產及按FVOCI計量的債務證券確認預期信貸虧損撥備，有關撥備根據「三階段」減值模</w:t>
      </w:r>
    </w:p>
    <w:p>
      <w:pPr>
        <w:pStyle w:val="BodyText"/>
      </w:pPr>
      <w:r>
        <w:rPr>
          <w:rFonts w:hint="eastAsia"/>
        </w:rPr>
        <w:t xml:space="preserve">式，按整個存續期預期信貸虧損或12個月預期信貸虧損計量。自初始確認後未出現信貸減值的金融工具被分類至「階段</w:t>
      </w:r>
    </w:p>
    <w:p>
      <w:pPr>
        <w:pStyle w:val="BodyText"/>
      </w:pPr>
      <w:r>
        <w:rPr>
          <w:rFonts w:hint="eastAsia"/>
        </w:rPr>
        <w:t xml:space="preserve">一」。倘識別出自初始確認後信貸風險顯著增加，但金融工具尚未評估為出現信貸減值，金融工具轉移至「階段二」。倘金融</w:t>
      </w:r>
    </w:p>
    <w:p>
      <w:pPr>
        <w:pStyle w:val="BodyText"/>
      </w:pPr>
      <w:r>
        <w:rPr>
          <w:rFonts w:hint="eastAsia"/>
        </w:rPr>
        <w:t xml:space="preserve">工具已發生信貸減值，其則會被轉移至「階段三」。處於階段二及三的金融工具的虧損撥備按整個存續期預期信貸虧損，即</w:t>
      </w:r>
    </w:p>
    <w:p>
      <w:pPr>
        <w:pStyle w:val="BodyText"/>
      </w:pPr>
      <w:r>
        <w:rPr>
          <w:rFonts w:hint="eastAsia"/>
        </w:rPr>
        <w:t xml:space="preserve">是指金融工具於其預期存續期內所有可能發生的違約事件而導致的預期信貸虧損來計量。處於階段一的金融工具按12個月預</w:t>
      </w:r>
    </w:p>
    <w:p>
      <w:pPr>
        <w:pStyle w:val="BodyText"/>
      </w:pPr>
      <w:r>
        <w:rPr>
          <w:rFonts w:hint="eastAsia"/>
        </w:rPr>
        <w:t xml:space="preserve">期信貸虧損計量虧損撥備，即是指因報告日後12個月內可能發生的違約事件，或因該工具的預期存續期少於12個月而於較短</w:t>
      </w:r>
    </w:p>
    <w:p>
      <w:pPr>
        <w:pStyle w:val="BodyText"/>
      </w:pPr>
      <w:r>
        <w:rPr>
          <w:rFonts w:hint="eastAsia"/>
        </w:rPr>
        <w:t xml:space="preserve">期間內可能發生的違約事件而導致的預期信貸虧損。估計預期信貸虧損時所考慮的最長期間為本公司面對信貸風險的最長合</w:t>
      </w:r>
    </w:p>
    <w:p>
      <w:pPr>
        <w:pStyle w:val="BodyText"/>
      </w:pPr>
      <w:r>
        <w:rPr>
          <w:rFonts w:hint="eastAsia"/>
        </w:rPr>
        <w:t xml:space="preserve">約期間。</w:t>
      </w:r>
    </w:p>
    <w:p>
      <w:pPr>
        <w:pStyle w:val="BodyText"/>
      </w:pPr>
      <w:r>
        <w:t xml:space="preserve">158</w:t>
      </w:r>
    </w:p>
    <w:p>
      <w:pPr>
        <w:pStyle w:val="BodyText"/>
      </w:pPr>
      <w:r>
        <w:rPr>
          <w:rFonts w:hint="eastAsia"/>
        </w:rPr>
        <w:t xml:space="preserve">友邦保險控股有限公司</w:t>
      </w:r>
    </w:p>
    <w:p>
      <w:pPr>
        <w:pStyle w:val="Compact"/>
        <w:numPr>
          <w:ilvl w:val="0"/>
          <w:numId w:val="1208"/>
        </w:numPr>
      </w:pPr>
      <w:r>
        <w:rPr>
          <w:rFonts w:hint="eastAsia"/>
        </w:rPr>
        <w:t xml:space="preserve">主要會計政策（續）</w:t>
      </w:r>
    </w:p>
    <w:p>
      <w:pPr>
        <w:pStyle w:val="FirstParagraph"/>
      </w:pPr>
      <w:r>
        <w:t xml:space="preserve">2.5 </w:t>
      </w:r>
      <w:r>
        <w:rPr>
          <w:rFonts w:hint="eastAsia"/>
        </w:rPr>
        <w:t xml:space="preserve">金融工具（續）</w:t>
      </w:r>
    </w:p>
    <w:p>
      <w:pPr>
        <w:pStyle w:val="BodyText"/>
      </w:pPr>
      <w:r>
        <w:t xml:space="preserve">2.5.5 </w:t>
      </w:r>
      <w:r>
        <w:rPr>
          <w:rFonts w:hint="eastAsia"/>
        </w:rPr>
        <w:t xml:space="preserve">本公司的金融工具（續）</w:t>
      </w:r>
    </w:p>
    <w:p>
      <w:pPr>
        <w:pStyle w:val="BodyText"/>
      </w:pPr>
      <w:r>
        <w:rPr>
          <w:rFonts w:hint="eastAsia"/>
        </w:rPr>
        <w:t xml:space="preserve">預期信貸虧損為信貸虧損的概率加權估計，以所有現金差額</w:t>
      </w:r>
      <w:r>
        <w:t xml:space="preserve"> </w:t>
      </w:r>
      <w:r>
        <w:rPr>
          <w:rFonts w:hint="eastAsia"/>
        </w:rPr>
        <w:t xml:space="preserve">－</w:t>
      </w:r>
      <w:r>
        <w:t xml:space="preserve"> </w:t>
      </w:r>
      <w:r>
        <w:rPr>
          <w:rFonts w:hint="eastAsia"/>
        </w:rPr>
        <w:t xml:space="preserve">即根據合約應付實體的現金流量與本公司預期將收到的現金</w:t>
      </w:r>
    </w:p>
    <w:p>
      <w:pPr>
        <w:pStyle w:val="BodyText"/>
      </w:pPr>
      <w:r>
        <w:rPr>
          <w:rFonts w:hint="eastAsia"/>
        </w:rPr>
        <w:t xml:space="preserve">流量之間的差額的現值計量。</w:t>
      </w:r>
    </w:p>
    <w:p>
      <w:pPr>
        <w:pStyle w:val="BodyText"/>
      </w:pPr>
      <w:r>
        <w:rPr>
          <w:rFonts w:hint="eastAsia"/>
        </w:rPr>
        <w:t xml:space="preserve">於各報告日期，本公司會評估以攤銷成本列賬的金融資產及以FVOCI計量的債務證券是否發生信貸減值。當發生一項或多項</w:t>
      </w:r>
    </w:p>
    <w:p>
      <w:pPr>
        <w:pStyle w:val="BodyText"/>
      </w:pPr>
      <w:r>
        <w:rPr>
          <w:rFonts w:hint="eastAsia"/>
        </w:rPr>
        <w:t xml:space="preserve">對金融資產的估計未來現金流量產生不利影響的事件時，即表示該金融資產已發生「信貸減值」。</w:t>
      </w:r>
    </w:p>
    <w:p>
      <w:pPr>
        <w:pStyle w:val="BodyText"/>
      </w:pPr>
      <w:r>
        <w:rPr>
          <w:rFonts w:hint="eastAsia"/>
        </w:rPr>
        <w:t xml:space="preserve">按攤銷成本計量的金融資產的預期信貸虧損的虧損撥備從該等資產的總賬面值中扣除，而按FVOCI計量的債務證券的預期信</w:t>
      </w:r>
    </w:p>
    <w:p>
      <w:pPr>
        <w:pStyle w:val="BodyText"/>
      </w:pPr>
      <w:r>
        <w:rPr>
          <w:rFonts w:hint="eastAsia"/>
        </w:rPr>
        <w:t xml:space="preserve">貸虧損則計入損益並於其他全面收入確認。</w:t>
      </w:r>
    </w:p>
    <w:p>
      <w:pPr>
        <w:pStyle w:val="BodyText"/>
      </w:pPr>
      <w:r>
        <w:rPr>
          <w:rFonts w:hint="eastAsia"/>
        </w:rPr>
        <w:t xml:space="preserve">若預期日後不可收回金融資產，則會撇銷（部分或全部）金融資產的總賬面值。該情況通常出現於本公司確定借貸人沒有資</w:t>
      </w:r>
    </w:p>
    <w:p>
      <w:pPr>
        <w:pStyle w:val="BodyText"/>
      </w:pPr>
      <w:r>
        <w:rPr>
          <w:rFonts w:hint="eastAsia"/>
        </w:rPr>
        <w:t xml:space="preserve">產或收入來源可產生足夠的現金流量來償還應撇銷的金額時。然而，已撇銷的金融資產仍可能受執法活動限制，以遵守本公</w:t>
      </w:r>
    </w:p>
    <w:p>
      <w:pPr>
        <w:pStyle w:val="BodyText"/>
      </w:pPr>
      <w:r>
        <w:rPr>
          <w:rFonts w:hint="eastAsia"/>
        </w:rPr>
        <w:t xml:space="preserve">司收回到期金額的程序。</w:t>
      </w:r>
    </w:p>
    <w:p>
      <w:pPr>
        <w:pStyle w:val="BodyText"/>
      </w:pPr>
      <w:r>
        <w:t xml:space="preserve">2.6 </w:t>
      </w:r>
      <w:r>
        <w:rPr>
          <w:rFonts w:hint="eastAsia"/>
        </w:rPr>
        <w:t xml:space="preserve">分部報告</w:t>
      </w:r>
    </w:p>
    <w:p>
      <w:pPr>
        <w:pStyle w:val="BodyText"/>
      </w:pPr>
      <w:r>
        <w:rPr>
          <w:rFonts w:hint="eastAsia"/>
        </w:rPr>
        <w:t xml:space="preserve">經營分部乃本集團的組成部分，此分部從事業務活動並從中賺取收益及產生開支，並就此提供單獨財務資料，而其經營業績</w:t>
      </w:r>
    </w:p>
    <w:p>
      <w:pPr>
        <w:pStyle w:val="BodyText"/>
      </w:pPr>
      <w:r>
        <w:rPr>
          <w:rFonts w:hint="eastAsia"/>
        </w:rPr>
        <w:t xml:space="preserve">乃由本集團的首席營運決策者（視為執行委員會）定期審閱。</w:t>
      </w:r>
    </w:p>
    <w:p>
      <w:pPr>
        <w:pStyle w:val="BodyText"/>
      </w:pPr>
      <w:r>
        <w:t xml:space="preserve">2.7 </w:t>
      </w:r>
      <w:r>
        <w:rPr>
          <w:rFonts w:hint="eastAsia"/>
        </w:rPr>
        <w:t xml:space="preserve">外幣換算</w:t>
      </w:r>
    </w:p>
    <w:p>
      <w:pPr>
        <w:pStyle w:val="BodyText"/>
      </w:pPr>
      <w:r>
        <w:rPr>
          <w:rFonts w:hint="eastAsia"/>
        </w:rPr>
        <w:t xml:space="preserve">外國實體的收入表及現金流量乃按期間平均匯率換算為本集團的呈列貨幣，皆因此匯率與交易日期的適用匯率相若。外國實</w:t>
      </w:r>
    </w:p>
    <w:p>
      <w:pPr>
        <w:pStyle w:val="BodyText"/>
      </w:pPr>
      <w:r>
        <w:rPr>
          <w:rFonts w:hint="eastAsia"/>
        </w:rPr>
        <w:t xml:space="preserve">體的財務狀況表乃按年末或期末匯率換算。換算外國業務投資淨額產生的匯兌差額乃計入權益內的貨幣換算準備金。於出售</w:t>
      </w:r>
    </w:p>
    <w:p>
      <w:pPr>
        <w:pStyle w:val="BodyText"/>
      </w:pPr>
      <w:r>
        <w:rPr>
          <w:rFonts w:hint="eastAsia"/>
        </w:rPr>
        <w:t xml:space="preserve">外國業務時，此等匯兌差額乃從此項準備金中轉撥，並於合併收入表確認為出售收益或虧損的一部分。</w:t>
      </w:r>
    </w:p>
    <w:p>
      <w:pPr>
        <w:pStyle w:val="BodyText"/>
      </w:pPr>
      <w:r>
        <w:rPr>
          <w:rFonts w:hint="eastAsia"/>
        </w:rPr>
        <w:t xml:space="preserve">外匯交易乃按交易日期的適用匯率入賬。因結算此等交易及將外幣計值貨幣資產及負債換算至功能貨幣而產生的收益及虧</w:t>
      </w:r>
    </w:p>
    <w:p>
      <w:pPr>
        <w:pStyle w:val="BodyText"/>
      </w:pPr>
      <w:r>
        <w:rPr>
          <w:rFonts w:hint="eastAsia"/>
        </w:rPr>
        <w:t xml:space="preserve">損，乃於合併收入表確認。</w:t>
      </w:r>
    </w:p>
    <w:p>
      <w:pPr>
        <w:pStyle w:val="BodyText"/>
      </w:pPr>
      <w:r>
        <w:rPr>
          <w:rFonts w:hint="eastAsia"/>
        </w:rPr>
        <w:t xml:space="preserve">劃分為按公平值計入損益的金融資產的換算差額計入投資經驗。就分類為可供出售的貨幣金融資產而言，換算差額乃如按經</w:t>
      </w:r>
    </w:p>
    <w:p>
      <w:pPr>
        <w:pStyle w:val="BodyText"/>
      </w:pPr>
      <w:r>
        <w:rPr>
          <w:rFonts w:hint="eastAsia"/>
        </w:rPr>
        <w:t xml:space="preserve">攤銷成本列賬而計算，並因此於合併收入表確認。對於入賬為可供出售的非貨幣權益產生的外匯變動，乃計入公平值準備</w:t>
      </w:r>
    </w:p>
    <w:p>
      <w:pPr>
        <w:pStyle w:val="BodyText"/>
      </w:pPr>
      <w:r>
        <w:rPr>
          <w:rFonts w:hint="eastAsia"/>
        </w:rPr>
        <w:t xml:space="preserve">金。</w:t>
      </w:r>
    </w:p>
    <w:p>
      <w:pPr>
        <w:pStyle w:val="BodyText"/>
      </w:pPr>
      <w:r>
        <w:t xml:space="preserve">2.8 </w:t>
      </w:r>
      <w:r>
        <w:rPr>
          <w:rFonts w:hint="eastAsia"/>
        </w:rPr>
        <w:t xml:space="preserve">物業、廠房及設備</w:t>
      </w:r>
    </w:p>
    <w:p>
      <w:pPr>
        <w:pStyle w:val="BodyText"/>
      </w:pPr>
      <w:r>
        <w:rPr>
          <w:rFonts w:hint="eastAsia"/>
        </w:rPr>
        <w:t xml:space="preserve">持作自用物業（不包括與其他租賃物業、廠房及設備有關的使用權資產）以於最後估值日期的公平值扣除累計折舊列賬。本</w:t>
      </w:r>
    </w:p>
    <w:p>
      <w:pPr>
        <w:pStyle w:val="BodyText"/>
      </w:pPr>
      <w:r>
        <w:rPr>
          <w:rFonts w:hint="eastAsia"/>
        </w:rPr>
        <w:t xml:space="preserve">集團將其與持作自用物業有關的租賃土地權益及土地使用權入賬為使用權資產，呈報為物業、廠房及設備的一部分並以最後</w:t>
      </w:r>
    </w:p>
    <w:p>
      <w:pPr>
        <w:pStyle w:val="BodyText"/>
      </w:pPr>
      <w:r>
        <w:rPr>
          <w:rFonts w:hint="eastAsia"/>
        </w:rPr>
        <w:t xml:space="preserve">估值日期的公平值扣除累計折舊列賬。當調整資產的最新公平值時，估值日期的任何累計折舊會從該項資產的總賬面值中撇</w:t>
      </w:r>
    </w:p>
    <w:p>
      <w:pPr>
        <w:pStyle w:val="BodyText"/>
      </w:pPr>
      <w:r>
        <w:rPr>
          <w:rFonts w:hint="eastAsia"/>
        </w:rPr>
        <w:t xml:space="preserve">銷。公平值的變動一般於其他全面收入內確認。當出售該等物業時，於其他全面收入累計的金額轉撥至保留盈利。</w:t>
      </w:r>
    </w:p>
    <w:p>
      <w:pPr>
        <w:pStyle w:val="BodyText"/>
      </w:pPr>
      <w:r>
        <w:t xml:space="preserve">159</w:t>
      </w:r>
    </w:p>
    <w:p>
      <w:pPr>
        <w:pStyle w:val="BodyText"/>
      </w:pPr>
      <w:r>
        <w:rPr>
          <w:rFonts w:hint="eastAsia"/>
        </w:rPr>
        <w:t xml:space="preserve">概覽財務及營運回顧企業管治其他資料財務報表2020年報</w:t>
      </w:r>
    </w:p>
    <w:p>
      <w:pPr>
        <w:pStyle w:val="Compact"/>
        <w:numPr>
          <w:ilvl w:val="0"/>
          <w:numId w:val="1209"/>
        </w:numPr>
      </w:pPr>
      <w:r>
        <w:rPr>
          <w:rFonts w:hint="eastAsia"/>
        </w:rPr>
        <w:t xml:space="preserve">主要會計政策（續）</w:t>
      </w:r>
    </w:p>
    <w:p>
      <w:pPr>
        <w:pStyle w:val="FirstParagraph"/>
      </w:pPr>
      <w:r>
        <w:t xml:space="preserve">2.8 </w:t>
      </w:r>
      <w:r>
        <w:rPr>
          <w:rFonts w:hint="eastAsia"/>
        </w:rPr>
        <w:t xml:space="preserve">物業、廠房及設備（續）</w:t>
      </w:r>
    </w:p>
    <w:p>
      <w:pPr>
        <w:pStyle w:val="BodyText"/>
      </w:pPr>
      <w:r>
        <w:rPr>
          <w:rFonts w:hint="eastAsia"/>
        </w:rPr>
        <w:t xml:space="preserve">廠房及設備乃按歷史成本扣除累計折舊及任何累計減值虧損列賬。歷史成本包括收購項目的直接應佔支出。</w:t>
      </w:r>
    </w:p>
    <w:p>
      <w:pPr>
        <w:pStyle w:val="BodyText"/>
      </w:pPr>
      <w:r>
        <w:rPr>
          <w:rFonts w:hint="eastAsia"/>
        </w:rPr>
        <w:t xml:space="preserve">與其他租賃物業、廠房及設備有關的使用權資產按成本扣除累計折舊列賬。與租賃有關的使用權資產在資產的可使用年期及</w:t>
      </w:r>
    </w:p>
    <w:p>
      <w:pPr>
        <w:pStyle w:val="BodyText"/>
      </w:pPr>
      <w:r>
        <w:rPr>
          <w:rFonts w:hint="eastAsia"/>
        </w:rPr>
        <w:t xml:space="preserve">租期（以較短者為準）內按直線基準折舊。</w:t>
      </w:r>
    </w:p>
    <w:p>
      <w:pPr>
        <w:pStyle w:val="BodyText"/>
      </w:pPr>
      <w:r>
        <w:rPr>
          <w:rFonts w:hint="eastAsia"/>
        </w:rPr>
        <w:t xml:space="preserve">折舊乃採用直線法計算，將扣除任何剩餘價值後的成本於估計可使用年期內分配，一般為：</w:t>
      </w:r>
    </w:p>
    <w:p>
      <w:pPr>
        <w:pStyle w:val="BodyText"/>
      </w:pPr>
      <w:r>
        <w:rPr>
          <w:rFonts w:hint="eastAsia"/>
        </w:rPr>
        <w:t xml:space="preserve">裝置、設備及辦公室設備</w:t>
      </w:r>
    </w:p>
    <w:p>
      <w:pPr>
        <w:pStyle w:val="BodyText"/>
      </w:pPr>
      <w:r>
        <w:rPr>
          <w:rFonts w:hint="eastAsia"/>
        </w:rPr>
        <w:t xml:space="preserve">樓宇</w:t>
      </w:r>
    </w:p>
    <w:p>
      <w:pPr>
        <w:pStyle w:val="BodyText"/>
      </w:pPr>
      <w:r>
        <w:rPr>
          <w:rFonts w:hint="eastAsia"/>
        </w:rPr>
        <w:t xml:space="preserve">電腦硬件及其他資產</w:t>
      </w:r>
    </w:p>
    <w:p>
      <w:pPr>
        <w:pStyle w:val="BodyText"/>
      </w:pPr>
      <w:r>
        <w:rPr>
          <w:rFonts w:hint="eastAsia"/>
        </w:rPr>
        <w:t xml:space="preserve">永久業權土地</w:t>
      </w:r>
    </w:p>
    <w:p>
      <w:pPr>
        <w:pStyle w:val="BodyText"/>
      </w:pPr>
      <w:r>
        <w:rPr>
          <w:rFonts w:hint="eastAsia"/>
        </w:rPr>
        <w:t xml:space="preserve">5年</w:t>
      </w:r>
    </w:p>
    <w:p>
      <w:pPr>
        <w:pStyle w:val="BodyText"/>
      </w:pPr>
      <w:r>
        <w:rPr>
          <w:rFonts w:hint="eastAsia"/>
        </w:rPr>
        <w:t xml:space="preserve">20至40年</w:t>
      </w:r>
    </w:p>
    <w:p>
      <w:pPr>
        <w:pStyle w:val="BodyText"/>
      </w:pPr>
      <w:r>
        <w:rPr>
          <w:rFonts w:hint="eastAsia"/>
        </w:rPr>
        <w:t xml:space="preserve">3至5年</w:t>
      </w:r>
    </w:p>
    <w:p>
      <w:pPr>
        <w:pStyle w:val="BodyText"/>
      </w:pPr>
      <w:r>
        <w:rPr>
          <w:rFonts w:hint="eastAsia"/>
        </w:rPr>
        <w:t xml:space="preserve">並無折舊</w:t>
      </w:r>
    </w:p>
    <w:p>
      <w:pPr>
        <w:pStyle w:val="BodyText"/>
      </w:pPr>
      <w:r>
        <w:rPr>
          <w:rFonts w:hint="eastAsia"/>
        </w:rPr>
        <w:t xml:space="preserve">當未來經濟利益很有可能流入本集團時，其後的成本按賬面值記賬或確認為獨立資產（如適用）。維修及保養費用於產生的</w:t>
      </w:r>
    </w:p>
    <w:p>
      <w:pPr>
        <w:pStyle w:val="BodyText"/>
      </w:pPr>
      <w:r>
        <w:rPr>
          <w:rFonts w:hint="eastAsia"/>
        </w:rPr>
        <w:t xml:space="preserve">財政期間從合併收入表扣除。</w:t>
      </w:r>
    </w:p>
    <w:p>
      <w:pPr>
        <w:pStyle w:val="BodyText"/>
      </w:pPr>
      <w:r>
        <w:rPr>
          <w:rFonts w:hint="eastAsia"/>
        </w:rPr>
        <w:t xml:space="preserve">剩餘價值及可使用年期乃於各報告日期審閱及調整（如適用）。倘賬面值超過估計可收回金額，則資產乃撇減至其可收回金</w:t>
      </w:r>
    </w:p>
    <w:p>
      <w:pPr>
        <w:pStyle w:val="BodyText"/>
      </w:pPr>
      <w:r>
        <w:rPr>
          <w:rFonts w:hint="eastAsia"/>
        </w:rPr>
        <w:t xml:space="preserve">額。</w:t>
      </w:r>
    </w:p>
    <w:p>
      <w:pPr>
        <w:pStyle w:val="BodyText"/>
      </w:pPr>
      <w:r>
        <w:rPr>
          <w:rFonts w:hint="eastAsia"/>
        </w:rPr>
        <w:t xml:space="preserve">於出售物業、廠房及設備時產生的任何收益及虧損乃以出售所得款項淨額與相關資產賬面值之間的差額計量，並於合併收入</w:t>
      </w:r>
    </w:p>
    <w:p>
      <w:pPr>
        <w:pStyle w:val="BodyText"/>
      </w:pPr>
      <w:r>
        <w:rPr>
          <w:rFonts w:hint="eastAsia"/>
        </w:rPr>
        <w:t xml:space="preserve">表確認。</w:t>
      </w:r>
    </w:p>
    <w:p>
      <w:pPr>
        <w:pStyle w:val="BodyText"/>
      </w:pPr>
      <w:r>
        <w:t xml:space="preserve">2.9 </w:t>
      </w:r>
      <w:r>
        <w:rPr>
          <w:rFonts w:hint="eastAsia"/>
        </w:rPr>
        <w:t xml:space="preserve">投資物業</w:t>
      </w:r>
    </w:p>
    <w:p>
      <w:pPr>
        <w:pStyle w:val="BodyText"/>
      </w:pPr>
      <w:r>
        <w:rPr>
          <w:rFonts w:hint="eastAsia"/>
        </w:rPr>
        <w:t xml:space="preserve">並非由本集團佔用並持作長期出租或資本增值（或兩者兼有）用途的物業乃分類為投資物業。投資物業（包括土地及樓宇）初</w:t>
      </w:r>
    </w:p>
    <w:p>
      <w:pPr>
        <w:pStyle w:val="BodyText"/>
      </w:pPr>
      <w:r>
        <w:rPr>
          <w:rFonts w:hint="eastAsia"/>
        </w:rPr>
        <w:t xml:space="preserve">始按成本確認，於後續期間的公平值變動於合併收入表確認。</w:t>
      </w:r>
    </w:p>
    <w:p>
      <w:pPr>
        <w:pStyle w:val="BodyText"/>
      </w:pPr>
      <w:r>
        <w:rPr>
          <w:rFonts w:hint="eastAsia"/>
        </w:rPr>
        <w:t xml:space="preserve">倘投資物業轉為持作自用，則重新分類為物業、廠房及設備。當物業部分用作投資物業及部分供本集團使用，而用作投資物</w:t>
      </w:r>
    </w:p>
    <w:p>
      <w:pPr>
        <w:pStyle w:val="BodyText"/>
      </w:pPr>
      <w:r>
        <w:rPr>
          <w:rFonts w:hint="eastAsia"/>
        </w:rPr>
        <w:t xml:space="preserve">業的部分將可獨立出售或租賃時，此等部分乃於投資物業與物業、廠房及設備內分別入賬。</w:t>
      </w:r>
    </w:p>
    <w:p>
      <w:pPr>
        <w:pStyle w:val="BodyText"/>
      </w:pPr>
      <w:r>
        <w:t xml:space="preserve">2.10 </w:t>
      </w:r>
      <w:r>
        <w:rPr>
          <w:rFonts w:hint="eastAsia"/>
        </w:rPr>
        <w:t xml:space="preserve">商譽及其他無形資產</w:t>
      </w:r>
    </w:p>
    <w:p>
      <w:pPr>
        <w:pStyle w:val="BodyText"/>
      </w:pPr>
      <w:r>
        <w:rPr>
          <w:rFonts w:hint="eastAsia"/>
        </w:rPr>
        <w:t xml:space="preserve">商譽</w:t>
      </w:r>
    </w:p>
    <w:p>
      <w:pPr>
        <w:pStyle w:val="BodyText"/>
      </w:pPr>
      <w:r>
        <w:rPr>
          <w:rFonts w:hint="eastAsia"/>
        </w:rPr>
        <w:t xml:space="preserve">商譽乃指收購值成本超過本集團應佔所收購附屬公司、聯營公司或合資公司於收購日期可識別資產淨值公平值的數額。於</w:t>
      </w:r>
    </w:p>
    <w:p>
      <w:pPr>
        <w:pStyle w:val="BodyText"/>
      </w:pPr>
      <w:r>
        <w:rPr>
          <w:rFonts w:hint="eastAsia"/>
        </w:rPr>
        <w:t xml:space="preserve">2006年12月1日（過渡至國際財務報告準則的日期）前收購的商譽乃按此日期的賬面值（原始成本扣除累計攤銷）列賬，並扣</w:t>
      </w:r>
    </w:p>
    <w:p>
      <w:pPr>
        <w:pStyle w:val="BodyText"/>
      </w:pPr>
      <w:r>
        <w:rPr>
          <w:rFonts w:hint="eastAsia"/>
        </w:rPr>
        <w:t xml:space="preserve">除其後產生的任何減值。自此日期起本集團的附屬公司投資產生的商譽乃列作獨立資產，並按成本減任何累計減值虧損列</w:t>
      </w:r>
    </w:p>
    <w:p>
      <w:pPr>
        <w:pStyle w:val="BodyText"/>
      </w:pPr>
      <w:r>
        <w:rPr>
          <w:rFonts w:hint="eastAsia"/>
        </w:rPr>
        <w:t xml:space="preserve">賬，而聯營公司及合資公司產生的商譽乃計入此等投資的賬面值內。所有收購相關成本於產生時支銷。</w:t>
      </w:r>
    </w:p>
    <w:p>
      <w:pPr>
        <w:pStyle w:val="BodyText"/>
      </w:pPr>
      <w:r>
        <w:t xml:space="preserve">160</w:t>
      </w:r>
    </w:p>
    <w:p>
      <w:pPr>
        <w:pStyle w:val="BodyText"/>
      </w:pPr>
      <w:r>
        <w:rPr>
          <w:rFonts w:hint="eastAsia"/>
        </w:rPr>
        <w:t xml:space="preserve">友邦保險控股有限公司</w:t>
      </w:r>
    </w:p>
    <w:p>
      <w:pPr>
        <w:pStyle w:val="Compact"/>
        <w:numPr>
          <w:ilvl w:val="0"/>
          <w:numId w:val="1210"/>
        </w:numPr>
      </w:pPr>
      <w:r>
        <w:rPr>
          <w:rFonts w:hint="eastAsia"/>
        </w:rPr>
        <w:t xml:space="preserve">主要會計政策（續）</w:t>
      </w:r>
    </w:p>
    <w:p>
      <w:pPr>
        <w:pStyle w:val="FirstParagraph"/>
      </w:pPr>
      <w:r>
        <w:t xml:space="preserve">2.10 </w:t>
      </w:r>
      <w:r>
        <w:rPr>
          <w:rFonts w:hint="eastAsia"/>
        </w:rPr>
        <w:t xml:space="preserve">商譽及其他無形資產（續）</w:t>
      </w:r>
    </w:p>
    <w:p>
      <w:pPr>
        <w:pStyle w:val="BodyText"/>
      </w:pPr>
      <w:r>
        <w:rPr>
          <w:rFonts w:hint="eastAsia"/>
        </w:rPr>
        <w:t xml:space="preserve">其他無形資產</w:t>
      </w:r>
    </w:p>
    <w:p>
      <w:pPr>
        <w:pStyle w:val="BodyText"/>
      </w:pPr>
      <w:r>
        <w:rPr>
          <w:rFonts w:hint="eastAsia"/>
        </w:rPr>
        <w:t xml:space="preserve">其他無形資產主要包括已購買的電腦軟件及合約關係，例如存取分銷網絡，於其估計可使用年期內攤銷。</w:t>
      </w:r>
    </w:p>
    <w:p>
      <w:pPr>
        <w:pStyle w:val="BodyText"/>
      </w:pPr>
      <w:r>
        <w:rPr>
          <w:rFonts w:hint="eastAsia"/>
        </w:rPr>
        <w:t xml:space="preserve">已購買的電腦軟件許可證乃以購買及實際使用指定軟件而產生的成本為基準資本化。倘本集團內部生產可識別及獨有軟件將</w:t>
      </w:r>
    </w:p>
    <w:p>
      <w:pPr>
        <w:pStyle w:val="BodyText"/>
      </w:pPr>
      <w:r>
        <w:rPr>
          <w:rFonts w:hint="eastAsia"/>
        </w:rPr>
        <w:t xml:space="preserve">產生的經濟利益，在超出一年的期間內超過直接有關的成本，則此等成本乃確認為無形資產。與開發或維持電腦軟件程式有</w:t>
      </w:r>
    </w:p>
    <w:p>
      <w:pPr>
        <w:pStyle w:val="BodyText"/>
      </w:pPr>
      <w:r>
        <w:rPr>
          <w:rFonts w:hint="eastAsia"/>
        </w:rPr>
        <w:t xml:space="preserve">關的所有其他成本乃於產生時確認為開支。購買電腦軟件許可證及內部生產電腦軟件所產生的成本乃以直線法於軟件的估計</w:t>
      </w:r>
    </w:p>
    <w:p>
      <w:pPr>
        <w:pStyle w:val="BodyText"/>
      </w:pPr>
      <w:r>
        <w:rPr>
          <w:rFonts w:hint="eastAsia"/>
        </w:rPr>
        <w:t xml:space="preserve">可使用年期內攤銷，一般不超過3至15年。期內攤銷費用乃計入合併收入表「營運開支」。</w:t>
      </w:r>
    </w:p>
    <w:p>
      <w:pPr>
        <w:pStyle w:val="BodyText"/>
      </w:pPr>
      <w:r>
        <w:rPr>
          <w:rFonts w:hint="eastAsia"/>
        </w:rPr>
        <w:t xml:space="preserve">與獲取存取分銷網絡權利有關的成本按無形資產中包含的預期未來經濟利益的預期消費模式於合約年期內攤銷。存取分銷網</w:t>
      </w:r>
    </w:p>
    <w:p>
      <w:pPr>
        <w:pStyle w:val="BodyText"/>
      </w:pPr>
      <w:r>
        <w:rPr>
          <w:rFonts w:hint="eastAsia"/>
        </w:rPr>
        <w:t xml:space="preserve">絡權利的攤銷費用乃計入合併收入表「佣金及其他承保開支」。</w:t>
      </w:r>
    </w:p>
    <w:p>
      <w:pPr>
        <w:pStyle w:val="BodyText"/>
      </w:pPr>
      <w:r>
        <w:t xml:space="preserve">2.11 </w:t>
      </w:r>
      <w:r>
        <w:rPr>
          <w:rFonts w:hint="eastAsia"/>
        </w:rPr>
        <w:t xml:space="preserve">非金融資產的減值</w:t>
      </w:r>
    </w:p>
    <w:p>
      <w:pPr>
        <w:pStyle w:val="BodyText"/>
      </w:pPr>
      <w:r>
        <w:rPr>
          <w:rFonts w:hint="eastAsia"/>
        </w:rPr>
        <w:t xml:space="preserve">物業、廠房及設備、商譽及其他非金融資產乃於當有事件或情況轉變顯示賬面值可能無法收回時進行減值檢討。減值虧損乃</w:t>
      </w:r>
    </w:p>
    <w:p>
      <w:pPr>
        <w:pStyle w:val="BodyText"/>
      </w:pPr>
      <w:r>
        <w:rPr>
          <w:rFonts w:hint="eastAsia"/>
        </w:rPr>
        <w:t xml:space="preserve">以資產賬面值超過其可收回金額（即資產的公平值減銷售成本與使用價值兩者中的較高者）為限確認。就評估減值而言，資</w:t>
      </w:r>
    </w:p>
    <w:p>
      <w:pPr>
        <w:pStyle w:val="BodyText"/>
      </w:pPr>
      <w:r>
        <w:rPr>
          <w:rFonts w:hint="eastAsia"/>
        </w:rPr>
        <w:t xml:space="preserve">產乃分配至本集團各現金產生單位或現金產生單位組別，即獨立可識別現金流量的最低層面。擁有無限定可使用年期的商譽</w:t>
      </w:r>
    </w:p>
    <w:p>
      <w:pPr>
        <w:pStyle w:val="BodyText"/>
      </w:pPr>
      <w:r>
        <w:rPr>
          <w:rFonts w:hint="eastAsia"/>
        </w:rPr>
        <w:t xml:space="preserve">及無形資產的賬面值乃至少每年審閱一次，或當有情況或事件顯示此價值可能出現不確定時進行審閱。</w:t>
      </w:r>
    </w:p>
    <w:p>
      <w:pPr>
        <w:pStyle w:val="BodyText"/>
      </w:pPr>
      <w:r>
        <w:rPr>
          <w:rFonts w:hint="eastAsia"/>
        </w:rPr>
        <w:t xml:space="preserve">本集團於各報告期末評估是否存在客觀憑證顯示其於聯營公司及合資公司的投資出現減值。此等客觀憑證包括聯營公司及合</w:t>
      </w:r>
    </w:p>
    <w:p>
      <w:pPr>
        <w:pStyle w:val="BodyText"/>
      </w:pPr>
      <w:r>
        <w:rPr>
          <w:rFonts w:hint="eastAsia"/>
        </w:rPr>
        <w:t xml:space="preserve">資公司經營業務所處的技術、市場、經濟或法律環境出現任何重大不利變化，或聯營公司及合資公司的價值大幅或持續下降</w:t>
      </w:r>
    </w:p>
    <w:p>
      <w:pPr>
        <w:pStyle w:val="BodyText"/>
      </w:pPr>
      <w:r>
        <w:rPr>
          <w:rFonts w:hint="eastAsia"/>
        </w:rPr>
        <w:t xml:space="preserve">至其成本以下。倘於聯營公司或合資公司的投資存在減值跡象，本集團評估能否收回包括商譽在內的全部賬面值。賬面值低</w:t>
      </w:r>
    </w:p>
    <w:p>
      <w:pPr>
        <w:pStyle w:val="BodyText"/>
      </w:pPr>
      <w:r>
        <w:rPr>
          <w:rFonts w:hint="eastAsia"/>
        </w:rPr>
        <w:t xml:space="preserve">於投資的公平值扣除出售成本或使用價值（以較高者為準）的部分於損益確認為減值虧損。往後期間任何減值虧損的撥回乃</w:t>
      </w:r>
    </w:p>
    <w:p>
      <w:pPr>
        <w:pStyle w:val="BodyText"/>
      </w:pPr>
      <w:r>
        <w:rPr>
          <w:rFonts w:hint="eastAsia"/>
        </w:rPr>
        <w:t xml:space="preserve">透過損益予以撥回。</w:t>
      </w:r>
    </w:p>
    <w:p>
      <w:pPr>
        <w:pStyle w:val="BodyText"/>
      </w:pPr>
      <w:r>
        <w:rPr>
          <w:rFonts w:hint="eastAsia"/>
        </w:rPr>
        <w:t xml:space="preserve">在本公司的財務狀況表內，於附屬公司、聯營公司及合資公司的投資收取股息時，倘股息超過派息期間附屬公司、聯營公</w:t>
      </w:r>
    </w:p>
    <w:p>
      <w:pPr>
        <w:pStyle w:val="BodyText"/>
      </w:pPr>
      <w:r>
        <w:rPr>
          <w:rFonts w:hint="eastAsia"/>
        </w:rPr>
        <w:t xml:space="preserve">司或合資公司的全面收入總額，或倘本公司財務狀況表的相關投資賬面值超過合併財務報表內被投資公司資產淨值（包括商</w:t>
      </w:r>
    </w:p>
    <w:p>
      <w:pPr>
        <w:pStyle w:val="BodyText"/>
      </w:pPr>
      <w:r>
        <w:rPr>
          <w:rFonts w:hint="eastAsia"/>
        </w:rPr>
        <w:t xml:space="preserve">譽）的賬面值，則須進行減值測試。</w:t>
      </w:r>
    </w:p>
    <w:p>
      <w:pPr>
        <w:pStyle w:val="BodyText"/>
      </w:pPr>
      <w:r>
        <w:t xml:space="preserve">161</w:t>
      </w:r>
    </w:p>
    <w:p>
      <w:pPr>
        <w:pStyle w:val="BodyText"/>
      </w:pPr>
      <w:r>
        <w:rPr>
          <w:rFonts w:hint="eastAsia"/>
        </w:rPr>
        <w:t xml:space="preserve">概覽財務及營運回顧企業管治其他資料財務報表2020年報</w:t>
      </w:r>
    </w:p>
    <w:p>
      <w:pPr>
        <w:pStyle w:val="Compact"/>
        <w:numPr>
          <w:ilvl w:val="0"/>
          <w:numId w:val="1211"/>
        </w:numPr>
      </w:pPr>
      <w:r>
        <w:rPr>
          <w:rFonts w:hint="eastAsia"/>
        </w:rPr>
        <w:t xml:space="preserve">主要會計政策（續）</w:t>
      </w:r>
    </w:p>
    <w:p>
      <w:pPr>
        <w:pStyle w:val="FirstParagraph"/>
      </w:pPr>
      <w:r>
        <w:t xml:space="preserve">2.12 </w:t>
      </w:r>
      <w:r>
        <w:rPr>
          <w:rFonts w:hint="eastAsia"/>
        </w:rPr>
        <w:t xml:space="preserve">證券外借（包括回購協議）</w:t>
      </w:r>
    </w:p>
    <w:p>
      <w:pPr>
        <w:pStyle w:val="BodyText"/>
      </w:pPr>
      <w:r>
        <w:rPr>
          <w:rFonts w:hint="eastAsia"/>
        </w:rPr>
        <w:t xml:space="preserve">本集團一直是多項證券外借協議的訂約方，據此，證券乃短期借出予第三方。借出的證券不會終止確認，因此將繼續於適當</w:t>
      </w:r>
    </w:p>
    <w:p>
      <w:pPr>
        <w:pStyle w:val="BodyText"/>
      </w:pPr>
      <w:r>
        <w:rPr>
          <w:rFonts w:hint="eastAsia"/>
        </w:rPr>
        <w:t xml:space="preserve">的投資分類內確認。</w:t>
      </w:r>
    </w:p>
    <w:p>
      <w:pPr>
        <w:pStyle w:val="BodyText"/>
      </w:pPr>
      <w:r>
        <w:rPr>
          <w:rFonts w:hint="eastAsia"/>
        </w:rPr>
        <w:t xml:space="preserve">根據回購協議出售的資產</w:t>
      </w:r>
    </w:p>
    <w:p>
      <w:pPr>
        <w:pStyle w:val="BodyText"/>
      </w:pPr>
      <w:r>
        <w:rPr>
          <w:rFonts w:hint="eastAsia"/>
        </w:rPr>
        <w:t xml:space="preserve">根據回購協議出售的資產繼續予以確認並就所收取代價釐定負債。本集團可能需要根據相關資產的公平值提供額外抵押品，</w:t>
      </w:r>
    </w:p>
    <w:p>
      <w:pPr>
        <w:pStyle w:val="BodyText"/>
      </w:pPr>
      <w:r>
        <w:rPr>
          <w:rFonts w:hint="eastAsia"/>
        </w:rPr>
        <w:t xml:space="preserve">而此等抵押品資產則仍計入合併財務狀況表。</w:t>
      </w:r>
    </w:p>
    <w:p>
      <w:pPr>
        <w:pStyle w:val="BodyText"/>
      </w:pPr>
      <w:r>
        <w:rPr>
          <w:rFonts w:hint="eastAsia"/>
        </w:rPr>
        <w:t xml:space="preserve">根據重售協議（逆向回購協議）購置的資產</w:t>
      </w:r>
    </w:p>
    <w:p>
      <w:pPr>
        <w:pStyle w:val="BodyText"/>
      </w:pPr>
      <w:r>
        <w:rPr>
          <w:rFonts w:hint="eastAsia"/>
        </w:rPr>
        <w:t xml:space="preserve">本集團根據重售協議（逆向回購協議）進行資產購買事項。逆向回購協議乃初始按貸款或墊付的抵押品的成本於合併財務狀</w:t>
      </w:r>
    </w:p>
    <w:p>
      <w:pPr>
        <w:pStyle w:val="BodyText"/>
      </w:pPr>
      <w:r>
        <w:rPr>
          <w:rFonts w:hint="eastAsia"/>
        </w:rPr>
        <w:t xml:space="preserve">況表內「貸款及存款」入賬。倘交易對手未能償還貸款，則本集團有權擁有相關資產。</w:t>
      </w:r>
    </w:p>
    <w:p>
      <w:pPr>
        <w:pStyle w:val="BodyText"/>
      </w:pPr>
      <w:r>
        <w:t xml:space="preserve">2.13 </w:t>
      </w:r>
      <w:r>
        <w:rPr>
          <w:rFonts w:hint="eastAsia"/>
        </w:rPr>
        <w:t xml:space="preserve">抵押品</w:t>
      </w:r>
    </w:p>
    <w:p>
      <w:pPr>
        <w:pStyle w:val="BodyText"/>
      </w:pPr>
      <w:r>
        <w:rPr>
          <w:rFonts w:hint="eastAsia"/>
        </w:rPr>
        <w:t xml:space="preserve">本集團就衍生工具交易、證券外借交易、回購協議及逆向回購協議交易，以現金或非現金資產形式收取及質押抵押品，以減</w:t>
      </w:r>
    </w:p>
    <w:p>
      <w:pPr>
        <w:pStyle w:val="BodyText"/>
      </w:pPr>
      <w:r>
        <w:rPr>
          <w:rFonts w:hint="eastAsia"/>
        </w:rPr>
        <w:t xml:space="preserve">低此等交易的信貸風險。抵押品的金額及類別視乎對交易對手的信貸風險評估。以現金形式收取的抵押品（法律上並非與本</w:t>
      </w:r>
    </w:p>
    <w:p>
      <w:pPr>
        <w:pStyle w:val="BodyText"/>
      </w:pPr>
      <w:r>
        <w:rPr>
          <w:rFonts w:hint="eastAsia"/>
        </w:rPr>
        <w:t xml:space="preserve">集團分離）於合併財務狀況表確認為資產，並確立相應償還的負債。已收取的非現金抵押品並不於合併財務狀況表確認，惟</w:t>
      </w:r>
    </w:p>
    <w:p>
      <w:pPr>
        <w:pStyle w:val="BodyText"/>
      </w:pPr>
      <w:r>
        <w:rPr>
          <w:rFonts w:hint="eastAsia"/>
        </w:rPr>
        <w:t xml:space="preserve">本集團於並無違約情況下出售此等資產則作別論，屆時退回此抵押品的責任則確認為負債。為了進一步盡量減低信貸風險，</w:t>
      </w:r>
    </w:p>
    <w:p>
      <w:pPr>
        <w:pStyle w:val="BodyText"/>
      </w:pPr>
      <w:r>
        <w:rPr>
          <w:rFonts w:hint="eastAsia"/>
        </w:rPr>
        <w:t xml:space="preserve">交易對手的財務狀況會受到定期監察。</w:t>
      </w:r>
    </w:p>
    <w:p>
      <w:pPr>
        <w:pStyle w:val="BodyText"/>
      </w:pPr>
      <w:r>
        <w:rPr>
          <w:rFonts w:hint="eastAsia"/>
        </w:rPr>
        <w:t xml:space="preserve">以現金質押的抵押品（法律上乃與本集團分離）乃於合併財務狀況表終止確認，並確立相應收回的應收款項。已質押的非現</w:t>
      </w:r>
    </w:p>
    <w:p>
      <w:pPr>
        <w:pStyle w:val="BodyText"/>
      </w:pPr>
      <w:r>
        <w:rPr>
          <w:rFonts w:hint="eastAsia"/>
        </w:rPr>
        <w:t xml:space="preserve">金抵押品並不終止確認（不包括於違約情況下），因此繼續於合併財務狀況表的適當金融工具分類確認。</w:t>
      </w:r>
    </w:p>
    <w:p>
      <w:pPr>
        <w:pStyle w:val="BodyText"/>
      </w:pPr>
      <w:r>
        <w:t xml:space="preserve">2.14 </w:t>
      </w:r>
      <w:r>
        <w:rPr>
          <w:rFonts w:hint="eastAsia"/>
        </w:rPr>
        <w:t xml:space="preserve">借貸</w:t>
      </w:r>
    </w:p>
    <w:p>
      <w:pPr>
        <w:pStyle w:val="BodyText"/>
      </w:pPr>
      <w:r>
        <w:rPr>
          <w:rFonts w:hint="eastAsia"/>
        </w:rPr>
        <w:t xml:space="preserve">借貸初始按其發行所得款項扣除所產生交易成本後確認。其後，借貸乃按經攤銷成本列賬，而所得款項淨額與贖回價值之間</w:t>
      </w:r>
    </w:p>
    <w:p>
      <w:pPr>
        <w:pStyle w:val="BodyText"/>
      </w:pPr>
      <w:r>
        <w:rPr>
          <w:rFonts w:hint="eastAsia"/>
        </w:rPr>
        <w:t xml:space="preserve">的任何差額乃採用實際利率法計算，於借貸期間內於合併收入表確認。所有借貸成本均於產生時列作開支，惟發展投資物業</w:t>
      </w:r>
    </w:p>
    <w:p>
      <w:pPr>
        <w:pStyle w:val="BodyText"/>
      </w:pPr>
      <w:r>
        <w:rPr>
          <w:rFonts w:hint="eastAsia"/>
        </w:rPr>
        <w:t xml:space="preserve">及其他合資格資產直接應佔的借貸成本例外，後者乃資本化為資產的部分成本。</w:t>
      </w:r>
    </w:p>
    <w:p>
      <w:pPr>
        <w:pStyle w:val="BodyText"/>
      </w:pPr>
      <w:r>
        <w:t xml:space="preserve">2.15 </w:t>
      </w:r>
      <w:r>
        <w:rPr>
          <w:rFonts w:hint="eastAsia"/>
        </w:rPr>
        <w:t xml:space="preserve">所得稅</w:t>
      </w:r>
    </w:p>
    <w:p>
      <w:pPr>
        <w:pStyle w:val="BodyText"/>
      </w:pPr>
      <w:r>
        <w:rPr>
          <w:rFonts w:hint="eastAsia"/>
        </w:rPr>
        <w:t xml:space="preserve">當期稅項開支乃根據期內應課稅溢利計算，包括就過往年度作出的任何調整。稅項視情況分配至稅前溢利或虧損或扣除或計</w:t>
      </w:r>
    </w:p>
    <w:p>
      <w:pPr>
        <w:pStyle w:val="BodyText"/>
      </w:pPr>
      <w:r>
        <w:rPr>
          <w:rFonts w:hint="eastAsia"/>
        </w:rPr>
        <w:t xml:space="preserve">入權益的金額。管理層定期評估因有關法律或法規的詮釋可能與稅務機關不同時的稅務狀況，並考慮稅務機關是否會接受未</w:t>
      </w:r>
    </w:p>
    <w:p>
      <w:pPr>
        <w:pStyle w:val="BodyText"/>
      </w:pPr>
      <w:r>
        <w:rPr>
          <w:rFonts w:hint="eastAsia"/>
        </w:rPr>
        <w:t xml:space="preserve">確認稅項狀況。未確認稅項狀況撥備乃基於管理層對所產生不同結果的概率及可能性的判斷及最佳估計確認，並可能於某一</w:t>
      </w:r>
    </w:p>
    <w:p>
      <w:pPr>
        <w:pStyle w:val="BodyText"/>
      </w:pPr>
      <w:r>
        <w:rPr>
          <w:rFonts w:hint="eastAsia"/>
        </w:rPr>
        <w:t xml:space="preserve">特定期間增加或減少，以反映對所作判斷的重新評估及</w:t>
      </w:r>
      <w:r>
        <w:t xml:space="preserve"> </w:t>
      </w:r>
      <w:r>
        <w:rPr>
          <w:rFonts w:hint="eastAsia"/>
        </w:rPr>
        <w:t xml:space="preserve">∕或估計變動。</w:t>
      </w:r>
    </w:p>
    <w:p>
      <w:pPr>
        <w:pStyle w:val="BodyText"/>
      </w:pPr>
      <w:r>
        <w:rPr>
          <w:rFonts w:hint="eastAsia"/>
        </w:rPr>
        <w:t xml:space="preserve">遞延稅項乃就資產及負債的課稅基礎與其於合併財務報表的賬面值之間的暫時性差異確認，惟下文所述者除外。</w:t>
      </w:r>
    </w:p>
    <w:p>
      <w:pPr>
        <w:pStyle w:val="BodyText"/>
      </w:pPr>
      <w:r>
        <w:t xml:space="preserve">162</w:t>
      </w:r>
    </w:p>
    <w:p>
      <w:pPr>
        <w:pStyle w:val="BodyText"/>
      </w:pPr>
      <w:r>
        <w:rPr>
          <w:rFonts w:hint="eastAsia"/>
        </w:rPr>
        <w:t xml:space="preserve">友邦保險控股有限公司</w:t>
      </w:r>
    </w:p>
    <w:p>
      <w:pPr>
        <w:pStyle w:val="Compact"/>
        <w:numPr>
          <w:ilvl w:val="0"/>
          <w:numId w:val="1212"/>
        </w:numPr>
      </w:pPr>
      <w:r>
        <w:rPr>
          <w:rFonts w:hint="eastAsia"/>
        </w:rPr>
        <w:t xml:space="preserve">主要會計政策（續）</w:t>
      </w:r>
    </w:p>
    <w:p>
      <w:pPr>
        <w:pStyle w:val="FirstParagraph"/>
      </w:pPr>
      <w:r>
        <w:t xml:space="preserve">2.15 </w:t>
      </w:r>
      <w:r>
        <w:rPr>
          <w:rFonts w:hint="eastAsia"/>
        </w:rPr>
        <w:t xml:space="preserve">所得稅（續）</w:t>
      </w:r>
    </w:p>
    <w:p>
      <w:pPr>
        <w:pStyle w:val="BodyText"/>
      </w:pPr>
      <w:r>
        <w:rPr>
          <w:rFonts w:hint="eastAsia"/>
        </w:rPr>
        <w:t xml:space="preserve">主要暫時性差異產生自：保險及投資合約負債的確認基準、重估若干金融資產及負債（包括衍生工具合約）、遞延承保成本</w:t>
      </w:r>
    </w:p>
    <w:p>
      <w:pPr>
        <w:pStyle w:val="BodyText"/>
      </w:pPr>
      <w:r>
        <w:rPr>
          <w:rFonts w:hint="eastAsia"/>
        </w:rPr>
        <w:t xml:space="preserve">及在相關地方稅務制度下以分派為課稅基準的壽險基金盈餘所產生的未來稅項。於合併財務狀況表日期施行或實際上已施行</w:t>
      </w:r>
    </w:p>
    <w:p>
      <w:pPr>
        <w:pStyle w:val="BodyText"/>
      </w:pPr>
      <w:r>
        <w:rPr>
          <w:rFonts w:hint="eastAsia"/>
        </w:rPr>
        <w:t xml:space="preserve">的稅率乃用於釐定遞延稅項。</w:t>
      </w:r>
    </w:p>
    <w:p>
      <w:pPr>
        <w:pStyle w:val="BodyText"/>
      </w:pPr>
      <w:r>
        <w:rPr>
          <w:rFonts w:hint="eastAsia"/>
        </w:rPr>
        <w:t xml:space="preserve">遞延稅項資產的確認以很有可能取得用於抵扣暫時性差異的未來應課稅溢利為限。於有稅項虧損記錄的國家，超過遞延稅項</w:t>
      </w:r>
    </w:p>
    <w:p>
      <w:pPr>
        <w:pStyle w:val="BodyText"/>
      </w:pPr>
      <w:r>
        <w:rPr>
          <w:rFonts w:hint="eastAsia"/>
        </w:rPr>
        <w:t xml:space="preserve">負債的遞延稅項資產只會在有憑證顯示將有可能錄得未來溢利的情況下予以確認。</w:t>
      </w:r>
    </w:p>
    <w:p>
      <w:pPr>
        <w:pStyle w:val="BodyText"/>
      </w:pPr>
      <w:r>
        <w:rPr>
          <w:rFonts w:hint="eastAsia"/>
        </w:rPr>
        <w:t xml:space="preserve">因初始確認商譽或攤銷不可作課稅扣減的商譽，或因初始確認並非業務合併的某項交易且於進行交易時不會影響會計或應課</w:t>
      </w:r>
    </w:p>
    <w:p>
      <w:pPr>
        <w:pStyle w:val="BodyText"/>
      </w:pPr>
      <w:r>
        <w:rPr>
          <w:rFonts w:hint="eastAsia"/>
        </w:rPr>
        <w:t xml:space="preserve">稅溢利或虧損的資產或負債，則不會就所產生的暫時性差異計提遞延稅項。</w:t>
      </w:r>
    </w:p>
    <w:p>
      <w:pPr>
        <w:pStyle w:val="BodyText"/>
      </w:pPr>
      <w:r>
        <w:rPr>
          <w:rFonts w:hint="eastAsia"/>
        </w:rPr>
        <w:t xml:space="preserve">與可供出售投資的公平值重新計量及其他直接計入權益有關的遞延稅項，乃於權益的適當組成部分內初始確認。有關金額隨</w:t>
      </w:r>
    </w:p>
    <w:p>
      <w:pPr>
        <w:pStyle w:val="BodyText"/>
      </w:pPr>
      <w:r>
        <w:rPr>
          <w:rFonts w:hint="eastAsia"/>
        </w:rPr>
        <w:t xml:space="preserve">後連同相關項目產生的收益或虧損於合併收入表確認。</w:t>
      </w:r>
    </w:p>
    <w:p>
      <w:pPr>
        <w:pStyle w:val="BodyText"/>
      </w:pPr>
      <w:r>
        <w:rPr>
          <w:rFonts w:hint="eastAsia"/>
        </w:rPr>
        <w:t xml:space="preserve">除就股東溢利支付稅項外，本集團若干壽險業務就保單持有人的投資回報按保單持有人稅率支付稅項（保單持有人稅項）。</w:t>
      </w:r>
    </w:p>
    <w:p>
      <w:pPr>
        <w:pStyle w:val="BodyText"/>
      </w:pPr>
      <w:r>
        <w:rPr>
          <w:rFonts w:hint="eastAsia"/>
        </w:rPr>
        <w:t xml:space="preserve">保單持有人稅項乃入賬列作所得稅，並計入稅項開支總額及分別披露。</w:t>
      </w:r>
    </w:p>
    <w:p>
      <w:pPr>
        <w:pStyle w:val="BodyText"/>
      </w:pPr>
      <w:r>
        <w:t xml:space="preserve">2.16 </w:t>
      </w:r>
      <w:r>
        <w:rPr>
          <w:rFonts w:hint="eastAsia"/>
        </w:rPr>
        <w:t xml:space="preserve">收益</w:t>
      </w:r>
    </w:p>
    <w:p>
      <w:pPr>
        <w:pStyle w:val="BodyText"/>
      </w:pPr>
      <w:r>
        <w:rPr>
          <w:rFonts w:hint="eastAsia"/>
        </w:rPr>
        <w:t xml:space="preserve">投資回報</w:t>
      </w:r>
    </w:p>
    <w:p>
      <w:pPr>
        <w:pStyle w:val="BodyText"/>
      </w:pPr>
      <w:r>
        <w:rPr>
          <w:rFonts w:hint="eastAsia"/>
        </w:rPr>
        <w:t xml:space="preserve">投資收入包括報告期間的應收股息、利息及租金。投資經驗包括已變現收益及虧損、減值及按公平值計入損益的投資的未變</w:t>
      </w:r>
    </w:p>
    <w:p>
      <w:pPr>
        <w:pStyle w:val="BodyText"/>
      </w:pPr>
      <w:r>
        <w:rPr>
          <w:rFonts w:hint="eastAsia"/>
        </w:rPr>
        <w:t xml:space="preserve">現收益及虧損。利息收入乃於其應計時確認，並計入投資的有效收益率。投資物業的租金收入乃按應計基準確認。投資回報</w:t>
      </w:r>
    </w:p>
    <w:p>
      <w:pPr>
        <w:pStyle w:val="BodyText"/>
      </w:pPr>
      <w:r>
        <w:rPr>
          <w:rFonts w:hint="eastAsia"/>
        </w:rPr>
        <w:t xml:space="preserve">包括投資收入及投資經驗。</w:t>
      </w:r>
    </w:p>
    <w:p>
      <w:pPr>
        <w:pStyle w:val="BodyText"/>
      </w:pPr>
      <w:r>
        <w:rPr>
          <w:rFonts w:hint="eastAsia"/>
        </w:rPr>
        <w:t xml:space="preserve">出售投資的已變現收益或虧損乃已收款項（已扣除交易成本）與其原始成本或經攤銷成本（視情況而定）的差額。未變現收益</w:t>
      </w:r>
    </w:p>
    <w:p>
      <w:pPr>
        <w:pStyle w:val="BodyText"/>
      </w:pPr>
      <w:r>
        <w:rPr>
          <w:rFonts w:hint="eastAsia"/>
        </w:rPr>
        <w:t xml:space="preserve">及虧損指期末的賬面值與前一年末的賬面值或購買價（倘於期內購買）之間的差額，並扣除先前就期內出售所確認未變現收</w:t>
      </w:r>
    </w:p>
    <w:p>
      <w:pPr>
        <w:pStyle w:val="BodyText"/>
      </w:pPr>
      <w:r>
        <w:rPr>
          <w:rFonts w:hint="eastAsia"/>
        </w:rPr>
        <w:t xml:space="preserve">益及虧損的撥回。</w:t>
      </w:r>
    </w:p>
    <w:p>
      <w:pPr>
        <w:pStyle w:val="BodyText"/>
      </w:pPr>
      <w:r>
        <w:rPr>
          <w:rFonts w:hint="eastAsia"/>
        </w:rPr>
        <w:t xml:space="preserve">其他費用及佣金收入</w:t>
      </w:r>
    </w:p>
    <w:p>
      <w:pPr>
        <w:pStyle w:val="BodyText"/>
      </w:pPr>
      <w:r>
        <w:rPr>
          <w:rFonts w:hint="eastAsia"/>
        </w:rPr>
        <w:t xml:space="preserve">其他費用及佣金收入主要包括基金管理費用、任何附帶非保險活動的收入、互惠基金的發行費用、分出再保險的佣金及來自</w:t>
      </w:r>
    </w:p>
    <w:p>
      <w:pPr>
        <w:pStyle w:val="BodyText"/>
      </w:pPr>
      <w:r>
        <w:rPr>
          <w:rFonts w:hint="eastAsia"/>
        </w:rPr>
        <w:t xml:space="preserve">出售互惠基金股份的佣金收益。應收再保險佣金以等同承保成本的相同方法遞延處理。除客戶的若干其他管理要求（如基金</w:t>
      </w:r>
    </w:p>
    <w:p>
      <w:pPr>
        <w:pStyle w:val="BodyText"/>
      </w:pPr>
      <w:r>
        <w:rPr>
          <w:rFonts w:hint="eastAsia"/>
        </w:rPr>
        <w:t xml:space="preserve">轉換、投資贖回或認購）的相關費用於相關服務發生的時間點確認為收益外，本集團於服務合約項下的履約責任通常於客戶</w:t>
      </w:r>
    </w:p>
    <w:p>
      <w:pPr>
        <w:pStyle w:val="BodyText"/>
      </w:pPr>
      <w:r>
        <w:rPr>
          <w:rFonts w:hint="eastAsia"/>
        </w:rPr>
        <w:t xml:space="preserve">同時收取並消耗所提供服務的利益時隨時間得以履行。</w:t>
      </w:r>
    </w:p>
    <w:p>
      <w:pPr>
        <w:pStyle w:val="BodyText"/>
      </w:pPr>
      <w:r>
        <w:rPr>
          <w:rFonts w:hint="eastAsia"/>
        </w:rPr>
        <w:t xml:space="preserve">收入乃根據與客戶的合約中列明的代價計量，並扣除代表第三方收取的金額。倘屬可變代價合約，收益於極有可能不會發生</w:t>
      </w:r>
    </w:p>
    <w:p>
      <w:pPr>
        <w:pStyle w:val="BodyText"/>
      </w:pPr>
      <w:r>
        <w:rPr>
          <w:rFonts w:hint="eastAsia"/>
        </w:rPr>
        <w:t xml:space="preserve">已確認累計收益金額的重大撥回時方予以確認。</w:t>
      </w:r>
    </w:p>
    <w:p>
      <w:pPr>
        <w:pStyle w:val="BodyText"/>
      </w:pPr>
      <w:r>
        <w:t xml:space="preserve">163</w:t>
      </w:r>
    </w:p>
    <w:p>
      <w:pPr>
        <w:pStyle w:val="BodyText"/>
      </w:pPr>
      <w:r>
        <w:rPr>
          <w:rFonts w:hint="eastAsia"/>
        </w:rPr>
        <w:t xml:space="preserve">概覽財務及營運回顧企業管治其他資料財務報表2020年報</w:t>
      </w:r>
    </w:p>
    <w:p>
      <w:pPr>
        <w:pStyle w:val="Compact"/>
        <w:numPr>
          <w:ilvl w:val="0"/>
          <w:numId w:val="1213"/>
        </w:numPr>
      </w:pPr>
      <w:r>
        <w:rPr>
          <w:rFonts w:hint="eastAsia"/>
        </w:rPr>
        <w:t xml:space="preserve">主要會計政策（續）</w:t>
      </w:r>
    </w:p>
    <w:p>
      <w:pPr>
        <w:pStyle w:val="FirstParagraph"/>
      </w:pPr>
      <w:r>
        <w:t xml:space="preserve">2.17 </w:t>
      </w:r>
      <w:r>
        <w:rPr>
          <w:rFonts w:hint="eastAsia"/>
        </w:rPr>
        <w:t xml:space="preserve">僱員福利</w:t>
      </w:r>
    </w:p>
    <w:p>
      <w:pPr>
        <w:pStyle w:val="BodyText"/>
      </w:pPr>
      <w:r>
        <w:rPr>
          <w:rFonts w:hint="eastAsia"/>
        </w:rPr>
        <w:t xml:space="preserve">年假及長期服務假期</w:t>
      </w:r>
    </w:p>
    <w:p>
      <w:pPr>
        <w:pStyle w:val="BodyText"/>
      </w:pPr>
      <w:r>
        <w:rPr>
          <w:rFonts w:hint="eastAsia"/>
        </w:rPr>
        <w:t xml:space="preserve">僱員享有的年假及長期服務假期於僱員有權獲得有關假期時確認。截至報告日期，就僱員提供服務而產生的年假及長期服務</w:t>
      </w:r>
    </w:p>
    <w:p>
      <w:pPr>
        <w:pStyle w:val="BodyText"/>
      </w:pPr>
      <w:r>
        <w:rPr>
          <w:rFonts w:hint="eastAsia"/>
        </w:rPr>
        <w:t xml:space="preserve">假期按估計負債作出撥備。</w:t>
      </w:r>
    </w:p>
    <w:p>
      <w:pPr>
        <w:pStyle w:val="BodyText"/>
      </w:pPr>
      <w:r>
        <w:rPr>
          <w:rFonts w:hint="eastAsia"/>
        </w:rPr>
        <w:t xml:space="preserve">退休後福利責任</w:t>
      </w:r>
    </w:p>
    <w:p>
      <w:pPr>
        <w:pStyle w:val="BodyText"/>
      </w:pPr>
      <w:r>
        <w:rPr>
          <w:rFonts w:hint="eastAsia"/>
        </w:rPr>
        <w:t xml:space="preserve">本集團運作多個供款及非供款退休後僱員福利計劃，有關計劃的成員以界定福利基準（一般涉及薪金及服務年資）或界定供</w:t>
      </w:r>
    </w:p>
    <w:p>
      <w:pPr>
        <w:pStyle w:val="BodyText"/>
      </w:pPr>
      <w:r>
        <w:rPr>
          <w:rFonts w:hint="eastAsia"/>
        </w:rPr>
        <w:t xml:space="preserve">款基準（一般涉及所投資金額、投資回報及年金率）取得福利，有關計劃的資產一般由獨立受託人管理的基金持有。界定福</w:t>
      </w:r>
    </w:p>
    <w:p>
      <w:pPr>
        <w:pStyle w:val="BodyText"/>
      </w:pPr>
      <w:r>
        <w:rPr>
          <w:rFonts w:hint="eastAsia"/>
        </w:rPr>
        <w:t xml:space="preserve">利計劃為僱員退休後提供人壽及醫療保障及於僱傭關係結束後提供一次過的給付，而界定供款計劃則為僱員退休後提供退休</w:t>
      </w:r>
    </w:p>
    <w:p>
      <w:pPr>
        <w:pStyle w:val="BodyText"/>
      </w:pPr>
      <w:r>
        <w:rPr>
          <w:rFonts w:hint="eastAsia"/>
        </w:rPr>
        <w:t xml:space="preserve">金福利。</w:t>
      </w:r>
    </w:p>
    <w:p>
      <w:pPr>
        <w:pStyle w:val="BodyText"/>
      </w:pPr>
      <w:r>
        <w:rPr>
          <w:rFonts w:hint="eastAsia"/>
        </w:rPr>
        <w:t xml:space="preserve">對界定福利計劃而言，成本乃採用預計單位信貸法評估。根據此方法，按照合資格精算師的建議，提供福利的定期成本分配</w:t>
      </w:r>
    </w:p>
    <w:p>
      <w:pPr>
        <w:pStyle w:val="BodyText"/>
      </w:pPr>
      <w:r>
        <w:rPr>
          <w:rFonts w:hint="eastAsia"/>
        </w:rPr>
        <w:t xml:space="preserve">至僱員的服務年期，並於合併收入表扣除。有關責任乃採用以優質公司債券的市場收益計算的貼現率，按估計未來現金流出</w:t>
      </w:r>
    </w:p>
    <w:p>
      <w:pPr>
        <w:pStyle w:val="BodyText"/>
      </w:pPr>
      <w:r>
        <w:rPr>
          <w:rFonts w:hint="eastAsia"/>
        </w:rPr>
        <w:t xml:space="preserve">的現值計量，而有關債券乃以支付福利時將使用的貨幣計值，且有關債券距到期日的年期與相關負債的年期相若。所產生的</w:t>
      </w:r>
    </w:p>
    <w:p>
      <w:pPr>
        <w:pStyle w:val="BodyText"/>
      </w:pPr>
      <w:r>
        <w:rPr>
          <w:rFonts w:hint="eastAsia"/>
        </w:rPr>
        <w:t xml:space="preserve">計劃盈餘或赤字於合併財務狀況表中列作資產或負債。</w:t>
      </w:r>
    </w:p>
    <w:p>
      <w:pPr>
        <w:pStyle w:val="BodyText"/>
      </w:pPr>
      <w:r>
        <w:rPr>
          <w:rFonts w:hint="eastAsia"/>
        </w:rPr>
        <w:t xml:space="preserve">界定福利計劃產生的重新計量包括精算收益及虧損、計劃資產回報（不包括利息）及資產上限的影響（如有，不包括利息）。</w:t>
      </w:r>
    </w:p>
    <w:p>
      <w:pPr>
        <w:pStyle w:val="BodyText"/>
      </w:pPr>
      <w:r>
        <w:rPr>
          <w:rFonts w:hint="eastAsia"/>
        </w:rPr>
        <w:t xml:space="preserve">本集團會即時將其在其他全面收入內確認，而所有其他與界定福利計劃相關的開支則於合併收入表的員工成本項下確認。</w:t>
      </w:r>
    </w:p>
    <w:p>
      <w:pPr>
        <w:pStyle w:val="BodyText"/>
      </w:pPr>
      <w:r>
        <w:rPr>
          <w:rFonts w:hint="eastAsia"/>
        </w:rPr>
        <w:t xml:space="preserve">倘一項計劃的福利有所改變，或計劃有所縮減，則與僱員過往提供服務有關的福利變動部分或就縮減錄得的收益或虧損將於</w:t>
      </w:r>
    </w:p>
    <w:p>
      <w:pPr>
        <w:pStyle w:val="BodyText"/>
      </w:pPr>
      <w:r>
        <w:rPr>
          <w:rFonts w:hint="eastAsia"/>
        </w:rPr>
        <w:t xml:space="preserve">該計劃發生改變或縮減時即時於合併收入表內確認。</w:t>
      </w:r>
    </w:p>
    <w:p>
      <w:pPr>
        <w:pStyle w:val="BodyText"/>
      </w:pPr>
      <w:r>
        <w:rPr>
          <w:rFonts w:hint="eastAsia"/>
        </w:rPr>
        <w:t xml:space="preserve">對界定供款計劃而言，本集團向公營或私營管理退休金計劃支付供款。一旦支付供款後，本集團作為僱主即再無任何支付責</w:t>
      </w:r>
    </w:p>
    <w:p>
      <w:pPr>
        <w:pStyle w:val="BodyText"/>
      </w:pPr>
      <w:r>
        <w:rPr>
          <w:rFonts w:hint="eastAsia"/>
        </w:rPr>
        <w:t xml:space="preserve">任。本集團的供款於與供款有關的報告期間的合併收入表扣除，並計入員工成本。</w:t>
      </w:r>
    </w:p>
    <w:p>
      <w:pPr>
        <w:pStyle w:val="BodyText"/>
      </w:pPr>
      <w:r>
        <w:rPr>
          <w:rFonts w:hint="eastAsia"/>
        </w:rPr>
        <w:t xml:space="preserve">以股份為基礎的報酬及現金獎勵計劃</w:t>
      </w:r>
    </w:p>
    <w:p>
      <w:pPr>
        <w:pStyle w:val="BodyText"/>
      </w:pPr>
      <w:r>
        <w:rPr>
          <w:rFonts w:hint="eastAsia"/>
        </w:rPr>
        <w:t xml:space="preserve">本集團推出數項以股份為基礎的報酬計劃，據此，本集團獲得僱員、董事、主管及代理的服務作為本公司股份及</w:t>
      </w:r>
      <w:r>
        <w:t xml:space="preserve"> </w:t>
      </w:r>
      <w:r>
        <w:rPr>
          <w:rFonts w:hint="eastAsia"/>
        </w:rPr>
        <w:t xml:space="preserve">∕或購股權</w:t>
      </w:r>
    </w:p>
    <w:p>
      <w:pPr>
        <w:pStyle w:val="BodyText"/>
      </w:pPr>
      <w:r>
        <w:rPr>
          <w:rFonts w:hint="eastAsia"/>
        </w:rPr>
        <w:t xml:space="preserve">的代價。這些以股份為基礎的報酬計劃包括購股權計劃、受限制股份單位計劃、僱員購股計劃及代理購股計劃。</w:t>
      </w:r>
    </w:p>
    <w:p>
      <w:pPr>
        <w:pStyle w:val="BodyText"/>
      </w:pPr>
      <w:r>
        <w:rPr>
          <w:rFonts w:hint="eastAsia"/>
        </w:rPr>
        <w:t xml:space="preserve">本集團以股份為基礎的報酬計劃為股權結算計劃。根據以股權結算的以股份為基礎的報酬計劃，以換取授出股份及</w:t>
      </w:r>
      <w:r>
        <w:t xml:space="preserve"> </w:t>
      </w:r>
      <w:r>
        <w:rPr>
          <w:rFonts w:hint="eastAsia"/>
        </w:rPr>
        <w:t xml:space="preserve">∕或購股</w:t>
      </w:r>
    </w:p>
    <w:p>
      <w:pPr>
        <w:pStyle w:val="BodyText"/>
      </w:pPr>
      <w:r>
        <w:rPr>
          <w:rFonts w:hint="eastAsia"/>
        </w:rPr>
        <w:t xml:space="preserve">權而獲得的僱員服務的公平值於歸屬期間於損益中確認為開支，相應金額則於權益入賬。</w:t>
      </w:r>
    </w:p>
    <w:p>
      <w:pPr>
        <w:pStyle w:val="BodyText"/>
      </w:pPr>
      <w:r>
        <w:t xml:space="preserve">164</w:t>
      </w:r>
    </w:p>
    <w:p>
      <w:pPr>
        <w:pStyle w:val="BodyText"/>
      </w:pPr>
      <w:r>
        <w:rPr>
          <w:rFonts w:hint="eastAsia"/>
        </w:rPr>
        <w:t xml:space="preserve">友邦保險控股有限公司</w:t>
      </w:r>
    </w:p>
    <w:p>
      <w:pPr>
        <w:pStyle w:val="Compact"/>
        <w:numPr>
          <w:ilvl w:val="0"/>
          <w:numId w:val="1214"/>
        </w:numPr>
      </w:pPr>
      <w:r>
        <w:rPr>
          <w:rFonts w:hint="eastAsia"/>
        </w:rPr>
        <w:t xml:space="preserve">主要會計政策（續）</w:t>
      </w:r>
    </w:p>
    <w:p>
      <w:pPr>
        <w:pStyle w:val="FirstParagraph"/>
      </w:pPr>
      <w:r>
        <w:t xml:space="preserve">2.17 </w:t>
      </w:r>
      <w:r>
        <w:rPr>
          <w:rFonts w:hint="eastAsia"/>
        </w:rPr>
        <w:t xml:space="preserve">僱員福利（續）</w:t>
      </w:r>
    </w:p>
    <w:p>
      <w:pPr>
        <w:pStyle w:val="BodyText"/>
      </w:pPr>
      <w:r>
        <w:rPr>
          <w:rFonts w:hint="eastAsia"/>
        </w:rPr>
        <w:t xml:space="preserve">以股份為基礎的報酬及現金獎勵計劃（續）</w:t>
      </w:r>
    </w:p>
    <w:p>
      <w:pPr>
        <w:pStyle w:val="BodyText"/>
      </w:pPr>
      <w:r>
        <w:rPr>
          <w:rFonts w:hint="eastAsia"/>
        </w:rPr>
        <w:t xml:space="preserve">於歸屬期內列作開支的總額乃參考已授出股份及</w:t>
      </w:r>
      <w:r>
        <w:t xml:space="preserve"> </w:t>
      </w:r>
      <w:r>
        <w:rPr>
          <w:rFonts w:hint="eastAsia"/>
        </w:rPr>
        <w:t xml:space="preserve">∕或購股權的公平值而釐定。非市場歸屬條件乃計入有關預期將歸屬的股份</w:t>
      </w:r>
    </w:p>
    <w:p>
      <w:pPr>
        <w:pStyle w:val="BodyText"/>
      </w:pPr>
      <w:r>
        <w:rPr>
          <w:rFonts w:hint="eastAsia"/>
        </w:rPr>
        <w:t xml:space="preserve">及</w:t>
      </w:r>
      <w:r>
        <w:t xml:space="preserve"> </w:t>
      </w:r>
      <w:r>
        <w:rPr>
          <w:rFonts w:hint="eastAsia"/>
        </w:rPr>
        <w:t xml:space="preserve">∕或購股權數目的假設。於各期末，本集團修訂其對預期將歸屬的股份及</w:t>
      </w:r>
      <w:r>
        <w:t xml:space="preserve"> </w:t>
      </w:r>
      <w:r>
        <w:rPr>
          <w:rFonts w:hint="eastAsia"/>
        </w:rPr>
        <w:t xml:space="preserve">∕或購股權數目的估計。修訂原本估計的任何影</w:t>
      </w:r>
    </w:p>
    <w:p>
      <w:pPr>
        <w:pStyle w:val="BodyText"/>
      </w:pPr>
      <w:r>
        <w:rPr>
          <w:rFonts w:hint="eastAsia"/>
        </w:rPr>
        <w:t xml:space="preserve">響於損益中確認，並對權益作出相應調整。倘以股份為基礎的支款安排的授出已劃分為不同級別的歸屬期限，則每個歸屬批</w:t>
      </w:r>
    </w:p>
    <w:p>
      <w:pPr>
        <w:pStyle w:val="BodyText"/>
      </w:pPr>
      <w:r>
        <w:rPr>
          <w:rFonts w:hint="eastAsia"/>
        </w:rPr>
        <w:t xml:space="preserve">次乃確認為一項獨立授出，因此各個批次的公平值乃於適當的歸屬期內確認。</w:t>
      </w:r>
    </w:p>
    <w:p>
      <w:pPr>
        <w:pStyle w:val="BodyText"/>
      </w:pPr>
      <w:r>
        <w:rPr>
          <w:rFonts w:hint="eastAsia"/>
        </w:rPr>
        <w:t xml:space="preserve">本集團採用二項式點陣法模型估計購股權的公平值。此模型要求的參數包括股價、引伸波幅、無風險利率、預期股息率及預</w:t>
      </w:r>
    </w:p>
    <w:p>
      <w:pPr>
        <w:pStyle w:val="BodyText"/>
      </w:pPr>
      <w:r>
        <w:rPr>
          <w:rFonts w:hint="eastAsia"/>
        </w:rPr>
        <w:t xml:space="preserve">期的購股權年期。</w:t>
      </w:r>
    </w:p>
    <w:p>
      <w:pPr>
        <w:pStyle w:val="BodyText"/>
      </w:pPr>
      <w:r>
        <w:rPr>
          <w:rFonts w:hint="eastAsia"/>
        </w:rPr>
        <w:t xml:space="preserve">當修訂或取消以股權結算的以股份為基礎的報酬計劃時，倘符合非市場條件，則授出日期的公平值連同於修訂日期產生的任</w:t>
      </w:r>
    </w:p>
    <w:p>
      <w:pPr>
        <w:pStyle w:val="BodyText"/>
      </w:pPr>
      <w:r>
        <w:rPr>
          <w:rFonts w:hint="eastAsia"/>
        </w:rPr>
        <w:t xml:space="preserve">何遞增價值繼續予以確認。</w:t>
      </w:r>
    </w:p>
    <w:p>
      <w:pPr>
        <w:pStyle w:val="BodyText"/>
      </w:pPr>
      <w:r>
        <w:t xml:space="preserve">2.18 </w:t>
      </w:r>
      <w:r>
        <w:rPr>
          <w:rFonts w:hint="eastAsia"/>
        </w:rPr>
        <w:t xml:space="preserve">撥備及或有負債</w:t>
      </w:r>
    </w:p>
    <w:p>
      <w:pPr>
        <w:pStyle w:val="BodyText"/>
      </w:pPr>
      <w:r>
        <w:rPr>
          <w:rFonts w:hint="eastAsia"/>
        </w:rPr>
        <w:t xml:space="preserve">當本集團因過往事件須承擔現有的法定或推定責任，而履行責任很可能需流出經濟資源，且責任的金額能夠可靠估計，本集</w:t>
      </w:r>
    </w:p>
    <w:p>
      <w:pPr>
        <w:pStyle w:val="BodyText"/>
      </w:pPr>
      <w:r>
        <w:rPr>
          <w:rFonts w:hint="eastAsia"/>
        </w:rPr>
        <w:t xml:space="preserve">團確認撥備。倘本集團預期撥備可獲償付，例如根據持有的保險合約，則此項償付僅會於償付實際上肯定的情況下確認為獨</w:t>
      </w:r>
    </w:p>
    <w:p>
      <w:pPr>
        <w:pStyle w:val="BodyText"/>
      </w:pPr>
      <w:r>
        <w:rPr>
          <w:rFonts w:hint="eastAsia"/>
        </w:rPr>
        <w:t xml:space="preserve">立資產。</w:t>
      </w:r>
    </w:p>
    <w:p>
      <w:pPr>
        <w:pStyle w:val="BodyText"/>
      </w:pPr>
      <w:r>
        <w:rPr>
          <w:rFonts w:hint="eastAsia"/>
        </w:rPr>
        <w:t xml:space="preserve">當源自合約的預期利益少於履行合約責任的不可避免成本，本集團會就有償合約確認撥備。</w:t>
      </w:r>
    </w:p>
    <w:p>
      <w:pPr>
        <w:pStyle w:val="BodyText"/>
      </w:pPr>
      <w:r>
        <w:rPr>
          <w:rFonts w:hint="eastAsia"/>
        </w:rPr>
        <w:t xml:space="preserve">倘金額為重大且因過往事件而可能導致未來責任，或因過住事件導致現有責任，但付款不大可能或有關金額無法可靠估計</w:t>
      </w:r>
    </w:p>
    <w:p>
      <w:pPr>
        <w:pStyle w:val="BodyText"/>
      </w:pPr>
      <w:r>
        <w:rPr>
          <w:rFonts w:hint="eastAsia"/>
        </w:rPr>
        <w:t xml:space="preserve">時，則披露或有負債。</w:t>
      </w:r>
    </w:p>
    <w:p>
      <w:pPr>
        <w:pStyle w:val="BodyText"/>
      </w:pPr>
      <w:r>
        <w:t xml:space="preserve">2.19 </w:t>
      </w:r>
      <w:r>
        <w:rPr>
          <w:rFonts w:hint="eastAsia"/>
        </w:rPr>
        <w:t xml:space="preserve">租賃</w:t>
      </w:r>
    </w:p>
    <w:p>
      <w:pPr>
        <w:pStyle w:val="BodyText"/>
      </w:pPr>
      <w:r>
        <w:rPr>
          <w:rFonts w:hint="eastAsia"/>
        </w:rPr>
        <w:t xml:space="preserve">倘擁有權的大部分風險及回報由本集團作為出租人身份保留，則租賃分類為營運租賃。以此等租賃持有的資產乃計入物業、</w:t>
      </w:r>
    </w:p>
    <w:p>
      <w:pPr>
        <w:pStyle w:val="BodyText"/>
      </w:pPr>
      <w:r>
        <w:rPr>
          <w:rFonts w:hint="eastAsia"/>
        </w:rPr>
        <w:t xml:space="preserve">廠房及設備或投資物業，並於其估計可使用年期內折舊至其餘值。來自此等租賃的租金乃以直線法，於相關租賃的期間內作</w:t>
      </w:r>
    </w:p>
    <w:p>
      <w:pPr>
        <w:pStyle w:val="BodyText"/>
      </w:pPr>
      <w:r>
        <w:rPr>
          <w:rFonts w:hint="eastAsia"/>
        </w:rPr>
        <w:t xml:space="preserve">為投資回報的一部分計入合併收入表。</w:t>
      </w:r>
    </w:p>
    <w:p>
      <w:pPr>
        <w:pStyle w:val="BodyText"/>
      </w:pPr>
      <w:r>
        <w:rPr>
          <w:rFonts w:hint="eastAsia"/>
        </w:rPr>
        <w:t xml:space="preserve">本集團作為承租人租賃多項物業、電腦硬件、裝置、設備及其他小型用品。該等租賃（短期租賃及低價值資產租賃除外）於</w:t>
      </w:r>
    </w:p>
    <w:p>
      <w:pPr>
        <w:pStyle w:val="BodyText"/>
      </w:pPr>
      <w:r>
        <w:rPr>
          <w:rFonts w:hint="eastAsia"/>
        </w:rPr>
        <w:t xml:space="preserve">租賃資產可供本集團使用開始日確認該租賃資產為使用權資產及確認相關租賃負債。使用權資產呈列為物業、廠房及設備或</w:t>
      </w:r>
    </w:p>
    <w:p>
      <w:pPr>
        <w:pStyle w:val="BodyText"/>
      </w:pPr>
      <w:r>
        <w:rPr>
          <w:rFonts w:hint="eastAsia"/>
        </w:rPr>
        <w:t xml:space="preserve">投資物業的一部分，而租賃負債則呈列為其他負債的一部分（見附註17、18及34）。各項租賃付款在負債及財務費用之間分</w:t>
      </w:r>
    </w:p>
    <w:p>
      <w:pPr>
        <w:pStyle w:val="BodyText"/>
      </w:pPr>
      <w:r>
        <w:rPr>
          <w:rFonts w:hint="eastAsia"/>
        </w:rPr>
        <w:t xml:space="preserve">配。財務費用於租賃期間內自損益扣除，從而計算出各期間負債結餘的固定週期利率。使用權資產在資產的可使用年期及租</w:t>
      </w:r>
    </w:p>
    <w:p>
      <w:pPr>
        <w:pStyle w:val="BodyText"/>
      </w:pPr>
      <w:r>
        <w:rPr>
          <w:rFonts w:hint="eastAsia"/>
        </w:rPr>
        <w:t xml:space="preserve">期（以較短者為準）內按直線基準折舊。持作本集團自用或用作投資物業的租賃土地及土地使用權預付款項將應用不同的計</w:t>
      </w:r>
    </w:p>
    <w:p>
      <w:pPr>
        <w:pStyle w:val="BodyText"/>
      </w:pPr>
      <w:r>
        <w:rPr>
          <w:rFonts w:hint="eastAsia"/>
        </w:rPr>
        <w:t xml:space="preserve">量模型。按相關資產類別劃分的使用權資產折舊支出及租賃負債的財務費用於附註11披露。</w:t>
      </w:r>
    </w:p>
    <w:p>
      <w:pPr>
        <w:pStyle w:val="BodyText"/>
      </w:pPr>
      <w:r>
        <w:t xml:space="preserve">165</w:t>
      </w:r>
    </w:p>
    <w:p>
      <w:pPr>
        <w:pStyle w:val="BodyText"/>
      </w:pPr>
      <w:r>
        <w:rPr>
          <w:rFonts w:hint="eastAsia"/>
        </w:rPr>
        <w:t xml:space="preserve">概覽財務及營運回顧企業管治其他資料財務報表2020年報</w:t>
      </w:r>
    </w:p>
    <w:p>
      <w:pPr>
        <w:pStyle w:val="Compact"/>
        <w:numPr>
          <w:ilvl w:val="0"/>
          <w:numId w:val="1215"/>
        </w:numPr>
      </w:pPr>
      <w:r>
        <w:rPr>
          <w:rFonts w:hint="eastAsia"/>
        </w:rPr>
        <w:t xml:space="preserve">主要會計政策（續）</w:t>
      </w:r>
    </w:p>
    <w:p>
      <w:pPr>
        <w:pStyle w:val="FirstParagraph"/>
      </w:pPr>
      <w:r>
        <w:t xml:space="preserve">2.19 </w:t>
      </w:r>
      <w:r>
        <w:rPr>
          <w:rFonts w:hint="eastAsia"/>
        </w:rPr>
        <w:t xml:space="preserve">租賃（續）</w:t>
      </w:r>
    </w:p>
    <w:p>
      <w:pPr>
        <w:pStyle w:val="BodyText"/>
      </w:pPr>
      <w:r>
        <w:rPr>
          <w:rFonts w:hint="eastAsia"/>
        </w:rPr>
        <w:t xml:space="preserve">租賃產生的資產及負債初步以現值計量。租賃負債包括下列租賃款項的現值淨額：</w:t>
      </w:r>
    </w:p>
    <w:p>
      <w:pPr>
        <w:pStyle w:val="BodyText"/>
      </w:pPr>
      <w:r>
        <w:t xml:space="preserve">• </w:t>
      </w:r>
      <w:r>
        <w:rPr>
          <w:rFonts w:hint="eastAsia"/>
        </w:rPr>
        <w:t xml:space="preserve">固定款項（包括實質固定款項），扣除任何應收租賃優惠；</w:t>
      </w:r>
    </w:p>
    <w:p>
      <w:pPr>
        <w:pStyle w:val="BodyText"/>
      </w:pPr>
      <w:r>
        <w:t xml:space="preserve">• </w:t>
      </w:r>
      <w:r>
        <w:rPr>
          <w:rFonts w:hint="eastAsia"/>
        </w:rPr>
        <w:t xml:space="preserve">基於指數或利率計算的可變租賃款項；</w:t>
      </w:r>
    </w:p>
    <w:p>
      <w:pPr>
        <w:pStyle w:val="BodyText"/>
      </w:pPr>
      <w:r>
        <w:t xml:space="preserve">• </w:t>
      </w:r>
      <w:r>
        <w:rPr>
          <w:rFonts w:hint="eastAsia"/>
        </w:rPr>
        <w:t xml:space="preserve">預期將由承租人根據剩餘價值保證支付的金額；</w:t>
      </w:r>
    </w:p>
    <w:p>
      <w:pPr>
        <w:pStyle w:val="BodyText"/>
      </w:pPr>
      <w:r>
        <w:t xml:space="preserve">• </w:t>
      </w:r>
      <w:r>
        <w:rPr>
          <w:rFonts w:hint="eastAsia"/>
        </w:rPr>
        <w:t xml:space="preserve">購買選擇權的行使價（倘可合理地確定承租人會行使該項選擇權）；及</w:t>
      </w:r>
    </w:p>
    <w:p>
      <w:pPr>
        <w:pStyle w:val="BodyText"/>
      </w:pPr>
      <w:r>
        <w:t xml:space="preserve">• </w:t>
      </w:r>
      <w:r>
        <w:rPr>
          <w:rFonts w:hint="eastAsia"/>
        </w:rPr>
        <w:t xml:space="preserve">終止租賃的罰款（倘租期反映承租人行使該選擇權）。</w:t>
      </w:r>
    </w:p>
    <w:p>
      <w:pPr>
        <w:pStyle w:val="BodyText"/>
      </w:pPr>
      <w:r>
        <w:rPr>
          <w:rFonts w:hint="eastAsia"/>
        </w:rPr>
        <w:t xml:space="preserve">租賃款項採用租賃隱含的利率貼現。倘無法確定該利率，則使用本集團內的有關業務單位（作為承租人）的增量借貸利率。</w:t>
      </w:r>
    </w:p>
    <w:p>
      <w:pPr>
        <w:pStyle w:val="BodyText"/>
      </w:pPr>
      <w:r>
        <w:rPr>
          <w:rFonts w:hint="eastAsia"/>
        </w:rPr>
        <w:t xml:space="preserve">此外，本集團的租賃負債的到期分析於附註38披露。</w:t>
      </w:r>
    </w:p>
    <w:p>
      <w:pPr>
        <w:pStyle w:val="BodyText"/>
      </w:pPr>
      <w:r>
        <w:rPr>
          <w:rFonts w:hint="eastAsia"/>
        </w:rPr>
        <w:t xml:space="preserve">使用權資產按成本計量，包括以下各項：</w:t>
      </w:r>
    </w:p>
    <w:p>
      <w:pPr>
        <w:pStyle w:val="BodyText"/>
      </w:pPr>
      <w:r>
        <w:t xml:space="preserve">• </w:t>
      </w:r>
      <w:r>
        <w:rPr>
          <w:rFonts w:hint="eastAsia"/>
        </w:rPr>
        <w:t xml:space="preserve">租賃負債的初步計量金額；</w:t>
      </w:r>
    </w:p>
    <w:p>
      <w:pPr>
        <w:pStyle w:val="BodyText"/>
      </w:pPr>
      <w:r>
        <w:t xml:space="preserve">• </w:t>
      </w:r>
      <w:r>
        <w:rPr>
          <w:rFonts w:hint="eastAsia"/>
        </w:rPr>
        <w:t xml:space="preserve">於開始日期或之前作出的任何租賃付款並扣除任何已收租賃優惠；</w:t>
      </w:r>
    </w:p>
    <w:p>
      <w:pPr>
        <w:pStyle w:val="BodyText"/>
      </w:pPr>
      <w:r>
        <w:t xml:space="preserve">• </w:t>
      </w:r>
      <w:r>
        <w:rPr>
          <w:rFonts w:hint="eastAsia"/>
        </w:rPr>
        <w:t xml:space="preserve">任何初始直接成本；及</w:t>
      </w:r>
    </w:p>
    <w:p>
      <w:pPr>
        <w:pStyle w:val="BodyText"/>
      </w:pPr>
      <w:r>
        <w:t xml:space="preserve">• </w:t>
      </w:r>
      <w:r>
        <w:rPr>
          <w:rFonts w:hint="eastAsia"/>
        </w:rPr>
        <w:t xml:space="preserve">修復成本。</w:t>
      </w:r>
    </w:p>
    <w:p>
      <w:pPr>
        <w:pStyle w:val="BodyText"/>
      </w:pPr>
      <w:r>
        <w:rPr>
          <w:rFonts w:hint="eastAsia"/>
        </w:rPr>
        <w:t xml:space="preserve">租賃土地及土地使用權預付款項呈報為物業、廠房及設備項下的使用權資產或投資物業的一部分，視乎物業權益是否用作投</w:t>
      </w:r>
    </w:p>
    <w:p>
      <w:pPr>
        <w:pStyle w:val="BodyText"/>
      </w:pPr>
      <w:r>
        <w:rPr>
          <w:rFonts w:hint="eastAsia"/>
        </w:rPr>
        <w:t xml:space="preserve">資物業而定。並非由本集團佔用並持作長期出租或資本增值（或兩者兼有）用途的租賃乃分類為投資物業，其初始按成本確</w:t>
      </w:r>
    </w:p>
    <w:p>
      <w:pPr>
        <w:pStyle w:val="BodyText"/>
      </w:pPr>
      <w:r>
        <w:rPr>
          <w:rFonts w:hint="eastAsia"/>
        </w:rPr>
        <w:t xml:space="preserve">認，而後續期間的公平值變動於合併收入表確認。持作本集團自用的租賃土地及土地使用權預付款項按成本確認，隨後使用</w:t>
      </w:r>
    </w:p>
    <w:p>
      <w:pPr>
        <w:pStyle w:val="BodyText"/>
      </w:pPr>
      <w:r>
        <w:rPr>
          <w:rFonts w:hint="eastAsia"/>
        </w:rPr>
        <w:t xml:space="preserve">國際會計準則第16號「物業、廠房及設備」中的重估模型進行計量，其中後續期間的公平值變動通常於其他全面收入確認。</w:t>
      </w:r>
    </w:p>
    <w:p>
      <w:pPr>
        <w:pStyle w:val="BodyText"/>
      </w:pPr>
      <w:r>
        <w:rPr>
          <w:rFonts w:hint="eastAsia"/>
        </w:rPr>
        <w:t xml:space="preserve">香港並無任何永久業權土地權益。</w:t>
      </w:r>
    </w:p>
    <w:p>
      <w:pPr>
        <w:pStyle w:val="BodyText"/>
      </w:pPr>
      <w:r>
        <w:rPr>
          <w:rFonts w:hint="eastAsia"/>
        </w:rPr>
        <w:t xml:space="preserve">短期租賃及低價值資產租賃</w:t>
      </w:r>
    </w:p>
    <w:p>
      <w:pPr>
        <w:pStyle w:val="BodyText"/>
      </w:pPr>
      <w:r>
        <w:rPr>
          <w:rFonts w:hint="eastAsia"/>
        </w:rPr>
        <w:t xml:space="preserve">與短期租賃及低價值資產租賃相關的付款以直線法於損益確認為開支。短期租賃指租期為12個月或以下的租賃。低價值資產</w:t>
      </w:r>
    </w:p>
    <w:p>
      <w:pPr>
        <w:pStyle w:val="BodyText"/>
      </w:pPr>
      <w:r>
        <w:rPr>
          <w:rFonts w:hint="eastAsia"/>
        </w:rPr>
        <w:t xml:space="preserve">包括電腦硬件及單件新品低於5,000美元的小型傢俱及裝置。與短期租賃有關的開支於附註11披露。</w:t>
      </w:r>
    </w:p>
    <w:p>
      <w:pPr>
        <w:pStyle w:val="BodyText"/>
      </w:pPr>
      <w:r>
        <w:t xml:space="preserve">166</w:t>
      </w:r>
    </w:p>
    <w:p>
      <w:pPr>
        <w:pStyle w:val="BodyText"/>
      </w:pPr>
      <w:r>
        <w:rPr>
          <w:rFonts w:hint="eastAsia"/>
        </w:rPr>
        <w:t xml:space="preserve">友邦保險控股有限公司</w:t>
      </w:r>
    </w:p>
    <w:p>
      <w:pPr>
        <w:pStyle w:val="Compact"/>
        <w:numPr>
          <w:ilvl w:val="0"/>
          <w:numId w:val="1216"/>
        </w:numPr>
      </w:pPr>
      <w:r>
        <w:rPr>
          <w:rFonts w:hint="eastAsia"/>
        </w:rPr>
        <w:t xml:space="preserve">主要會計政策（續）</w:t>
      </w:r>
    </w:p>
    <w:p>
      <w:pPr>
        <w:pStyle w:val="FirstParagraph"/>
      </w:pPr>
      <w:r>
        <w:t xml:space="preserve">2.19 </w:t>
      </w:r>
      <w:r>
        <w:rPr>
          <w:rFonts w:hint="eastAsia"/>
        </w:rPr>
        <w:t xml:space="preserve">租賃（續）</w:t>
      </w:r>
    </w:p>
    <w:p>
      <w:pPr>
        <w:pStyle w:val="BodyText"/>
      </w:pPr>
      <w:r>
        <w:rPr>
          <w:rFonts w:hint="eastAsia"/>
        </w:rPr>
        <w:t xml:space="preserve">租期</w:t>
      </w:r>
    </w:p>
    <w:p>
      <w:pPr>
        <w:pStyle w:val="BodyText"/>
      </w:pPr>
      <w:r>
        <w:rPr>
          <w:rFonts w:hint="eastAsia"/>
        </w:rPr>
        <w:t xml:space="preserve">於釐定租期時，管理層會考慮引發承租人行使續期選擇權或不行使終止選擇權的經濟誘因的所有事實及情況。本集團內的多</w:t>
      </w:r>
    </w:p>
    <w:p>
      <w:pPr>
        <w:pStyle w:val="BodyText"/>
      </w:pPr>
      <w:r>
        <w:rPr>
          <w:rFonts w:hint="eastAsia"/>
        </w:rPr>
        <w:t xml:space="preserve">項租賃包含續期及終止選擇權。該等條款用於將管理合約的營運靈活性最大化。持有的大部分續期及終止選擇權僅可由本集</w:t>
      </w:r>
    </w:p>
    <w:p>
      <w:pPr>
        <w:pStyle w:val="BodyText"/>
      </w:pPr>
      <w:r>
        <w:rPr>
          <w:rFonts w:hint="eastAsia"/>
        </w:rPr>
        <w:t xml:space="preserve">團行使，而不得由有關出租人行使。</w:t>
      </w:r>
    </w:p>
    <w:p>
      <w:pPr>
        <w:pStyle w:val="BodyText"/>
      </w:pPr>
      <w:r>
        <w:rPr>
          <w:rFonts w:hint="eastAsia"/>
        </w:rPr>
        <w:t xml:space="preserve">延期選擇權（或終止選擇權後的期間）僅會在合理確定承租人會續期時（或不終止時）計入租期。倘因發生重大事件或情況出</w:t>
      </w:r>
    </w:p>
    <w:p>
      <w:pPr>
        <w:pStyle w:val="BodyText"/>
      </w:pPr>
      <w:r>
        <w:rPr>
          <w:rFonts w:hint="eastAsia"/>
        </w:rPr>
        <w:t xml:space="preserve">現重大改變而影響評估，並於承租人的控制範圍內，則須檢討有關評估。</w:t>
      </w:r>
    </w:p>
    <w:p>
      <w:pPr>
        <w:pStyle w:val="BodyText"/>
      </w:pPr>
      <w:r>
        <w:rPr>
          <w:rFonts w:hint="eastAsia"/>
        </w:rPr>
        <w:t xml:space="preserve">轉租賃</w:t>
      </w:r>
    </w:p>
    <w:p>
      <w:pPr>
        <w:pStyle w:val="BodyText"/>
      </w:pPr>
      <w:r>
        <w:rPr>
          <w:rFonts w:hint="eastAsia"/>
        </w:rPr>
        <w:t xml:space="preserve">本集團將其部分租賃物業（如辦公樓）轉租予第三方。本集團將其於主租賃及轉租賃的權益分別入賬。本集團參考主租賃中</w:t>
      </w:r>
    </w:p>
    <w:p>
      <w:pPr>
        <w:pStyle w:val="BodyText"/>
      </w:pPr>
      <w:r>
        <w:rPr>
          <w:rFonts w:hint="eastAsia"/>
        </w:rPr>
        <w:t xml:space="preserve">產生的使用權資產對轉租賃進行租賃分類，而不是基於轉租賃的相關資產。倘主租賃為短期租賃，且本集團對其應用上述豁</w:t>
      </w:r>
    </w:p>
    <w:p>
      <w:pPr>
        <w:pStyle w:val="BodyText"/>
      </w:pPr>
      <w:r>
        <w:rPr>
          <w:rFonts w:hint="eastAsia"/>
        </w:rPr>
        <w:t xml:space="preserve">免，則本集團將轉租賃分類為營運租賃。轉租賃收入呈列為租金收入，為投資回報的一部分。</w:t>
      </w:r>
    </w:p>
    <w:p>
      <w:pPr>
        <w:pStyle w:val="BodyText"/>
      </w:pPr>
      <w:r>
        <w:t xml:space="preserve">2.20 </w:t>
      </w:r>
      <w:r>
        <w:rPr>
          <w:rFonts w:hint="eastAsia"/>
        </w:rPr>
        <w:t xml:space="preserve">股本</w:t>
      </w:r>
    </w:p>
    <w:p>
      <w:pPr>
        <w:pStyle w:val="BodyText"/>
      </w:pPr>
      <w:r>
        <w:rPr>
          <w:rFonts w:hint="eastAsia"/>
        </w:rPr>
        <w:t xml:space="preserve">在並無任何責任向持有人轉讓現金或其他資產時，普通股分類為權益。</w:t>
      </w:r>
    </w:p>
    <w:p>
      <w:pPr>
        <w:pStyle w:val="BodyText"/>
      </w:pPr>
      <w:r>
        <w:rPr>
          <w:rFonts w:hint="eastAsia"/>
        </w:rPr>
        <w:t xml:space="preserve">股份發行成本</w:t>
      </w:r>
    </w:p>
    <w:p>
      <w:pPr>
        <w:pStyle w:val="BodyText"/>
      </w:pPr>
      <w:r>
        <w:rPr>
          <w:rFonts w:hint="eastAsia"/>
        </w:rPr>
        <w:t xml:space="preserve">直接源自發行新股份的遞增外界成本於權益列作發行所得款項的扣減（已扣除稅項）。</w:t>
      </w:r>
    </w:p>
    <w:p>
      <w:pPr>
        <w:pStyle w:val="BodyText"/>
      </w:pPr>
      <w:r>
        <w:rPr>
          <w:rFonts w:hint="eastAsia"/>
        </w:rPr>
        <w:t xml:space="preserve">股息</w:t>
      </w:r>
    </w:p>
    <w:p>
      <w:pPr>
        <w:pStyle w:val="BodyText"/>
      </w:pPr>
      <w:r>
        <w:rPr>
          <w:rFonts w:hint="eastAsia"/>
        </w:rPr>
        <w:t xml:space="preserve">普通股的中期股息乃於派付時確認。普通股的末期股息乃於股東批准時確認。</w:t>
      </w:r>
    </w:p>
    <w:p>
      <w:pPr>
        <w:pStyle w:val="BodyText"/>
      </w:pPr>
      <w:r>
        <w:t xml:space="preserve">2.21 </w:t>
      </w:r>
      <w:r>
        <w:rPr>
          <w:rFonts w:hint="eastAsia"/>
        </w:rPr>
        <w:t xml:space="preserve">合併財務狀況表的呈列</w:t>
      </w:r>
    </w:p>
    <w:p>
      <w:pPr>
        <w:pStyle w:val="BodyText"/>
      </w:pPr>
      <w:r>
        <w:rPr>
          <w:rFonts w:hint="eastAsia"/>
        </w:rPr>
        <w:t xml:space="preserve">本集團的保險及投資合約負債以及相關資產乃於數年期間內變現及結算，反映本集團產品的長期性質。因此，本集團於其合</w:t>
      </w:r>
    </w:p>
    <w:p>
      <w:pPr>
        <w:pStyle w:val="BodyText"/>
      </w:pPr>
      <w:r>
        <w:rPr>
          <w:rFonts w:hint="eastAsia"/>
        </w:rPr>
        <w:t xml:space="preserve">併財務狀況表，將資產及負債以流動性的概約次序呈列，而不劃分流動及非流動資產及負債。本集團認為其無形資產、於聯</w:t>
      </w:r>
    </w:p>
    <w:p>
      <w:pPr>
        <w:pStyle w:val="BodyText"/>
      </w:pPr>
      <w:r>
        <w:rPr>
          <w:rFonts w:hint="eastAsia"/>
        </w:rPr>
        <w:t xml:space="preserve">營公司及合資公司的投資、物業、廠房及設備、投資物業及遞延承保及啟動成本屬於非流動資產，原因為有關項目乃持有以</w:t>
      </w:r>
    </w:p>
    <w:p>
      <w:pPr>
        <w:pStyle w:val="BodyText"/>
      </w:pPr>
      <w:r>
        <w:rPr>
          <w:rFonts w:hint="eastAsia"/>
        </w:rPr>
        <w:t xml:space="preserve">供本集團較長期使用。</w:t>
      </w:r>
    </w:p>
    <w:p>
      <w:pPr>
        <w:pStyle w:val="BodyText"/>
      </w:pPr>
      <w:r>
        <w:t xml:space="preserve">2.22 </w:t>
      </w:r>
      <w:r>
        <w:rPr>
          <w:rFonts w:hint="eastAsia"/>
        </w:rPr>
        <w:t xml:space="preserve">每股盈利</w:t>
      </w:r>
    </w:p>
    <w:p>
      <w:pPr>
        <w:pStyle w:val="BodyText"/>
      </w:pPr>
      <w:r>
        <w:rPr>
          <w:rFonts w:hint="eastAsia"/>
        </w:rPr>
        <w:t xml:space="preserve">每股基本盈利乃以普通股股東應佔純利除以期內已發行普通股的加權平均股數計算。</w:t>
      </w:r>
    </w:p>
    <w:p>
      <w:pPr>
        <w:pStyle w:val="BodyText"/>
      </w:pPr>
      <w:r>
        <w:rPr>
          <w:rFonts w:hint="eastAsia"/>
        </w:rPr>
        <w:t xml:space="preserve">每股盈利亦以未計入調整項目的普通股股東應佔營運溢利計算，原因為董事相信此數字提供更佳的營運表現指標。</w:t>
      </w:r>
    </w:p>
    <w:p>
      <w:pPr>
        <w:pStyle w:val="BodyText"/>
      </w:pPr>
      <w:r>
        <w:rPr>
          <w:rFonts w:hint="eastAsia"/>
        </w:rPr>
        <w:t xml:space="preserve">對於每股攤薄盈利，已發行普通股加權平均數目乃予以調整，以假設轉換所有具潛在攤薄效應的普通股（例如授予僱員的購</w:t>
      </w:r>
    </w:p>
    <w:p>
      <w:pPr>
        <w:pStyle w:val="BodyText"/>
      </w:pPr>
      <w:r>
        <w:rPr>
          <w:rFonts w:hint="eastAsia"/>
        </w:rPr>
        <w:t xml:space="preserve">股權）。</w:t>
      </w:r>
    </w:p>
    <w:p>
      <w:pPr>
        <w:pStyle w:val="BodyText"/>
      </w:pPr>
      <w:r>
        <w:rPr>
          <w:rFonts w:hint="eastAsia"/>
        </w:rPr>
        <w:t xml:space="preserve">當轉換為股份將減少每股淨盈利，則潛在或或有的股份發行會視為具攤薄效應。</w:t>
      </w:r>
    </w:p>
    <w:p>
      <w:pPr>
        <w:pStyle w:val="BodyText"/>
      </w:pPr>
      <w:r>
        <w:t xml:space="preserve">167</w:t>
      </w:r>
    </w:p>
    <w:p>
      <w:pPr>
        <w:pStyle w:val="BodyText"/>
      </w:pPr>
      <w:r>
        <w:rPr>
          <w:rFonts w:hint="eastAsia"/>
        </w:rPr>
        <w:t xml:space="preserve">概覽財務及營運回顧企業管治其他資料財務報表2020年報</w:t>
      </w:r>
    </w:p>
    <w:p>
      <w:pPr>
        <w:pStyle w:val="Compact"/>
        <w:numPr>
          <w:ilvl w:val="0"/>
          <w:numId w:val="1217"/>
        </w:numPr>
      </w:pPr>
      <w:r>
        <w:rPr>
          <w:rFonts w:hint="eastAsia"/>
        </w:rPr>
        <w:t xml:space="preserve">主要會計政策（續）</w:t>
      </w:r>
    </w:p>
    <w:p>
      <w:pPr>
        <w:pStyle w:val="FirstParagraph"/>
      </w:pPr>
      <w:r>
        <w:t xml:space="preserve">2.23 </w:t>
      </w:r>
      <w:r>
        <w:rPr>
          <w:rFonts w:hint="eastAsia"/>
        </w:rPr>
        <w:t xml:space="preserve">受信活動</w:t>
      </w:r>
    </w:p>
    <w:p>
      <w:pPr>
        <w:pStyle w:val="BodyText"/>
      </w:pPr>
      <w:r>
        <w:rPr>
          <w:rFonts w:hint="eastAsia"/>
        </w:rPr>
        <w:t xml:space="preserve">倘本集團於資產並無合約權利及以受信身份（例如代名人、受託人或代理人）行事時，則受信活動所產生的資產及收入，連</w:t>
      </w:r>
    </w:p>
    <w:p>
      <w:pPr>
        <w:pStyle w:val="BodyText"/>
      </w:pPr>
      <w:r>
        <w:rPr>
          <w:rFonts w:hint="eastAsia"/>
        </w:rPr>
        <w:t xml:space="preserve">同退回此等資產予客戶的相關承諾，將從此等合併財務報表中剔除。</w:t>
      </w:r>
    </w:p>
    <w:p>
      <w:pPr>
        <w:pStyle w:val="BodyText"/>
      </w:pPr>
      <w:r>
        <w:t xml:space="preserve">2.24 </w:t>
      </w:r>
      <w:r>
        <w:rPr>
          <w:rFonts w:hint="eastAsia"/>
        </w:rPr>
        <w:t xml:space="preserve">合併現金流量表</w:t>
      </w:r>
    </w:p>
    <w:p>
      <w:pPr>
        <w:pStyle w:val="BodyText"/>
      </w:pPr>
      <w:r>
        <w:rPr>
          <w:rFonts w:hint="eastAsia"/>
        </w:rPr>
        <w:t xml:space="preserve">合併現金流量表呈列合併財務狀況表所示的現金及現金等價物及銀行透支的變動。</w:t>
      </w:r>
    </w:p>
    <w:p>
      <w:pPr>
        <w:pStyle w:val="BodyText"/>
      </w:pPr>
      <w:r>
        <w:rPr>
          <w:rFonts w:hint="eastAsia"/>
        </w:rPr>
        <w:t xml:space="preserve">金融投資的購買及出售計入營運現金流量內，乃因購買的資金來自與啟動保險及投資合約有關的現金流量（已扣除有關給付</w:t>
      </w:r>
    </w:p>
    <w:p>
      <w:pPr>
        <w:pStyle w:val="BodyText"/>
      </w:pPr>
      <w:r>
        <w:rPr>
          <w:rFonts w:hint="eastAsia"/>
        </w:rPr>
        <w:t xml:space="preserve">及賠款的付款）。投資物業的購買及出售計入來自投資活動的現金流量。</w:t>
      </w:r>
    </w:p>
    <w:p>
      <w:pPr>
        <w:pStyle w:val="BodyText"/>
      </w:pPr>
      <w:r>
        <w:t xml:space="preserve">2.25 </w:t>
      </w:r>
      <w:r>
        <w:rPr>
          <w:rFonts w:hint="eastAsia"/>
        </w:rPr>
        <w:t xml:space="preserve">關連方交易</w:t>
      </w:r>
    </w:p>
    <w:p>
      <w:pPr>
        <w:pStyle w:val="BodyText"/>
      </w:pPr>
      <w:r>
        <w:rPr>
          <w:rFonts w:hint="eastAsia"/>
        </w:rPr>
        <w:t xml:space="preserve">與關連方的交易乃按有關安排訂約方的共同協定及交易的金額入賬。</w:t>
      </w:r>
    </w:p>
    <w:p>
      <w:pPr>
        <w:pStyle w:val="Compact"/>
        <w:numPr>
          <w:ilvl w:val="0"/>
          <w:numId w:val="1218"/>
        </w:numPr>
      </w:pPr>
      <w:r>
        <w:rPr>
          <w:rFonts w:hint="eastAsia"/>
        </w:rPr>
        <w:t xml:space="preserve">主要會計估計及判斷</w:t>
      </w:r>
    </w:p>
    <w:p>
      <w:pPr>
        <w:pStyle w:val="FirstParagraph"/>
      </w:pPr>
      <w:r>
        <w:rPr>
          <w:rFonts w:hint="eastAsia"/>
        </w:rPr>
        <w:t xml:space="preserve">本集團作出估計及假設，而此等估計及假設會影響資產、負債以及收益及開支的列報金額。全部估計乃基於管理層對當前事</w:t>
      </w:r>
    </w:p>
    <w:p>
      <w:pPr>
        <w:pStyle w:val="BodyText"/>
      </w:pPr>
      <w:r>
        <w:rPr>
          <w:rFonts w:hint="eastAsia"/>
        </w:rPr>
        <w:t xml:space="preserve">實及具體情況的瞭解、據此所作的假設及對未來事件及行動的預測。實際結果通常會與估計有差別，而差幅可能會很大。</w:t>
      </w:r>
    </w:p>
    <w:p>
      <w:pPr>
        <w:pStyle w:val="BodyText"/>
      </w:pPr>
      <w:r>
        <w:rPr>
          <w:rFonts w:hint="eastAsia"/>
        </w:rPr>
        <w:t xml:space="preserve">被視為對估計及假設變動尤為敏感的項目以及相關會計政策為與產品分類、保險合約負債（包括與具備酌情分紅特點的投資</w:t>
      </w:r>
    </w:p>
    <w:p>
      <w:pPr>
        <w:pStyle w:val="BodyText"/>
      </w:pPr>
      <w:r>
        <w:rPr>
          <w:rFonts w:hint="eastAsia"/>
        </w:rPr>
        <w:t xml:space="preserve">合約有關的負債）、遞延承保及啟動成本、負債充足性測試、公平值計量及商譽及其他無形資產的減值有關者。</w:t>
      </w:r>
    </w:p>
    <w:p>
      <w:pPr>
        <w:pStyle w:val="BodyText"/>
      </w:pPr>
      <w:r>
        <w:t xml:space="preserve">3.1 </w:t>
      </w:r>
      <w:r>
        <w:rPr>
          <w:rFonts w:hint="eastAsia"/>
        </w:rPr>
        <w:t xml:space="preserve">產品分類</w:t>
      </w:r>
    </w:p>
    <w:p>
      <w:pPr>
        <w:pStyle w:val="BodyText"/>
      </w:pPr>
      <w:r>
        <w:rPr>
          <w:rFonts w:hint="eastAsia"/>
        </w:rPr>
        <w:t xml:space="preserve">本集團發行轉移保險風險、財務風險或上述兩種風險的合約。保險合約為轉移重大保險風險的合約，而投資合約為並無重大</w:t>
      </w:r>
    </w:p>
    <w:p>
      <w:pPr>
        <w:pStyle w:val="BodyText"/>
      </w:pPr>
      <w:r>
        <w:rPr>
          <w:rFonts w:hint="eastAsia"/>
        </w:rPr>
        <w:t xml:space="preserve">保險風險的合約。本集團作出重大判斷，以確定會否出現受保事故的情況（不包括缺乏商業理據者）而導致本集團須向客戶</w:t>
      </w:r>
    </w:p>
    <w:p>
      <w:pPr>
        <w:pStyle w:val="BodyText"/>
      </w:pPr>
      <w:r>
        <w:rPr>
          <w:rFonts w:hint="eastAsia"/>
        </w:rPr>
        <w:t xml:space="preserve">支付巨額的額外賠償。倘本集團須向其客戶支付巨額的額外賠償，合約則列作保險合約入賬。</w:t>
      </w:r>
    </w:p>
    <w:p>
      <w:pPr>
        <w:pStyle w:val="BodyText"/>
      </w:pPr>
      <w:r>
        <w:rPr>
          <w:rFonts w:hint="eastAsia"/>
        </w:rPr>
        <w:t xml:space="preserve">於確定產品分類的保險風險水平時作出的判斷，會影響在合併財務報表中確認為保險及投資合約負債與遞延承保及啟動成本</w:t>
      </w:r>
    </w:p>
    <w:p>
      <w:pPr>
        <w:pStyle w:val="BodyText"/>
      </w:pPr>
      <w:r>
        <w:rPr>
          <w:rFonts w:hint="eastAsia"/>
        </w:rPr>
        <w:t xml:space="preserve">的金額。有關產品分類的會計政策於附註2.4論述。</w:t>
      </w:r>
    </w:p>
    <w:p>
      <w:pPr>
        <w:pStyle w:val="BodyText"/>
      </w:pPr>
      <w:r>
        <w:t xml:space="preserve">168</w:t>
      </w:r>
    </w:p>
    <w:p>
      <w:pPr>
        <w:pStyle w:val="BodyText"/>
      </w:pPr>
      <w:r>
        <w:rPr>
          <w:rFonts w:hint="eastAsia"/>
        </w:rPr>
        <w:t xml:space="preserve">友邦保險控股有限公司</w:t>
      </w:r>
    </w:p>
    <w:p>
      <w:pPr>
        <w:pStyle w:val="Compact"/>
        <w:numPr>
          <w:ilvl w:val="0"/>
          <w:numId w:val="1219"/>
        </w:numPr>
      </w:pPr>
      <w:r>
        <w:rPr>
          <w:rFonts w:hint="eastAsia"/>
        </w:rPr>
        <w:t xml:space="preserve">主要會計估計及判斷（續）</w:t>
      </w:r>
    </w:p>
    <w:p>
      <w:pPr>
        <w:pStyle w:val="FirstParagraph"/>
      </w:pPr>
      <w:r>
        <w:t xml:space="preserve">3.2 </w:t>
      </w:r>
      <w:r>
        <w:rPr>
          <w:rFonts w:hint="eastAsia"/>
        </w:rPr>
        <w:t xml:space="preserve">保險合約負債（包括與具備酌情分紅特點的投資合約有關的負債）</w:t>
      </w:r>
    </w:p>
    <w:p>
      <w:pPr>
        <w:pStyle w:val="BodyText"/>
      </w:pPr>
      <w:r>
        <w:rPr>
          <w:rFonts w:hint="eastAsia"/>
        </w:rPr>
        <w:t xml:space="preserve">本集團使用平準式淨保費評價法計算傳統壽險的保險合約負債，據此，此負債乃指扣除自保單持有人收取的估計未來淨保費</w:t>
      </w:r>
    </w:p>
    <w:p>
      <w:pPr>
        <w:pStyle w:val="BodyText"/>
      </w:pPr>
      <w:r>
        <w:rPr>
          <w:rFonts w:hint="eastAsia"/>
        </w:rPr>
        <w:t xml:space="preserve">現值後的估計未來保單給付的現值。此方法使用於簽發保單日期的最佳估計假設，並就於簽發保單日期設定的死亡率、傷病</w:t>
      </w:r>
    </w:p>
    <w:p>
      <w:pPr>
        <w:pStyle w:val="BodyText"/>
      </w:pPr>
      <w:r>
        <w:rPr>
          <w:rFonts w:hint="eastAsia"/>
        </w:rPr>
        <w:t xml:space="preserve">率、預期投資收益率、保單持有人紅利（就無特定資產組合的其他分紅業務而言）、退保及費用等不利偏差的風險撥備作出</w:t>
      </w:r>
    </w:p>
    <w:p>
      <w:pPr>
        <w:pStyle w:val="BodyText"/>
      </w:pPr>
      <w:r>
        <w:rPr>
          <w:rFonts w:hint="eastAsia"/>
        </w:rPr>
        <w:t xml:space="preserve">調整。此等假設仍會於以後沿用，除非負債充足性測試顯示不足情況。利率假設可因不同地區市場、簽發年份及產品而異。</w:t>
      </w:r>
    </w:p>
    <w:p>
      <w:pPr>
        <w:pStyle w:val="BodyText"/>
      </w:pPr>
      <w:r>
        <w:rPr>
          <w:rFonts w:hint="eastAsia"/>
        </w:rPr>
        <w:t xml:space="preserve">死亡率、傷病率、退保及費用假設則根據各地區市場的實際經驗加以修訂，以配合保單形式的變化。本集團於作出適當假設</w:t>
      </w:r>
    </w:p>
    <w:p>
      <w:pPr>
        <w:pStyle w:val="BodyText"/>
      </w:pPr>
      <w:r>
        <w:rPr>
          <w:rFonts w:hint="eastAsia"/>
        </w:rPr>
        <w:t xml:space="preserve">時行使重大判斷。</w:t>
      </w:r>
    </w:p>
    <w:p>
      <w:pPr>
        <w:pStyle w:val="BodyText"/>
      </w:pPr>
      <w:r>
        <w:rPr>
          <w:rFonts w:hint="eastAsia"/>
        </w:rPr>
        <w:t xml:space="preserve">對於具有明確帳戶結餘的合約（如萬能壽險及單位連結式合約），保險合約負債指累計價值，即已收保費及記入保單的投資</w:t>
      </w:r>
    </w:p>
    <w:p>
      <w:pPr>
        <w:pStyle w:val="BodyText"/>
      </w:pPr>
      <w:r>
        <w:rPr>
          <w:rFonts w:hint="eastAsia"/>
        </w:rPr>
        <w:t xml:space="preserve">回報扣除死亡率及傷病率成本與支出費用。本集團就毛利作出適當估計時行使重大判斷，而此等估計乃基於過往及預計未來</w:t>
      </w:r>
    </w:p>
    <w:p>
      <w:pPr>
        <w:pStyle w:val="BodyText"/>
      </w:pPr>
      <w:r>
        <w:rPr>
          <w:rFonts w:hint="eastAsia"/>
        </w:rPr>
        <w:t xml:space="preserve">的經驗，本集團定期審閱有關估計。</w:t>
      </w:r>
    </w:p>
    <w:p>
      <w:pPr>
        <w:pStyle w:val="BodyText"/>
      </w:pPr>
      <w:r>
        <w:rPr>
          <w:rFonts w:hint="eastAsia"/>
        </w:rPr>
        <w:t xml:space="preserve">本集團透過扣除自保單持有人收取的估計未來淨保費後的保證給付現值設立一個負債項目，入賬以分紅基金承保的分紅業務</w:t>
      </w:r>
    </w:p>
    <w:p>
      <w:pPr>
        <w:pStyle w:val="BodyText"/>
      </w:pPr>
      <w:r>
        <w:rPr>
          <w:rFonts w:hint="eastAsia"/>
        </w:rPr>
        <w:t xml:space="preserve">及具特定資產組合的其他分紅業務的保險合約負債。此外，假設於合併財務狀況表日期的所有相關盈餘將根據附註2.4所述</w:t>
      </w:r>
    </w:p>
    <w:p>
      <w:pPr>
        <w:pStyle w:val="BodyText"/>
      </w:pPr>
      <w:r>
        <w:rPr>
          <w:rFonts w:hint="eastAsia"/>
        </w:rPr>
        <w:t xml:space="preserve">保單持有人的分紅宣派為保單持有人紅利，保險合約負債就分紅基金及具特定資產組合的其他分紅業務將分配予保單持有人</w:t>
      </w:r>
    </w:p>
    <w:p>
      <w:pPr>
        <w:pStyle w:val="BodyText"/>
      </w:pPr>
      <w:r>
        <w:rPr>
          <w:rFonts w:hint="eastAsia"/>
        </w:rPr>
        <w:t xml:space="preserve">的淨資產值按相關比例入賬。確立此等負債須作出重大判斷。此外，將所有相關業績宣派為保單持有人紅利的假設可能屬不</w:t>
      </w:r>
    </w:p>
    <w:p>
      <w:pPr>
        <w:pStyle w:val="BodyText"/>
      </w:pPr>
      <w:r>
        <w:rPr>
          <w:rFonts w:hint="eastAsia"/>
        </w:rPr>
        <w:t xml:space="preserve">切實際。本集團透過就扣除自保單持有人收取的估計未來淨保費後的保證給付及非保證分紅現值確立負債，以便將無特定資</w:t>
      </w:r>
    </w:p>
    <w:p>
      <w:pPr>
        <w:pStyle w:val="BodyText"/>
      </w:pPr>
      <w:r>
        <w:rPr>
          <w:rFonts w:hint="eastAsia"/>
        </w:rPr>
        <w:t xml:space="preserve">產組合的其他分紅業務入賬。</w:t>
      </w:r>
    </w:p>
    <w:p>
      <w:pPr>
        <w:pStyle w:val="BodyText"/>
      </w:pPr>
      <w:r>
        <w:rPr>
          <w:rFonts w:hint="eastAsia"/>
        </w:rPr>
        <w:t xml:space="preserve">在少數情況下，本集團參照適用司法權區的法定要求計量保險合約負債。該等國家的保險合約負債絕大部分按來自保單持有</w:t>
      </w:r>
    </w:p>
    <w:p>
      <w:pPr>
        <w:pStyle w:val="BodyText"/>
      </w:pPr>
      <w:r>
        <w:rPr>
          <w:rFonts w:hint="eastAsia"/>
        </w:rPr>
        <w:t xml:space="preserve">人的未來收入及向其作出的付款的現值淨額計量。採用的貼現率反映當前市場利率。對現金流量作出適當假設時進行了重大</w:t>
      </w:r>
    </w:p>
    <w:p>
      <w:pPr>
        <w:pStyle w:val="BodyText"/>
      </w:pPr>
      <w:r>
        <w:rPr>
          <w:rFonts w:hint="eastAsia"/>
        </w:rPr>
        <w:t xml:space="preserve">判斷。</w:t>
      </w:r>
    </w:p>
    <w:p>
      <w:pPr>
        <w:pStyle w:val="BodyText"/>
      </w:pPr>
      <w:r>
        <w:rPr>
          <w:rFonts w:hint="eastAsia"/>
        </w:rPr>
        <w:t xml:space="preserve">於評估保險合約負債（包括具備酌情分紅特點的投資合約）時作出的判斷，會影響在合併財務報表中確認為保險合約給付及</w:t>
      </w:r>
    </w:p>
    <w:p>
      <w:pPr>
        <w:pStyle w:val="BodyText"/>
      </w:pPr>
      <w:r>
        <w:rPr>
          <w:rFonts w:hint="eastAsia"/>
        </w:rPr>
        <w:t xml:space="preserve">保險合約負債的金額。</w:t>
      </w:r>
    </w:p>
    <w:p>
      <w:pPr>
        <w:pStyle w:val="BodyText"/>
      </w:pPr>
      <w:r>
        <w:rPr>
          <w:rFonts w:hint="eastAsia"/>
        </w:rPr>
        <w:t xml:space="preserve">有關相關會計政策、主要風險及可變因素以及關於保險合約負債的假設對主要可變因素的敏感度的更多詳情載於附註2.4、</w:t>
      </w:r>
    </w:p>
    <w:p>
      <w:pPr>
        <w:pStyle w:val="BodyText"/>
      </w:pPr>
      <w:r>
        <w:rPr>
          <w:rFonts w:hint="eastAsia"/>
        </w:rPr>
        <w:t xml:space="preserve">27及29。</w:t>
      </w:r>
    </w:p>
    <w:p>
      <w:pPr>
        <w:pStyle w:val="BodyText"/>
      </w:pPr>
      <w:r>
        <w:t xml:space="preserve">169</w:t>
      </w:r>
    </w:p>
    <w:p>
      <w:pPr>
        <w:pStyle w:val="BodyText"/>
      </w:pPr>
      <w:r>
        <w:rPr>
          <w:rFonts w:hint="eastAsia"/>
        </w:rPr>
        <w:t xml:space="preserve">概覽財務及營運回顧企業管治其他資料財務報表2020年報</w:t>
      </w:r>
    </w:p>
    <w:p>
      <w:pPr>
        <w:pStyle w:val="Compact"/>
        <w:numPr>
          <w:ilvl w:val="0"/>
          <w:numId w:val="1220"/>
        </w:numPr>
      </w:pPr>
      <w:r>
        <w:rPr>
          <w:rFonts w:hint="eastAsia"/>
        </w:rPr>
        <w:t xml:space="preserve">主要會計估計及判斷（續）</w:t>
      </w:r>
    </w:p>
    <w:p>
      <w:pPr>
        <w:pStyle w:val="FirstParagraph"/>
      </w:pPr>
      <w:r>
        <w:t xml:space="preserve">3.3 </w:t>
      </w:r>
      <w:r>
        <w:rPr>
          <w:rFonts w:hint="eastAsia"/>
        </w:rPr>
        <w:t xml:space="preserve">遞延承保及啟動成本</w:t>
      </w:r>
    </w:p>
    <w:p>
      <w:pPr>
        <w:pStyle w:val="BodyText"/>
      </w:pPr>
      <w:r>
        <w:rPr>
          <w:rFonts w:hint="eastAsia"/>
        </w:rPr>
        <w:t xml:space="preserve">於遞延及攤銷承保及啟動成本而作出的判斷，會影響在合併財務報表中確認為遞延承保及啟動成本與保險及投資合約給付的</w:t>
      </w:r>
    </w:p>
    <w:p>
      <w:pPr>
        <w:pStyle w:val="BodyText"/>
      </w:pPr>
      <w:r>
        <w:rPr>
          <w:rFonts w:hint="eastAsia"/>
        </w:rPr>
        <w:t xml:space="preserve">金額。</w:t>
      </w:r>
    </w:p>
    <w:p>
      <w:pPr>
        <w:pStyle w:val="BodyText"/>
      </w:pPr>
      <w:r>
        <w:rPr>
          <w:rFonts w:hint="eastAsia"/>
        </w:rPr>
        <w:t xml:space="preserve">如附註2.4.1所述，傳統壽險及年金保單的遞延承保成本於合約的預期年期內，按預期保費的固定百分比攤銷。除非於進行負</w:t>
      </w:r>
    </w:p>
    <w:p>
      <w:pPr>
        <w:pStyle w:val="BodyText"/>
      </w:pPr>
      <w:r>
        <w:rPr>
          <w:rFonts w:hint="eastAsia"/>
        </w:rPr>
        <w:t xml:space="preserve">債充足性測試時發現不足情況，預期保費乃於簽發保單的日期估計，並於整個合約期內貫徹應用。</w:t>
      </w:r>
    </w:p>
    <w:p>
      <w:pPr>
        <w:pStyle w:val="BodyText"/>
      </w:pPr>
      <w:r>
        <w:rPr>
          <w:rFonts w:hint="eastAsia"/>
        </w:rPr>
        <w:t xml:space="preserve">如附註2.4.1所述，萬能壽險及單位連結式合約的遞延承保成本乃於合約的預期年期內攤銷，基準為預期按合約年期變現的估</w:t>
      </w:r>
    </w:p>
    <w:p>
      <w:pPr>
        <w:pStyle w:val="BodyText"/>
      </w:pPr>
      <w:r>
        <w:rPr>
          <w:rFonts w:hint="eastAsia"/>
        </w:rPr>
        <w:t xml:space="preserve">計毛利現值的固定百分比或按直線基準。如附註3.2所述，本集團就毛利作出適當估計時行使重大判斷。將承保成本列作開</w:t>
      </w:r>
    </w:p>
    <w:p>
      <w:pPr>
        <w:pStyle w:val="BodyText"/>
      </w:pPr>
      <w:r>
        <w:rPr>
          <w:rFonts w:hint="eastAsia"/>
        </w:rPr>
        <w:t xml:space="preserve">支會在投資表現變差時加速。同樣地，於投資獲利期間，先前列作開支的承保成本撥回，惟不超過初次遞延處理的金額。</w:t>
      </w:r>
    </w:p>
    <w:p>
      <w:pPr>
        <w:pStyle w:val="BodyText"/>
      </w:pPr>
      <w:r>
        <w:rPr>
          <w:rFonts w:hint="eastAsia"/>
        </w:rPr>
        <w:t xml:space="preserve">有關遞延承保及啟動成本的額外詳情載於附註2.4及20。</w:t>
      </w:r>
    </w:p>
    <w:p>
      <w:pPr>
        <w:pStyle w:val="BodyText"/>
      </w:pPr>
      <w:r>
        <w:t xml:space="preserve">3.4 </w:t>
      </w:r>
      <w:r>
        <w:rPr>
          <w:rFonts w:hint="eastAsia"/>
        </w:rPr>
        <w:t xml:space="preserve">負債充足性測試</w:t>
      </w:r>
    </w:p>
    <w:p>
      <w:pPr>
        <w:pStyle w:val="BodyText"/>
      </w:pPr>
      <w:r>
        <w:rPr>
          <w:rFonts w:hint="eastAsia"/>
        </w:rPr>
        <w:t xml:space="preserve">本集團至少每年評估具備酌情分紅特點的保險及投資合約負債的充足性。在進行負債充足性測試而釐定總額程度及選擇最佳</w:t>
      </w:r>
    </w:p>
    <w:p>
      <w:pPr>
        <w:pStyle w:val="BodyText"/>
      </w:pPr>
      <w:r>
        <w:rPr>
          <w:rFonts w:hint="eastAsia"/>
        </w:rPr>
        <w:t xml:space="preserve">估計假設時作出重大判斷。負債充足性乃根據本集團取得合約、提供服務及計量保險合約盈利能力的方式，按合約組合方式</w:t>
      </w:r>
    </w:p>
    <w:p>
      <w:pPr>
        <w:pStyle w:val="BodyText"/>
      </w:pPr>
      <w:r>
        <w:rPr>
          <w:rFonts w:hint="eastAsia"/>
        </w:rPr>
        <w:t xml:space="preserve">評估。本集團對各報告分部分別進行負債充足性測試。</w:t>
      </w:r>
    </w:p>
    <w:p>
      <w:pPr>
        <w:pStyle w:val="BodyText"/>
      </w:pPr>
      <w:r>
        <w:rPr>
          <w:rFonts w:hint="eastAsia"/>
        </w:rPr>
        <w:t xml:space="preserve">對負債充足性測試所作的判斷，會影響在合併財務報表中確認為佣金及其他承保開支、遞延承保成本、保險合約給付及保險</w:t>
      </w:r>
    </w:p>
    <w:p>
      <w:pPr>
        <w:pStyle w:val="BodyText"/>
      </w:pPr>
      <w:r>
        <w:rPr>
          <w:rFonts w:hint="eastAsia"/>
        </w:rPr>
        <w:t xml:space="preserve">及投資合約負債的金額。</w:t>
      </w:r>
    </w:p>
    <w:p>
      <w:pPr>
        <w:pStyle w:val="BodyText"/>
      </w:pPr>
      <w:r>
        <w:t xml:space="preserve">3.5 </w:t>
      </w:r>
      <w:r>
        <w:rPr>
          <w:rFonts w:hint="eastAsia"/>
        </w:rPr>
        <w:t xml:space="preserve">公平值計量</w:t>
      </w:r>
    </w:p>
    <w:p>
      <w:pPr>
        <w:pStyle w:val="BodyText"/>
      </w:pPr>
      <w:r>
        <w:t xml:space="preserve">3.5.1 </w:t>
      </w:r>
      <w:r>
        <w:rPr>
          <w:rFonts w:hint="eastAsia"/>
        </w:rPr>
        <w:t xml:space="preserve">金融資產的公平值</w:t>
      </w:r>
    </w:p>
    <w:p>
      <w:pPr>
        <w:pStyle w:val="BodyText"/>
      </w:pPr>
      <w:r>
        <w:rPr>
          <w:rFonts w:hint="eastAsia"/>
        </w:rPr>
        <w:t xml:space="preserve">本集團採用截至每個報告日期的參考買入價，釐定於活躍市場買賣的金融資產公平值。並非於活躍市場買賣的金融資產公平</w:t>
      </w:r>
    </w:p>
    <w:p>
      <w:pPr>
        <w:pStyle w:val="BodyText"/>
      </w:pPr>
      <w:r>
        <w:rPr>
          <w:rFonts w:hint="eastAsia"/>
        </w:rPr>
        <w:t xml:space="preserve">值則一般以其他多種估值技巧釐定，例如從近期交易中觀察所得價格及取自可比較投資的當前買入價的價值。對無法取得或</w:t>
      </w:r>
    </w:p>
    <w:p>
      <w:pPr>
        <w:pStyle w:val="BodyText"/>
      </w:pPr>
      <w:r>
        <w:rPr>
          <w:rFonts w:hint="eastAsia"/>
        </w:rPr>
        <w:t xml:space="preserve">不常取得市場可觀察價格的金融資產計量公平值時，則運用更多判斷。</w:t>
      </w:r>
    </w:p>
    <w:p>
      <w:pPr>
        <w:pStyle w:val="BodyText"/>
      </w:pPr>
      <w:r>
        <w:rPr>
          <w:rFonts w:hint="eastAsia"/>
        </w:rPr>
        <w:t xml:space="preserve">用作計量金融資產公平值的判斷程度一般與定價的可觀察程度相關。定價的可觀察程度受到多項因素影響，包括金融工具的</w:t>
      </w:r>
    </w:p>
    <w:p>
      <w:pPr>
        <w:pStyle w:val="BodyText"/>
      </w:pPr>
      <w:r>
        <w:rPr>
          <w:rFonts w:hint="eastAsia"/>
        </w:rPr>
        <w:t xml:space="preserve">種類、金融工具是否新推出市場及尚未獲得普遍接受、交易獨有的特點及整體市況。</w:t>
      </w:r>
    </w:p>
    <w:p>
      <w:pPr>
        <w:pStyle w:val="BodyText"/>
      </w:pPr>
      <w:r>
        <w:rPr>
          <w:rFonts w:hint="eastAsia"/>
        </w:rPr>
        <w:t xml:space="preserve">本集團分紅基金及具特定資產組合的其他分紅業務所持金融資產的公平值變化不但影響金融資產的價值，亦導致保險及投資</w:t>
      </w:r>
    </w:p>
    <w:p>
      <w:pPr>
        <w:pStyle w:val="BodyText"/>
      </w:pPr>
      <w:r>
        <w:rPr>
          <w:rFonts w:hint="eastAsia"/>
        </w:rPr>
        <w:t xml:space="preserve">合約負債相應變動，皆因假設於合併財務狀況表日期的所有相關盈餘將根據附註2.4所述保單持有人的分紅宣派為保單持有</w:t>
      </w:r>
    </w:p>
    <w:p>
      <w:pPr>
        <w:pStyle w:val="BodyText"/>
      </w:pPr>
      <w:r>
        <w:rPr>
          <w:rFonts w:hint="eastAsia"/>
        </w:rPr>
        <w:t xml:space="preserve">人紅利，保險合約負債就分紅基金及具特定資產組合的其他分紅業務將分配予保單持有人的淨資產值按相關比例入賬。上述</w:t>
      </w:r>
    </w:p>
    <w:p>
      <w:pPr>
        <w:pStyle w:val="BodyText"/>
      </w:pPr>
      <w:r>
        <w:rPr>
          <w:rFonts w:hint="eastAsia"/>
        </w:rPr>
        <w:t xml:space="preserve">兩項變化已反映於合併收入表，惟部分與具特定資產組合的其他分紅業務有關的可供出售金融資產及持作自用物業的公平值</w:t>
      </w:r>
    </w:p>
    <w:p>
      <w:pPr>
        <w:pStyle w:val="BodyText"/>
      </w:pPr>
      <w:r>
        <w:rPr>
          <w:rFonts w:hint="eastAsia"/>
        </w:rPr>
        <w:t xml:space="preserve">變動（於其他全面收入內確認）除外。</w:t>
      </w:r>
    </w:p>
    <w:p>
      <w:pPr>
        <w:pStyle w:val="BodyText"/>
      </w:pPr>
      <w:r>
        <w:t xml:space="preserve">170</w:t>
      </w:r>
    </w:p>
    <w:p>
      <w:pPr>
        <w:pStyle w:val="BodyText"/>
      </w:pPr>
      <w:r>
        <w:rPr>
          <w:rFonts w:hint="eastAsia"/>
        </w:rPr>
        <w:t xml:space="preserve">友邦保險控股有限公司</w:t>
      </w:r>
    </w:p>
    <w:p>
      <w:pPr>
        <w:pStyle w:val="Compact"/>
        <w:numPr>
          <w:ilvl w:val="0"/>
          <w:numId w:val="1221"/>
        </w:numPr>
      </w:pPr>
      <w:r>
        <w:rPr>
          <w:rFonts w:hint="eastAsia"/>
        </w:rPr>
        <w:t xml:space="preserve">主要會計估計及判斷（續）</w:t>
      </w:r>
    </w:p>
    <w:p>
      <w:pPr>
        <w:pStyle w:val="FirstParagraph"/>
      </w:pPr>
      <w:r>
        <w:t xml:space="preserve">3.5 </w:t>
      </w:r>
      <w:r>
        <w:rPr>
          <w:rFonts w:hint="eastAsia"/>
        </w:rPr>
        <w:t xml:space="preserve">公平值計量（續）</w:t>
      </w:r>
    </w:p>
    <w:p>
      <w:pPr>
        <w:pStyle w:val="BodyText"/>
      </w:pPr>
      <w:r>
        <w:t xml:space="preserve">3.5.1 </w:t>
      </w:r>
      <w:r>
        <w:rPr>
          <w:rFonts w:hint="eastAsia"/>
        </w:rPr>
        <w:t xml:space="preserve">金融資產的公平值（續）</w:t>
      </w:r>
    </w:p>
    <w:p>
      <w:pPr>
        <w:pStyle w:val="BodyText"/>
      </w:pPr>
      <w:r>
        <w:rPr>
          <w:rFonts w:hint="eastAsia"/>
        </w:rPr>
        <w:t xml:space="preserve">持作擔保本集團單位連結式合約的金融資產公平值變化，導致保險及投資合約負債出現相應變化。上述兩項變化亦反映於合</w:t>
      </w:r>
    </w:p>
    <w:p>
      <w:pPr>
        <w:pStyle w:val="BodyText"/>
      </w:pPr>
      <w:r>
        <w:rPr>
          <w:rFonts w:hint="eastAsia"/>
        </w:rPr>
        <w:t xml:space="preserve">併收入表。</w:t>
      </w:r>
    </w:p>
    <w:p>
      <w:pPr>
        <w:pStyle w:val="BodyText"/>
      </w:pPr>
      <w:r>
        <w:rPr>
          <w:rFonts w:hint="eastAsia"/>
        </w:rPr>
        <w:t xml:space="preserve">有關金融資產的公平值以及利率及股本價格的敏感度分析的更多詳情載於附註23及38。</w:t>
      </w:r>
    </w:p>
    <w:p>
      <w:pPr>
        <w:pStyle w:val="BodyText"/>
      </w:pPr>
      <w:r>
        <w:t xml:space="preserve">3.5.2 </w:t>
      </w:r>
      <w:r>
        <w:rPr>
          <w:rFonts w:hint="eastAsia"/>
        </w:rPr>
        <w:t xml:space="preserve">持作自用物業及投資物業的公平值</w:t>
      </w:r>
    </w:p>
    <w:p>
      <w:pPr>
        <w:pStyle w:val="BodyText"/>
      </w:pPr>
      <w:r>
        <w:rPr>
          <w:rFonts w:hint="eastAsia"/>
        </w:rPr>
        <w:t xml:space="preserve">本集團按最高效及最佳使用物業的基準採用獨立專業估值師釐定物業的公平值，此使用為實際上可能、法律上允許及經濟上</w:t>
      </w:r>
    </w:p>
    <w:p>
      <w:pPr>
        <w:pStyle w:val="BodyText"/>
      </w:pPr>
      <w:r>
        <w:rPr>
          <w:rFonts w:hint="eastAsia"/>
        </w:rPr>
        <w:t xml:space="preserve">可行。在大部分情況下，物業的現行用途被視為就釐定公平值而言得到最高效及最佳使用。可能採用不同的估值方法以達致</w:t>
      </w:r>
    </w:p>
    <w:p>
      <w:pPr>
        <w:pStyle w:val="BodyText"/>
      </w:pPr>
      <w:r>
        <w:rPr>
          <w:rFonts w:hint="eastAsia"/>
        </w:rPr>
        <w:t xml:space="preserve">物業的公平值。根據市場數據法，分析類似物業的近期出售及放盤紀錄並比較規模、位置、質量及預期用途等因素。對於投</w:t>
      </w:r>
    </w:p>
    <w:p>
      <w:pPr>
        <w:pStyle w:val="BodyText"/>
      </w:pPr>
      <w:r>
        <w:rPr>
          <w:rFonts w:hint="eastAsia"/>
        </w:rPr>
        <w:t xml:space="preserve">資物業而言，可能參考租約可能增加的租金收入淨額使用貼現現金流量法估計物業的公平值。在若干情況下，亦使用成本法</w:t>
      </w:r>
    </w:p>
    <w:p>
      <w:pPr>
        <w:pStyle w:val="BodyText"/>
      </w:pPr>
      <w:r>
        <w:rPr>
          <w:rFonts w:hint="eastAsia"/>
        </w:rPr>
        <w:t xml:space="preserve">計算公平值，此公平值反映替代物業服務能力所需的成本。</w:t>
      </w:r>
    </w:p>
    <w:p>
      <w:pPr>
        <w:pStyle w:val="BodyText"/>
      </w:pPr>
      <w:r>
        <w:rPr>
          <w:rFonts w:hint="eastAsia"/>
        </w:rPr>
        <w:t xml:space="preserve">有關持作自用物業及投資物業的公平值的更多詳情載於附註23。</w:t>
      </w:r>
    </w:p>
    <w:p>
      <w:pPr>
        <w:pStyle w:val="BodyText"/>
      </w:pPr>
      <w:r>
        <w:t xml:space="preserve">3.6 </w:t>
      </w:r>
      <w:r>
        <w:rPr>
          <w:rFonts w:hint="eastAsia"/>
        </w:rPr>
        <w:t xml:space="preserve">商譽及其他無形資產的減值</w:t>
      </w:r>
    </w:p>
    <w:p>
      <w:pPr>
        <w:pStyle w:val="BodyText"/>
      </w:pPr>
      <w:r>
        <w:rPr>
          <w:rFonts w:hint="eastAsia"/>
        </w:rPr>
        <w:t xml:space="preserve">就減值測試而言，商譽及其他無形資產乃分類為現金產生單位或現金產生單位組別。此等資產減值測試乃透過比較現金產生</w:t>
      </w:r>
    </w:p>
    <w:p>
      <w:pPr>
        <w:pStyle w:val="BodyText"/>
      </w:pPr>
      <w:r>
        <w:rPr>
          <w:rFonts w:hint="eastAsia"/>
        </w:rPr>
        <w:t xml:space="preserve">單位（單位組別）（包括商譽）的賬面值與現金產生單位（單位組別）的可收回金額進行。釐定可收回金額需要就選擇適當的估</w:t>
      </w:r>
    </w:p>
    <w:p>
      <w:pPr>
        <w:pStyle w:val="BodyText"/>
      </w:pPr>
      <w:r>
        <w:rPr>
          <w:rFonts w:hint="eastAsia"/>
        </w:rPr>
        <w:t xml:space="preserve">值技巧及假設作出重大判斷。</w:t>
      </w:r>
    </w:p>
    <w:p>
      <w:pPr>
        <w:pStyle w:val="BodyText"/>
      </w:pPr>
      <w:r>
        <w:rPr>
          <w:rFonts w:hint="eastAsia"/>
        </w:rPr>
        <w:t xml:space="preserve">有關期內商譽減值的更多詳情載於附註15。</w:t>
      </w:r>
    </w:p>
    <w:p>
      <w:pPr>
        <w:pStyle w:val="BodyText"/>
      </w:pPr>
      <w:r>
        <w:t xml:space="preserve">171</w:t>
      </w:r>
    </w:p>
    <w:p>
      <w:pPr>
        <w:pStyle w:val="BodyText"/>
      </w:pPr>
      <w:r>
        <w:rPr>
          <w:rFonts w:hint="eastAsia"/>
        </w:rPr>
        <w:t xml:space="preserve">概覽財務及營運回顧企業管治其他資料財務報表2020年報</w:t>
      </w:r>
    </w:p>
    <w:p>
      <w:pPr>
        <w:pStyle w:val="Compact"/>
        <w:numPr>
          <w:ilvl w:val="0"/>
          <w:numId w:val="1222"/>
        </w:numPr>
      </w:pPr>
      <w:r>
        <w:rPr>
          <w:rFonts w:hint="eastAsia"/>
        </w:rPr>
        <w:t xml:space="preserve">匯率</w:t>
      </w:r>
    </w:p>
    <w:p>
      <w:pPr>
        <w:pStyle w:val="FirstParagraph"/>
      </w:pPr>
      <w:r>
        <w:rPr>
          <w:rFonts w:hint="eastAsia"/>
        </w:rPr>
        <w:t xml:space="preserve">本集團於報告期間內的主要海外業務位於亞洲。此等業務的業績及現金流量已按下列平均匯率換算為美元：</w:t>
      </w:r>
    </w:p>
    <w:p>
      <w:pPr>
        <w:pStyle w:val="BodyText"/>
      </w:pPr>
      <w:r>
        <w:rPr>
          <w:rFonts w:hint="eastAsia"/>
        </w:rPr>
        <w:t xml:space="preserve">美元匯率</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7.76</w:t>
      </w:r>
    </w:p>
    <w:p>
      <w:pPr>
        <w:pStyle w:val="BodyText"/>
      </w:pPr>
      <w:r>
        <w:t xml:space="preserve">31.27</w:t>
      </w:r>
    </w:p>
    <w:p>
      <w:pPr>
        <w:pStyle w:val="BodyText"/>
      </w:pPr>
      <w:r>
        <w:t xml:space="preserve">1.38</w:t>
      </w:r>
    </w:p>
    <w:p>
      <w:pPr>
        <w:pStyle w:val="BodyText"/>
      </w:pPr>
      <w:r>
        <w:t xml:space="preserve">4.20</w:t>
      </w:r>
    </w:p>
    <w:p>
      <w:pPr>
        <w:pStyle w:val="BodyText"/>
      </w:pPr>
      <w:r>
        <w:t xml:space="preserve">6.90</w:t>
      </w:r>
    </w:p>
    <w:p>
      <w:pPr>
        <w:pStyle w:val="BodyText"/>
      </w:pPr>
      <w:r>
        <w:t xml:space="preserve">7.84</w:t>
      </w:r>
    </w:p>
    <w:p>
      <w:pPr>
        <w:pStyle w:val="BodyText"/>
      </w:pPr>
      <w:r>
        <w:t xml:space="preserve">31.03</w:t>
      </w:r>
    </w:p>
    <w:p>
      <w:pPr>
        <w:pStyle w:val="BodyText"/>
      </w:pPr>
      <w:r>
        <w:t xml:space="preserve">1.36</w:t>
      </w:r>
    </w:p>
    <w:p>
      <w:pPr>
        <w:pStyle w:val="BodyText"/>
      </w:pPr>
      <w:r>
        <w:t xml:space="preserve">4.14</w:t>
      </w:r>
    </w:p>
    <w:p>
      <w:pPr>
        <w:pStyle w:val="BodyText"/>
      </w:pPr>
      <w:r>
        <w:t xml:space="preserve">6.91</w:t>
      </w:r>
    </w:p>
    <w:p>
      <w:pPr>
        <w:pStyle w:val="BodyText"/>
      </w:pPr>
      <w:r>
        <w:rPr>
          <w:rFonts w:hint="eastAsia"/>
        </w:rPr>
        <w:t xml:space="preserve">美元匯率</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7.75</w:t>
      </w:r>
    </w:p>
    <w:p>
      <w:pPr>
        <w:pStyle w:val="BodyText"/>
      </w:pPr>
      <w:r>
        <w:t xml:space="preserve">29.95</w:t>
      </w:r>
    </w:p>
    <w:p>
      <w:pPr>
        <w:pStyle w:val="BodyText"/>
      </w:pPr>
      <w:r>
        <w:t xml:space="preserve">1.32</w:t>
      </w:r>
    </w:p>
    <w:p>
      <w:pPr>
        <w:pStyle w:val="BodyText"/>
      </w:pPr>
      <w:r>
        <w:t xml:space="preserve">4.02</w:t>
      </w:r>
    </w:p>
    <w:p>
      <w:pPr>
        <w:pStyle w:val="BodyText"/>
      </w:pPr>
      <w:r>
        <w:t xml:space="preserve">6.53</w:t>
      </w:r>
    </w:p>
    <w:p>
      <w:pPr>
        <w:pStyle w:val="BodyText"/>
      </w:pPr>
      <w:r>
        <w:t xml:space="preserve">7.79</w:t>
      </w:r>
    </w:p>
    <w:p>
      <w:pPr>
        <w:pStyle w:val="BodyText"/>
      </w:pPr>
      <w:r>
        <w:t xml:space="preserve">29.84</w:t>
      </w:r>
    </w:p>
    <w:p>
      <w:pPr>
        <w:pStyle w:val="BodyText"/>
      </w:pPr>
      <w:r>
        <w:t xml:space="preserve">1.35</w:t>
      </w:r>
    </w:p>
    <w:p>
      <w:pPr>
        <w:pStyle w:val="BodyText"/>
      </w:pPr>
      <w:r>
        <w:t xml:space="preserve">4.09</w:t>
      </w:r>
    </w:p>
    <w:p>
      <w:pPr>
        <w:pStyle w:val="BodyText"/>
      </w:pPr>
      <w:r>
        <w:t xml:space="preserve">6.97</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資產及負債已按下列年終匯率換算：</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匯率乃按每1美元兌當地貨幣單位列示。</w:t>
      </w:r>
    </w:p>
    <w:p>
      <w:pPr>
        <w:pStyle w:val="BodyText"/>
      </w:pPr>
      <w:r>
        <w:t xml:space="preserve">172</w:t>
      </w:r>
    </w:p>
    <w:p>
      <w:pPr>
        <w:pStyle w:val="BodyText"/>
      </w:pPr>
      <w:r>
        <w:rPr>
          <w:rFonts w:hint="eastAsia"/>
        </w:rPr>
        <w:t xml:space="preserve">友邦保險控股有限公司</w:t>
      </w:r>
    </w:p>
    <w:p>
      <w:pPr>
        <w:pStyle w:val="Compact"/>
        <w:numPr>
          <w:ilvl w:val="0"/>
          <w:numId w:val="1223"/>
        </w:numPr>
      </w:pPr>
      <w:r>
        <w:rPr>
          <w:rFonts w:hint="eastAsia"/>
        </w:rPr>
        <w:t xml:space="preserve">集團構成的變動</w:t>
      </w:r>
    </w:p>
    <w:p>
      <w:pPr>
        <w:pStyle w:val="FirstParagraph"/>
      </w:pPr>
      <w:r>
        <w:rPr>
          <w:rFonts w:hint="eastAsia"/>
        </w:rPr>
        <w:t xml:space="preserve">於2017年9月，本集團訂立協議購入澳洲聯邦銀行在澳洲的人壽保險業務。於2019年11月1日，本集團、澳洲聯邦銀行及The</w:t>
      </w:r>
    </w:p>
    <w:p>
      <w:pPr>
        <w:pStyle w:val="BodyText"/>
      </w:pPr>
      <w:r>
        <w:t xml:space="preserve">Colonial Mutual Life Assurance Society Limited </w:t>
      </w:r>
      <w:r>
        <w:rPr>
          <w:rFonts w:hint="eastAsia"/>
        </w:rPr>
        <w:t xml:space="preserve">(CMLA)訂立合約聯合合作協議，該協議為原計劃的收購提供交替交割結構。</w:t>
      </w:r>
    </w:p>
    <w:p>
      <w:pPr>
        <w:pStyle w:val="BodyText"/>
      </w:pPr>
      <w:r>
        <w:rPr>
          <w:rFonts w:hint="eastAsia"/>
        </w:rPr>
        <w:t xml:space="preserve">此收購的最終購買代價為21.35億澳元或14.72億美元，按收購日期及交割完成調整日期的匯率計算。於收購日期之代價的公</w:t>
      </w:r>
    </w:p>
    <w:p>
      <w:pPr>
        <w:pStyle w:val="BodyText"/>
      </w:pPr>
      <w:r>
        <w:rPr>
          <w:rFonts w:hint="eastAsia"/>
        </w:rPr>
        <w:t xml:space="preserve">平值包括現金3.44億美元、遞延現金代價10.59億美元及或有代價6,900萬美元。</w:t>
      </w:r>
    </w:p>
    <w:p>
      <w:pPr>
        <w:pStyle w:val="BodyText"/>
      </w:pPr>
      <w:r>
        <w:rPr>
          <w:rFonts w:hint="eastAsia"/>
        </w:rPr>
        <w:t xml:space="preserve">截至2020年12月31日止年度，購買價格的調整已獲最終確認，並對最終購買代價作出1,800萬美元的調整。代價的公平值由</w:t>
      </w:r>
    </w:p>
    <w:p>
      <w:pPr>
        <w:pStyle w:val="BodyText"/>
      </w:pPr>
      <w:r>
        <w:rPr>
          <w:rFonts w:hint="eastAsia"/>
        </w:rPr>
        <w:t xml:space="preserve">14.54億美元增至14.72億美元，而商譽由5.58億美元增至5.76億美元。於收購日期所收購的淨資產公平值並無作出調整。</w:t>
      </w:r>
    </w:p>
    <w:p>
      <w:pPr>
        <w:pStyle w:val="BodyText"/>
      </w:pPr>
      <w:r>
        <w:rPr>
          <w:rFonts w:hint="eastAsia"/>
        </w:rPr>
        <w:t xml:space="preserve">於收購之時，相關的再保險協議令CMLA獲得淨預付再保險佣金約4.80億美元。截至2020年12月31日止年度，淨預付再保險</w:t>
      </w:r>
    </w:p>
    <w:p>
      <w:pPr>
        <w:pStyle w:val="BodyText"/>
      </w:pPr>
      <w:r>
        <w:rPr>
          <w:rFonts w:hint="eastAsia"/>
        </w:rPr>
        <w:t xml:space="preserve">佣金最終確認為4.91億美元。</w:t>
      </w:r>
    </w:p>
    <w:p>
      <w:pPr>
        <w:pStyle w:val="BodyText"/>
      </w:pPr>
      <w:r>
        <w:rPr>
          <w:rFonts w:hint="eastAsia"/>
        </w:rPr>
        <w:t xml:space="preserve">所收購資產及負債公平值及收購CMLA所產生的最終商譽的詳情載列如下：</w:t>
      </w:r>
    </w:p>
    <w:p>
      <w:pPr>
        <w:pStyle w:val="BodyText"/>
      </w:pPr>
      <w:r>
        <w:rPr>
          <w:rFonts w:hint="eastAsia"/>
        </w:rPr>
        <w:t xml:space="preserve">百萬美元</w:t>
      </w:r>
    </w:p>
    <w:p>
      <w:pPr>
        <w:pStyle w:val="BodyText"/>
      </w:pPr>
      <w:r>
        <w:rPr>
          <w:rFonts w:hint="eastAsia"/>
        </w:rPr>
        <w:t xml:space="preserve">代價的暫定公平值</w:t>
      </w:r>
    </w:p>
    <w:p>
      <w:pPr>
        <w:pStyle w:val="BodyText"/>
      </w:pPr>
      <w:r>
        <w:rPr>
          <w:rFonts w:hint="eastAsia"/>
        </w:rPr>
        <w:t xml:space="preserve">購買價格的調整</w:t>
      </w:r>
    </w:p>
    <w:p>
      <w:pPr>
        <w:pStyle w:val="BodyText"/>
      </w:pPr>
      <w:r>
        <w:rPr>
          <w:rFonts w:hint="eastAsia"/>
        </w:rPr>
        <w:t xml:space="preserve">最終購買代價</w:t>
      </w:r>
    </w:p>
    <w:p>
      <w:pPr>
        <w:pStyle w:val="BodyText"/>
      </w:pPr>
      <w:r>
        <w:rPr>
          <w:rFonts w:hint="eastAsia"/>
        </w:rPr>
        <w:t xml:space="preserve">於收購日期的公平值</w:t>
      </w:r>
    </w:p>
    <w:p>
      <w:pPr>
        <w:pStyle w:val="BodyText"/>
      </w:pPr>
      <w:r>
        <w:rPr>
          <w:rFonts w:hint="eastAsia"/>
        </w:rPr>
        <w:t xml:space="preserve">投資證券</w:t>
      </w:r>
    </w:p>
    <w:p>
      <w:pPr>
        <w:pStyle w:val="BodyText"/>
      </w:pPr>
      <w:r>
        <w:rPr>
          <w:rFonts w:hint="eastAsia"/>
        </w:rPr>
        <w:t xml:space="preserve">再保險資產</w:t>
      </w:r>
    </w:p>
    <w:p>
      <w:pPr>
        <w:pStyle w:val="BodyText"/>
      </w:pPr>
      <w:r>
        <w:rPr>
          <w:rFonts w:hint="eastAsia"/>
        </w:rPr>
        <w:t xml:space="preserve">其他資產(1)</w:t>
      </w:r>
    </w:p>
    <w:p>
      <w:pPr>
        <w:pStyle w:val="BodyText"/>
      </w:pPr>
      <w:r>
        <w:rPr>
          <w:rFonts w:hint="eastAsia"/>
        </w:rPr>
        <w:t xml:space="preserve">現金及現金等價物</w:t>
      </w:r>
    </w:p>
    <w:p>
      <w:pPr>
        <w:pStyle w:val="BodyText"/>
      </w:pPr>
      <w:r>
        <w:rPr>
          <w:rFonts w:hint="eastAsia"/>
        </w:rPr>
        <w:t xml:space="preserve">保險及投資合約負債</w:t>
      </w:r>
    </w:p>
    <w:p>
      <w:pPr>
        <w:pStyle w:val="BodyText"/>
      </w:pPr>
      <w:r>
        <w:rPr>
          <w:rFonts w:hint="eastAsia"/>
        </w:rPr>
        <w:t xml:space="preserve">遞延稅項負債</w:t>
      </w:r>
    </w:p>
    <w:p>
      <w:pPr>
        <w:pStyle w:val="BodyText"/>
      </w:pPr>
      <w:r>
        <w:rPr>
          <w:rFonts w:hint="eastAsia"/>
        </w:rPr>
        <w:t xml:space="preserve">其他負債</w:t>
      </w:r>
    </w:p>
    <w:p>
      <w:pPr>
        <w:pStyle w:val="BodyText"/>
      </w:pPr>
      <w:r>
        <w:rPr>
          <w:rFonts w:hint="eastAsia"/>
        </w:rPr>
        <w:t xml:space="preserve">已收購淨資產</w:t>
      </w:r>
    </w:p>
    <w:p>
      <w:pPr>
        <w:pStyle w:val="BodyText"/>
      </w:pPr>
      <w:r>
        <w:rPr>
          <w:rFonts w:hint="eastAsia"/>
        </w:rPr>
        <w:t xml:space="preserve">收購產生的最終商譽</w:t>
      </w:r>
    </w:p>
    <w:p>
      <w:pPr>
        <w:pStyle w:val="BodyText"/>
      </w:pPr>
      <w:r>
        <w:rPr>
          <w:rFonts w:hint="eastAsia"/>
        </w:rPr>
        <w:t xml:space="preserve">附註：</w:t>
      </w:r>
    </w:p>
    <w:p>
      <w:pPr>
        <w:pStyle w:val="BodyText"/>
      </w:pPr>
      <w:r>
        <w:t xml:space="preserve">1,454</w:t>
      </w:r>
    </w:p>
    <w:p>
      <w:pPr>
        <w:pStyle w:val="BodyText"/>
      </w:pPr>
      <w:r>
        <w:t xml:space="preserve">18</w:t>
      </w:r>
    </w:p>
    <w:p>
      <w:pPr>
        <w:pStyle w:val="BodyText"/>
      </w:pPr>
      <w:r>
        <w:t xml:space="preserve">1,472</w:t>
      </w:r>
    </w:p>
    <w:p>
      <w:pPr>
        <w:pStyle w:val="BodyText"/>
      </w:pPr>
      <w:r>
        <w:t xml:space="preserve">7,116</w:t>
      </w:r>
    </w:p>
    <w:p>
      <w:pPr>
        <w:pStyle w:val="BodyText"/>
      </w:pPr>
      <w:r>
        <w:t xml:space="preserve">329</w:t>
      </w:r>
    </w:p>
    <w:p>
      <w:pPr>
        <w:pStyle w:val="BodyText"/>
      </w:pPr>
      <w:r>
        <w:t xml:space="preserve">441</w:t>
      </w:r>
    </w:p>
    <w:p>
      <w:pPr>
        <w:pStyle w:val="BodyText"/>
      </w:pPr>
      <w:r>
        <w:t xml:space="preserve">356</w:t>
      </w:r>
    </w:p>
    <w:p>
      <w:pPr>
        <w:pStyle w:val="BodyText"/>
      </w:pPr>
      <w:r>
        <w:t xml:space="preserve">(6,811)</w:t>
      </w:r>
    </w:p>
    <w:p>
      <w:pPr>
        <w:pStyle w:val="FirstParagraph"/>
      </w:pPr>
      <w:r>
        <w:t xml:space="preserve">896</w:t>
      </w:r>
    </w:p>
    <w:p>
      <w:pPr>
        <w:pStyle w:val="BodyText"/>
      </w:pPr>
      <w:r>
        <w:t xml:space="preserve">576</w:t>
      </w:r>
    </w:p>
    <w:p>
      <w:pPr>
        <w:pStyle w:val="Compact"/>
        <w:numPr>
          <w:ilvl w:val="0"/>
          <w:numId w:val="1225"/>
        </w:numPr>
      </w:pPr>
      <w:r>
        <w:rPr>
          <w:rFonts w:hint="eastAsia"/>
        </w:rPr>
        <w:t xml:space="preserve">其他資產包括已收取應收款項（包括保險及其他應收款項），於收購日期其公平值與合約總額相若。於收購日期，並無預期無法收回的來自已收</w:t>
      </w:r>
    </w:p>
    <w:p>
      <w:pPr>
        <w:pStyle w:val="FirstParagraph"/>
      </w:pPr>
      <w:r>
        <w:rPr>
          <w:rFonts w:hint="eastAsia"/>
        </w:rPr>
        <w:t xml:space="preserve">取應收款項的合約現金流量金額。</w:t>
      </w:r>
    </w:p>
    <w:p>
      <w:pPr>
        <w:pStyle w:val="Compact"/>
        <w:numPr>
          <w:ilvl w:val="0"/>
          <w:numId w:val="1226"/>
        </w:numPr>
      </w:pPr>
      <w:r>
        <w:rPr>
          <w:rFonts w:hint="eastAsia"/>
        </w:rPr>
        <w:t xml:space="preserve">保費及收費收入</w:t>
      </w:r>
    </w:p>
    <w:p>
      <w:pPr>
        <w:pStyle w:val="FirstParagraph"/>
      </w:pPr>
      <w:r>
        <w:rPr>
          <w:rFonts w:hint="eastAsia"/>
        </w:rPr>
        <w:t xml:space="preserve">計入保費及收費收入的1.91億美元（2019年：1.42億美元）為不具備酌情分紅特點的投資合約的收費收入（指就不具備酌情分</w:t>
      </w:r>
    </w:p>
    <w:p>
      <w:pPr>
        <w:pStyle w:val="BodyText"/>
      </w:pPr>
      <w:r>
        <w:rPr>
          <w:rFonts w:hint="eastAsia"/>
        </w:rPr>
        <w:t xml:space="preserve">紅特點的投資合約提供投資管理服務所收取的費用，通常隨在管資產價值變化）以及遞延收費收入的解除。就所收取的投資</w:t>
      </w:r>
    </w:p>
    <w:p>
      <w:pPr>
        <w:pStyle w:val="BodyText"/>
      </w:pPr>
      <w:r>
        <w:rPr>
          <w:rFonts w:hint="eastAsia"/>
        </w:rPr>
        <w:t xml:space="preserve">管理服務費而言，收益於提供服務時確認且費用自客戶的帳戶結餘扣除。</w:t>
      </w:r>
    </w:p>
    <w:p>
      <w:pPr>
        <w:pStyle w:val="BodyText"/>
      </w:pPr>
      <w:r>
        <w:rPr>
          <w:rFonts w:hint="eastAsia"/>
        </w:rPr>
        <w:t xml:space="preserve">一般而言，客戶可於訂立合約後隨時取消不具備酌情分紅特點的投資合約，惟須支付退保手續費而其並非收益的重要組成部</w:t>
      </w:r>
    </w:p>
    <w:p>
      <w:pPr>
        <w:pStyle w:val="BodyText"/>
      </w:pPr>
      <w:r>
        <w:rPr>
          <w:rFonts w:hint="eastAsia"/>
        </w:rPr>
        <w:t xml:space="preserve">分。</w:t>
      </w:r>
    </w:p>
    <w:p>
      <w:pPr>
        <w:pStyle w:val="BodyText"/>
      </w:pPr>
      <w:r>
        <w:t xml:space="preserve">173</w:t>
      </w:r>
    </w:p>
    <w:p>
      <w:pPr>
        <w:pStyle w:val="BodyText"/>
      </w:pPr>
      <w:r>
        <w:rPr>
          <w:rFonts w:hint="eastAsia"/>
        </w:rPr>
        <w:t xml:space="preserve">概覽財務及營運回顧企業管治其他資料財務報表2020年報</w:t>
      </w:r>
    </w:p>
    <w:p>
      <w:pPr>
        <w:pStyle w:val="Compact"/>
        <w:numPr>
          <w:ilvl w:val="0"/>
          <w:numId w:val="1227"/>
        </w:numPr>
      </w:pPr>
      <w:r>
        <w:rPr>
          <w:rFonts w:hint="eastAsia"/>
        </w:rPr>
        <w:t xml:space="preserve">稅後營運溢利</w:t>
      </w:r>
    </w:p>
    <w:p>
      <w:pPr>
        <w:pStyle w:val="FirstParagraph"/>
      </w:pPr>
      <w:r>
        <w:rPr>
          <w:rFonts w:hint="eastAsia"/>
        </w:rPr>
        <w:t xml:space="preserve">稅後營運溢利與純利的對賬如下：</w:t>
      </w:r>
    </w:p>
    <w:p>
      <w:pPr>
        <w:pStyle w:val="BodyText"/>
      </w:pPr>
      <w:r>
        <w:rPr>
          <w:rFonts w:hint="eastAsia"/>
        </w:rPr>
        <w:t xml:space="preserve">百萬美元</w:t>
      </w:r>
    </w:p>
    <w:p>
      <w:pPr>
        <w:pStyle w:val="BodyText"/>
      </w:pPr>
      <w:r>
        <w:rPr>
          <w:rFonts w:hint="eastAsia"/>
        </w:rPr>
        <w:t xml:space="preserve">稅後營運溢利</w:t>
      </w:r>
    </w:p>
    <w:p>
      <w:pPr>
        <w:pStyle w:val="BodyText"/>
      </w:pPr>
      <w:r>
        <w:rPr>
          <w:rFonts w:hint="eastAsia"/>
        </w:rPr>
        <w:t xml:space="preserve">非營運項目，已扣除保險及投資合約負債以及稅項的相關變動：</w:t>
      </w:r>
    </w:p>
    <w:p>
      <w:pPr>
        <w:pStyle w:val="BodyText"/>
      </w:pPr>
      <w:r>
        <w:rPr>
          <w:rFonts w:hint="eastAsia"/>
        </w:rPr>
        <w:t xml:space="preserve">有關股權及房地產投資回報的短期波動(1)</w:t>
      </w:r>
    </w:p>
    <w:p>
      <w:pPr>
        <w:pStyle w:val="BodyText"/>
      </w:pPr>
      <w:r>
        <w:rPr>
          <w:rFonts w:hint="eastAsia"/>
        </w:rPr>
        <w:t xml:space="preserve">持作自用物業的重估虧損</w:t>
      </w:r>
      <w:r>
        <w:t xml:space="preserve"> </w:t>
      </w:r>
      <w:r>
        <w:rPr>
          <w:rFonts w:hint="eastAsia"/>
        </w:rPr>
        <w:t xml:space="preserve">∕（收益）之重新分類(1)</w:t>
      </w:r>
    </w:p>
    <w:p>
      <w:pPr>
        <w:pStyle w:val="BodyText"/>
      </w:pPr>
      <w:r>
        <w:rPr>
          <w:rFonts w:hint="eastAsia"/>
        </w:rPr>
        <w:t xml:space="preserve">企業交易相關成本</w:t>
      </w:r>
    </w:p>
    <w:p>
      <w:pPr>
        <w:pStyle w:val="BodyText"/>
      </w:pPr>
      <w:r>
        <w:rPr>
          <w:rFonts w:hint="eastAsia"/>
        </w:rPr>
        <w:t xml:space="preserve">實施新會計準則的成本</w:t>
      </w:r>
    </w:p>
    <w:p>
      <w:pPr>
        <w:pStyle w:val="BodyText"/>
      </w:pPr>
      <w:r>
        <w:rPr>
          <w:rFonts w:hint="eastAsia"/>
        </w:rPr>
        <w:t xml:space="preserve">其他非營運投資回報及其他項目(2)</w:t>
      </w:r>
    </w:p>
    <w:p>
      <w:pPr>
        <w:pStyle w:val="BodyText"/>
      </w:pPr>
      <w:r>
        <w:rPr>
          <w:rFonts w:hint="eastAsia"/>
        </w:rPr>
        <w:t xml:space="preserve">小計(3)</w:t>
      </w:r>
    </w:p>
    <w:p>
      <w:pPr>
        <w:pStyle w:val="BodyText"/>
      </w:pPr>
      <w:r>
        <w:rPr>
          <w:rFonts w:hint="eastAsia"/>
        </w:rPr>
        <w:t xml:space="preserve">純利</w:t>
      </w:r>
    </w:p>
    <w:p>
      <w:pPr>
        <w:pStyle w:val="BodyText"/>
      </w:pPr>
      <w:r>
        <w:rPr>
          <w:rFonts w:hint="eastAsia"/>
        </w:rPr>
        <w:t xml:space="preserve">下列人士應佔稅後營運溢利：</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下列人士應佔純利：</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附註：</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r>
        <w:br/>
      </w:r>
      <w:r>
        <w:rPr>
          <w:rFonts w:hint="eastAsia"/>
        </w:rPr>
        <w:t xml:space="preserve">（經調整）</w:t>
      </w:r>
    </w:p>
    <w:p>
      <w:pPr>
        <w:pStyle w:val="BodyText"/>
      </w:pPr>
      <w:r>
        <w:t xml:space="preserve">5,986</w:t>
      </w:r>
    </w:p>
    <w:p>
      <w:pPr>
        <w:pStyle w:val="BodyText"/>
      </w:pPr>
      <w:r>
        <w:t xml:space="preserve">5,734</w:t>
      </w:r>
    </w:p>
    <w:p>
      <w:pPr>
        <w:pStyle w:val="BodyText"/>
      </w:pPr>
      <w:r>
        <w:rPr>
          <w:rFonts w:hint="eastAsia"/>
        </w:rPr>
        <w:t xml:space="preserve">附註</w:t>
      </w:r>
    </w:p>
    <w:p>
      <w:pPr>
        <w:pStyle w:val="BodyText"/>
      </w:pPr>
      <w:r>
        <w:t xml:space="preserve">9</w:t>
      </w:r>
    </w:p>
    <w:p>
      <w:pPr>
        <w:pStyle w:val="FirstParagraph"/>
      </w:pPr>
      <w:r>
        <w:t xml:space="preserve">52</w:t>
      </w:r>
    </w:p>
    <w:p>
      <w:pPr>
        <w:pStyle w:val="FirstParagraph"/>
      </w:pPr>
      <w:r>
        <w:t xml:space="preserve">252</w:t>
      </w:r>
    </w:p>
    <w:p>
      <w:pPr>
        <w:pStyle w:val="FirstParagraph"/>
      </w:pPr>
      <w:r>
        <w:t xml:space="preserve">5,779</w:t>
      </w:r>
    </w:p>
    <w:p>
      <w:pPr>
        <w:pStyle w:val="BodyText"/>
      </w:pPr>
      <w:r>
        <w:t xml:space="preserve">5,942</w:t>
      </w:r>
    </w:p>
    <w:p>
      <w:pPr>
        <w:pStyle w:val="BodyText"/>
      </w:pPr>
      <w:r>
        <w:t xml:space="preserve">44</w:t>
      </w:r>
    </w:p>
    <w:p>
      <w:pPr>
        <w:pStyle w:val="BodyText"/>
      </w:pPr>
      <w:r>
        <w:t xml:space="preserve">5,779</w:t>
      </w:r>
    </w:p>
    <w:p>
      <w:pPr>
        <w:pStyle w:val="BodyText"/>
      </w:pPr>
      <w:r>
        <w:t xml:space="preserve">–</w:t>
      </w:r>
    </w:p>
    <w:p>
      <w:pPr>
        <w:pStyle w:val="BodyText"/>
      </w:pPr>
      <w:r>
        <w:t xml:space="preserve">305</w:t>
      </w:r>
    </w:p>
    <w:p>
      <w:pPr>
        <w:pStyle w:val="FirstParagraph"/>
      </w:pPr>
      <w:r>
        <w:t xml:space="preserve">256</w:t>
      </w:r>
    </w:p>
    <w:p>
      <w:pPr>
        <w:pStyle w:val="BodyText"/>
      </w:pPr>
      <w:r>
        <w:t xml:space="preserve">284</w:t>
      </w:r>
    </w:p>
    <w:p>
      <w:pPr>
        <w:pStyle w:val="BodyText"/>
      </w:pPr>
      <w:r>
        <w:t xml:space="preserve">6,018</w:t>
      </w:r>
    </w:p>
    <w:p>
      <w:pPr>
        <w:pStyle w:val="BodyText"/>
      </w:pPr>
      <w:r>
        <w:t xml:space="preserve">5,689</w:t>
      </w:r>
    </w:p>
    <w:p>
      <w:pPr>
        <w:pStyle w:val="BodyText"/>
      </w:pPr>
      <w:r>
        <w:t xml:space="preserve">45</w:t>
      </w:r>
    </w:p>
    <w:p>
      <w:pPr>
        <w:pStyle w:val="BodyText"/>
      </w:pPr>
      <w:r>
        <w:t xml:space="preserve">5,979</w:t>
      </w:r>
    </w:p>
    <w:p>
      <w:pPr>
        <w:pStyle w:val="BodyText"/>
      </w:pPr>
      <w:r>
        <w:t xml:space="preserve">39</w:t>
      </w:r>
    </w:p>
    <w:p>
      <w:pPr>
        <w:numPr>
          <w:ilvl w:val="0"/>
          <w:numId w:val="1232"/>
        </w:numPr>
      </w:pPr>
      <w:r>
        <w:rPr>
          <w:rFonts w:hint="eastAsia"/>
        </w:rPr>
        <w:t xml:space="preserve">投資回報的短期波動包括持作自用物業的重估收益及虧損。此金額重新分類以自純利中扣除以符合國際財務報告準則計量及呈列。</w:t>
      </w:r>
    </w:p>
    <w:p>
      <w:pPr>
        <w:numPr>
          <w:ilvl w:val="0"/>
          <w:numId w:val="1232"/>
        </w:numPr>
      </w:pPr>
      <w:r>
        <w:rPr>
          <w:rFonts w:hint="eastAsia"/>
        </w:rPr>
        <w:t xml:space="preserve">包括與未確認稅務狀況撥備相關的稅項開支。</w:t>
      </w:r>
    </w:p>
    <w:p>
      <w:pPr>
        <w:numPr>
          <w:ilvl w:val="0"/>
          <w:numId w:val="1232"/>
        </w:numPr>
      </w:pPr>
      <w:r>
        <w:rPr>
          <w:rFonts w:hint="eastAsia"/>
        </w:rPr>
        <w:t xml:space="preserve">此金額已扣除稅項(3.60)億美元（2019年：零）。稅前金額為1.53億美元（2019年：2.84億美元）。</w:t>
      </w:r>
    </w:p>
    <w:p>
      <w:pPr>
        <w:pStyle w:val="FirstParagraph"/>
      </w:pPr>
      <w:r>
        <w:rPr>
          <w:rFonts w:hint="eastAsia"/>
        </w:rPr>
        <w:t xml:space="preserve">營運溢利乃通過（其中包括）股權及房地產的預期長期投資回報釐定。該等資產類別的預期長期投資回報與實際投資回報之</w:t>
      </w:r>
    </w:p>
    <w:p>
      <w:pPr>
        <w:pStyle w:val="BodyText"/>
      </w:pPr>
      <w:r>
        <w:rPr>
          <w:rFonts w:hint="eastAsia"/>
        </w:rPr>
        <w:t xml:space="preserve">間的短期波動不包括在營運溢利。釐定預期長期投資回報時所用的投資回報假設與本集團在釐定其內涵價值時所用並在內涵</w:t>
      </w:r>
    </w:p>
    <w:p>
      <w:pPr>
        <w:pStyle w:val="BodyText"/>
      </w:pPr>
      <w:r>
        <w:rPr>
          <w:rFonts w:hint="eastAsia"/>
        </w:rPr>
        <w:t xml:space="preserve">價值補充資料中披露的假設相同。</w:t>
      </w:r>
    </w:p>
    <w:p>
      <w:pPr>
        <w:pStyle w:val="BodyText"/>
      </w:pPr>
      <w:r>
        <w:t xml:space="preserve">174</w:t>
      </w:r>
    </w:p>
    <w:p>
      <w:pPr>
        <w:pStyle w:val="BodyText"/>
      </w:pPr>
      <w:r>
        <w:rPr>
          <w:rFonts w:hint="eastAsia"/>
        </w:rPr>
        <w:t xml:space="preserve">友邦保險控股有限公司</w:t>
      </w:r>
    </w:p>
    <w:p>
      <w:pPr>
        <w:pStyle w:val="Compact"/>
        <w:numPr>
          <w:ilvl w:val="0"/>
          <w:numId w:val="1233"/>
        </w:numPr>
      </w:pPr>
      <w:r>
        <w:rPr>
          <w:rFonts w:hint="eastAsia"/>
        </w:rPr>
        <w:t xml:space="preserve">總加權保費收入及年化新保費</w:t>
      </w:r>
    </w:p>
    <w:p>
      <w:pPr>
        <w:pStyle w:val="FirstParagraph"/>
      </w:pPr>
      <w:r>
        <w:rPr>
          <w:rFonts w:hint="eastAsia"/>
        </w:rPr>
        <w:t xml:space="preserve">管理層進行決策及內部表現管理時，以本集團總加權保費收入作為量度年內營業額的表現計量標準，並以年化新保費作為量</w:t>
      </w:r>
    </w:p>
    <w:p>
      <w:pPr>
        <w:pStyle w:val="BodyText"/>
      </w:pPr>
      <w:r>
        <w:rPr>
          <w:rFonts w:hint="eastAsia"/>
        </w:rPr>
        <w:t xml:space="preserve">度新業務的表現計量標準。本附註的呈列乃與附註9的報告分部呈列一致。</w:t>
      </w:r>
    </w:p>
    <w:p>
      <w:pPr>
        <w:pStyle w:val="BodyText"/>
      </w:pPr>
      <w:r>
        <w:rPr>
          <w:rFonts w:hint="eastAsia"/>
        </w:rPr>
        <w:t xml:space="preserve">總加權保費收入由再保險分出前的續保保費100%、首年保費100%及整付保費10%所組成，當中包括根據本集團會計政策計</w:t>
      </w:r>
    </w:p>
    <w:p>
      <w:pPr>
        <w:pStyle w:val="BodyText"/>
      </w:pPr>
      <w:r>
        <w:rPr>
          <w:rFonts w:hint="eastAsia"/>
        </w:rPr>
        <w:t xml:space="preserve">列為存款的保費存款及合約供款。</w:t>
      </w:r>
    </w:p>
    <w:p>
      <w:pPr>
        <w:pStyle w:val="BodyText"/>
      </w:pPr>
      <w:r>
        <w:rPr>
          <w:rFonts w:hint="eastAsia"/>
        </w:rPr>
        <w:t xml:space="preserve">管理層認為總加權保費收入為報告期間有潛在能力為股東產生溢利的交易提供一個指標性的交易量計量標準。所列示數額並</w:t>
      </w:r>
    </w:p>
    <w:p>
      <w:pPr>
        <w:pStyle w:val="BodyText"/>
      </w:pPr>
      <w:r>
        <w:rPr>
          <w:rFonts w:hint="eastAsia"/>
        </w:rPr>
        <w:t xml:space="preserve">不打算成為合併收入表中所記錄的保費及收費收入的指標。</w:t>
      </w:r>
    </w:p>
    <w:p>
      <w:pPr>
        <w:pStyle w:val="BodyText"/>
      </w:pPr>
      <w:r>
        <w:rPr>
          <w:rFonts w:hint="eastAsia"/>
        </w:rPr>
        <w:t xml:space="preserve">年化新保費是新業務的關鍵內部衡量指標，由再保險分出前的年化首年保費100%及整付保費10%所組成。年化新保費不包</w:t>
      </w:r>
    </w:p>
    <w:p>
      <w:pPr>
        <w:pStyle w:val="BodyText"/>
      </w:pPr>
      <w:r>
        <w:rPr>
          <w:rFonts w:hint="eastAsia"/>
        </w:rPr>
        <w:t xml:space="preserve">括退休金業務、個人險種及汽車保險的新業務。</w:t>
      </w:r>
    </w:p>
    <w:p>
      <w:pPr>
        <w:pStyle w:val="BodyText"/>
      </w:pPr>
      <w:r>
        <w:rPr>
          <w:rFonts w:hint="eastAsia"/>
        </w:rPr>
        <w:t xml:space="preserve">總加權保費收入</w:t>
      </w:r>
      <w:r>
        <w:br/>
      </w:r>
      <w:r>
        <w:rPr>
          <w:rFonts w:hint="eastAsia"/>
        </w:rPr>
        <w:t xml:space="preserve">百萬美元</w:t>
      </w:r>
    </w:p>
    <w:p>
      <w:pPr>
        <w:pStyle w:val="BodyText"/>
      </w:pPr>
      <w:r>
        <w:rPr>
          <w:rFonts w:hint="eastAsia"/>
        </w:rPr>
        <w:t xml:space="preserve">各地區的總加權保費收入</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其他市場</w:t>
      </w:r>
    </w:p>
    <w:p>
      <w:pPr>
        <w:pStyle w:val="BodyText"/>
      </w:pPr>
      <w:r>
        <w:rPr>
          <w:rFonts w:hint="eastAsia"/>
        </w:rPr>
        <w:t xml:space="preserve">總計</w:t>
      </w:r>
    </w:p>
    <w:p>
      <w:pPr>
        <w:pStyle w:val="BodyText"/>
      </w:pPr>
      <w:r>
        <w:rPr>
          <w:rFonts w:hint="eastAsia"/>
        </w:rPr>
        <w:t xml:space="preserve">各地區的首年保費</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其他市場</w:t>
      </w:r>
    </w:p>
    <w:p>
      <w:pPr>
        <w:pStyle w:val="BodyText"/>
      </w:pPr>
      <w:r>
        <w:rPr>
          <w:rFonts w:hint="eastAsia"/>
        </w:rPr>
        <w:t xml:space="preserve">總計</w:t>
      </w:r>
    </w:p>
    <w:p>
      <w:pPr>
        <w:pStyle w:val="BodyText"/>
      </w:pPr>
      <w:r>
        <w:rPr>
          <w:rFonts w:hint="eastAsia"/>
        </w:rPr>
        <w:t xml:space="preserve">各地區的整付保費</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其他市場</w:t>
      </w:r>
    </w:p>
    <w:p>
      <w:pPr>
        <w:pStyle w:val="BodyText"/>
      </w:pPr>
      <w:r>
        <w:rPr>
          <w:rFonts w:hint="eastAsia"/>
        </w:rPr>
        <w:t xml:space="preserve">總計</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13,042</w:t>
      </w:r>
    </w:p>
    <w:p>
      <w:pPr>
        <w:pStyle w:val="BodyText"/>
      </w:pPr>
      <w:r>
        <w:t xml:space="preserve">13,107</w:t>
      </w:r>
    </w:p>
    <w:p>
      <w:pPr>
        <w:pStyle w:val="BodyText"/>
      </w:pPr>
      <w:r>
        <w:t xml:space="preserve">4,462</w:t>
      </w:r>
    </w:p>
    <w:p>
      <w:pPr>
        <w:pStyle w:val="BodyText"/>
      </w:pPr>
      <w:r>
        <w:t xml:space="preserve">3,088</w:t>
      </w:r>
    </w:p>
    <w:p>
      <w:pPr>
        <w:pStyle w:val="BodyText"/>
      </w:pPr>
      <w:r>
        <w:t xml:space="preserve">2,216</w:t>
      </w:r>
    </w:p>
    <w:p>
      <w:pPr>
        <w:pStyle w:val="BodyText"/>
      </w:pPr>
      <w:r>
        <w:t xml:space="preserve">5,622</w:t>
      </w:r>
    </w:p>
    <w:p>
      <w:pPr>
        <w:pStyle w:val="BodyText"/>
      </w:pPr>
      <w:r>
        <w:t xml:space="preserve">6,978</w:t>
      </w:r>
    </w:p>
    <w:p>
      <w:pPr>
        <w:pStyle w:val="BodyText"/>
      </w:pPr>
      <w:r>
        <w:t xml:space="preserve">4,352</w:t>
      </w:r>
    </w:p>
    <w:p>
      <w:pPr>
        <w:pStyle w:val="BodyText"/>
      </w:pPr>
      <w:r>
        <w:t xml:space="preserve">2,916</w:t>
      </w:r>
    </w:p>
    <w:p>
      <w:pPr>
        <w:pStyle w:val="BodyText"/>
      </w:pPr>
      <w:r>
        <w:t xml:space="preserve">2,142</w:t>
      </w:r>
    </w:p>
    <w:p>
      <w:pPr>
        <w:pStyle w:val="BodyText"/>
      </w:pPr>
      <w:r>
        <w:t xml:space="preserve">4,804</w:t>
      </w:r>
    </w:p>
    <w:p>
      <w:pPr>
        <w:pStyle w:val="BodyText"/>
      </w:pPr>
      <w:r>
        <w:t xml:space="preserve">6,681</w:t>
      </w:r>
    </w:p>
    <w:p>
      <w:pPr>
        <w:pStyle w:val="BodyText"/>
      </w:pPr>
      <w:r>
        <w:t xml:space="preserve">35,408</w:t>
      </w:r>
    </w:p>
    <w:p>
      <w:pPr>
        <w:pStyle w:val="BodyText"/>
      </w:pPr>
      <w:r>
        <w:t xml:space="preserve">34,002</w:t>
      </w:r>
    </w:p>
    <w:p>
      <w:pPr>
        <w:pStyle w:val="BodyText"/>
      </w:pPr>
      <w:r>
        <w:t xml:space="preserve">910</w:t>
      </w:r>
    </w:p>
    <w:p>
      <w:pPr>
        <w:pStyle w:val="BodyText"/>
      </w:pPr>
      <w:r>
        <w:t xml:space="preserve">605</w:t>
      </w:r>
    </w:p>
    <w:p>
      <w:pPr>
        <w:pStyle w:val="BodyText"/>
      </w:pPr>
      <w:r>
        <w:t xml:space="preserve">342</w:t>
      </w:r>
    </w:p>
    <w:p>
      <w:pPr>
        <w:pStyle w:val="BodyText"/>
      </w:pPr>
      <w:r>
        <w:t xml:space="preserve">321</w:t>
      </w:r>
    </w:p>
    <w:p>
      <w:pPr>
        <w:pStyle w:val="BodyText"/>
      </w:pPr>
      <w:r>
        <w:t xml:space="preserve">1,149</w:t>
      </w:r>
    </w:p>
    <w:p>
      <w:pPr>
        <w:pStyle w:val="BodyText"/>
      </w:pPr>
      <w:r>
        <w:t xml:space="preserve">1,013</w:t>
      </w:r>
    </w:p>
    <w:p>
      <w:pPr>
        <w:pStyle w:val="BodyText"/>
      </w:pPr>
      <w:r>
        <w:t xml:space="preserve">4,340</w:t>
      </w:r>
    </w:p>
    <w:p>
      <w:pPr>
        <w:pStyle w:val="BodyText"/>
      </w:pPr>
      <w:r>
        <w:t xml:space="preserve">1,891</w:t>
      </w:r>
    </w:p>
    <w:p>
      <w:pPr>
        <w:pStyle w:val="BodyText"/>
      </w:pPr>
      <w:r>
        <w:t xml:space="preserve">239</w:t>
      </w:r>
    </w:p>
    <w:p>
      <w:pPr>
        <w:pStyle w:val="BodyText"/>
      </w:pPr>
      <w:r>
        <w:t xml:space="preserve">1,319</w:t>
      </w:r>
    </w:p>
    <w:p>
      <w:pPr>
        <w:pStyle w:val="BodyText"/>
      </w:pPr>
      <w:r>
        <w:t xml:space="preserve">243</w:t>
      </w:r>
    </w:p>
    <w:p>
      <w:pPr>
        <w:pStyle w:val="BodyText"/>
      </w:pPr>
      <w:r>
        <w:t xml:space="preserve">322</w:t>
      </w:r>
    </w:p>
    <w:p>
      <w:pPr>
        <w:pStyle w:val="BodyText"/>
      </w:pPr>
      <w:r>
        <w:t xml:space="preserve">924</w:t>
      </w:r>
    </w:p>
    <w:p>
      <w:pPr>
        <w:pStyle w:val="BodyText"/>
      </w:pPr>
      <w:r>
        <w:t xml:space="preserve">2,134</w:t>
      </w:r>
    </w:p>
    <w:p>
      <w:pPr>
        <w:pStyle w:val="BodyText"/>
      </w:pPr>
      <w:r>
        <w:t xml:space="preserve">694</w:t>
      </w:r>
    </w:p>
    <w:p>
      <w:pPr>
        <w:pStyle w:val="BodyText"/>
      </w:pPr>
      <w:r>
        <w:t xml:space="preserve">367</w:t>
      </w:r>
    </w:p>
    <w:p>
      <w:pPr>
        <w:pStyle w:val="BodyText"/>
      </w:pPr>
      <w:r>
        <w:t xml:space="preserve">325</w:t>
      </w:r>
    </w:p>
    <w:p>
      <w:pPr>
        <w:pStyle w:val="BodyText"/>
      </w:pPr>
      <w:r>
        <w:t xml:space="preserve">1,204</w:t>
      </w:r>
    </w:p>
    <w:p>
      <w:pPr>
        <w:pStyle w:val="BodyText"/>
      </w:pPr>
      <w:r>
        <w:t xml:space="preserve">935</w:t>
      </w:r>
    </w:p>
    <w:p>
      <w:pPr>
        <w:pStyle w:val="BodyText"/>
      </w:pPr>
      <w:r>
        <w:t xml:space="preserve">5,659</w:t>
      </w:r>
    </w:p>
    <w:p>
      <w:pPr>
        <w:pStyle w:val="BodyText"/>
      </w:pPr>
      <w:r>
        <w:t xml:space="preserve">2,089</w:t>
      </w:r>
    </w:p>
    <w:p>
      <w:pPr>
        <w:pStyle w:val="BodyText"/>
      </w:pPr>
      <w:r>
        <w:t xml:space="preserve">222</w:t>
      </w:r>
    </w:p>
    <w:p>
      <w:pPr>
        <w:pStyle w:val="BodyText"/>
      </w:pPr>
      <w:r>
        <w:t xml:space="preserve">1,258</w:t>
      </w:r>
    </w:p>
    <w:p>
      <w:pPr>
        <w:pStyle w:val="BodyText"/>
      </w:pPr>
      <w:r>
        <w:t xml:space="preserve">234</w:t>
      </w:r>
    </w:p>
    <w:p>
      <w:pPr>
        <w:pStyle w:val="BodyText"/>
      </w:pPr>
      <w:r>
        <w:t xml:space="preserve">326</w:t>
      </w:r>
    </w:p>
    <w:p>
      <w:pPr>
        <w:pStyle w:val="BodyText"/>
      </w:pPr>
      <w:r>
        <w:t xml:space="preserve">722</w:t>
      </w:r>
    </w:p>
    <w:p>
      <w:pPr>
        <w:pStyle w:val="BodyText"/>
      </w:pPr>
      <w:r>
        <w:t xml:space="preserve">4,938</w:t>
      </w:r>
    </w:p>
    <w:p>
      <w:pPr>
        <w:pStyle w:val="BodyText"/>
      </w:pPr>
      <w:r>
        <w:t xml:space="preserve">4,851</w:t>
      </w:r>
    </w:p>
    <w:p>
      <w:pPr>
        <w:pStyle w:val="BodyText"/>
      </w:pPr>
      <w:r>
        <w:t xml:space="preserve">175</w:t>
      </w:r>
    </w:p>
    <w:p>
      <w:pPr>
        <w:pStyle w:val="BodyText"/>
      </w:pPr>
      <w:r>
        <w:rPr>
          <w:rFonts w:hint="eastAsia"/>
        </w:rPr>
        <w:t xml:space="preserve">概覽財務及營運回顧企業管治其他資料財務報表2020年報</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11,943</w:t>
      </w:r>
    </w:p>
    <w:p>
      <w:pPr>
        <w:pStyle w:val="BodyText"/>
      </w:pPr>
      <w:r>
        <w:t xml:space="preserve">10,764</w:t>
      </w:r>
    </w:p>
    <w:p>
      <w:pPr>
        <w:pStyle w:val="BodyText"/>
      </w:pPr>
      <w:r>
        <w:t xml:space="preserve">3,833</w:t>
      </w:r>
    </w:p>
    <w:p>
      <w:pPr>
        <w:pStyle w:val="BodyText"/>
      </w:pPr>
      <w:r>
        <w:t xml:space="preserve">2,614</w:t>
      </w:r>
    </w:p>
    <w:p>
      <w:pPr>
        <w:pStyle w:val="BodyText"/>
      </w:pPr>
      <w:r>
        <w:t xml:space="preserve">1,871</w:t>
      </w:r>
    </w:p>
    <w:p>
      <w:pPr>
        <w:pStyle w:val="BodyText"/>
      </w:pPr>
      <w:r>
        <w:t xml:space="preserve">4,441</w:t>
      </w:r>
    </w:p>
    <w:p>
      <w:pPr>
        <w:pStyle w:val="BodyText"/>
      </w:pPr>
      <w:r>
        <w:t xml:space="preserve">5,872</w:t>
      </w:r>
    </w:p>
    <w:p>
      <w:pPr>
        <w:pStyle w:val="BodyText"/>
      </w:pPr>
      <w:r>
        <w:t xml:space="preserve">3,636</w:t>
      </w:r>
    </w:p>
    <w:p>
      <w:pPr>
        <w:pStyle w:val="BodyText"/>
      </w:pPr>
      <w:r>
        <w:t xml:space="preserve">2,423</w:t>
      </w:r>
    </w:p>
    <w:p>
      <w:pPr>
        <w:pStyle w:val="BodyText"/>
      </w:pPr>
      <w:r>
        <w:t xml:space="preserve">1,794</w:t>
      </w:r>
    </w:p>
    <w:p>
      <w:pPr>
        <w:pStyle w:val="BodyText"/>
      </w:pPr>
      <w:r>
        <w:t xml:space="preserve">3,567</w:t>
      </w:r>
    </w:p>
    <w:p>
      <w:pPr>
        <w:pStyle w:val="BodyText"/>
      </w:pPr>
      <w:r>
        <w:t xml:space="preserve">5,674</w:t>
      </w:r>
    </w:p>
    <w:p>
      <w:pPr>
        <w:pStyle w:val="BodyText"/>
      </w:pPr>
      <w:r>
        <w:t xml:space="preserve">30,574</w:t>
      </w:r>
    </w:p>
    <w:p>
      <w:pPr>
        <w:pStyle w:val="BodyText"/>
      </w:pPr>
      <w:r>
        <w:t xml:space="preserve">27,858</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1,138</w:t>
      </w:r>
    </w:p>
    <w:p>
      <w:pPr>
        <w:pStyle w:val="BodyText"/>
      </w:pPr>
      <w:r>
        <w:t xml:space="preserve">2,393</w:t>
      </w:r>
    </w:p>
    <w:p>
      <w:pPr>
        <w:pStyle w:val="BodyText"/>
      </w:pPr>
      <w:r>
        <w:t xml:space="preserve">661</w:t>
      </w:r>
    </w:p>
    <w:p>
      <w:pPr>
        <w:pStyle w:val="BodyText"/>
      </w:pPr>
      <w:r>
        <w:t xml:space="preserve">520</w:t>
      </w:r>
    </w:p>
    <w:p>
      <w:pPr>
        <w:pStyle w:val="BodyText"/>
      </w:pPr>
      <w:r>
        <w:t xml:space="preserve">369</w:t>
      </w:r>
    </w:p>
    <w:p>
      <w:pPr>
        <w:pStyle w:val="BodyText"/>
      </w:pPr>
      <w:r>
        <w:t xml:space="preserve">1,197</w:t>
      </w:r>
    </w:p>
    <w:p>
      <w:pPr>
        <w:pStyle w:val="BodyText"/>
      </w:pPr>
      <w:r>
        <w:t xml:space="preserve">1,334</w:t>
      </w:r>
    </w:p>
    <w:p>
      <w:pPr>
        <w:pStyle w:val="BodyText"/>
      </w:pPr>
      <w:r>
        <w:t xml:space="preserve">5,219</w:t>
      </w:r>
    </w:p>
    <w:p>
      <w:pPr>
        <w:pStyle w:val="BodyText"/>
      </w:pPr>
      <w:r>
        <w:t xml:space="preserve">729</w:t>
      </w:r>
    </w:p>
    <w:p>
      <w:pPr>
        <w:pStyle w:val="BodyText"/>
      </w:pPr>
      <w:r>
        <w:t xml:space="preserve">538</w:t>
      </w:r>
    </w:p>
    <w:p>
      <w:pPr>
        <w:pStyle w:val="BodyText"/>
      </w:pPr>
      <w:r>
        <w:t xml:space="preserve">406</w:t>
      </w:r>
    </w:p>
    <w:p>
      <w:pPr>
        <w:pStyle w:val="BodyText"/>
      </w:pPr>
      <w:r>
        <w:t xml:space="preserve">1,248</w:t>
      </w:r>
    </w:p>
    <w:p>
      <w:pPr>
        <w:pStyle w:val="BodyText"/>
      </w:pPr>
      <w:r>
        <w:t xml:space="preserve">1,271</w:t>
      </w:r>
    </w:p>
    <w:p>
      <w:pPr>
        <w:pStyle w:val="BodyText"/>
      </w:pPr>
      <w:r>
        <w:t xml:space="preserve">6,585</w:t>
      </w:r>
    </w:p>
    <w:p>
      <w:pPr>
        <w:pStyle w:val="Compact"/>
        <w:numPr>
          <w:ilvl w:val="0"/>
          <w:numId w:val="1234"/>
        </w:numPr>
      </w:pPr>
      <w:r>
        <w:rPr>
          <w:rFonts w:hint="eastAsia"/>
        </w:rPr>
        <w:t xml:space="preserve">總加權保費收入及年化新保費（續）</w:t>
      </w:r>
    </w:p>
    <w:p>
      <w:pPr>
        <w:pStyle w:val="FirstParagraph"/>
      </w:pPr>
      <w:r>
        <w:rPr>
          <w:rFonts w:hint="eastAsia"/>
        </w:rPr>
        <w:t xml:space="preserve">總加權保費收入（續）</w:t>
      </w:r>
      <w:r>
        <w:br/>
      </w:r>
      <w:r>
        <w:rPr>
          <w:rFonts w:hint="eastAsia"/>
        </w:rPr>
        <w:t xml:space="preserve">百萬美元</w:t>
      </w:r>
    </w:p>
    <w:p>
      <w:pPr>
        <w:pStyle w:val="BodyText"/>
      </w:pPr>
      <w:r>
        <w:rPr>
          <w:rFonts w:hint="eastAsia"/>
        </w:rPr>
        <w:t xml:space="preserve">各地區的續保保費</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其他市場</w:t>
      </w:r>
    </w:p>
    <w:p>
      <w:pPr>
        <w:pStyle w:val="BodyText"/>
      </w:pPr>
      <w:r>
        <w:rPr>
          <w:rFonts w:hint="eastAsia"/>
        </w:rPr>
        <w:t xml:space="preserve">總計</w:t>
      </w:r>
    </w:p>
    <w:p>
      <w:pPr>
        <w:pStyle w:val="BodyText"/>
      </w:pPr>
      <w:r>
        <w:rPr>
          <w:rFonts w:hint="eastAsia"/>
        </w:rPr>
        <w:t xml:space="preserve">年化新保費</w:t>
      </w:r>
      <w:r>
        <w:br/>
      </w:r>
      <w:r>
        <w:rPr>
          <w:rFonts w:hint="eastAsia"/>
        </w:rPr>
        <w:t xml:space="preserve">百萬美元</w:t>
      </w:r>
    </w:p>
    <w:p>
      <w:pPr>
        <w:pStyle w:val="BodyText"/>
      </w:pPr>
      <w:r>
        <w:rPr>
          <w:rFonts w:hint="eastAsia"/>
        </w:rPr>
        <w:t xml:space="preserve">各地區的年化新保費</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其他市場</w:t>
      </w:r>
    </w:p>
    <w:p>
      <w:pPr>
        <w:pStyle w:val="BodyText"/>
      </w:pPr>
      <w:r>
        <w:rPr>
          <w:rFonts w:hint="eastAsia"/>
        </w:rPr>
        <w:t xml:space="preserve">總計</w:t>
      </w:r>
    </w:p>
    <w:p>
      <w:pPr>
        <w:pStyle w:val="BodyText"/>
      </w:pPr>
      <w:r>
        <w:t xml:space="preserve">176</w:t>
      </w:r>
    </w:p>
    <w:p>
      <w:pPr>
        <w:pStyle w:val="BodyText"/>
      </w:pPr>
      <w:r>
        <w:rPr>
          <w:rFonts w:hint="eastAsia"/>
        </w:rPr>
        <w:t xml:space="preserve">友邦保險控股有限公司</w:t>
      </w:r>
    </w:p>
    <w:p>
      <w:pPr>
        <w:pStyle w:val="Compact"/>
        <w:numPr>
          <w:ilvl w:val="0"/>
          <w:numId w:val="1235"/>
        </w:numPr>
      </w:pPr>
      <w:r>
        <w:rPr>
          <w:rFonts w:hint="eastAsia"/>
        </w:rPr>
        <w:t xml:space="preserve">分部資料</w:t>
      </w:r>
    </w:p>
    <w:p>
      <w:pPr>
        <w:pStyle w:val="FirstParagraph"/>
      </w:pPr>
      <w:r>
        <w:rPr>
          <w:rFonts w:hint="eastAsia"/>
        </w:rPr>
        <w:t xml:space="preserve">根據執行委員會收到的報告，本集團的經營分部為本集團所營運的各地區市場。除「集團企業中心」分部外，各個報告分部</w:t>
      </w:r>
    </w:p>
    <w:p>
      <w:pPr>
        <w:pStyle w:val="BodyText"/>
      </w:pPr>
      <w:r>
        <w:rPr>
          <w:rFonts w:hint="eastAsia"/>
        </w:rPr>
        <w:t xml:space="preserve">承銷壽險業務，提供人壽、意外及醫療保險和儲蓄計劃予當地市場的顧客，以及分銷相關投資及其他金融服務產品。報告分</w:t>
      </w:r>
    </w:p>
    <w:p>
      <w:pPr>
        <w:pStyle w:val="BodyText"/>
      </w:pPr>
      <w:r>
        <w:rPr>
          <w:rFonts w:hint="eastAsia"/>
        </w:rPr>
        <w:t xml:space="preserve">部為香港（包括澳門）、泰國、新加坡（包括汶萊）、馬來西亞、中國內地、其他市場和集團企業中心。其他市場包括本集團</w:t>
      </w:r>
    </w:p>
    <w:p>
      <w:pPr>
        <w:pStyle w:val="BodyText"/>
      </w:pPr>
      <w:r>
        <w:rPr>
          <w:rFonts w:hint="eastAsia"/>
        </w:rPr>
        <w:t xml:space="preserve">在澳洲（包括新西蘭）、柬埔寨、印尼、緬甸、菲律賓、南韓、斯里蘭卡、中國台灣、越南及印度的業務。集團企業中心分</w:t>
      </w:r>
    </w:p>
    <w:p>
      <w:pPr>
        <w:pStyle w:val="BodyText"/>
      </w:pPr>
      <w:r>
        <w:rPr>
          <w:rFonts w:hint="eastAsia"/>
        </w:rPr>
        <w:t xml:space="preserve">部活動包括本集團的企業功能、共享服務及集團內部交易的撇銷。</w:t>
      </w:r>
    </w:p>
    <w:p>
      <w:pPr>
        <w:pStyle w:val="BodyText"/>
      </w:pPr>
      <w:r>
        <w:rPr>
          <w:rFonts w:hint="eastAsia"/>
        </w:rPr>
        <w:t xml:space="preserve">附註5所述已收購附屬公司及相關業務已計入澳洲（包括新西蘭）的業務項下。</w:t>
      </w:r>
    </w:p>
    <w:p>
      <w:pPr>
        <w:pStyle w:val="BodyText"/>
      </w:pPr>
      <w:r>
        <w:rPr>
          <w:rFonts w:hint="eastAsia"/>
        </w:rPr>
        <w:t xml:space="preserve">除集團企業中心分部以外，由於各報告分部主要為滿足當地市場的壽險需求，因此報告分部間的交易數量有限。各分部的主</w:t>
      </w:r>
    </w:p>
    <w:p>
      <w:pPr>
        <w:pStyle w:val="BodyText"/>
      </w:pPr>
      <w:r>
        <w:rPr>
          <w:rFonts w:hint="eastAsia"/>
        </w:rPr>
        <w:t xml:space="preserve">要表現指標為：</w:t>
      </w:r>
    </w:p>
    <w:p>
      <w:pPr>
        <w:pStyle w:val="BodyText"/>
      </w:pPr>
      <w:r>
        <w:t xml:space="preserve">• </w:t>
      </w:r>
      <w:r>
        <w:rPr>
          <w:rFonts w:hint="eastAsia"/>
        </w:rPr>
        <w:t xml:space="preserve">年化新保費；</w:t>
      </w:r>
    </w:p>
    <w:p>
      <w:pPr>
        <w:pStyle w:val="BodyText"/>
      </w:pPr>
      <w:r>
        <w:t xml:space="preserve">• </w:t>
      </w:r>
      <w:r>
        <w:rPr>
          <w:rFonts w:hint="eastAsia"/>
        </w:rPr>
        <w:t xml:space="preserve">總加權保費收入；</w:t>
      </w:r>
    </w:p>
    <w:p>
      <w:pPr>
        <w:pStyle w:val="BodyText"/>
      </w:pPr>
      <w:r>
        <w:t xml:space="preserve">• </w:t>
      </w:r>
      <w:r>
        <w:rPr>
          <w:rFonts w:hint="eastAsia"/>
        </w:rPr>
        <w:t xml:space="preserve">投資回報；</w:t>
      </w:r>
    </w:p>
    <w:p>
      <w:pPr>
        <w:pStyle w:val="BodyText"/>
      </w:pPr>
      <w:r>
        <w:t xml:space="preserve">• </w:t>
      </w:r>
      <w:r>
        <w:rPr>
          <w:rFonts w:hint="eastAsia"/>
        </w:rPr>
        <w:t xml:space="preserve">營運開支；</w:t>
      </w:r>
    </w:p>
    <w:p>
      <w:pPr>
        <w:pStyle w:val="BodyText"/>
      </w:pPr>
      <w:r>
        <w:t xml:space="preserve">• </w:t>
      </w:r>
      <w:r>
        <w:rPr>
          <w:rFonts w:hint="eastAsia"/>
        </w:rPr>
        <w:t xml:space="preserve">友邦保險控股有限公司股東應佔稅後營運溢利；</w:t>
      </w:r>
    </w:p>
    <w:p>
      <w:pPr>
        <w:pStyle w:val="BodyText"/>
      </w:pPr>
      <w:r>
        <w:t xml:space="preserve">• </w:t>
      </w:r>
      <w:r>
        <w:rPr>
          <w:rFonts w:hint="eastAsia"/>
        </w:rPr>
        <w:t xml:space="preserve">費用率，以營運開支除以總加權保費收入計算；</w:t>
      </w:r>
    </w:p>
    <w:p>
      <w:pPr>
        <w:pStyle w:val="BodyText"/>
      </w:pPr>
      <w:r>
        <w:t xml:space="preserve">• </w:t>
      </w:r>
      <w:r>
        <w:rPr>
          <w:rFonts w:hint="eastAsia"/>
        </w:rPr>
        <w:t xml:space="preserve">營運溢利率，以稅後營運溢利佔總加權保費收入的百分比計算；及</w:t>
      </w:r>
    </w:p>
    <w:p>
      <w:pPr>
        <w:pStyle w:val="BodyText"/>
      </w:pPr>
      <w:r>
        <w:t xml:space="preserve">• </w:t>
      </w:r>
      <w:r>
        <w:rPr>
          <w:rFonts w:hint="eastAsia"/>
        </w:rPr>
        <w:t xml:space="preserve">股東分配權益營運回報，以友邦保險控股有限公司股東應佔稅後營運溢利計量，並以股東分配分部權益的期初及期末值</w:t>
      </w:r>
    </w:p>
    <w:p>
      <w:pPr>
        <w:pStyle w:val="BodyText"/>
      </w:pPr>
      <w:r>
        <w:rPr>
          <w:rFonts w:hint="eastAsia"/>
        </w:rPr>
        <w:t xml:space="preserve">的簡單平均值的百分比表示（分配分部權益為各報告分部的分部資產減分部負債，再減非控股權益及公平值準備金）。</w:t>
      </w:r>
    </w:p>
    <w:p>
      <w:pPr>
        <w:pStyle w:val="BodyText"/>
      </w:pPr>
      <w:r>
        <w:rPr>
          <w:rFonts w:hint="eastAsia"/>
        </w:rPr>
        <w:t xml:space="preserve">在呈列報告分部的淨資金流入</w:t>
      </w:r>
      <w:r>
        <w:t xml:space="preserve"> </w:t>
      </w:r>
      <w:r>
        <w:rPr>
          <w:rFonts w:hint="eastAsia"/>
        </w:rPr>
        <w:t xml:space="preserve">∕（出）時，資金流出包括向集團企業中心分部分派股息及溢利，而資金流入包括集團企業中心</w:t>
      </w:r>
    </w:p>
    <w:p>
      <w:pPr>
        <w:pStyle w:val="BodyText"/>
      </w:pPr>
      <w:r>
        <w:rPr>
          <w:rFonts w:hint="eastAsia"/>
        </w:rPr>
        <w:t xml:space="preserve">分部向報告分部注入資本。對本集團而言，淨資金流入</w:t>
      </w:r>
      <w:r>
        <w:t xml:space="preserve"> </w:t>
      </w:r>
      <w:r>
        <w:rPr>
          <w:rFonts w:hint="eastAsia"/>
        </w:rPr>
        <w:t xml:space="preserve">∕（出）指股東所注入資本減去所分派股息的金額。</w:t>
      </w:r>
    </w:p>
    <w:p>
      <w:pPr>
        <w:pStyle w:val="BodyText"/>
      </w:pPr>
      <w:r>
        <w:rPr>
          <w:rFonts w:hint="eastAsia"/>
        </w:rPr>
        <w:t xml:space="preserve">本集團五大客戶的營業額少於保費及收費收入的30%。</w:t>
      </w:r>
    </w:p>
    <w:p>
      <w:pPr>
        <w:pStyle w:val="BodyText"/>
      </w:pPr>
      <w:r>
        <w:rPr>
          <w:rFonts w:hint="eastAsia"/>
        </w:rPr>
        <w:t xml:space="preserve">本集團就司法權區的未匯回盈利計提遞延稅項負債，而相關預扣稅將於股息分派時支出。於2020年之前，本集團將預扣稅支</w:t>
      </w:r>
    </w:p>
    <w:p>
      <w:pPr>
        <w:pStyle w:val="BodyText"/>
      </w:pPr>
      <w:r>
        <w:rPr>
          <w:rFonts w:hint="eastAsia"/>
        </w:rPr>
        <w:t xml:space="preserve">出列示於集團企業中心之下。自2020年起，本集團加強分部資料披露並將預扣稅支出列示於其產生的經營分部之下。比較資</w:t>
      </w:r>
    </w:p>
    <w:p>
      <w:pPr>
        <w:pStyle w:val="BodyText"/>
      </w:pPr>
      <w:r>
        <w:rPr>
          <w:rFonts w:hint="eastAsia"/>
        </w:rPr>
        <w:t xml:space="preserve">料已予調整，以與當前年度的呈列相符。</w:t>
      </w:r>
    </w:p>
    <w:p>
      <w:pPr>
        <w:pStyle w:val="BodyText"/>
      </w:pPr>
      <w:r>
        <w:rPr>
          <w:rFonts w:hint="eastAsia"/>
        </w:rPr>
        <w:t xml:space="preserve">於2020年10月1日，友邦保險有限公司(AIA</w:t>
      </w:r>
      <w:r>
        <w:t xml:space="preserve"> </w:t>
      </w:r>
      <w:r>
        <w:rPr>
          <w:rFonts w:hint="eastAsia"/>
        </w:rPr>
        <w:t xml:space="preserve">Co.)將其中國內地業務改建為獨資子公司友邦人壽保險有限公司，並於2020年7月</w:t>
      </w:r>
    </w:p>
    <w:p>
      <w:pPr>
        <w:pStyle w:val="BodyText"/>
      </w:pPr>
      <w:r>
        <w:rPr>
          <w:rFonts w:hint="eastAsia"/>
        </w:rPr>
        <w:t xml:space="preserve">9日在上海註冊成立。自將中國內地業務改建為友邦人壽保險有限公司後，自該子公司向本集團的未來股息須按中國內地適</w:t>
      </w:r>
    </w:p>
    <w:p>
      <w:pPr>
        <w:pStyle w:val="BodyText"/>
      </w:pPr>
      <w:r>
        <w:rPr>
          <w:rFonts w:hint="eastAsia"/>
        </w:rPr>
        <w:t xml:space="preserve">用的稅率（目前為5%）繳納預扣稅。因此，截至2020年12月31日止年度已就該子公司的未匯回盈利計提遞延稅項負債。</w:t>
      </w:r>
    </w:p>
    <w:p>
      <w:pPr>
        <w:pStyle w:val="BodyText"/>
      </w:pPr>
      <w:r>
        <w:t xml:space="preserve">177</w:t>
      </w:r>
    </w:p>
    <w:p>
      <w:pPr>
        <w:pStyle w:val="BodyText"/>
      </w:pPr>
      <w:r>
        <w:rPr>
          <w:rFonts w:hint="eastAsia"/>
        </w:rPr>
        <w:t xml:space="preserve">概覽財務及營運回顧企業管治其他資料財務報表2020年報</w:t>
      </w:r>
    </w:p>
    <w:p>
      <w:pPr>
        <w:pStyle w:val="Compact"/>
        <w:numPr>
          <w:ilvl w:val="0"/>
          <w:numId w:val="1236"/>
        </w:numPr>
      </w:pPr>
      <w:r>
        <w:rPr>
          <w:rFonts w:hint="eastAsia"/>
        </w:rPr>
        <w:t xml:space="preserve">分部資料（續）</w:t>
      </w:r>
    </w:p>
    <w:p>
      <w:pPr>
        <w:pStyle w:val="FirstParagraph"/>
      </w:pPr>
      <w:r>
        <w:rPr>
          <w:rFonts w:hint="eastAsia"/>
        </w:rPr>
        <w:t xml:space="preserve">百萬美元</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r>
        <w:t xml:space="preserve"> </w:t>
      </w:r>
      <w:r>
        <w:rPr>
          <w:rFonts w:hint="eastAsia"/>
        </w:rPr>
        <w:t xml:space="preserve">馬來西亞</w:t>
      </w:r>
      <w:r>
        <w:t xml:space="preserve"> </w:t>
      </w:r>
      <w:r>
        <w:rPr>
          <w:rFonts w:hint="eastAsia"/>
        </w:rPr>
        <w:t xml:space="preserve">中國內地</w:t>
      </w:r>
      <w:r>
        <w:t xml:space="preserve"> </w:t>
      </w:r>
      <w:r>
        <w:rPr>
          <w:rFonts w:hint="eastAsia"/>
        </w:rPr>
        <w:t xml:space="preserve">其他市場</w:t>
      </w:r>
    </w:p>
    <w:p>
      <w:pPr>
        <w:pStyle w:val="BodyText"/>
      </w:pPr>
      <w:r>
        <w:rPr>
          <w:rFonts w:hint="eastAsia"/>
        </w:rPr>
        <w:t xml:space="preserve">集團企業</w:t>
      </w:r>
      <w:r>
        <w:br/>
      </w:r>
      <w:r>
        <w:rPr>
          <w:rFonts w:hint="eastAsia"/>
        </w:rPr>
        <w:t xml:space="preserve">中心</w:t>
      </w:r>
    </w:p>
    <w:p>
      <w:pPr>
        <w:pStyle w:val="BodyText"/>
      </w:pPr>
      <w:r>
        <w:rPr>
          <w:rFonts w:hint="eastAsia"/>
        </w:rPr>
        <w:t xml:space="preserve">總計</w:t>
      </w:r>
    </w:p>
    <w:p>
      <w:pPr>
        <w:pStyle w:val="BodyText"/>
      </w:pPr>
      <w:r>
        <w:rPr>
          <w:rFonts w:hint="eastAsia"/>
        </w:rPr>
        <w:t xml:space="preserve">截至2020年12月31日止年度</w:t>
      </w:r>
    </w:p>
    <w:p>
      <w:pPr>
        <w:pStyle w:val="BodyText"/>
      </w:pPr>
      <w:r>
        <w:rPr>
          <w:rFonts w:hint="eastAsia"/>
        </w:rPr>
        <w:t xml:space="preserve">年化新保費</w:t>
      </w:r>
    </w:p>
    <w:p>
      <w:pPr>
        <w:pStyle w:val="BodyText"/>
      </w:pPr>
      <w:r>
        <w:rPr>
          <w:rFonts w:hint="eastAsia"/>
        </w:rPr>
        <w:t xml:space="preserve">總加權保費收入</w:t>
      </w:r>
    </w:p>
    <w:p>
      <w:pPr>
        <w:pStyle w:val="BodyText"/>
      </w:pPr>
      <w:r>
        <w:rPr>
          <w:rFonts w:hint="eastAsia"/>
        </w:rPr>
        <w:t xml:space="preserve">淨保費、收費收入及其他營運收益</w:t>
      </w:r>
      <w:r>
        <w:br/>
      </w:r>
      <w:r>
        <w:rPr>
          <w:rFonts w:hint="eastAsia"/>
        </w:rPr>
        <w:t xml:space="preserve">（已扣除再保險分出）</w:t>
      </w:r>
    </w:p>
    <w:p>
      <w:pPr>
        <w:pStyle w:val="BodyText"/>
      </w:pPr>
      <w:r>
        <w:rPr>
          <w:rFonts w:hint="eastAsia"/>
        </w:rPr>
        <w:t xml:space="preserve">投資回報</w:t>
      </w:r>
    </w:p>
    <w:p>
      <w:pPr>
        <w:pStyle w:val="BodyText"/>
      </w:pPr>
      <w:r>
        <w:rPr>
          <w:rFonts w:hint="eastAsia"/>
        </w:rPr>
        <w:t xml:space="preserve">總收益</w:t>
      </w:r>
    </w:p>
    <w:p>
      <w:pPr>
        <w:pStyle w:val="BodyText"/>
      </w:pPr>
      <w:r>
        <w:rPr>
          <w:rFonts w:hint="eastAsia"/>
        </w:rPr>
        <w:t xml:space="preserve">淨保險及投資合約給付</w:t>
      </w:r>
    </w:p>
    <w:p>
      <w:pPr>
        <w:pStyle w:val="BodyText"/>
      </w:pPr>
      <w:r>
        <w:rPr>
          <w:rFonts w:hint="eastAsia"/>
        </w:rPr>
        <w:t xml:space="preserve">佣金及其他承保開支</w:t>
      </w:r>
    </w:p>
    <w:p>
      <w:pPr>
        <w:pStyle w:val="BodyText"/>
      </w:pPr>
      <w:r>
        <w:rPr>
          <w:rFonts w:hint="eastAsia"/>
        </w:rPr>
        <w:t xml:space="preserve">營運開支</w:t>
      </w:r>
    </w:p>
    <w:p>
      <w:pPr>
        <w:pStyle w:val="BodyText"/>
      </w:pPr>
      <w:r>
        <w:rPr>
          <w:rFonts w:hint="eastAsia"/>
        </w:rPr>
        <w:t xml:space="preserve">財務費用及其他開支</w:t>
      </w:r>
    </w:p>
    <w:p>
      <w:pPr>
        <w:pStyle w:val="BodyText"/>
      </w:pPr>
      <w:r>
        <w:rPr>
          <w:rFonts w:hint="eastAsia"/>
        </w:rPr>
        <w:t xml:space="preserve">總開支</w:t>
      </w:r>
    </w:p>
    <w:p>
      <w:pPr>
        <w:pStyle w:val="BodyText"/>
      </w:pPr>
      <w:r>
        <w:rPr>
          <w:rFonts w:hint="eastAsia"/>
        </w:rPr>
        <w:t xml:space="preserve">分佔聯營公司及合資公司</w:t>
      </w:r>
      <w:r>
        <w:br/>
      </w:r>
      <w:r>
        <w:rPr>
          <w:rFonts w:hint="eastAsia"/>
        </w:rPr>
        <w:t xml:space="preserve">（虧損）∕溢利</w:t>
      </w:r>
    </w:p>
    <w:p>
      <w:pPr>
        <w:pStyle w:val="BodyText"/>
      </w:pPr>
      <w:r>
        <w:rPr>
          <w:rFonts w:hint="eastAsia"/>
        </w:rPr>
        <w:t xml:space="preserve">稅前營運溢利</w:t>
      </w:r>
    </w:p>
    <w:p>
      <w:pPr>
        <w:pStyle w:val="BodyText"/>
      </w:pPr>
      <w:r>
        <w:rPr>
          <w:rFonts w:hint="eastAsia"/>
        </w:rPr>
        <w:t xml:space="preserve">稅前營運溢利稅項</w:t>
      </w:r>
    </w:p>
    <w:p>
      <w:pPr>
        <w:pStyle w:val="BodyText"/>
      </w:pPr>
      <w:r>
        <w:rPr>
          <w:rFonts w:hint="eastAsia"/>
        </w:rPr>
        <w:t xml:space="preserve">稅後營運溢利</w:t>
      </w:r>
    </w:p>
    <w:p>
      <w:pPr>
        <w:pStyle w:val="BodyText"/>
      </w:pPr>
      <w:r>
        <w:rPr>
          <w:rFonts w:hint="eastAsia"/>
        </w:rPr>
        <w:t xml:space="preserve">下列人士應佔稅後營運溢利：</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主要營運比率：</w:t>
      </w:r>
    </w:p>
    <w:p>
      <w:pPr>
        <w:pStyle w:val="BodyText"/>
      </w:pPr>
      <w:r>
        <w:rPr>
          <w:rFonts w:hint="eastAsia"/>
        </w:rPr>
        <w:t xml:space="preserve">費用率</w:t>
      </w:r>
    </w:p>
    <w:p>
      <w:pPr>
        <w:pStyle w:val="BodyText"/>
      </w:pPr>
      <w:r>
        <w:rPr>
          <w:rFonts w:hint="eastAsia"/>
        </w:rPr>
        <w:t xml:space="preserve">營運溢利率</w:t>
      </w:r>
    </w:p>
    <w:p>
      <w:pPr>
        <w:pStyle w:val="BodyText"/>
      </w:pPr>
      <w:r>
        <w:t xml:space="preserve">1,138</w:t>
      </w:r>
    </w:p>
    <w:p>
      <w:pPr>
        <w:pStyle w:val="BodyText"/>
      </w:pPr>
      <w:r>
        <w:t xml:space="preserve">661</w:t>
      </w:r>
    </w:p>
    <w:p>
      <w:pPr>
        <w:pStyle w:val="BodyText"/>
      </w:pPr>
      <w:r>
        <w:t xml:space="preserve">520</w:t>
      </w:r>
    </w:p>
    <w:p>
      <w:pPr>
        <w:pStyle w:val="BodyText"/>
      </w:pPr>
      <w:r>
        <w:t xml:space="preserve">369</w:t>
      </w:r>
    </w:p>
    <w:p>
      <w:pPr>
        <w:pStyle w:val="BodyText"/>
      </w:pPr>
      <w:r>
        <w:t xml:space="preserve">13,042</w:t>
      </w:r>
    </w:p>
    <w:p>
      <w:pPr>
        <w:pStyle w:val="BodyText"/>
      </w:pPr>
      <w:r>
        <w:t xml:space="preserve">4,462</w:t>
      </w:r>
    </w:p>
    <w:p>
      <w:pPr>
        <w:pStyle w:val="BodyText"/>
      </w:pPr>
      <w:r>
        <w:t xml:space="preserve">3,088</w:t>
      </w:r>
    </w:p>
    <w:p>
      <w:pPr>
        <w:pStyle w:val="BodyText"/>
      </w:pPr>
      <w:r>
        <w:t xml:space="preserve">2,216</w:t>
      </w:r>
    </w:p>
    <w:p>
      <w:pPr>
        <w:pStyle w:val="BodyText"/>
      </w:pPr>
      <w:r>
        <w:t xml:space="preserve">13,879</w:t>
      </w:r>
    </w:p>
    <w:p>
      <w:pPr>
        <w:pStyle w:val="BodyText"/>
      </w:pPr>
      <w:r>
        <w:t xml:space="preserve">3,511</w:t>
      </w:r>
    </w:p>
    <w:p>
      <w:pPr>
        <w:pStyle w:val="BodyText"/>
      </w:pPr>
      <w:r>
        <w:t xml:space="preserve">17,390</w:t>
      </w:r>
    </w:p>
    <w:p>
      <w:pPr>
        <w:pStyle w:val="BodyText"/>
      </w:pPr>
      <w:r>
        <w:t xml:space="preserve">12,878</w:t>
      </w:r>
    </w:p>
    <w:p>
      <w:pPr>
        <w:pStyle w:val="BodyText"/>
      </w:pPr>
      <w:r>
        <w:t xml:space="preserve">1,618</w:t>
      </w:r>
    </w:p>
    <w:p>
      <w:pPr>
        <w:pStyle w:val="BodyText"/>
      </w:pPr>
      <w:r>
        <w:t xml:space="preserve">464</w:t>
      </w:r>
    </w:p>
    <w:p>
      <w:pPr>
        <w:pStyle w:val="BodyText"/>
      </w:pPr>
      <w:r>
        <w:t xml:space="preserve">186</w:t>
      </w:r>
    </w:p>
    <w:p>
      <w:pPr>
        <w:pStyle w:val="BodyText"/>
      </w:pPr>
      <w:r>
        <w:t xml:space="preserve">4,238</w:t>
      </w:r>
    </w:p>
    <w:p>
      <w:pPr>
        <w:pStyle w:val="BodyText"/>
      </w:pPr>
      <w:r>
        <w:t xml:space="preserve">1,268</w:t>
      </w:r>
    </w:p>
    <w:p>
      <w:pPr>
        <w:pStyle w:val="BodyText"/>
      </w:pPr>
      <w:r>
        <w:t xml:space="preserve">5,506</w:t>
      </w:r>
    </w:p>
    <w:p>
      <w:pPr>
        <w:pStyle w:val="BodyText"/>
      </w:pPr>
      <w:r>
        <w:t xml:space="preserve">3,224</w:t>
      </w:r>
    </w:p>
    <w:p>
      <w:pPr>
        <w:pStyle w:val="BodyText"/>
      </w:pPr>
      <w:r>
        <w:t xml:space="preserve">773</w:t>
      </w:r>
    </w:p>
    <w:p>
      <w:pPr>
        <w:pStyle w:val="BodyText"/>
      </w:pPr>
      <w:r>
        <w:t xml:space="preserve">235</w:t>
      </w:r>
    </w:p>
    <w:p>
      <w:pPr>
        <w:pStyle w:val="BodyText"/>
      </w:pPr>
      <w:r>
        <w:t xml:space="preserve">53</w:t>
      </w:r>
    </w:p>
    <w:p>
      <w:pPr>
        <w:pStyle w:val="BodyText"/>
      </w:pPr>
      <w:r>
        <w:t xml:space="preserve">3,395</w:t>
      </w:r>
    </w:p>
    <w:p>
      <w:pPr>
        <w:pStyle w:val="BodyText"/>
      </w:pPr>
      <w:r>
        <w:t xml:space="preserve">1,274</w:t>
      </w:r>
    </w:p>
    <w:p>
      <w:pPr>
        <w:pStyle w:val="BodyText"/>
      </w:pPr>
      <w:r>
        <w:t xml:space="preserve">4,669</w:t>
      </w:r>
    </w:p>
    <w:p>
      <w:pPr>
        <w:pStyle w:val="BodyText"/>
      </w:pPr>
      <w:r>
        <w:t xml:space="preserve">3,357</w:t>
      </w:r>
    </w:p>
    <w:p>
      <w:pPr>
        <w:pStyle w:val="BodyText"/>
      </w:pPr>
      <w:r>
        <w:t xml:space="preserve">414</w:t>
      </w:r>
    </w:p>
    <w:p>
      <w:pPr>
        <w:pStyle w:val="BodyText"/>
      </w:pPr>
      <w:r>
        <w:t xml:space="preserve">222</w:t>
      </w:r>
    </w:p>
    <w:p>
      <w:pPr>
        <w:pStyle w:val="BodyText"/>
      </w:pPr>
      <w:r>
        <w:t xml:space="preserve">52</w:t>
      </w:r>
    </w:p>
    <w:p>
      <w:pPr>
        <w:pStyle w:val="BodyText"/>
      </w:pPr>
      <w:r>
        <w:t xml:space="preserve">1,818</w:t>
      </w:r>
    </w:p>
    <w:p>
      <w:pPr>
        <w:pStyle w:val="BodyText"/>
      </w:pPr>
      <w:r>
        <w:t xml:space="preserve">573</w:t>
      </w:r>
    </w:p>
    <w:p>
      <w:pPr>
        <w:pStyle w:val="BodyText"/>
      </w:pPr>
      <w:r>
        <w:t xml:space="preserve">2,391</w:t>
      </w:r>
    </w:p>
    <w:p>
      <w:pPr>
        <w:pStyle w:val="BodyText"/>
      </w:pPr>
      <w:r>
        <w:t xml:space="preserve">1,537</w:t>
      </w:r>
    </w:p>
    <w:p>
      <w:pPr>
        <w:pStyle w:val="BodyText"/>
      </w:pPr>
      <w:r>
        <w:t xml:space="preserve">244</w:t>
      </w:r>
    </w:p>
    <w:p>
      <w:pPr>
        <w:pStyle w:val="BodyText"/>
      </w:pPr>
      <w:r>
        <w:t xml:space="preserve">190</w:t>
      </w:r>
    </w:p>
    <w:p>
      <w:pPr>
        <w:pStyle w:val="BodyText"/>
      </w:pPr>
      <w:r>
        <w:t xml:space="preserve">16</w:t>
      </w:r>
    </w:p>
    <w:p>
      <w:pPr>
        <w:pStyle w:val="BodyText"/>
      </w:pPr>
      <w:r>
        <w:t xml:space="preserve">1,197</w:t>
      </w:r>
    </w:p>
    <w:p>
      <w:pPr>
        <w:pStyle w:val="BodyText"/>
      </w:pPr>
      <w:r>
        <w:t xml:space="preserve">5,622</w:t>
      </w:r>
    </w:p>
    <w:p>
      <w:pPr>
        <w:pStyle w:val="BodyText"/>
      </w:pPr>
      <w:r>
        <w:t xml:space="preserve">5,594</w:t>
      </w:r>
    </w:p>
    <w:p>
      <w:pPr>
        <w:pStyle w:val="BodyText"/>
      </w:pPr>
      <w:r>
        <w:t xml:space="preserve">1,083</w:t>
      </w:r>
    </w:p>
    <w:p>
      <w:pPr>
        <w:pStyle w:val="BodyText"/>
      </w:pPr>
      <w:r>
        <w:t xml:space="preserve">6,677</w:t>
      </w:r>
    </w:p>
    <w:p>
      <w:pPr>
        <w:pStyle w:val="BodyText"/>
      </w:pPr>
      <w:r>
        <w:t xml:space="preserve">4,421</w:t>
      </w:r>
    </w:p>
    <w:p>
      <w:pPr>
        <w:pStyle w:val="BodyText"/>
      </w:pPr>
      <w:r>
        <w:t xml:space="preserve">365</w:t>
      </w:r>
    </w:p>
    <w:p>
      <w:pPr>
        <w:pStyle w:val="BodyText"/>
      </w:pPr>
      <w:r>
        <w:t xml:space="preserve">439</w:t>
      </w:r>
    </w:p>
    <w:p>
      <w:pPr>
        <w:pStyle w:val="BodyText"/>
      </w:pPr>
      <w:r>
        <w:t xml:space="preserve">38</w:t>
      </w:r>
    </w:p>
    <w:p>
      <w:pPr>
        <w:pStyle w:val="BodyText"/>
      </w:pPr>
      <w:r>
        <w:t xml:space="preserve">1,334</w:t>
      </w:r>
    </w:p>
    <w:p>
      <w:pPr>
        <w:pStyle w:val="BodyText"/>
      </w:pPr>
      <w:r>
        <w:t xml:space="preserve">6,978</w:t>
      </w:r>
    </w:p>
    <w:p>
      <w:pPr>
        <w:pStyle w:val="BodyText"/>
      </w:pPr>
      <w:r>
        <w:t xml:space="preserve">4,655</w:t>
      </w:r>
    </w:p>
    <w:p>
      <w:pPr>
        <w:pStyle w:val="BodyText"/>
      </w:pPr>
      <w:r>
        <w:t xml:space="preserve">1,184</w:t>
      </w:r>
    </w:p>
    <w:p>
      <w:pPr>
        <w:pStyle w:val="BodyText"/>
      </w:pPr>
      <w:r>
        <w:t xml:space="preserve">5,839</w:t>
      </w:r>
    </w:p>
    <w:p>
      <w:pPr>
        <w:pStyle w:val="BodyText"/>
      </w:pPr>
      <w:r>
        <w:t xml:space="preserve">2,858</w:t>
      </w:r>
    </w:p>
    <w:p>
      <w:pPr>
        <w:pStyle w:val="BodyText"/>
      </w:pPr>
      <w:r>
        <w:t xml:space="preserve">974</w:t>
      </w:r>
    </w:p>
    <w:p>
      <w:pPr>
        <w:pStyle w:val="BodyText"/>
      </w:pPr>
      <w:r>
        <w:t xml:space="preserve">943</w:t>
      </w:r>
    </w:p>
    <w:p>
      <w:pPr>
        <w:pStyle w:val="BodyText"/>
      </w:pPr>
      <w:r>
        <w:t xml:space="preserve">86</w:t>
      </w:r>
    </w:p>
    <w:p>
      <w:pPr>
        <w:pStyle w:val="BodyText"/>
      </w:pPr>
      <w:r>
        <w:t xml:space="preserve">15,146</w:t>
      </w:r>
    </w:p>
    <w:p>
      <w:pPr>
        <w:pStyle w:val="BodyText"/>
      </w:pPr>
      <w:r>
        <w:t xml:space="preserve">4,285</w:t>
      </w:r>
    </w:p>
    <w:p>
      <w:pPr>
        <w:pStyle w:val="BodyText"/>
      </w:pPr>
      <w:r>
        <w:t xml:space="preserve">4,045</w:t>
      </w:r>
    </w:p>
    <w:p>
      <w:pPr>
        <w:pStyle w:val="BodyText"/>
      </w:pPr>
      <w:r>
        <w:t xml:space="preserve">1,987</w:t>
      </w:r>
    </w:p>
    <w:p>
      <w:pPr>
        <w:pStyle w:val="BodyText"/>
      </w:pPr>
      <w:r>
        <w:t xml:space="preserve">5,263</w:t>
      </w:r>
    </w:p>
    <w:p>
      <w:pPr>
        <w:pStyle w:val="BodyText"/>
      </w:pPr>
      <w:r>
        <w:t xml:space="preserve">4,861</w:t>
      </w:r>
    </w:p>
    <w:p>
      <w:pPr>
        <w:pStyle w:val="FirstParagraph"/>
      </w:pPr>
      <w:r>
        <w:t xml:space="preserve">–</w:t>
      </w:r>
    </w:p>
    <w:p>
      <w:pPr>
        <w:pStyle w:val="BodyText"/>
      </w:pPr>
      <w:r>
        <w:t xml:space="preserve">2,243</w:t>
      </w:r>
    </w:p>
    <w:p>
      <w:pPr>
        <w:pStyle w:val="BodyText"/>
      </w:pPr>
      <w:r>
        <w:t xml:space="preserve">1,221</w:t>
      </w:r>
    </w:p>
    <w:p>
      <w:pPr>
        <w:pStyle w:val="FirstParagraph"/>
      </w:pPr>
      <w:r>
        <w:t xml:space="preserve">2,073</w:t>
      </w:r>
    </w:p>
    <w:p>
      <w:pPr>
        <w:pStyle w:val="FirstParagraph"/>
      </w:pPr>
      <w:r>
        <w:t xml:space="preserve">987</w:t>
      </w:r>
    </w:p>
    <w:p>
      <w:pPr>
        <w:pStyle w:val="BodyText"/>
      </w:pPr>
      <w:r>
        <w:t xml:space="preserve">2,059</w:t>
      </w:r>
    </w:p>
    <w:p>
      <w:pPr>
        <w:pStyle w:val="BodyText"/>
      </w:pPr>
      <w:r>
        <w:t xml:space="preserve">14</w:t>
      </w:r>
    </w:p>
    <w:p>
      <w:pPr>
        <w:pStyle w:val="BodyText"/>
      </w:pPr>
      <w:r>
        <w:t xml:space="preserve">987</w:t>
      </w:r>
    </w:p>
    <w:p>
      <w:pPr>
        <w:pStyle w:val="BodyText"/>
      </w:pPr>
      <w:r>
        <w:t xml:space="preserve">–</w:t>
      </w:r>
    </w:p>
    <w:p>
      <w:pPr>
        <w:pStyle w:val="BodyText"/>
      </w:pPr>
      <w:r>
        <w:t xml:space="preserve">–</w:t>
      </w:r>
    </w:p>
    <w:p>
      <w:pPr>
        <w:pStyle w:val="BodyText"/>
      </w:pPr>
      <w:r>
        <w:t xml:space="preserve">624</w:t>
      </w:r>
    </w:p>
    <w:p>
      <w:pPr>
        <w:pStyle w:val="FirstParagraph"/>
      </w:pPr>
      <w:r>
        <w:t xml:space="preserve">621</w:t>
      </w:r>
    </w:p>
    <w:p>
      <w:pPr>
        <w:pStyle w:val="BodyText"/>
      </w:pPr>
      <w:r>
        <w:t xml:space="preserve">621</w:t>
      </w:r>
    </w:p>
    <w:p>
      <w:pPr>
        <w:pStyle w:val="BodyText"/>
      </w:pPr>
      <w:r>
        <w:t xml:space="preserve">–</w:t>
      </w:r>
    </w:p>
    <w:p>
      <w:pPr>
        <w:pStyle w:val="BodyText"/>
      </w:pPr>
      <w:r>
        <w:t xml:space="preserve">1</w:t>
      </w:r>
    </w:p>
    <w:p>
      <w:pPr>
        <w:pStyle w:val="BodyText"/>
      </w:pPr>
      <w:r>
        <w:t xml:space="preserve">405</w:t>
      </w:r>
    </w:p>
    <w:p>
      <w:pPr>
        <w:pStyle w:val="FirstParagraph"/>
      </w:pPr>
      <w:r>
        <w:t xml:space="preserve">332</w:t>
      </w:r>
    </w:p>
    <w:p>
      <w:pPr>
        <w:pStyle w:val="BodyText"/>
      </w:pPr>
      <w:r>
        <w:t xml:space="preserve">–</w:t>
      </w:r>
    </w:p>
    <w:p>
      <w:pPr>
        <w:pStyle w:val="BodyText"/>
      </w:pPr>
      <w:r>
        <w:t xml:space="preserve">1,414</w:t>
      </w:r>
    </w:p>
    <w:p>
      <w:pPr>
        <w:pStyle w:val="FirstParagraph"/>
      </w:pPr>
      <w:r>
        <w:t xml:space="preserve">1,220</w:t>
      </w:r>
    </w:p>
    <w:p>
      <w:pPr>
        <w:pStyle w:val="BodyText"/>
      </w:pPr>
      <w:r>
        <w:t xml:space="preserve">326</w:t>
      </w:r>
    </w:p>
    <w:p>
      <w:pPr>
        <w:pStyle w:val="BodyText"/>
      </w:pPr>
      <w:r>
        <w:t xml:space="preserve">1,220</w:t>
      </w:r>
    </w:p>
    <w:p>
      <w:pPr>
        <w:pStyle w:val="BodyText"/>
      </w:pPr>
      <w:r>
        <w:t xml:space="preserve">6</w:t>
      </w:r>
    </w:p>
    <w:p>
      <w:pPr>
        <w:pStyle w:val="BodyText"/>
      </w:pPr>
      <w:r>
        <w:t xml:space="preserve">–</w:t>
      </w:r>
    </w:p>
    <w:p>
      <w:pPr>
        <w:pStyle w:val="FirstParagraph"/>
      </w:pPr>
      <w:r>
        <w:t xml:space="preserve">961</w:t>
      </w:r>
    </w:p>
    <w:p>
      <w:pPr>
        <w:pStyle w:val="FirstParagraph"/>
      </w:pPr>
      <w:r>
        <w:t xml:space="preserve">711</w:t>
      </w:r>
    </w:p>
    <w:p>
      <w:pPr>
        <w:pStyle w:val="BodyText"/>
      </w:pPr>
      <w:r>
        <w:t xml:space="preserve">687</w:t>
      </w:r>
    </w:p>
    <w:p>
      <w:pPr>
        <w:pStyle w:val="BodyText"/>
      </w:pPr>
      <w:r>
        <w:t xml:space="preserve">24</w:t>
      </w:r>
    </w:p>
    <w:p>
      <w:pPr>
        <w:pStyle w:val="BodyText"/>
      </w:pPr>
      <w:r>
        <w:t xml:space="preserve">3.6%</w:t>
      </w:r>
    </w:p>
    <w:p>
      <w:pPr>
        <w:pStyle w:val="BodyText"/>
      </w:pPr>
      <w:r>
        <w:t xml:space="preserve">5.3%</w:t>
      </w:r>
    </w:p>
    <w:p>
      <w:pPr>
        <w:pStyle w:val="BodyText"/>
      </w:pPr>
      <w:r>
        <w:t xml:space="preserve">7.2%</w:t>
      </w:r>
    </w:p>
    <w:p>
      <w:pPr>
        <w:pStyle w:val="BodyText"/>
      </w:pPr>
      <w:r>
        <w:t xml:space="preserve">8.6%</w:t>
      </w:r>
    </w:p>
    <w:p>
      <w:pPr>
        <w:pStyle w:val="BodyText"/>
      </w:pPr>
      <w:r>
        <w:t xml:space="preserve">7.8%</w:t>
      </w:r>
    </w:p>
    <w:p>
      <w:pPr>
        <w:pStyle w:val="BodyText"/>
      </w:pPr>
      <w:r>
        <w:t xml:space="preserve">13.5%</w:t>
      </w:r>
    </w:p>
    <w:p>
      <w:pPr>
        <w:pStyle w:val="BodyText"/>
      </w:pPr>
      <w:r>
        <w:t xml:space="preserve">15.9%</w:t>
      </w:r>
    </w:p>
    <w:p>
      <w:pPr>
        <w:pStyle w:val="BodyText"/>
      </w:pPr>
      <w:r>
        <w:t xml:space="preserve">22.1%</w:t>
      </w:r>
    </w:p>
    <w:p>
      <w:pPr>
        <w:pStyle w:val="BodyText"/>
      </w:pPr>
      <w:r>
        <w:t xml:space="preserve">20.1%</w:t>
      </w:r>
    </w:p>
    <w:p>
      <w:pPr>
        <w:pStyle w:val="BodyText"/>
      </w:pPr>
      <w:r>
        <w:t xml:space="preserve">15.0%</w:t>
      </w:r>
    </w:p>
    <w:p>
      <w:pPr>
        <w:pStyle w:val="BodyText"/>
      </w:pPr>
      <w:r>
        <w:t xml:space="preserve">21.7%</w:t>
      </w:r>
    </w:p>
    <w:p>
      <w:pPr>
        <w:pStyle w:val="BodyText"/>
      </w:pPr>
      <w:r>
        <w:t xml:space="preserve">10.2%</w:t>
      </w:r>
    </w:p>
    <w:p>
      <w:pPr>
        <w:pStyle w:val="BodyText"/>
      </w:pPr>
      <w:r>
        <w:rPr>
          <w:rFonts w:hint="eastAsia"/>
        </w:rPr>
        <w:t xml:space="preserve">股東分配權益營運回報</w:t>
      </w:r>
    </w:p>
    <w:p>
      <w:pPr>
        <w:pStyle w:val="BodyText"/>
      </w:pPr>
      <w:r>
        <w:t xml:space="preserve">18.8%</w:t>
      </w:r>
    </w:p>
    <w:p>
      <w:pPr>
        <w:pStyle w:val="BodyText"/>
      </w:pPr>
      <w:r>
        <w:t xml:space="preserve">15.1%</w:t>
      </w:r>
    </w:p>
    <w:p>
      <w:pPr>
        <w:pStyle w:val="BodyText"/>
      </w:pPr>
      <w:r>
        <w:t xml:space="preserve">16.7%</w:t>
      </w:r>
    </w:p>
    <w:p>
      <w:pPr>
        <w:pStyle w:val="BodyText"/>
      </w:pPr>
      <w:r>
        <w:t xml:space="preserve">17.0%</w:t>
      </w:r>
    </w:p>
    <w:p>
      <w:pPr>
        <w:pStyle w:val="BodyText"/>
      </w:pPr>
      <w:r>
        <w:t xml:space="preserve">29.7%</w:t>
      </w:r>
    </w:p>
    <w:p>
      <w:pPr>
        <w:pStyle w:val="BodyText"/>
      </w:pPr>
      <w:r>
        <w:t xml:space="preserve">7.9%</w:t>
      </w:r>
    </w:p>
    <w:p>
      <w:pPr>
        <w:pStyle w:val="BodyText"/>
      </w:pPr>
      <w:r>
        <w:t xml:space="preserve">–</w:t>
      </w:r>
    </w:p>
    <w:p>
      <w:pPr>
        <w:pStyle w:val="BodyText"/>
      </w:pPr>
      <w:r>
        <w:t xml:space="preserve">–</w:t>
      </w:r>
    </w:p>
    <w:p>
      <w:pPr>
        <w:pStyle w:val="BodyText"/>
      </w:pPr>
      <w:r>
        <w:t xml:space="preserve">5,219</w:t>
      </w:r>
    </w:p>
    <w:p>
      <w:pPr>
        <w:pStyle w:val="BodyText"/>
      </w:pPr>
      <w:r>
        <w:t xml:space="preserve">35,408</w:t>
      </w:r>
    </w:p>
    <w:p>
      <w:pPr>
        <w:pStyle w:val="BodyText"/>
      </w:pPr>
      <w:r>
        <w:t xml:space="preserve">87</w:t>
      </w:r>
    </w:p>
    <w:p>
      <w:pPr>
        <w:pStyle w:val="BodyText"/>
      </w:pPr>
      <w:r>
        <w:t xml:space="preserve">33,666</w:t>
      </w:r>
    </w:p>
    <w:p>
      <w:pPr>
        <w:pStyle w:val="BodyText"/>
      </w:pPr>
      <w:r>
        <w:t xml:space="preserve">505</w:t>
      </w:r>
    </w:p>
    <w:p>
      <w:pPr>
        <w:pStyle w:val="BodyText"/>
      </w:pPr>
      <w:r>
        <w:t xml:space="preserve">592</w:t>
      </w:r>
    </w:p>
    <w:p>
      <w:pPr>
        <w:pStyle w:val="BodyText"/>
      </w:pPr>
      <w:r>
        <w:t xml:space="preserve">71</w:t>
      </w:r>
    </w:p>
    <w:p>
      <w:pPr>
        <w:pStyle w:val="BodyText"/>
      </w:pPr>
      <w:r>
        <w:t xml:space="preserve">14</w:t>
      </w:r>
    </w:p>
    <w:p>
      <w:pPr>
        <w:pStyle w:val="BodyText"/>
      </w:pPr>
      <w:r>
        <w:t xml:space="preserve">202</w:t>
      </w:r>
    </w:p>
    <w:p>
      <w:pPr>
        <w:pStyle w:val="BodyText"/>
      </w:pPr>
      <w:r>
        <w:t xml:space="preserve">227</w:t>
      </w:r>
    </w:p>
    <w:p>
      <w:pPr>
        <w:pStyle w:val="BodyText"/>
      </w:pPr>
      <w:r>
        <w:t xml:space="preserve">514</w:t>
      </w:r>
    </w:p>
    <w:p>
      <w:pPr>
        <w:pStyle w:val="BodyText"/>
      </w:pPr>
      <w:r>
        <w:t xml:space="preserve">–</w:t>
      </w:r>
    </w:p>
    <w:p>
      <w:pPr>
        <w:pStyle w:val="BodyText"/>
      </w:pPr>
      <w:r>
        <w:t xml:space="preserve">78</w:t>
      </w:r>
    </w:p>
    <w:p>
      <w:pPr>
        <w:pStyle w:val="FirstParagraph"/>
      </w:pPr>
      <w:r>
        <w:t xml:space="preserve">42</w:t>
      </w:r>
    </w:p>
    <w:p>
      <w:pPr>
        <w:pStyle w:val="BodyText"/>
      </w:pPr>
      <w:r>
        <w:t xml:space="preserve">9,398</w:t>
      </w:r>
    </w:p>
    <w:p>
      <w:pPr>
        <w:pStyle w:val="BodyText"/>
      </w:pPr>
      <w:r>
        <w:t xml:space="preserve">43,064</w:t>
      </w:r>
    </w:p>
    <w:p>
      <w:pPr>
        <w:pStyle w:val="BodyText"/>
      </w:pPr>
      <w:r>
        <w:t xml:space="preserve">28,346</w:t>
      </w:r>
    </w:p>
    <w:p>
      <w:pPr>
        <w:pStyle w:val="BodyText"/>
      </w:pPr>
      <w:r>
        <w:t xml:space="preserve">4,402</w:t>
      </w:r>
    </w:p>
    <w:p>
      <w:pPr>
        <w:pStyle w:val="BodyText"/>
      </w:pPr>
      <w:r>
        <w:t xml:space="preserve">2,695</w:t>
      </w:r>
    </w:p>
    <w:p>
      <w:pPr>
        <w:pStyle w:val="BodyText"/>
      </w:pPr>
      <w:r>
        <w:t xml:space="preserve">658</w:t>
      </w:r>
    </w:p>
    <w:p>
      <w:pPr>
        <w:pStyle w:val="BodyText"/>
      </w:pPr>
      <w:r>
        <w:t xml:space="preserve">36,101</w:t>
      </w:r>
    </w:p>
    <w:p>
      <w:pPr>
        <w:pStyle w:val="FirstParagraph"/>
      </w:pPr>
      <w:r>
        <w:t xml:space="preserve">6,946</w:t>
      </w:r>
    </w:p>
    <w:p>
      <w:pPr>
        <w:pStyle w:val="FirstParagraph"/>
      </w:pPr>
      <w:r>
        <w:t xml:space="preserve">5,986</w:t>
      </w:r>
    </w:p>
    <w:p>
      <w:pPr>
        <w:pStyle w:val="BodyText"/>
      </w:pPr>
      <w:r>
        <w:t xml:space="preserve">42</w:t>
      </w:r>
    </w:p>
    <w:p>
      <w:pPr>
        <w:pStyle w:val="BodyText"/>
      </w:pPr>
      <w:r>
        <w:t xml:space="preserve">–</w:t>
      </w:r>
    </w:p>
    <w:p>
      <w:pPr>
        <w:pStyle w:val="BodyText"/>
      </w:pPr>
      <w:r>
        <w:t xml:space="preserve">5,942</w:t>
      </w:r>
    </w:p>
    <w:p>
      <w:pPr>
        <w:pStyle w:val="BodyText"/>
      </w:pPr>
      <w:r>
        <w:t xml:space="preserve">44</w:t>
      </w:r>
    </w:p>
    <w:p>
      <w:pPr>
        <w:pStyle w:val="BodyText"/>
      </w:pPr>
      <w:r>
        <w:t xml:space="preserve">–</w:t>
      </w:r>
    </w:p>
    <w:p>
      <w:pPr>
        <w:pStyle w:val="BodyText"/>
      </w:pPr>
      <w:r>
        <w:t xml:space="preserve">–</w:t>
      </w:r>
    </w:p>
    <w:p>
      <w:pPr>
        <w:pStyle w:val="BodyText"/>
      </w:pPr>
      <w:r>
        <w:t xml:space="preserve">–</w:t>
      </w:r>
    </w:p>
    <w:p>
      <w:pPr>
        <w:pStyle w:val="BodyText"/>
      </w:pPr>
      <w:r>
        <w:t xml:space="preserve">7.6%</w:t>
      </w:r>
    </w:p>
    <w:p>
      <w:pPr>
        <w:pStyle w:val="BodyText"/>
      </w:pPr>
      <w:r>
        <w:t xml:space="preserve">16.9%</w:t>
      </w:r>
    </w:p>
    <w:p>
      <w:pPr>
        <w:pStyle w:val="BodyText"/>
      </w:pPr>
      <w:r>
        <w:t xml:space="preserve">13.0%</w:t>
      </w:r>
    </w:p>
    <w:p>
      <w:pPr>
        <w:pStyle w:val="BodyText"/>
      </w:pPr>
      <w:r>
        <w:rPr>
          <w:rFonts w:hint="eastAsia"/>
        </w:rPr>
        <w:t xml:space="preserve">稅前營運溢利包括：</w:t>
      </w:r>
    </w:p>
    <w:p>
      <w:pPr>
        <w:pStyle w:val="BodyText"/>
      </w:pPr>
      <w:r>
        <w:rPr>
          <w:rFonts w:hint="eastAsia"/>
        </w:rPr>
        <w:t xml:space="preserve">財務費用</w:t>
      </w:r>
    </w:p>
    <w:p>
      <w:pPr>
        <w:pStyle w:val="BodyText"/>
      </w:pPr>
      <w:r>
        <w:rPr>
          <w:rFonts w:hint="eastAsia"/>
        </w:rPr>
        <w:t xml:space="preserve">折舊及攤銷</w:t>
      </w:r>
    </w:p>
    <w:p>
      <w:pPr>
        <w:pStyle w:val="BodyText"/>
      </w:pPr>
      <w:r>
        <w:t xml:space="preserve">31</w:t>
      </w:r>
    </w:p>
    <w:p>
      <w:pPr>
        <w:pStyle w:val="BodyText"/>
      </w:pPr>
      <w:r>
        <w:t xml:space="preserve">104</w:t>
      </w:r>
    </w:p>
    <w:p>
      <w:pPr>
        <w:pStyle w:val="BodyText"/>
      </w:pPr>
      <w:r>
        <w:t xml:space="preserve">1</w:t>
      </w:r>
    </w:p>
    <w:p>
      <w:pPr>
        <w:pStyle w:val="BodyText"/>
      </w:pPr>
      <w:r>
        <w:t xml:space="preserve">22</w:t>
      </w:r>
    </w:p>
    <w:p>
      <w:pPr>
        <w:pStyle w:val="BodyText"/>
      </w:pPr>
      <w:r>
        <w:t xml:space="preserve">2</w:t>
      </w:r>
    </w:p>
    <w:p>
      <w:pPr>
        <w:pStyle w:val="BodyText"/>
      </w:pPr>
      <w:r>
        <w:t xml:space="preserve">31</w:t>
      </w:r>
    </w:p>
    <w:p>
      <w:pPr>
        <w:pStyle w:val="BodyText"/>
      </w:pPr>
      <w:r>
        <w:t xml:space="preserve">2</w:t>
      </w:r>
    </w:p>
    <w:p>
      <w:pPr>
        <w:pStyle w:val="BodyText"/>
      </w:pPr>
      <w:r>
        <w:t xml:space="preserve">22</w:t>
      </w:r>
    </w:p>
    <w:p>
      <w:pPr>
        <w:pStyle w:val="BodyText"/>
      </w:pPr>
      <w:r>
        <w:t xml:space="preserve">20</w:t>
      </w:r>
    </w:p>
    <w:p>
      <w:pPr>
        <w:pStyle w:val="BodyText"/>
      </w:pPr>
      <w:r>
        <w:t xml:space="preserve">88</w:t>
      </w:r>
    </w:p>
    <w:p>
      <w:pPr>
        <w:pStyle w:val="BodyText"/>
      </w:pPr>
      <w:r>
        <w:t xml:space="preserve">9</w:t>
      </w:r>
    </w:p>
    <w:p>
      <w:pPr>
        <w:pStyle w:val="BodyText"/>
      </w:pPr>
      <w:r>
        <w:t xml:space="preserve">108</w:t>
      </w:r>
    </w:p>
    <w:p>
      <w:pPr>
        <w:pStyle w:val="BodyText"/>
      </w:pPr>
      <w:r>
        <w:t xml:space="preserve">224</w:t>
      </w:r>
    </w:p>
    <w:p>
      <w:pPr>
        <w:pStyle w:val="BodyText"/>
      </w:pPr>
      <w:r>
        <w:t xml:space="preserve">32</w:t>
      </w:r>
    </w:p>
    <w:p>
      <w:pPr>
        <w:pStyle w:val="BodyText"/>
      </w:pPr>
      <w:r>
        <w:t xml:space="preserve">289</w:t>
      </w:r>
    </w:p>
    <w:p>
      <w:pPr>
        <w:pStyle w:val="BodyText"/>
      </w:pPr>
      <w:r>
        <w:t xml:space="preserve">407</w:t>
      </w:r>
    </w:p>
    <w:p>
      <w:pPr>
        <w:pStyle w:val="BodyText"/>
      </w:pPr>
      <w:r>
        <w:t xml:space="preserve">178</w:t>
      </w:r>
    </w:p>
    <w:p>
      <w:pPr>
        <w:pStyle w:val="BodyText"/>
      </w:pPr>
      <w:r>
        <w:rPr>
          <w:rFonts w:hint="eastAsia"/>
        </w:rPr>
        <w:t xml:space="preserve">友邦保險控股有限公司</w:t>
      </w:r>
    </w:p>
    <w:p>
      <w:pPr>
        <w:pStyle w:val="Compact"/>
        <w:numPr>
          <w:ilvl w:val="0"/>
          <w:numId w:val="1248"/>
        </w:numPr>
      </w:pPr>
      <w:r>
        <w:rPr>
          <w:rFonts w:hint="eastAsia"/>
        </w:rPr>
        <w:t xml:space="preserve">分部資料（續）</w:t>
      </w:r>
    </w:p>
    <w:p>
      <w:pPr>
        <w:pStyle w:val="FirstParagraph"/>
      </w:pPr>
      <w:r>
        <w:rPr>
          <w:rFonts w:hint="eastAsia"/>
        </w:rPr>
        <w:t xml:space="preserve">百萬美元</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r>
        <w:t xml:space="preserve"> </w:t>
      </w:r>
      <w:r>
        <w:rPr>
          <w:rFonts w:hint="eastAsia"/>
        </w:rPr>
        <w:t xml:space="preserve">馬來西亞</w:t>
      </w:r>
      <w:r>
        <w:t xml:space="preserve"> </w:t>
      </w:r>
      <w:r>
        <w:rPr>
          <w:rFonts w:hint="eastAsia"/>
        </w:rPr>
        <w:t xml:space="preserve">中國內地</w:t>
      </w:r>
      <w:r>
        <w:t xml:space="preserve"> </w:t>
      </w:r>
      <w:r>
        <w:rPr>
          <w:rFonts w:hint="eastAsia"/>
        </w:rPr>
        <w:t xml:space="preserve">其他市場</w:t>
      </w:r>
    </w:p>
    <w:p>
      <w:pPr>
        <w:pStyle w:val="BodyText"/>
      </w:pPr>
      <w:r>
        <w:rPr>
          <w:rFonts w:hint="eastAsia"/>
        </w:rPr>
        <w:t xml:space="preserve">集團企業</w:t>
      </w:r>
      <w:r>
        <w:br/>
      </w:r>
      <w:r>
        <w:rPr>
          <w:rFonts w:hint="eastAsia"/>
        </w:rPr>
        <w:t xml:space="preserve">中心</w:t>
      </w:r>
    </w:p>
    <w:p>
      <w:pPr>
        <w:pStyle w:val="BodyText"/>
      </w:pPr>
      <w:r>
        <w:rPr>
          <w:rFonts w:hint="eastAsia"/>
        </w:rPr>
        <w:t xml:space="preserve">總計</w:t>
      </w:r>
    </w:p>
    <w:p>
      <w:pPr>
        <w:pStyle w:val="BodyText"/>
      </w:pPr>
      <w:r>
        <w:rPr>
          <w:rFonts w:hint="eastAsia"/>
        </w:rPr>
        <w:t xml:space="preserve">2020年12月31日</w:t>
      </w:r>
    </w:p>
    <w:p>
      <w:pPr>
        <w:pStyle w:val="BodyText"/>
      </w:pPr>
      <w:r>
        <w:rPr>
          <w:rFonts w:hint="eastAsia"/>
        </w:rPr>
        <w:t xml:space="preserve">總資產</w:t>
      </w:r>
    </w:p>
    <w:p>
      <w:pPr>
        <w:pStyle w:val="BodyText"/>
      </w:pPr>
      <w:r>
        <w:rPr>
          <w:rFonts w:hint="eastAsia"/>
        </w:rPr>
        <w:t xml:space="preserve">總負債</w:t>
      </w:r>
    </w:p>
    <w:p>
      <w:pPr>
        <w:pStyle w:val="BodyText"/>
      </w:pPr>
      <w:r>
        <w:rPr>
          <w:rFonts w:hint="eastAsia"/>
        </w:rPr>
        <w:t xml:space="preserve">總權益</w:t>
      </w:r>
    </w:p>
    <w:p>
      <w:pPr>
        <w:pStyle w:val="BodyText"/>
      </w:pPr>
      <w:r>
        <w:rPr>
          <w:rFonts w:hint="eastAsia"/>
        </w:rPr>
        <w:t xml:space="preserve">股東分配權益</w:t>
      </w:r>
    </w:p>
    <w:p>
      <w:pPr>
        <w:pStyle w:val="BodyText"/>
      </w:pPr>
      <w:r>
        <w:rPr>
          <w:rFonts w:hint="eastAsia"/>
        </w:rPr>
        <w:t xml:space="preserve">淨資金流（出）∕入</w:t>
      </w:r>
    </w:p>
    <w:p>
      <w:pPr>
        <w:pStyle w:val="BodyText"/>
      </w:pPr>
      <w:r>
        <w:rPr>
          <w:rFonts w:hint="eastAsia"/>
        </w:rPr>
        <w:t xml:space="preserve">總資產包括：</w:t>
      </w:r>
    </w:p>
    <w:p>
      <w:pPr>
        <w:pStyle w:val="BodyText"/>
      </w:pPr>
      <w:r>
        <w:t xml:space="preserve">113,933</w:t>
      </w:r>
    </w:p>
    <w:p>
      <w:pPr>
        <w:pStyle w:val="BodyText"/>
      </w:pPr>
      <w:r>
        <w:t xml:space="preserve">38,640</w:t>
      </w:r>
    </w:p>
    <w:p>
      <w:pPr>
        <w:pStyle w:val="BodyText"/>
      </w:pPr>
      <w:r>
        <w:t xml:space="preserve">45,994</w:t>
      </w:r>
    </w:p>
    <w:p>
      <w:pPr>
        <w:pStyle w:val="BodyText"/>
      </w:pPr>
      <w:r>
        <w:t xml:space="preserve">17,715</w:t>
      </w:r>
    </w:p>
    <w:p>
      <w:pPr>
        <w:pStyle w:val="BodyText"/>
      </w:pPr>
      <w:r>
        <w:t xml:space="preserve">34,919</w:t>
      </w:r>
    </w:p>
    <w:p>
      <w:pPr>
        <w:pStyle w:val="BodyText"/>
      </w:pPr>
      <w:r>
        <w:t xml:space="preserve">55,644</w:t>
      </w:r>
    </w:p>
    <w:p>
      <w:pPr>
        <w:pStyle w:val="BodyText"/>
      </w:pPr>
      <w:r>
        <w:t xml:space="preserve">19,276 326,121</w:t>
      </w:r>
    </w:p>
    <w:p>
      <w:pPr>
        <w:pStyle w:val="BodyText"/>
      </w:pPr>
      <w:r>
        <w:t xml:space="preserve">95,598</w:t>
      </w:r>
    </w:p>
    <w:p>
      <w:pPr>
        <w:pStyle w:val="BodyText"/>
      </w:pPr>
      <w:r>
        <w:t xml:space="preserve">28,730</w:t>
      </w:r>
    </w:p>
    <w:p>
      <w:pPr>
        <w:pStyle w:val="BodyText"/>
      </w:pPr>
      <w:r>
        <w:t xml:space="preserve">40,640</w:t>
      </w:r>
    </w:p>
    <w:p>
      <w:pPr>
        <w:pStyle w:val="BodyText"/>
      </w:pPr>
      <w:r>
        <w:t xml:space="preserve">15,445</w:t>
      </w:r>
    </w:p>
    <w:p>
      <w:pPr>
        <w:pStyle w:val="BodyText"/>
      </w:pPr>
      <w:r>
        <w:t xml:space="preserve">29,989</w:t>
      </w:r>
    </w:p>
    <w:p>
      <w:pPr>
        <w:pStyle w:val="BodyText"/>
      </w:pPr>
      <w:r>
        <w:t xml:space="preserve">44,369</w:t>
      </w:r>
    </w:p>
    <w:p>
      <w:pPr>
        <w:pStyle w:val="BodyText"/>
      </w:pPr>
      <w:r>
        <w:t xml:space="preserve">7,682 262,453</w:t>
      </w:r>
    </w:p>
    <w:p>
      <w:pPr>
        <w:pStyle w:val="BodyText"/>
      </w:pPr>
      <w:r>
        <w:t xml:space="preserve">18,335</w:t>
      </w:r>
    </w:p>
    <w:p>
      <w:pPr>
        <w:pStyle w:val="BodyText"/>
      </w:pPr>
      <w:r>
        <w:t xml:space="preserve">11,999</w:t>
      </w:r>
    </w:p>
    <w:p>
      <w:pPr>
        <w:pStyle w:val="BodyText"/>
      </w:pPr>
      <w:r>
        <w:t xml:space="preserve">9,910</w:t>
      </w:r>
    </w:p>
    <w:p>
      <w:pPr>
        <w:pStyle w:val="BodyText"/>
      </w:pPr>
      <w:r>
        <w:t xml:space="preserve">6,421</w:t>
      </w:r>
    </w:p>
    <w:p>
      <w:pPr>
        <w:pStyle w:val="BodyText"/>
      </w:pPr>
      <w:r>
        <w:t xml:space="preserve">5,354</w:t>
      </w:r>
    </w:p>
    <w:p>
      <w:pPr>
        <w:pStyle w:val="BodyText"/>
      </w:pPr>
      <w:r>
        <w:t xml:space="preserve">3,916</w:t>
      </w:r>
    </w:p>
    <w:p>
      <w:pPr>
        <w:pStyle w:val="BodyText"/>
      </w:pPr>
      <w:r>
        <w:t xml:space="preserve">2,270</w:t>
      </w:r>
    </w:p>
    <w:p>
      <w:pPr>
        <w:pStyle w:val="BodyText"/>
      </w:pPr>
      <w:r>
        <w:t xml:space="preserve">2,060</w:t>
      </w:r>
    </w:p>
    <w:p>
      <w:pPr>
        <w:pStyle w:val="BodyText"/>
      </w:pPr>
      <w:r>
        <w:t xml:space="preserve">4,930</w:t>
      </w:r>
    </w:p>
    <w:p>
      <w:pPr>
        <w:pStyle w:val="BodyText"/>
      </w:pPr>
      <w:r>
        <w:t xml:space="preserve">11,275</w:t>
      </w:r>
    </w:p>
    <w:p>
      <w:pPr>
        <w:pStyle w:val="BodyText"/>
      </w:pPr>
      <w:r>
        <w:t xml:space="preserve">11,594</w:t>
      </w:r>
    </w:p>
    <w:p>
      <w:pPr>
        <w:pStyle w:val="BodyText"/>
      </w:pPr>
      <w:r>
        <w:t xml:space="preserve">63,668</w:t>
      </w:r>
    </w:p>
    <w:p>
      <w:pPr>
        <w:pStyle w:val="BodyText"/>
      </w:pPr>
      <w:r>
        <w:t xml:space="preserve">4,407</w:t>
      </w:r>
    </w:p>
    <w:p>
      <w:pPr>
        <w:pStyle w:val="BodyText"/>
      </w:pPr>
      <w:r>
        <w:t xml:space="preserve">8,936</w:t>
      </w:r>
    </w:p>
    <w:p>
      <w:pPr>
        <w:pStyle w:val="BodyText"/>
      </w:pPr>
      <w:r>
        <w:t xml:space="preserve">10,291</w:t>
      </w:r>
    </w:p>
    <w:p>
      <w:pPr>
        <w:pStyle w:val="BodyText"/>
      </w:pPr>
      <w:r>
        <w:t xml:space="preserve">48,030</w:t>
      </w:r>
    </w:p>
    <w:p>
      <w:pPr>
        <w:pStyle w:val="FirstParagraph"/>
      </w:pPr>
      <w:r>
        <w:t xml:space="preserve">(1,139)</w:t>
      </w:r>
    </w:p>
    <w:p>
      <w:pPr>
        <w:pStyle w:val="BodyText"/>
      </w:pPr>
      <w:r>
        <w:t xml:space="preserve">28</w:t>
      </w:r>
    </w:p>
    <w:p>
      <w:pPr>
        <w:pStyle w:val="BodyText"/>
      </w:pPr>
      <w:r>
        <w:t xml:space="preserve">667</w:t>
      </w:r>
    </w:p>
    <w:p>
      <w:pPr>
        <w:pStyle w:val="BodyText"/>
      </w:pPr>
      <w:r>
        <w:t xml:space="preserve">(1,910)</w:t>
      </w:r>
    </w:p>
    <w:p>
      <w:pPr>
        <w:pStyle w:val="BodyText"/>
      </w:pPr>
      <w:r>
        <w:rPr>
          <w:rFonts w:hint="eastAsia"/>
        </w:rPr>
        <w:t xml:space="preserve">於聯營公司及合資公司的投資</w:t>
      </w:r>
    </w:p>
    <w:p>
      <w:pPr>
        <w:pStyle w:val="BodyText"/>
      </w:pPr>
      <w:r>
        <w:t xml:space="preserve">3</w:t>
      </w:r>
    </w:p>
    <w:p>
      <w:pPr>
        <w:pStyle w:val="BodyText"/>
      </w:pPr>
      <w:r>
        <w:t xml:space="preserve">–</w:t>
      </w:r>
    </w:p>
    <w:p>
      <w:pPr>
        <w:pStyle w:val="BodyText"/>
      </w:pPr>
      <w:r>
        <w:t xml:space="preserve">–</w:t>
      </w:r>
    </w:p>
    <w:p>
      <w:pPr>
        <w:pStyle w:val="BodyText"/>
      </w:pPr>
      <w:r>
        <w:t xml:space="preserve">2</w:t>
      </w:r>
    </w:p>
    <w:p>
      <w:pPr>
        <w:pStyle w:val="BodyText"/>
      </w:pPr>
      <w:r>
        <w:t xml:space="preserve">–</w:t>
      </w:r>
    </w:p>
    <w:p>
      <w:pPr>
        <w:pStyle w:val="BodyText"/>
      </w:pPr>
      <w:r>
        <w:t xml:space="preserve">601</w:t>
      </w:r>
    </w:p>
    <w:p>
      <w:pPr>
        <w:pStyle w:val="BodyText"/>
      </w:pPr>
      <w:r>
        <w:t xml:space="preserve">–</w:t>
      </w:r>
    </w:p>
    <w:p>
      <w:pPr>
        <w:pStyle w:val="BodyText"/>
      </w:pPr>
      <w:r>
        <w:t xml:space="preserve">606</w:t>
      </w:r>
    </w:p>
    <w:p>
      <w:pPr>
        <w:pStyle w:val="BodyText"/>
      </w:pPr>
      <w:r>
        <w:rPr>
          <w:rFonts w:hint="eastAsia"/>
        </w:rPr>
        <w:t xml:space="preserve">分部資料與合併收入表的對賬如下：</w:t>
      </w:r>
    </w:p>
    <w:p>
      <w:pPr>
        <w:pStyle w:val="BodyText"/>
      </w:pPr>
      <w:r>
        <w:rPr>
          <w:rFonts w:hint="eastAsia"/>
        </w:rPr>
        <w:t xml:space="preserve">百萬美元</w:t>
      </w:r>
    </w:p>
    <w:p>
      <w:pPr>
        <w:pStyle w:val="BodyText"/>
      </w:pPr>
      <w:r>
        <w:rPr>
          <w:rFonts w:hint="eastAsia"/>
        </w:rPr>
        <w:t xml:space="preserve">分部資料</w:t>
      </w:r>
    </w:p>
    <w:p>
      <w:pPr>
        <w:pStyle w:val="BodyText"/>
      </w:pPr>
      <w:r>
        <w:rPr>
          <w:rFonts w:hint="eastAsia"/>
        </w:rPr>
        <w:t xml:space="preserve">有關股權及</w:t>
      </w:r>
      <w:r>
        <w:br/>
      </w:r>
      <w:r>
        <w:rPr>
          <w:rFonts w:hint="eastAsia"/>
        </w:rPr>
        <w:t xml:space="preserve">房地產投資</w:t>
      </w:r>
      <w:r>
        <w:br/>
      </w:r>
      <w:r>
        <w:rPr>
          <w:rFonts w:hint="eastAsia"/>
        </w:rPr>
        <w:t xml:space="preserve">回報的</w:t>
      </w:r>
      <w:r>
        <w:br/>
      </w:r>
      <w:r>
        <w:rPr>
          <w:rFonts w:hint="eastAsia"/>
        </w:rPr>
        <w:t xml:space="preserve">短期波動</w:t>
      </w:r>
    </w:p>
    <w:p>
      <w:pPr>
        <w:pStyle w:val="BodyText"/>
      </w:pPr>
      <w:r>
        <w:rPr>
          <w:rFonts w:hint="eastAsia"/>
        </w:rPr>
        <w:t xml:space="preserve">其他</w:t>
      </w:r>
    </w:p>
    <w:p>
      <w:pPr>
        <w:pStyle w:val="BodyText"/>
      </w:pPr>
      <w:r>
        <w:rPr>
          <w:rFonts w:hint="eastAsia"/>
        </w:rPr>
        <w:t xml:space="preserve">非營運項目(1)</w:t>
      </w:r>
      <w:r>
        <w:t xml:space="preserve"> </w:t>
      </w:r>
      <w:r>
        <w:rPr>
          <w:rFonts w:hint="eastAsia"/>
        </w:rPr>
        <w:t xml:space="preserve">合併收入表</w:t>
      </w:r>
    </w:p>
    <w:p>
      <w:pPr>
        <w:pStyle w:val="BodyText"/>
      </w:pPr>
      <w:r>
        <w:rPr>
          <w:rFonts w:hint="eastAsia"/>
        </w:rPr>
        <w:t xml:space="preserve">截至2020年12月31日止年度</w:t>
      </w:r>
    </w:p>
    <w:p>
      <w:pPr>
        <w:pStyle w:val="BodyText"/>
      </w:pPr>
      <w:r>
        <w:rPr>
          <w:rFonts w:hint="eastAsia"/>
        </w:rPr>
        <w:t xml:space="preserve">淨保費、收費收入及</w:t>
      </w:r>
      <w:r>
        <w:br/>
      </w:r>
      <w:r>
        <w:rPr>
          <w:rFonts w:hint="eastAsia"/>
        </w:rPr>
        <w:t xml:space="preserve">其他營運收益</w:t>
      </w:r>
    </w:p>
    <w:p>
      <w:pPr>
        <w:pStyle w:val="BodyText"/>
      </w:pPr>
      <w:r>
        <w:rPr>
          <w:rFonts w:hint="eastAsia"/>
        </w:rPr>
        <w:t xml:space="preserve">投資回報</w:t>
      </w:r>
    </w:p>
    <w:p>
      <w:pPr>
        <w:pStyle w:val="BodyText"/>
      </w:pPr>
      <w:r>
        <w:rPr>
          <w:rFonts w:hint="eastAsia"/>
        </w:rPr>
        <w:t xml:space="preserve">總收益</w:t>
      </w:r>
    </w:p>
    <w:p>
      <w:pPr>
        <w:pStyle w:val="BodyText"/>
      </w:pPr>
      <w:r>
        <w:rPr>
          <w:rFonts w:hint="eastAsia"/>
        </w:rPr>
        <w:t xml:space="preserve">淨保險及投資合約給付</w:t>
      </w:r>
    </w:p>
    <w:p>
      <w:pPr>
        <w:pStyle w:val="BodyText"/>
      </w:pPr>
      <w:r>
        <w:rPr>
          <w:rFonts w:hint="eastAsia"/>
        </w:rPr>
        <w:t xml:space="preserve">其他開支</w:t>
      </w:r>
    </w:p>
    <w:p>
      <w:pPr>
        <w:pStyle w:val="BodyText"/>
      </w:pPr>
      <w:r>
        <w:rPr>
          <w:rFonts w:hint="eastAsia"/>
        </w:rPr>
        <w:t xml:space="preserve">總開支</w:t>
      </w:r>
    </w:p>
    <w:p>
      <w:pPr>
        <w:pStyle w:val="BodyText"/>
      </w:pPr>
      <w:r>
        <w:rPr>
          <w:rFonts w:hint="eastAsia"/>
        </w:rPr>
        <w:t xml:space="preserve">分佔聯營公司及合資公司虧損</w:t>
      </w:r>
    </w:p>
    <w:p>
      <w:pPr>
        <w:pStyle w:val="BodyText"/>
      </w:pPr>
      <w:r>
        <w:rPr>
          <w:rFonts w:hint="eastAsia"/>
        </w:rPr>
        <w:t xml:space="preserve">稅前營運溢利</w:t>
      </w:r>
    </w:p>
    <w:p>
      <w:pPr>
        <w:pStyle w:val="BodyText"/>
      </w:pPr>
      <w:r>
        <w:rPr>
          <w:rFonts w:hint="eastAsia"/>
        </w:rPr>
        <w:t xml:space="preserve">附註：</w:t>
      </w:r>
    </w:p>
    <w:p>
      <w:pPr>
        <w:pStyle w:val="Compact"/>
        <w:numPr>
          <w:ilvl w:val="0"/>
          <w:numId w:val="1250"/>
        </w:numPr>
      </w:pPr>
      <w:r>
        <w:rPr>
          <w:rFonts w:hint="eastAsia"/>
        </w:rPr>
        <w:t xml:space="preserve">包括單位連結式合約。</w:t>
      </w:r>
    </w:p>
    <w:p>
      <w:pPr>
        <w:pStyle w:val="FirstParagraph"/>
      </w:pPr>
      <w:r>
        <w:t xml:space="preserve">33,666</w:t>
      </w:r>
    </w:p>
    <w:p>
      <w:pPr>
        <w:pStyle w:val="BodyText"/>
      </w:pPr>
      <w:r>
        <w:t xml:space="preserve">9,398</w:t>
      </w:r>
    </w:p>
    <w:p>
      <w:pPr>
        <w:pStyle w:val="BodyText"/>
      </w:pPr>
      <w:r>
        <w:t xml:space="preserve">43,064</w:t>
      </w:r>
    </w:p>
    <w:p>
      <w:pPr>
        <w:pStyle w:val="BodyText"/>
      </w:pPr>
      <w:r>
        <w:t xml:space="preserve">28,346</w:t>
      </w:r>
    </w:p>
    <w:p>
      <w:pPr>
        <w:pStyle w:val="BodyText"/>
      </w:pPr>
      <w:r>
        <w:t xml:space="preserve">7,755</w:t>
      </w:r>
    </w:p>
    <w:p>
      <w:pPr>
        <w:pStyle w:val="BodyText"/>
      </w:pPr>
      <w:r>
        <w:t xml:space="preserve">36,101</w:t>
      </w:r>
    </w:p>
    <w:p>
      <w:pPr>
        <w:pStyle w:val="FirstParagraph"/>
      </w:pPr>
      <w:r>
        <w:t xml:space="preserve">6,946</w:t>
      </w:r>
    </w:p>
    <w:p>
      <w:pPr>
        <w:pStyle w:val="BodyText"/>
      </w:pPr>
      <w:r>
        <w:t xml:space="preserve">–</w:t>
      </w:r>
    </w:p>
    <w:p>
      <w:pPr>
        <w:pStyle w:val="BodyText"/>
      </w:pPr>
      <w:r>
        <w:t xml:space="preserve">820</w:t>
      </w:r>
    </w:p>
    <w:p>
      <w:pPr>
        <w:pStyle w:val="BodyText"/>
      </w:pPr>
      <w:r>
        <w:t xml:space="preserve">820</w:t>
      </w:r>
    </w:p>
    <w:p>
      <w:pPr>
        <w:pStyle w:val="BodyText"/>
      </w:pPr>
      <w:r>
        <w:t xml:space="preserve">1,302</w:t>
      </w:r>
    </w:p>
    <w:p>
      <w:pPr>
        <w:pStyle w:val="BodyText"/>
      </w:pPr>
      <w:r>
        <w:t xml:space="preserve">–</w:t>
      </w:r>
    </w:p>
    <w:p>
      <w:pPr>
        <w:pStyle w:val="BodyText"/>
      </w:pPr>
      <w:r>
        <w:t xml:space="preserve">1,302</w:t>
      </w:r>
    </w:p>
    <w:p>
      <w:pPr>
        <w:pStyle w:val="BodyText"/>
      </w:pPr>
      <w:r>
        <w:t xml:space="preserve">–</w:t>
      </w:r>
    </w:p>
    <w:p>
      <w:pPr>
        <w:pStyle w:val="FirstParagraph"/>
      </w:pPr>
      <w:r>
        <w:t xml:space="preserve">33,652</w:t>
      </w:r>
    </w:p>
    <w:p>
      <w:pPr>
        <w:pStyle w:val="BodyText"/>
      </w:pPr>
      <w:r>
        <w:rPr>
          <w:rFonts w:hint="eastAsia"/>
        </w:rPr>
        <w:t xml:space="preserve">淨保費、收費收入及</w:t>
      </w:r>
      <w:r>
        <w:br/>
      </w:r>
      <w:r>
        <w:rPr>
          <w:rFonts w:hint="eastAsia"/>
        </w:rPr>
        <w:t xml:space="preserve">其他營運收益</w:t>
      </w:r>
    </w:p>
    <w:p>
      <w:pPr>
        <w:pStyle w:val="BodyText"/>
      </w:pPr>
      <w:r>
        <w:t xml:space="preserve">6,489</w:t>
      </w:r>
    </w:p>
    <w:p>
      <w:pPr>
        <w:pStyle w:val="BodyText"/>
      </w:pPr>
      <w:r>
        <w:t xml:space="preserve">6,475</w:t>
      </w:r>
    </w:p>
    <w:p>
      <w:pPr>
        <w:pStyle w:val="BodyText"/>
      </w:pPr>
      <w:r>
        <w:t xml:space="preserve">5,091</w:t>
      </w:r>
    </w:p>
    <w:p>
      <w:pPr>
        <w:pStyle w:val="BodyText"/>
      </w:pPr>
      <w:r>
        <w:t xml:space="preserve">578</w:t>
      </w:r>
    </w:p>
    <w:p>
      <w:pPr>
        <w:pStyle w:val="BodyText"/>
      </w:pPr>
      <w:r>
        <w:t xml:space="preserve">5,669</w:t>
      </w:r>
    </w:p>
    <w:p>
      <w:pPr>
        <w:pStyle w:val="BodyText"/>
      </w:pPr>
      <w:r>
        <w:t xml:space="preserve">–</w:t>
      </w:r>
    </w:p>
    <w:p>
      <w:pPr>
        <w:pStyle w:val="BodyText"/>
      </w:pPr>
      <w:r>
        <w:t xml:space="preserve">806</w:t>
      </w:r>
    </w:p>
    <w:p>
      <w:pPr>
        <w:pStyle w:val="BodyText"/>
      </w:pPr>
      <w:r>
        <w:t xml:space="preserve">16,707 </w:t>
      </w:r>
      <w:r>
        <w:rPr>
          <w:rFonts w:hint="eastAsia"/>
        </w:rPr>
        <w:t xml:space="preserve">投資回報</w:t>
      </w:r>
      <w:r>
        <w:br/>
      </w:r>
      <w:r>
        <w:t xml:space="preserve">50,359 </w:t>
      </w:r>
      <w:r>
        <w:rPr>
          <w:rFonts w:hint="eastAsia"/>
        </w:rPr>
        <w:t xml:space="preserve">總收益</w:t>
      </w:r>
    </w:p>
    <w:p>
      <w:pPr>
        <w:pStyle w:val="BodyText"/>
      </w:pPr>
      <w:r>
        <w:t xml:space="preserve">34,739 </w:t>
      </w:r>
      <w:r>
        <w:rPr>
          <w:rFonts w:hint="eastAsia"/>
        </w:rPr>
        <w:t xml:space="preserve">淨保險及投資合約給付</w:t>
      </w:r>
    </w:p>
    <w:p>
      <w:pPr>
        <w:pStyle w:val="BodyText"/>
      </w:pPr>
      <w:r>
        <w:t xml:space="preserve">8,333 </w:t>
      </w:r>
      <w:r>
        <w:rPr>
          <w:rFonts w:hint="eastAsia"/>
        </w:rPr>
        <w:t xml:space="preserve">其他開支</w:t>
      </w:r>
    </w:p>
    <w:p>
      <w:pPr>
        <w:pStyle w:val="BodyText"/>
      </w:pPr>
      <w:r>
        <w:t xml:space="preserve">43,072 </w:t>
      </w:r>
      <w:r>
        <w:rPr>
          <w:rFonts w:hint="eastAsia"/>
        </w:rPr>
        <w:t xml:space="preserve">總開支</w:t>
      </w:r>
    </w:p>
    <w:p>
      <w:pPr>
        <w:pStyle w:val="Compact"/>
        <w:numPr>
          <w:ilvl w:val="0"/>
          <w:numId w:val="1253"/>
        </w:numPr>
      </w:pPr>
      <w:r>
        <w:rPr>
          <w:rFonts w:hint="eastAsia"/>
        </w:rPr>
        <w:t xml:space="preserve">分佔聯營公司及合資公司虧損</w:t>
      </w:r>
    </w:p>
    <w:p>
      <w:pPr>
        <w:pStyle w:val="FirstParagraph"/>
      </w:pPr>
      <w:r>
        <w:t xml:space="preserve">7,270 </w:t>
      </w:r>
      <w:r>
        <w:rPr>
          <w:rFonts w:hint="eastAsia"/>
        </w:rPr>
        <w:t xml:space="preserve">稅前溢利</w:t>
      </w:r>
    </w:p>
    <w:p>
      <w:pPr>
        <w:pStyle w:val="BodyText"/>
      </w:pPr>
      <w:r>
        <w:t xml:space="preserve">179</w:t>
      </w:r>
    </w:p>
    <w:p>
      <w:pPr>
        <w:pStyle w:val="BodyText"/>
      </w:pPr>
      <w:r>
        <w:rPr>
          <w:rFonts w:hint="eastAsia"/>
        </w:rPr>
        <w:t xml:space="preserve">概覽財務及營運回顧企業管治其他資料財務報表2020年報</w:t>
      </w:r>
    </w:p>
    <w:p>
      <w:pPr>
        <w:pStyle w:val="Compact"/>
        <w:numPr>
          <w:ilvl w:val="0"/>
          <w:numId w:val="1254"/>
        </w:numPr>
      </w:pPr>
      <w:r>
        <w:rPr>
          <w:rFonts w:hint="eastAsia"/>
        </w:rPr>
        <w:t xml:space="preserve">分部資料（續）</w:t>
      </w:r>
    </w:p>
    <w:p>
      <w:pPr>
        <w:pStyle w:val="FirstParagraph"/>
      </w:pPr>
      <w:r>
        <w:rPr>
          <w:rFonts w:hint="eastAsia"/>
        </w:rPr>
        <w:t xml:space="preserve">百萬美元</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r>
        <w:t xml:space="preserve"> </w:t>
      </w:r>
      <w:r>
        <w:rPr>
          <w:rFonts w:hint="eastAsia"/>
        </w:rPr>
        <w:t xml:space="preserve">馬來西亞</w:t>
      </w:r>
      <w:r>
        <w:t xml:space="preserve"> </w:t>
      </w:r>
      <w:r>
        <w:rPr>
          <w:rFonts w:hint="eastAsia"/>
        </w:rPr>
        <w:t xml:space="preserve">中國內地</w:t>
      </w:r>
      <w:r>
        <w:t xml:space="preserve"> </w:t>
      </w:r>
      <w:r>
        <w:rPr>
          <w:rFonts w:hint="eastAsia"/>
        </w:rPr>
        <w:t xml:space="preserve">其他市場</w:t>
      </w:r>
    </w:p>
    <w:p>
      <w:pPr>
        <w:pStyle w:val="BodyText"/>
      </w:pPr>
      <w:r>
        <w:rPr>
          <w:rFonts w:hint="eastAsia"/>
        </w:rPr>
        <w:t xml:space="preserve">集團企業</w:t>
      </w:r>
      <w:r>
        <w:br/>
      </w:r>
      <w:r>
        <w:rPr>
          <w:rFonts w:hint="eastAsia"/>
        </w:rPr>
        <w:t xml:space="preserve">中心</w:t>
      </w:r>
    </w:p>
    <w:p>
      <w:pPr>
        <w:pStyle w:val="BodyText"/>
      </w:pPr>
      <w:r>
        <w:rPr>
          <w:rFonts w:hint="eastAsia"/>
        </w:rPr>
        <w:t xml:space="preserve">總計</w:t>
      </w:r>
    </w:p>
    <w:p>
      <w:pPr>
        <w:pStyle w:val="BodyText"/>
      </w:pPr>
      <w:r>
        <w:t xml:space="preserve">2,393</w:t>
      </w:r>
    </w:p>
    <w:p>
      <w:pPr>
        <w:pStyle w:val="BodyText"/>
      </w:pPr>
      <w:r>
        <w:t xml:space="preserve">729</w:t>
      </w:r>
    </w:p>
    <w:p>
      <w:pPr>
        <w:pStyle w:val="BodyText"/>
      </w:pPr>
      <w:r>
        <w:t xml:space="preserve">538</w:t>
      </w:r>
    </w:p>
    <w:p>
      <w:pPr>
        <w:pStyle w:val="BodyText"/>
      </w:pPr>
      <w:r>
        <w:t xml:space="preserve">406</w:t>
      </w:r>
    </w:p>
    <w:p>
      <w:pPr>
        <w:pStyle w:val="BodyText"/>
      </w:pPr>
      <w:r>
        <w:t xml:space="preserve">13,107</w:t>
      </w:r>
    </w:p>
    <w:p>
      <w:pPr>
        <w:pStyle w:val="BodyText"/>
      </w:pPr>
      <w:r>
        <w:t xml:space="preserve">4,352</w:t>
      </w:r>
    </w:p>
    <w:p>
      <w:pPr>
        <w:pStyle w:val="BodyText"/>
      </w:pPr>
      <w:r>
        <w:t xml:space="preserve">2,916</w:t>
      </w:r>
    </w:p>
    <w:p>
      <w:pPr>
        <w:pStyle w:val="BodyText"/>
      </w:pPr>
      <w:r>
        <w:t xml:space="preserve">2,142</w:t>
      </w:r>
    </w:p>
    <w:p>
      <w:pPr>
        <w:pStyle w:val="BodyText"/>
      </w:pPr>
      <w:r>
        <w:t xml:space="preserve">1,248</w:t>
      </w:r>
    </w:p>
    <w:p>
      <w:pPr>
        <w:pStyle w:val="BodyText"/>
      </w:pPr>
      <w:r>
        <w:t xml:space="preserve">4,804</w:t>
      </w:r>
    </w:p>
    <w:p>
      <w:pPr>
        <w:pStyle w:val="BodyText"/>
      </w:pPr>
      <w:r>
        <w:t xml:space="preserve">14,191</w:t>
      </w:r>
    </w:p>
    <w:p>
      <w:pPr>
        <w:pStyle w:val="BodyText"/>
      </w:pPr>
      <w:r>
        <w:t xml:space="preserve">3,119</w:t>
      </w:r>
    </w:p>
    <w:p>
      <w:pPr>
        <w:pStyle w:val="BodyText"/>
      </w:pPr>
      <w:r>
        <w:t xml:space="preserve">17,310</w:t>
      </w:r>
    </w:p>
    <w:p>
      <w:pPr>
        <w:pStyle w:val="BodyText"/>
      </w:pPr>
      <w:r>
        <w:t xml:space="preserve">13,021</w:t>
      </w:r>
    </w:p>
    <w:p>
      <w:pPr>
        <w:pStyle w:val="BodyText"/>
      </w:pPr>
      <w:r>
        <w:t xml:space="preserve">1,602</w:t>
      </w:r>
    </w:p>
    <w:p>
      <w:pPr>
        <w:pStyle w:val="BodyText"/>
      </w:pPr>
      <w:r>
        <w:t xml:space="preserve">454</w:t>
      </w:r>
    </w:p>
    <w:p>
      <w:pPr>
        <w:pStyle w:val="BodyText"/>
      </w:pPr>
      <w:r>
        <w:t xml:space="preserve">164</w:t>
      </w:r>
    </w:p>
    <w:p>
      <w:pPr>
        <w:pStyle w:val="BodyText"/>
      </w:pPr>
      <w:r>
        <w:t xml:space="preserve">4,222</w:t>
      </w:r>
    </w:p>
    <w:p>
      <w:pPr>
        <w:pStyle w:val="BodyText"/>
      </w:pPr>
      <w:r>
        <w:t xml:space="preserve">1,394</w:t>
      </w:r>
    </w:p>
    <w:p>
      <w:pPr>
        <w:pStyle w:val="BodyText"/>
      </w:pPr>
      <w:r>
        <w:t xml:space="preserve">5,616</w:t>
      </w:r>
    </w:p>
    <w:p>
      <w:pPr>
        <w:pStyle w:val="BodyText"/>
      </w:pPr>
      <w:r>
        <w:t xml:space="preserve">3,190</w:t>
      </w:r>
    </w:p>
    <w:p>
      <w:pPr>
        <w:pStyle w:val="BodyText"/>
      </w:pPr>
      <w:r>
        <w:t xml:space="preserve">814</w:t>
      </w:r>
    </w:p>
    <w:p>
      <w:pPr>
        <w:pStyle w:val="BodyText"/>
      </w:pPr>
      <w:r>
        <w:t xml:space="preserve">236</w:t>
      </w:r>
    </w:p>
    <w:p>
      <w:pPr>
        <w:pStyle w:val="BodyText"/>
      </w:pPr>
      <w:r>
        <w:t xml:space="preserve">55</w:t>
      </w:r>
    </w:p>
    <w:p>
      <w:pPr>
        <w:pStyle w:val="BodyText"/>
      </w:pPr>
      <w:r>
        <w:t xml:space="preserve">3,372</w:t>
      </w:r>
    </w:p>
    <w:p>
      <w:pPr>
        <w:pStyle w:val="BodyText"/>
      </w:pPr>
      <w:r>
        <w:t xml:space="preserve">1,225</w:t>
      </w:r>
    </w:p>
    <w:p>
      <w:pPr>
        <w:pStyle w:val="BodyText"/>
      </w:pPr>
      <w:r>
        <w:t xml:space="preserve">4,597</w:t>
      </w:r>
    </w:p>
    <w:p>
      <w:pPr>
        <w:pStyle w:val="BodyText"/>
      </w:pPr>
      <w:r>
        <w:t xml:space="preserve">3,348</w:t>
      </w:r>
    </w:p>
    <w:p>
      <w:pPr>
        <w:pStyle w:val="BodyText"/>
      </w:pPr>
      <w:r>
        <w:t xml:space="preserve">390</w:t>
      </w:r>
    </w:p>
    <w:p>
      <w:pPr>
        <w:pStyle w:val="BodyText"/>
      </w:pPr>
      <w:r>
        <w:t xml:space="preserve">222</w:t>
      </w:r>
    </w:p>
    <w:p>
      <w:pPr>
        <w:pStyle w:val="BodyText"/>
      </w:pPr>
      <w:r>
        <w:t xml:space="preserve">30</w:t>
      </w:r>
    </w:p>
    <w:p>
      <w:pPr>
        <w:pStyle w:val="BodyText"/>
      </w:pPr>
      <w:r>
        <w:t xml:space="preserve">1,826</w:t>
      </w:r>
    </w:p>
    <w:p>
      <w:pPr>
        <w:pStyle w:val="BodyText"/>
      </w:pPr>
      <w:r>
        <w:t xml:space="preserve">4,814</w:t>
      </w:r>
    </w:p>
    <w:p>
      <w:pPr>
        <w:pStyle w:val="BodyText"/>
      </w:pPr>
      <w:r>
        <w:t xml:space="preserve">582</w:t>
      </w:r>
    </w:p>
    <w:p>
      <w:pPr>
        <w:pStyle w:val="BodyText"/>
      </w:pPr>
      <w:r>
        <w:t xml:space="preserve">2,408</w:t>
      </w:r>
    </w:p>
    <w:p>
      <w:pPr>
        <w:pStyle w:val="BodyText"/>
      </w:pPr>
      <w:r>
        <w:t xml:space="preserve">1,585</w:t>
      </w:r>
    </w:p>
    <w:p>
      <w:pPr>
        <w:pStyle w:val="BodyText"/>
      </w:pPr>
      <w:r>
        <w:t xml:space="preserve">216</w:t>
      </w:r>
    </w:p>
    <w:p>
      <w:pPr>
        <w:pStyle w:val="BodyText"/>
      </w:pPr>
      <w:r>
        <w:t xml:space="preserve">183</w:t>
      </w:r>
    </w:p>
    <w:p>
      <w:pPr>
        <w:pStyle w:val="BodyText"/>
      </w:pPr>
      <w:r>
        <w:t xml:space="preserve">16</w:t>
      </w:r>
    </w:p>
    <w:p>
      <w:pPr>
        <w:pStyle w:val="BodyText"/>
      </w:pPr>
      <w:r>
        <w:t xml:space="preserve">971</w:t>
      </w:r>
    </w:p>
    <w:p>
      <w:pPr>
        <w:pStyle w:val="BodyText"/>
      </w:pPr>
      <w:r>
        <w:t xml:space="preserve">5,785</w:t>
      </w:r>
    </w:p>
    <w:p>
      <w:pPr>
        <w:pStyle w:val="BodyText"/>
      </w:pPr>
      <w:r>
        <w:t xml:space="preserve">3,783</w:t>
      </w:r>
    </w:p>
    <w:p>
      <w:pPr>
        <w:pStyle w:val="BodyText"/>
      </w:pPr>
      <w:r>
        <w:t xml:space="preserve">315</w:t>
      </w:r>
    </w:p>
    <w:p>
      <w:pPr>
        <w:pStyle w:val="BodyText"/>
      </w:pPr>
      <w:r>
        <w:t xml:space="preserve">376</w:t>
      </w:r>
    </w:p>
    <w:p>
      <w:pPr>
        <w:pStyle w:val="BodyText"/>
      </w:pPr>
      <w:r>
        <w:t xml:space="preserve">64</w:t>
      </w:r>
    </w:p>
    <w:p>
      <w:pPr>
        <w:pStyle w:val="BodyText"/>
      </w:pPr>
      <w:r>
        <w:t xml:space="preserve">1,271</w:t>
      </w:r>
    </w:p>
    <w:p>
      <w:pPr>
        <w:pStyle w:val="BodyText"/>
      </w:pPr>
      <w:r>
        <w:t xml:space="preserve">6,681</w:t>
      </w:r>
    </w:p>
    <w:p>
      <w:pPr>
        <w:pStyle w:val="BodyText"/>
      </w:pPr>
      <w:r>
        <w:t xml:space="preserve">4,413</w:t>
      </w:r>
    </w:p>
    <w:p>
      <w:pPr>
        <w:pStyle w:val="BodyText"/>
      </w:pPr>
      <w:r>
        <w:t xml:space="preserve">1,157</w:t>
      </w:r>
    </w:p>
    <w:p>
      <w:pPr>
        <w:pStyle w:val="BodyText"/>
      </w:pPr>
      <w:r>
        <w:t xml:space="preserve">5,570</w:t>
      </w:r>
    </w:p>
    <w:p>
      <w:pPr>
        <w:pStyle w:val="BodyText"/>
      </w:pPr>
      <w:r>
        <w:t xml:space="preserve">2,705</w:t>
      </w:r>
    </w:p>
    <w:p>
      <w:pPr>
        <w:pStyle w:val="BodyText"/>
      </w:pPr>
      <w:r>
        <w:t xml:space="preserve">951</w:t>
      </w:r>
    </w:p>
    <w:p>
      <w:pPr>
        <w:pStyle w:val="BodyText"/>
      </w:pPr>
      <w:r>
        <w:t xml:space="preserve">759</w:t>
      </w:r>
    </w:p>
    <w:p>
      <w:pPr>
        <w:pStyle w:val="BodyText"/>
      </w:pPr>
      <w:r>
        <w:t xml:space="preserve">59</w:t>
      </w:r>
    </w:p>
    <w:p>
      <w:pPr>
        <w:pStyle w:val="BodyText"/>
      </w:pPr>
      <w:r>
        <w:t xml:space="preserve">15,241</w:t>
      </w:r>
    </w:p>
    <w:p>
      <w:pPr>
        <w:pStyle w:val="BodyText"/>
      </w:pPr>
      <w:r>
        <w:t xml:space="preserve">4,295</w:t>
      </w:r>
    </w:p>
    <w:p>
      <w:pPr>
        <w:pStyle w:val="BodyText"/>
      </w:pPr>
      <w:r>
        <w:t xml:space="preserve">3,990</w:t>
      </w:r>
    </w:p>
    <w:p>
      <w:pPr>
        <w:pStyle w:val="BodyText"/>
      </w:pPr>
      <w:r>
        <w:t xml:space="preserve">2,000</w:t>
      </w:r>
    </w:p>
    <w:p>
      <w:pPr>
        <w:pStyle w:val="BodyText"/>
      </w:pPr>
      <w:r>
        <w:t xml:space="preserve">4,538</w:t>
      </w:r>
    </w:p>
    <w:p>
      <w:pPr>
        <w:pStyle w:val="BodyText"/>
      </w:pPr>
      <w:r>
        <w:t xml:space="preserve">4,474</w:t>
      </w:r>
    </w:p>
    <w:p>
      <w:pPr>
        <w:pStyle w:val="BodyText"/>
      </w:pPr>
      <w:r>
        <w:t xml:space="preserve">–</w:t>
      </w:r>
    </w:p>
    <w:p>
      <w:pPr>
        <w:pStyle w:val="BodyText"/>
      </w:pPr>
      <w:r>
        <w:t xml:space="preserve">408</w:t>
      </w:r>
    </w:p>
    <w:p>
      <w:pPr>
        <w:pStyle w:val="FirstParagraph"/>
      </w:pPr>
      <w:r>
        <w:t xml:space="preserve">340</w:t>
      </w:r>
    </w:p>
    <w:p>
      <w:pPr>
        <w:pStyle w:val="BodyText"/>
      </w:pPr>
      <w:r>
        <w:t xml:space="preserve">–</w:t>
      </w:r>
    </w:p>
    <w:p>
      <w:pPr>
        <w:pStyle w:val="FirstParagraph"/>
      </w:pPr>
      <w:r>
        <w:t xml:space="preserve">1,247</w:t>
      </w:r>
    </w:p>
    <w:p>
      <w:pPr>
        <w:pStyle w:val="BodyText"/>
      </w:pPr>
      <w:r>
        <w:t xml:space="preserve">1,088</w:t>
      </w:r>
    </w:p>
    <w:p>
      <w:pPr>
        <w:pStyle w:val="FirstParagraph"/>
      </w:pPr>
      <w:r>
        <w:t xml:space="preserve">1,061</w:t>
      </w:r>
    </w:p>
    <w:p>
      <w:pPr>
        <w:pStyle w:val="FirstParagraph"/>
      </w:pPr>
      <w:r>
        <w:t xml:space="preserve">795</w:t>
      </w:r>
    </w:p>
    <w:p>
      <w:pPr>
        <w:pStyle w:val="BodyText"/>
      </w:pPr>
      <w:r>
        <w:t xml:space="preserve">–</w:t>
      </w:r>
    </w:p>
    <w:p>
      <w:pPr>
        <w:pStyle w:val="BodyText"/>
      </w:pPr>
      <w:r>
        <w:t xml:space="preserve">–</w:t>
      </w:r>
    </w:p>
    <w:p>
      <w:pPr>
        <w:pStyle w:val="BodyText"/>
      </w:pPr>
      <w:r>
        <w:t xml:space="preserve">2,069</w:t>
      </w:r>
    </w:p>
    <w:p>
      <w:pPr>
        <w:pStyle w:val="BodyText"/>
      </w:pPr>
      <w:r>
        <w:t xml:space="preserve">1,321</w:t>
      </w:r>
    </w:p>
    <w:p>
      <w:pPr>
        <w:pStyle w:val="FirstParagraph"/>
      </w:pPr>
      <w:r>
        <w:t xml:space="preserve">1,894</w:t>
      </w:r>
    </w:p>
    <w:p>
      <w:pPr>
        <w:pStyle w:val="BodyText"/>
      </w:pPr>
      <w:r>
        <w:t xml:space="preserve">1,064</w:t>
      </w:r>
    </w:p>
    <w:p>
      <w:pPr>
        <w:pStyle w:val="BodyText"/>
      </w:pPr>
      <w:r>
        <w:t xml:space="preserve">1,879</w:t>
      </w:r>
    </w:p>
    <w:p>
      <w:pPr>
        <w:pStyle w:val="BodyText"/>
      </w:pPr>
      <w:r>
        <w:t xml:space="preserve">1,064</w:t>
      </w:r>
    </w:p>
    <w:p>
      <w:pPr>
        <w:pStyle w:val="BodyText"/>
      </w:pPr>
      <w:r>
        <w:t xml:space="preserve">15</w:t>
      </w:r>
    </w:p>
    <w:p>
      <w:pPr>
        <w:pStyle w:val="BodyText"/>
      </w:pPr>
      <w:r>
        <w:t xml:space="preserve">–</w:t>
      </w:r>
    </w:p>
    <w:p>
      <w:pPr>
        <w:pStyle w:val="BodyText"/>
      </w:pPr>
      <w:r>
        <w:t xml:space="preserve">–</w:t>
      </w:r>
    </w:p>
    <w:p>
      <w:pPr>
        <w:pStyle w:val="BodyText"/>
      </w:pPr>
      <w:r>
        <w:t xml:space="preserve">607</w:t>
      </w:r>
    </w:p>
    <w:p>
      <w:pPr>
        <w:pStyle w:val="FirstParagraph"/>
      </w:pPr>
      <w:r>
        <w:t xml:space="preserve">583</w:t>
      </w:r>
    </w:p>
    <w:p>
      <w:pPr>
        <w:pStyle w:val="BodyText"/>
      </w:pPr>
      <w:r>
        <w:t xml:space="preserve">583</w:t>
      </w:r>
    </w:p>
    <w:p>
      <w:pPr>
        <w:pStyle w:val="BodyText"/>
      </w:pPr>
      <w:r>
        <w:t xml:space="preserve">–</w:t>
      </w:r>
    </w:p>
    <w:p>
      <w:pPr>
        <w:pStyle w:val="BodyText"/>
      </w:pPr>
      <w:r>
        <w:t xml:space="preserve">–</w:t>
      </w:r>
    </w:p>
    <w:p>
      <w:pPr>
        <w:pStyle w:val="BodyText"/>
      </w:pPr>
      <w:r>
        <w:t xml:space="preserve">–</w:t>
      </w:r>
    </w:p>
    <w:p>
      <w:pPr>
        <w:pStyle w:val="BodyText"/>
      </w:pPr>
      <w:r>
        <w:t xml:space="preserve">6,585</w:t>
      </w:r>
    </w:p>
    <w:p>
      <w:pPr>
        <w:pStyle w:val="BodyText"/>
      </w:pPr>
      <w:r>
        <w:t xml:space="preserve">34,002</w:t>
      </w:r>
    </w:p>
    <w:p>
      <w:pPr>
        <w:pStyle w:val="BodyText"/>
      </w:pPr>
      <w:r>
        <w:t xml:space="preserve">58</w:t>
      </w:r>
    </w:p>
    <w:p>
      <w:pPr>
        <w:pStyle w:val="BodyText"/>
      </w:pPr>
      <w:r>
        <w:t xml:space="preserve">32,896</w:t>
      </w:r>
    </w:p>
    <w:p>
      <w:pPr>
        <w:pStyle w:val="BodyText"/>
      </w:pPr>
      <w:r>
        <w:t xml:space="preserve">451</w:t>
      </w:r>
    </w:p>
    <w:p>
      <w:pPr>
        <w:pStyle w:val="BodyText"/>
      </w:pPr>
      <w:r>
        <w:t xml:space="preserve">509</w:t>
      </w:r>
    </w:p>
    <w:p>
      <w:pPr>
        <w:pStyle w:val="BodyText"/>
      </w:pPr>
      <w:r>
        <w:t xml:space="preserve">43</w:t>
      </w:r>
    </w:p>
    <w:p>
      <w:pPr>
        <w:pStyle w:val="BodyText"/>
      </w:pPr>
      <w:r>
        <w:t xml:space="preserve">9</w:t>
      </w:r>
    </w:p>
    <w:p>
      <w:pPr>
        <w:pStyle w:val="BodyText"/>
      </w:pPr>
      <w:r>
        <w:t xml:space="preserve">238</w:t>
      </w:r>
    </w:p>
    <w:p>
      <w:pPr>
        <w:pStyle w:val="BodyText"/>
      </w:pPr>
      <w:r>
        <w:t xml:space="preserve">194</w:t>
      </w:r>
    </w:p>
    <w:p>
      <w:pPr>
        <w:pStyle w:val="BodyText"/>
      </w:pPr>
      <w:r>
        <w:t xml:space="preserve">484</w:t>
      </w:r>
    </w:p>
    <w:p>
      <w:pPr>
        <w:pStyle w:val="BodyText"/>
      </w:pPr>
      <w:r>
        <w:t xml:space="preserve">–</w:t>
      </w:r>
    </w:p>
    <w:p>
      <w:pPr>
        <w:pStyle w:val="BodyText"/>
      </w:pPr>
      <w:r>
        <w:t xml:space="preserve">25</w:t>
      </w:r>
    </w:p>
    <w:p>
      <w:pPr>
        <w:pStyle w:val="BodyText"/>
      </w:pPr>
      <w:r>
        <w:t xml:space="preserve">8,899</w:t>
      </w:r>
    </w:p>
    <w:p>
      <w:pPr>
        <w:pStyle w:val="BodyText"/>
      </w:pPr>
      <w:r>
        <w:t xml:space="preserve">41,795</w:t>
      </w:r>
    </w:p>
    <w:p>
      <w:pPr>
        <w:pStyle w:val="BodyText"/>
      </w:pPr>
      <w:r>
        <w:t xml:space="preserve">27,675</w:t>
      </w:r>
    </w:p>
    <w:p>
      <w:pPr>
        <w:pStyle w:val="BodyText"/>
      </w:pPr>
      <w:r>
        <w:t xml:space="preserve">4,297</w:t>
      </w:r>
    </w:p>
    <w:p>
      <w:pPr>
        <w:pStyle w:val="BodyText"/>
      </w:pPr>
      <w:r>
        <w:t xml:space="preserve">2,468</w:t>
      </w:r>
    </w:p>
    <w:p>
      <w:pPr>
        <w:pStyle w:val="BodyText"/>
      </w:pPr>
      <w:r>
        <w:t xml:space="preserve">582</w:t>
      </w:r>
    </w:p>
    <w:p>
      <w:pPr>
        <w:pStyle w:val="BodyText"/>
      </w:pPr>
      <w:r>
        <w:t xml:space="preserve">35,022</w:t>
      </w:r>
    </w:p>
    <w:p>
      <w:pPr>
        <w:pStyle w:val="FirstParagraph"/>
      </w:pPr>
      <w:r>
        <w:t xml:space="preserve">6,765</w:t>
      </w:r>
    </w:p>
    <w:p>
      <w:pPr>
        <w:pStyle w:val="FirstParagraph"/>
      </w:pPr>
      <w:r>
        <w:t xml:space="preserve">(1,031)</w:t>
      </w:r>
    </w:p>
    <w:p>
      <w:pPr>
        <w:pStyle w:val="FirstParagraph"/>
      </w:pPr>
      <w:r>
        <w:t xml:space="preserve">5,734</w:t>
      </w:r>
    </w:p>
    <w:p>
      <w:pPr>
        <w:pStyle w:val="BodyText"/>
      </w:pPr>
      <w:r>
        <w:t xml:space="preserve">333</w:t>
      </w:r>
    </w:p>
    <w:p>
      <w:pPr>
        <w:pStyle w:val="BodyText"/>
      </w:pPr>
      <w:r>
        <w:t xml:space="preserve">1,061</w:t>
      </w:r>
    </w:p>
    <w:p>
      <w:pPr>
        <w:pStyle w:val="BodyText"/>
      </w:pPr>
      <w:r>
        <w:t xml:space="preserve">7</w:t>
      </w:r>
    </w:p>
    <w:p>
      <w:pPr>
        <w:pStyle w:val="BodyText"/>
      </w:pPr>
      <w:r>
        <w:t xml:space="preserve">–</w:t>
      </w:r>
    </w:p>
    <w:p>
      <w:pPr>
        <w:pStyle w:val="BodyText"/>
      </w:pPr>
      <w:r>
        <w:t xml:space="preserve">772</w:t>
      </w:r>
    </w:p>
    <w:p>
      <w:pPr>
        <w:pStyle w:val="BodyText"/>
      </w:pPr>
      <w:r>
        <w:t xml:space="preserve">23</w:t>
      </w:r>
    </w:p>
    <w:p>
      <w:pPr>
        <w:pStyle w:val="FirstParagraph"/>
      </w:pPr>
      <w:r>
        <w:t xml:space="preserve">–</w:t>
      </w:r>
    </w:p>
    <w:p>
      <w:pPr>
        <w:pStyle w:val="BodyText"/>
      </w:pPr>
      <w:r>
        <w:t xml:space="preserve">5,689</w:t>
      </w:r>
    </w:p>
    <w:p>
      <w:pPr>
        <w:pStyle w:val="BodyText"/>
      </w:pPr>
      <w:r>
        <w:t xml:space="preserve">45</w:t>
      </w:r>
    </w:p>
    <w:p>
      <w:pPr>
        <w:pStyle w:val="BodyText"/>
      </w:pPr>
      <w:r>
        <w:t xml:space="preserve">3.5%</w:t>
      </w:r>
    </w:p>
    <w:p>
      <w:pPr>
        <w:pStyle w:val="BodyText"/>
      </w:pPr>
      <w:r>
        <w:t xml:space="preserve">14.5%</w:t>
      </w:r>
    </w:p>
    <w:p>
      <w:pPr>
        <w:pStyle w:val="BodyText"/>
      </w:pPr>
      <w:r>
        <w:t xml:space="preserve">20.2%</w:t>
      </w:r>
    </w:p>
    <w:p>
      <w:pPr>
        <w:pStyle w:val="BodyText"/>
      </w:pPr>
      <w:r>
        <w:t xml:space="preserve">5.4%</w:t>
      </w:r>
    </w:p>
    <w:p>
      <w:pPr>
        <w:pStyle w:val="BodyText"/>
      </w:pPr>
      <w:r>
        <w:t xml:space="preserve">24.4%</w:t>
      </w:r>
    </w:p>
    <w:p>
      <w:pPr>
        <w:pStyle w:val="BodyText"/>
      </w:pPr>
      <w:r>
        <w:t xml:space="preserve">16.6%</w:t>
      </w:r>
    </w:p>
    <w:p>
      <w:pPr>
        <w:pStyle w:val="BodyText"/>
      </w:pPr>
      <w:r>
        <w:t xml:space="preserve">7.6%</w:t>
      </w:r>
    </w:p>
    <w:p>
      <w:pPr>
        <w:pStyle w:val="BodyText"/>
      </w:pPr>
      <w:r>
        <w:t xml:space="preserve">20.0%</w:t>
      </w:r>
    </w:p>
    <w:p>
      <w:pPr>
        <w:pStyle w:val="BodyText"/>
      </w:pPr>
      <w:r>
        <w:t xml:space="preserve">17.6%</w:t>
      </w:r>
    </w:p>
    <w:p>
      <w:pPr>
        <w:pStyle w:val="BodyText"/>
      </w:pPr>
      <w:r>
        <w:t xml:space="preserve">8.5%</w:t>
      </w:r>
    </w:p>
    <w:p>
      <w:pPr>
        <w:pStyle w:val="BodyText"/>
      </w:pPr>
      <w:r>
        <w:t xml:space="preserve">15.9%</w:t>
      </w:r>
    </w:p>
    <w:p>
      <w:pPr>
        <w:pStyle w:val="BodyText"/>
      </w:pPr>
      <w:r>
        <w:t xml:space="preserve">19.7%</w:t>
      </w:r>
    </w:p>
    <w:p>
      <w:pPr>
        <w:pStyle w:val="BodyText"/>
      </w:pPr>
      <w:r>
        <w:t xml:space="preserve">7.8%</w:t>
      </w:r>
    </w:p>
    <w:p>
      <w:pPr>
        <w:pStyle w:val="BodyText"/>
      </w:pPr>
      <w:r>
        <w:t xml:space="preserve">22.1%</w:t>
      </w:r>
    </w:p>
    <w:p>
      <w:pPr>
        <w:pStyle w:val="BodyText"/>
      </w:pPr>
      <w:r>
        <w:t xml:space="preserve">28.8%</w:t>
      </w:r>
    </w:p>
    <w:p>
      <w:pPr>
        <w:pStyle w:val="BodyText"/>
      </w:pPr>
      <w:r>
        <w:t xml:space="preserve">11.4%</w:t>
      </w:r>
    </w:p>
    <w:p>
      <w:pPr>
        <w:pStyle w:val="BodyText"/>
      </w:pPr>
      <w:r>
        <w:t xml:space="preserve">11.9%</w:t>
      </w:r>
    </w:p>
    <w:p>
      <w:pPr>
        <w:pStyle w:val="BodyText"/>
      </w:pPr>
      <w:r>
        <w:t xml:space="preserve">10.2%</w:t>
      </w:r>
    </w:p>
    <w:p>
      <w:pPr>
        <w:pStyle w:val="BodyText"/>
      </w:pPr>
      <w:r>
        <w:t xml:space="preserve">–</w:t>
      </w:r>
    </w:p>
    <w:p>
      <w:pPr>
        <w:pStyle w:val="BodyText"/>
      </w:pPr>
      <w:r>
        <w:t xml:space="preserve">–</w:t>
      </w:r>
    </w:p>
    <w:p>
      <w:pPr>
        <w:pStyle w:val="BodyText"/>
      </w:pPr>
      <w:r>
        <w:t xml:space="preserve">–</w:t>
      </w:r>
    </w:p>
    <w:p>
      <w:pPr>
        <w:pStyle w:val="BodyText"/>
      </w:pPr>
      <w:r>
        <w:t xml:space="preserve">7.3%</w:t>
      </w:r>
    </w:p>
    <w:p>
      <w:pPr>
        <w:pStyle w:val="BodyText"/>
      </w:pPr>
      <w:r>
        <w:t xml:space="preserve">16.9%</w:t>
      </w:r>
    </w:p>
    <w:p>
      <w:pPr>
        <w:pStyle w:val="BodyText"/>
      </w:pPr>
      <w:r>
        <w:t xml:space="preserve">14.0%</w:t>
      </w:r>
    </w:p>
    <w:p>
      <w:pPr>
        <w:pStyle w:val="BodyText"/>
      </w:pPr>
      <w:r>
        <w:t xml:space="preserve">31</w:t>
      </w:r>
    </w:p>
    <w:p>
      <w:pPr>
        <w:pStyle w:val="BodyText"/>
      </w:pPr>
      <w:r>
        <w:t xml:space="preserve">79</w:t>
      </w:r>
    </w:p>
    <w:p>
      <w:pPr>
        <w:pStyle w:val="BodyText"/>
      </w:pPr>
      <w:r>
        <w:t xml:space="preserve">2</w:t>
      </w:r>
    </w:p>
    <w:p>
      <w:pPr>
        <w:pStyle w:val="BodyText"/>
      </w:pPr>
      <w:r>
        <w:t xml:space="preserve">22</w:t>
      </w:r>
    </w:p>
    <w:p>
      <w:pPr>
        <w:pStyle w:val="BodyText"/>
      </w:pPr>
      <w:r>
        <w:t xml:space="preserve">–</w:t>
      </w:r>
    </w:p>
    <w:p>
      <w:pPr>
        <w:pStyle w:val="BodyText"/>
      </w:pPr>
      <w:r>
        <w:t xml:space="preserve">28</w:t>
      </w:r>
    </w:p>
    <w:p>
      <w:pPr>
        <w:pStyle w:val="BodyText"/>
      </w:pPr>
      <w:r>
        <w:t xml:space="preserve">2</w:t>
      </w:r>
    </w:p>
    <w:p>
      <w:pPr>
        <w:pStyle w:val="BodyText"/>
      </w:pPr>
      <w:r>
        <w:t xml:space="preserve">22</w:t>
      </w:r>
    </w:p>
    <w:p>
      <w:pPr>
        <w:pStyle w:val="BodyText"/>
      </w:pPr>
      <w:r>
        <w:t xml:space="preserve">47</w:t>
      </w:r>
    </w:p>
    <w:p>
      <w:pPr>
        <w:pStyle w:val="BodyText"/>
      </w:pPr>
      <w:r>
        <w:t xml:space="preserve">75</w:t>
      </w:r>
    </w:p>
    <w:p>
      <w:pPr>
        <w:pStyle w:val="BodyText"/>
      </w:pPr>
      <w:r>
        <w:t xml:space="preserve">8</w:t>
      </w:r>
    </w:p>
    <w:p>
      <w:pPr>
        <w:pStyle w:val="BodyText"/>
      </w:pPr>
      <w:r>
        <w:t xml:space="preserve">83</w:t>
      </w:r>
    </w:p>
    <w:p>
      <w:pPr>
        <w:pStyle w:val="BodyText"/>
      </w:pPr>
      <w:r>
        <w:t xml:space="preserve">181</w:t>
      </w:r>
    </w:p>
    <w:p>
      <w:pPr>
        <w:pStyle w:val="BodyText"/>
      </w:pPr>
      <w:r>
        <w:t xml:space="preserve">31</w:t>
      </w:r>
    </w:p>
    <w:p>
      <w:pPr>
        <w:pStyle w:val="BodyText"/>
      </w:pPr>
      <w:r>
        <w:t xml:space="preserve">271</w:t>
      </w:r>
    </w:p>
    <w:p>
      <w:pPr>
        <w:pStyle w:val="BodyText"/>
      </w:pPr>
      <w:r>
        <w:t xml:space="preserve">340</w:t>
      </w:r>
    </w:p>
    <w:p>
      <w:pPr>
        <w:pStyle w:val="BodyText"/>
      </w:pPr>
      <w:r>
        <w:rPr>
          <w:rFonts w:hint="eastAsia"/>
        </w:rPr>
        <w:t xml:space="preserve">截至2019年12月31日止年度</w:t>
      </w:r>
      <w:r>
        <w:t xml:space="preserve"> </w:t>
      </w:r>
      <w:r>
        <w:rPr>
          <w:rFonts w:hint="eastAsia"/>
        </w:rPr>
        <w:t xml:space="preserve">－</w:t>
      </w:r>
      <w:r>
        <w:t xml:space="preserve"> </w:t>
      </w:r>
      <w:r>
        <w:rPr>
          <w:rFonts w:hint="eastAsia"/>
        </w:rPr>
        <w:t xml:space="preserve">經調整</w:t>
      </w:r>
    </w:p>
    <w:p>
      <w:pPr>
        <w:pStyle w:val="BodyText"/>
      </w:pPr>
      <w:r>
        <w:rPr>
          <w:rFonts w:hint="eastAsia"/>
        </w:rPr>
        <w:t xml:space="preserve">年化新保費</w:t>
      </w:r>
    </w:p>
    <w:p>
      <w:pPr>
        <w:pStyle w:val="BodyText"/>
      </w:pPr>
      <w:r>
        <w:rPr>
          <w:rFonts w:hint="eastAsia"/>
        </w:rPr>
        <w:t xml:space="preserve">總加權保費收入</w:t>
      </w:r>
    </w:p>
    <w:p>
      <w:pPr>
        <w:pStyle w:val="BodyText"/>
      </w:pPr>
      <w:r>
        <w:rPr>
          <w:rFonts w:hint="eastAsia"/>
        </w:rPr>
        <w:t xml:space="preserve">淨保費、收費收入及其他營運收益</w:t>
      </w:r>
      <w:r>
        <w:br/>
      </w:r>
      <w:r>
        <w:rPr>
          <w:rFonts w:hint="eastAsia"/>
        </w:rPr>
        <w:t xml:space="preserve">（已扣除再保險分出）</w:t>
      </w:r>
    </w:p>
    <w:p>
      <w:pPr>
        <w:pStyle w:val="BodyText"/>
      </w:pPr>
      <w:r>
        <w:rPr>
          <w:rFonts w:hint="eastAsia"/>
        </w:rPr>
        <w:t xml:space="preserve">投資回報</w:t>
      </w:r>
    </w:p>
    <w:p>
      <w:pPr>
        <w:pStyle w:val="BodyText"/>
      </w:pPr>
      <w:r>
        <w:rPr>
          <w:rFonts w:hint="eastAsia"/>
        </w:rPr>
        <w:t xml:space="preserve">總收益</w:t>
      </w:r>
    </w:p>
    <w:p>
      <w:pPr>
        <w:pStyle w:val="BodyText"/>
      </w:pPr>
      <w:r>
        <w:rPr>
          <w:rFonts w:hint="eastAsia"/>
        </w:rPr>
        <w:t xml:space="preserve">淨保險及投資合約給付</w:t>
      </w:r>
    </w:p>
    <w:p>
      <w:pPr>
        <w:pStyle w:val="BodyText"/>
      </w:pPr>
      <w:r>
        <w:rPr>
          <w:rFonts w:hint="eastAsia"/>
        </w:rPr>
        <w:t xml:space="preserve">佣金及其他承保開支</w:t>
      </w:r>
    </w:p>
    <w:p>
      <w:pPr>
        <w:pStyle w:val="BodyText"/>
      </w:pPr>
      <w:r>
        <w:rPr>
          <w:rFonts w:hint="eastAsia"/>
        </w:rPr>
        <w:t xml:space="preserve">營運開支</w:t>
      </w:r>
    </w:p>
    <w:p>
      <w:pPr>
        <w:pStyle w:val="BodyText"/>
      </w:pPr>
      <w:r>
        <w:rPr>
          <w:rFonts w:hint="eastAsia"/>
        </w:rPr>
        <w:t xml:space="preserve">財務費用及其他開支</w:t>
      </w:r>
    </w:p>
    <w:p>
      <w:pPr>
        <w:pStyle w:val="BodyText"/>
      </w:pPr>
      <w:r>
        <w:rPr>
          <w:rFonts w:hint="eastAsia"/>
        </w:rPr>
        <w:t xml:space="preserve">總開支</w:t>
      </w:r>
    </w:p>
    <w:p>
      <w:pPr>
        <w:pStyle w:val="BodyText"/>
      </w:pPr>
      <w:r>
        <w:rPr>
          <w:rFonts w:hint="eastAsia"/>
        </w:rPr>
        <w:t xml:space="preserve">分佔聯營公司及合資公司虧損</w:t>
      </w:r>
    </w:p>
    <w:p>
      <w:pPr>
        <w:pStyle w:val="BodyText"/>
      </w:pPr>
      <w:r>
        <w:rPr>
          <w:rFonts w:hint="eastAsia"/>
        </w:rPr>
        <w:t xml:space="preserve">稅前營運溢利</w:t>
      </w:r>
    </w:p>
    <w:p>
      <w:pPr>
        <w:pStyle w:val="BodyText"/>
      </w:pPr>
      <w:r>
        <w:rPr>
          <w:rFonts w:hint="eastAsia"/>
        </w:rPr>
        <w:t xml:space="preserve">稅前營運溢利稅項</w:t>
      </w:r>
    </w:p>
    <w:p>
      <w:pPr>
        <w:pStyle w:val="BodyText"/>
      </w:pPr>
      <w:r>
        <w:rPr>
          <w:rFonts w:hint="eastAsia"/>
        </w:rPr>
        <w:t xml:space="preserve">稅後營運溢利</w:t>
      </w:r>
      <w:r>
        <w:t xml:space="preserve"> </w:t>
      </w:r>
      <w:r>
        <w:rPr>
          <w:rFonts w:hint="eastAsia"/>
        </w:rPr>
        <w:t xml:space="preserve">∕（虧損）</w:t>
      </w:r>
    </w:p>
    <w:p>
      <w:pPr>
        <w:pStyle w:val="BodyText"/>
      </w:pPr>
      <w:r>
        <w:rPr>
          <w:rFonts w:hint="eastAsia"/>
        </w:rPr>
        <w:t xml:space="preserve">下列人士應佔稅後營運溢利∕（虧損）：</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主要營運比率：</w:t>
      </w:r>
    </w:p>
    <w:p>
      <w:pPr>
        <w:pStyle w:val="BodyText"/>
      </w:pPr>
      <w:r>
        <w:rPr>
          <w:rFonts w:hint="eastAsia"/>
        </w:rPr>
        <w:t xml:space="preserve">費用率</w:t>
      </w:r>
    </w:p>
    <w:p>
      <w:pPr>
        <w:pStyle w:val="BodyText"/>
      </w:pPr>
      <w:r>
        <w:rPr>
          <w:rFonts w:hint="eastAsia"/>
        </w:rPr>
        <w:t xml:space="preserve">營運溢利率</w:t>
      </w:r>
    </w:p>
    <w:p>
      <w:pPr>
        <w:pStyle w:val="BodyText"/>
      </w:pPr>
      <w:r>
        <w:rPr>
          <w:rFonts w:hint="eastAsia"/>
        </w:rPr>
        <w:t xml:space="preserve">股東分配權益營運回報</w:t>
      </w:r>
    </w:p>
    <w:p>
      <w:pPr>
        <w:pStyle w:val="BodyText"/>
      </w:pPr>
      <w:r>
        <w:rPr>
          <w:rFonts w:hint="eastAsia"/>
        </w:rPr>
        <w:t xml:space="preserve">稅前營運溢利包括：</w:t>
      </w:r>
    </w:p>
    <w:p>
      <w:pPr>
        <w:pStyle w:val="BodyText"/>
      </w:pPr>
      <w:r>
        <w:rPr>
          <w:rFonts w:hint="eastAsia"/>
        </w:rPr>
        <w:t xml:space="preserve">財務費用</w:t>
      </w:r>
    </w:p>
    <w:p>
      <w:pPr>
        <w:pStyle w:val="BodyText"/>
      </w:pPr>
      <w:r>
        <w:rPr>
          <w:rFonts w:hint="eastAsia"/>
        </w:rPr>
        <w:t xml:space="preserve">折舊及攤銷</w:t>
      </w:r>
    </w:p>
    <w:p>
      <w:pPr>
        <w:pStyle w:val="BodyText"/>
      </w:pPr>
      <w:r>
        <w:t xml:space="preserve">180</w:t>
      </w:r>
    </w:p>
    <w:p>
      <w:pPr>
        <w:pStyle w:val="BodyText"/>
      </w:pPr>
      <w:r>
        <w:rPr>
          <w:rFonts w:hint="eastAsia"/>
        </w:rPr>
        <w:t xml:space="preserve">友邦保險控股有限公司</w:t>
      </w:r>
    </w:p>
    <w:p>
      <w:pPr>
        <w:pStyle w:val="Compact"/>
        <w:numPr>
          <w:ilvl w:val="0"/>
          <w:numId w:val="1265"/>
        </w:numPr>
      </w:pPr>
      <w:r>
        <w:rPr>
          <w:rFonts w:hint="eastAsia"/>
        </w:rPr>
        <w:t xml:space="preserve">分部資料（續）</w:t>
      </w:r>
    </w:p>
    <w:p>
      <w:pPr>
        <w:pStyle w:val="FirstParagraph"/>
      </w:pPr>
      <w:r>
        <w:rPr>
          <w:rFonts w:hint="eastAsia"/>
        </w:rPr>
        <w:t xml:space="preserve">百萬美元</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r>
        <w:t xml:space="preserve"> </w:t>
      </w:r>
      <w:r>
        <w:rPr>
          <w:rFonts w:hint="eastAsia"/>
        </w:rPr>
        <w:t xml:space="preserve">馬來西亞</w:t>
      </w:r>
      <w:r>
        <w:t xml:space="preserve"> </w:t>
      </w:r>
      <w:r>
        <w:rPr>
          <w:rFonts w:hint="eastAsia"/>
        </w:rPr>
        <w:t xml:space="preserve">中國內地</w:t>
      </w:r>
      <w:r>
        <w:t xml:space="preserve"> </w:t>
      </w:r>
      <w:r>
        <w:rPr>
          <w:rFonts w:hint="eastAsia"/>
        </w:rPr>
        <w:t xml:space="preserve">其他市場</w:t>
      </w:r>
    </w:p>
    <w:p>
      <w:pPr>
        <w:pStyle w:val="BodyText"/>
      </w:pPr>
      <w:r>
        <w:rPr>
          <w:rFonts w:hint="eastAsia"/>
        </w:rPr>
        <w:t xml:space="preserve">集團企業</w:t>
      </w:r>
      <w:r>
        <w:br/>
      </w:r>
      <w:r>
        <w:rPr>
          <w:rFonts w:hint="eastAsia"/>
        </w:rPr>
        <w:t xml:space="preserve">中心</w:t>
      </w:r>
    </w:p>
    <w:p>
      <w:pPr>
        <w:pStyle w:val="BodyText"/>
      </w:pPr>
      <w:r>
        <w:rPr>
          <w:rFonts w:hint="eastAsia"/>
        </w:rPr>
        <w:t xml:space="preserve">總計</w:t>
      </w:r>
    </w:p>
    <w:p>
      <w:pPr>
        <w:pStyle w:val="BodyText"/>
      </w:pPr>
      <w:r>
        <w:rPr>
          <w:rFonts w:hint="eastAsia"/>
        </w:rPr>
        <w:t xml:space="preserve">2019年12月31日</w:t>
      </w:r>
      <w:r>
        <w:t xml:space="preserve"> </w:t>
      </w:r>
      <w:r>
        <w:rPr>
          <w:rFonts w:hint="eastAsia"/>
        </w:rPr>
        <w:t xml:space="preserve">－</w:t>
      </w:r>
      <w:r>
        <w:t xml:space="preserve"> </w:t>
      </w:r>
      <w:r>
        <w:rPr>
          <w:rFonts w:hint="eastAsia"/>
        </w:rPr>
        <w:t xml:space="preserve">經調整</w:t>
      </w:r>
    </w:p>
    <w:p>
      <w:pPr>
        <w:pStyle w:val="BodyText"/>
      </w:pPr>
      <w:r>
        <w:rPr>
          <w:rFonts w:hint="eastAsia"/>
        </w:rPr>
        <w:t xml:space="preserve">總資產</w:t>
      </w:r>
    </w:p>
    <w:p>
      <w:pPr>
        <w:pStyle w:val="BodyText"/>
      </w:pPr>
      <w:r>
        <w:rPr>
          <w:rFonts w:hint="eastAsia"/>
        </w:rPr>
        <w:t xml:space="preserve">總負債</w:t>
      </w:r>
    </w:p>
    <w:p>
      <w:pPr>
        <w:pStyle w:val="BodyText"/>
      </w:pPr>
      <w:r>
        <w:rPr>
          <w:rFonts w:hint="eastAsia"/>
        </w:rPr>
        <w:t xml:space="preserve">總權益</w:t>
      </w:r>
    </w:p>
    <w:p>
      <w:pPr>
        <w:pStyle w:val="BodyText"/>
      </w:pPr>
      <w:r>
        <w:rPr>
          <w:rFonts w:hint="eastAsia"/>
        </w:rPr>
        <w:t xml:space="preserve">股東分配權益</w:t>
      </w:r>
    </w:p>
    <w:p>
      <w:pPr>
        <w:pStyle w:val="BodyText"/>
      </w:pPr>
      <w:r>
        <w:rPr>
          <w:rFonts w:hint="eastAsia"/>
        </w:rPr>
        <w:t xml:space="preserve">淨資金流（出）∕入</w:t>
      </w:r>
    </w:p>
    <w:p>
      <w:pPr>
        <w:pStyle w:val="BodyText"/>
      </w:pPr>
      <w:r>
        <w:rPr>
          <w:rFonts w:hint="eastAsia"/>
        </w:rPr>
        <w:t xml:space="preserve">總資產包括：</w:t>
      </w:r>
    </w:p>
    <w:p>
      <w:pPr>
        <w:pStyle w:val="BodyText"/>
      </w:pPr>
      <w:r>
        <w:t xml:space="preserve">92,233</w:t>
      </w:r>
    </w:p>
    <w:p>
      <w:pPr>
        <w:pStyle w:val="BodyText"/>
      </w:pPr>
      <w:r>
        <w:t xml:space="preserve">38,842</w:t>
      </w:r>
    </w:p>
    <w:p>
      <w:pPr>
        <w:pStyle w:val="BodyText"/>
      </w:pPr>
      <w:r>
        <w:t xml:space="preserve">40,397</w:t>
      </w:r>
    </w:p>
    <w:p>
      <w:pPr>
        <w:pStyle w:val="BodyText"/>
      </w:pPr>
      <w:r>
        <w:t xml:space="preserve">15,896</w:t>
      </w:r>
    </w:p>
    <w:p>
      <w:pPr>
        <w:pStyle w:val="BodyText"/>
      </w:pPr>
      <w:r>
        <w:t xml:space="preserve">29,084</w:t>
      </w:r>
    </w:p>
    <w:p>
      <w:pPr>
        <w:pStyle w:val="BodyText"/>
      </w:pPr>
      <w:r>
        <w:t xml:space="preserve">51,901</w:t>
      </w:r>
    </w:p>
    <w:p>
      <w:pPr>
        <w:pStyle w:val="BodyText"/>
      </w:pPr>
      <w:r>
        <w:t xml:space="preserve">15,779</w:t>
      </w:r>
    </w:p>
    <w:p>
      <w:pPr>
        <w:pStyle w:val="BodyText"/>
      </w:pPr>
      <w:r>
        <w:t xml:space="preserve">284,132</w:t>
      </w:r>
    </w:p>
    <w:p>
      <w:pPr>
        <w:pStyle w:val="BodyText"/>
      </w:pPr>
      <w:r>
        <w:t xml:space="preserve">78,462</w:t>
      </w:r>
    </w:p>
    <w:p>
      <w:pPr>
        <w:pStyle w:val="BodyText"/>
      </w:pPr>
      <w:r>
        <w:t xml:space="preserve">28,346</w:t>
      </w:r>
    </w:p>
    <w:p>
      <w:pPr>
        <w:pStyle w:val="BodyText"/>
      </w:pPr>
      <w:r>
        <w:t xml:space="preserve">36,034</w:t>
      </w:r>
    </w:p>
    <w:p>
      <w:pPr>
        <w:pStyle w:val="BodyText"/>
      </w:pPr>
      <w:r>
        <w:t xml:space="preserve">13,958</w:t>
      </w:r>
    </w:p>
    <w:p>
      <w:pPr>
        <w:pStyle w:val="BodyText"/>
      </w:pPr>
      <w:r>
        <w:t xml:space="preserve">24,690</w:t>
      </w:r>
    </w:p>
    <w:p>
      <w:pPr>
        <w:pStyle w:val="BodyText"/>
      </w:pPr>
      <w:r>
        <w:t xml:space="preserve">41,371</w:t>
      </w:r>
    </w:p>
    <w:p>
      <w:pPr>
        <w:pStyle w:val="BodyText"/>
      </w:pPr>
      <w:r>
        <w:t xml:space="preserve">5,876</w:t>
      </w:r>
    </w:p>
    <w:p>
      <w:pPr>
        <w:pStyle w:val="BodyText"/>
      </w:pPr>
      <w:r>
        <w:t xml:space="preserve">228,737</w:t>
      </w:r>
    </w:p>
    <w:p>
      <w:pPr>
        <w:pStyle w:val="BodyText"/>
      </w:pPr>
      <w:r>
        <w:t xml:space="preserve">13,771</w:t>
      </w:r>
    </w:p>
    <w:p>
      <w:pPr>
        <w:pStyle w:val="BodyText"/>
      </w:pPr>
      <w:r>
        <w:t xml:space="preserve">10,496</w:t>
      </w:r>
    </w:p>
    <w:p>
      <w:pPr>
        <w:pStyle w:val="BodyText"/>
      </w:pPr>
      <w:r>
        <w:t xml:space="preserve">9,853</w:t>
      </w:r>
    </w:p>
    <w:p>
      <w:pPr>
        <w:pStyle w:val="BodyText"/>
      </w:pPr>
      <w:r>
        <w:t xml:space="preserve">6,683</w:t>
      </w:r>
    </w:p>
    <w:p>
      <w:pPr>
        <w:pStyle w:val="BodyText"/>
      </w:pPr>
      <w:r>
        <w:t xml:space="preserve">4,363</w:t>
      </w:r>
    </w:p>
    <w:p>
      <w:pPr>
        <w:pStyle w:val="BodyText"/>
      </w:pPr>
      <w:r>
        <w:t xml:space="preserve">3,515</w:t>
      </w:r>
    </w:p>
    <w:p>
      <w:pPr>
        <w:pStyle w:val="BodyText"/>
      </w:pPr>
      <w:r>
        <w:t xml:space="preserve">1,938</w:t>
      </w:r>
    </w:p>
    <w:p>
      <w:pPr>
        <w:pStyle w:val="BodyText"/>
      </w:pPr>
      <w:r>
        <w:t xml:space="preserve">1,782</w:t>
      </w:r>
    </w:p>
    <w:p>
      <w:pPr>
        <w:pStyle w:val="BodyText"/>
      </w:pPr>
      <w:r>
        <w:t xml:space="preserve">4,394</w:t>
      </w:r>
    </w:p>
    <w:p>
      <w:pPr>
        <w:pStyle w:val="BodyText"/>
      </w:pPr>
      <w:r>
        <w:t xml:space="preserve">3,805</w:t>
      </w:r>
    </w:p>
    <w:p>
      <w:pPr>
        <w:pStyle w:val="BodyText"/>
      </w:pPr>
      <w:r>
        <w:t xml:space="preserve">10,530</w:t>
      </w:r>
    </w:p>
    <w:p>
      <w:pPr>
        <w:pStyle w:val="BodyText"/>
      </w:pPr>
      <w:r>
        <w:t xml:space="preserve">8,441</w:t>
      </w:r>
    </w:p>
    <w:p>
      <w:pPr>
        <w:pStyle w:val="FirstParagraph"/>
      </w:pPr>
      <w:r>
        <w:t xml:space="preserve">(1,037)</w:t>
      </w:r>
    </w:p>
    <w:p>
      <w:pPr>
        <w:pStyle w:val="FirstParagraph"/>
      </w:pPr>
      <w:r>
        <w:t xml:space="preserve">(1,022)</w:t>
      </w:r>
    </w:p>
    <w:p>
      <w:pPr>
        <w:pStyle w:val="FirstParagraph"/>
      </w:pPr>
      <w:r>
        <w:t xml:space="preserve">9,903</w:t>
      </w:r>
    </w:p>
    <w:p>
      <w:pPr>
        <w:pStyle w:val="BodyText"/>
      </w:pPr>
      <w:r>
        <w:t xml:space="preserve">9,199</w:t>
      </w:r>
    </w:p>
    <w:p>
      <w:pPr>
        <w:pStyle w:val="BodyText"/>
      </w:pPr>
      <w:r>
        <w:t xml:space="preserve">1,910</w:t>
      </w:r>
    </w:p>
    <w:p>
      <w:pPr>
        <w:pStyle w:val="BodyText"/>
      </w:pPr>
      <w:r>
        <w:t xml:space="preserve">55,395</w:t>
      </w:r>
    </w:p>
    <w:p>
      <w:pPr>
        <w:pStyle w:val="BodyText"/>
      </w:pPr>
      <w:r>
        <w:t xml:space="preserve">43,278</w:t>
      </w:r>
    </w:p>
    <w:p>
      <w:pPr>
        <w:pStyle w:val="BodyText"/>
      </w:pPr>
      <w:r>
        <w:t xml:space="preserve">(1,820)</w:t>
      </w:r>
    </w:p>
    <w:p>
      <w:pPr>
        <w:pStyle w:val="BodyText"/>
      </w:pPr>
      <w:r>
        <w:rPr>
          <w:rFonts w:hint="eastAsia"/>
        </w:rPr>
        <w:t xml:space="preserve">於聯營公司及合資公司的投資</w:t>
      </w:r>
    </w:p>
    <w:p>
      <w:pPr>
        <w:pStyle w:val="BodyText"/>
      </w:pPr>
      <w:r>
        <w:t xml:space="preserve">3</w:t>
      </w:r>
    </w:p>
    <w:p>
      <w:pPr>
        <w:pStyle w:val="BodyText"/>
      </w:pPr>
      <w:r>
        <w:t xml:space="preserve">–</w:t>
      </w:r>
    </w:p>
    <w:p>
      <w:pPr>
        <w:pStyle w:val="BodyText"/>
      </w:pPr>
      <w:r>
        <w:t xml:space="preserve">–</w:t>
      </w:r>
    </w:p>
    <w:p>
      <w:pPr>
        <w:pStyle w:val="BodyText"/>
      </w:pPr>
      <w:r>
        <w:t xml:space="preserve">4</w:t>
      </w:r>
    </w:p>
    <w:p>
      <w:pPr>
        <w:pStyle w:val="BodyText"/>
      </w:pPr>
      <w:r>
        <w:t xml:space="preserve">–</w:t>
      </w:r>
    </w:p>
    <w:p>
      <w:pPr>
        <w:pStyle w:val="BodyText"/>
      </w:pPr>
      <w:r>
        <w:t xml:space="preserve">608</w:t>
      </w:r>
    </w:p>
    <w:p>
      <w:pPr>
        <w:pStyle w:val="BodyText"/>
      </w:pPr>
      <w:r>
        <w:t xml:space="preserve">–</w:t>
      </w:r>
    </w:p>
    <w:p>
      <w:pPr>
        <w:pStyle w:val="BodyText"/>
      </w:pPr>
      <w:r>
        <w:t xml:space="preserve">615</w:t>
      </w:r>
    </w:p>
    <w:p>
      <w:pPr>
        <w:pStyle w:val="BodyText"/>
      </w:pPr>
      <w:r>
        <w:rPr>
          <w:rFonts w:hint="eastAsia"/>
        </w:rPr>
        <w:t xml:space="preserve">分部資料與合併收入表的對賬如下：</w:t>
      </w:r>
    </w:p>
    <w:p>
      <w:pPr>
        <w:pStyle w:val="BodyText"/>
      </w:pPr>
      <w:r>
        <w:rPr>
          <w:rFonts w:hint="eastAsia"/>
        </w:rPr>
        <w:t xml:space="preserve">百萬美元</w:t>
      </w:r>
    </w:p>
    <w:p>
      <w:pPr>
        <w:pStyle w:val="BodyText"/>
      </w:pPr>
      <w:r>
        <w:rPr>
          <w:rFonts w:hint="eastAsia"/>
        </w:rPr>
        <w:t xml:space="preserve">分部資料</w:t>
      </w:r>
    </w:p>
    <w:p>
      <w:pPr>
        <w:pStyle w:val="BodyText"/>
      </w:pPr>
      <w:r>
        <w:rPr>
          <w:rFonts w:hint="eastAsia"/>
        </w:rPr>
        <w:t xml:space="preserve">有關股權及</w:t>
      </w:r>
      <w:r>
        <w:br/>
      </w:r>
      <w:r>
        <w:rPr>
          <w:rFonts w:hint="eastAsia"/>
        </w:rPr>
        <w:t xml:space="preserve">房地產投資</w:t>
      </w:r>
      <w:r>
        <w:br/>
      </w:r>
      <w:r>
        <w:rPr>
          <w:rFonts w:hint="eastAsia"/>
        </w:rPr>
        <w:t xml:space="preserve">回報的</w:t>
      </w:r>
      <w:r>
        <w:br/>
      </w:r>
      <w:r>
        <w:rPr>
          <w:rFonts w:hint="eastAsia"/>
        </w:rPr>
        <w:t xml:space="preserve">短期波動</w:t>
      </w:r>
    </w:p>
    <w:p>
      <w:pPr>
        <w:pStyle w:val="BodyText"/>
      </w:pPr>
      <w:r>
        <w:rPr>
          <w:rFonts w:hint="eastAsia"/>
        </w:rPr>
        <w:t xml:space="preserve">其他</w:t>
      </w:r>
    </w:p>
    <w:p>
      <w:pPr>
        <w:pStyle w:val="BodyText"/>
      </w:pPr>
      <w:r>
        <w:rPr>
          <w:rFonts w:hint="eastAsia"/>
        </w:rPr>
        <w:t xml:space="preserve">非營運項目(1)</w:t>
      </w:r>
      <w:r>
        <w:t xml:space="preserve"> </w:t>
      </w:r>
      <w:r>
        <w:rPr>
          <w:rFonts w:hint="eastAsia"/>
        </w:rPr>
        <w:t xml:space="preserve">合併收入表</w:t>
      </w:r>
    </w:p>
    <w:p>
      <w:pPr>
        <w:pStyle w:val="BodyText"/>
      </w:pPr>
      <w:r>
        <w:rPr>
          <w:rFonts w:hint="eastAsia"/>
        </w:rPr>
        <w:t xml:space="preserve">截至2019年12月31日止年度</w:t>
      </w:r>
      <w:r>
        <w:br/>
      </w:r>
      <w:r>
        <w:rPr>
          <w:rFonts w:hint="eastAsia"/>
        </w:rPr>
        <w:t xml:space="preserve">－</w:t>
      </w:r>
      <w:r>
        <w:t xml:space="preserve"> </w:t>
      </w:r>
      <w:r>
        <w:rPr>
          <w:rFonts w:hint="eastAsia"/>
        </w:rPr>
        <w:t xml:space="preserve">經調整</w:t>
      </w:r>
    </w:p>
    <w:p>
      <w:pPr>
        <w:pStyle w:val="BodyText"/>
      </w:pPr>
      <w:r>
        <w:rPr>
          <w:rFonts w:hint="eastAsia"/>
        </w:rPr>
        <w:t xml:space="preserve">淨保費、收費收入及</w:t>
      </w:r>
      <w:r>
        <w:br/>
      </w:r>
      <w:r>
        <w:rPr>
          <w:rFonts w:hint="eastAsia"/>
        </w:rPr>
        <w:t xml:space="preserve">其他營運收益</w:t>
      </w:r>
    </w:p>
    <w:p>
      <w:pPr>
        <w:pStyle w:val="BodyText"/>
      </w:pPr>
      <w:r>
        <w:rPr>
          <w:rFonts w:hint="eastAsia"/>
        </w:rPr>
        <w:t xml:space="preserve">投資回報</w:t>
      </w:r>
    </w:p>
    <w:p>
      <w:pPr>
        <w:pStyle w:val="BodyText"/>
      </w:pPr>
      <w:r>
        <w:rPr>
          <w:rFonts w:hint="eastAsia"/>
        </w:rPr>
        <w:t xml:space="preserve">總收益</w:t>
      </w:r>
    </w:p>
    <w:p>
      <w:pPr>
        <w:pStyle w:val="BodyText"/>
      </w:pPr>
      <w:r>
        <w:rPr>
          <w:rFonts w:hint="eastAsia"/>
        </w:rPr>
        <w:t xml:space="preserve">淨保險及投資合約給付</w:t>
      </w:r>
    </w:p>
    <w:p>
      <w:pPr>
        <w:pStyle w:val="BodyText"/>
      </w:pPr>
      <w:r>
        <w:rPr>
          <w:rFonts w:hint="eastAsia"/>
        </w:rPr>
        <w:t xml:space="preserve">其他開支</w:t>
      </w:r>
    </w:p>
    <w:p>
      <w:pPr>
        <w:pStyle w:val="BodyText"/>
      </w:pPr>
      <w:r>
        <w:rPr>
          <w:rFonts w:hint="eastAsia"/>
        </w:rPr>
        <w:t xml:space="preserve">總開支</w:t>
      </w:r>
    </w:p>
    <w:p>
      <w:pPr>
        <w:pStyle w:val="BodyText"/>
      </w:pPr>
      <w:r>
        <w:rPr>
          <w:rFonts w:hint="eastAsia"/>
        </w:rPr>
        <w:t xml:space="preserve">分佔聯營公司及合資公司虧損</w:t>
      </w:r>
    </w:p>
    <w:p>
      <w:pPr>
        <w:pStyle w:val="BodyText"/>
      </w:pPr>
      <w:r>
        <w:rPr>
          <w:rFonts w:hint="eastAsia"/>
        </w:rPr>
        <w:t xml:space="preserve">稅前營運溢利</w:t>
      </w:r>
    </w:p>
    <w:p>
      <w:pPr>
        <w:pStyle w:val="BodyText"/>
      </w:pPr>
      <w:r>
        <w:rPr>
          <w:rFonts w:hint="eastAsia"/>
        </w:rPr>
        <w:t xml:space="preserve">附註：</w:t>
      </w:r>
    </w:p>
    <w:p>
      <w:pPr>
        <w:pStyle w:val="Compact"/>
        <w:numPr>
          <w:ilvl w:val="0"/>
          <w:numId w:val="1269"/>
        </w:numPr>
      </w:pPr>
      <w:r>
        <w:rPr>
          <w:rFonts w:hint="eastAsia"/>
        </w:rPr>
        <w:t xml:space="preserve">包括單位連結式合約。</w:t>
      </w:r>
    </w:p>
    <w:p>
      <w:pPr>
        <w:pStyle w:val="FirstParagraph"/>
      </w:pPr>
      <w:r>
        <w:t xml:space="preserve">32,896</w:t>
      </w:r>
    </w:p>
    <w:p>
      <w:pPr>
        <w:pStyle w:val="BodyText"/>
      </w:pPr>
      <w:r>
        <w:t xml:space="preserve">8,899</w:t>
      </w:r>
    </w:p>
    <w:p>
      <w:pPr>
        <w:pStyle w:val="BodyText"/>
      </w:pPr>
      <w:r>
        <w:t xml:space="preserve">41,795</w:t>
      </w:r>
    </w:p>
    <w:p>
      <w:pPr>
        <w:pStyle w:val="BodyText"/>
      </w:pPr>
      <w:r>
        <w:t xml:space="preserve">27,675</w:t>
      </w:r>
    </w:p>
    <w:p>
      <w:pPr>
        <w:pStyle w:val="BodyText"/>
      </w:pPr>
      <w:r>
        <w:t xml:space="preserve">7,347</w:t>
      </w:r>
    </w:p>
    <w:p>
      <w:pPr>
        <w:pStyle w:val="BodyText"/>
      </w:pPr>
      <w:r>
        <w:t xml:space="preserve">35,022</w:t>
      </w:r>
    </w:p>
    <w:p>
      <w:pPr>
        <w:pStyle w:val="FirstParagraph"/>
      </w:pPr>
      <w:r>
        <w:t xml:space="preserve">6,765</w:t>
      </w:r>
    </w:p>
    <w:p>
      <w:pPr>
        <w:pStyle w:val="BodyText"/>
      </w:pPr>
      <w:r>
        <w:t xml:space="preserve">–</w:t>
      </w:r>
    </w:p>
    <w:p>
      <w:pPr>
        <w:pStyle w:val="BodyText"/>
      </w:pPr>
      <w:r>
        <w:t xml:space="preserve">1,474</w:t>
      </w:r>
    </w:p>
    <w:p>
      <w:pPr>
        <w:pStyle w:val="BodyText"/>
      </w:pPr>
      <w:r>
        <w:t xml:space="preserve">1,474</w:t>
      </w:r>
    </w:p>
    <w:p>
      <w:pPr>
        <w:pStyle w:val="BodyText"/>
      </w:pPr>
      <w:r>
        <w:t xml:space="preserve">1,131</w:t>
      </w:r>
    </w:p>
    <w:p>
      <w:pPr>
        <w:pStyle w:val="BodyText"/>
      </w:pPr>
      <w:r>
        <w:t xml:space="preserve">–</w:t>
      </w:r>
    </w:p>
    <w:p>
      <w:pPr>
        <w:pStyle w:val="BodyText"/>
      </w:pPr>
      <w:r>
        <w:t xml:space="preserve">1,131</w:t>
      </w:r>
    </w:p>
    <w:p>
      <w:pPr>
        <w:pStyle w:val="BodyText"/>
      </w:pPr>
      <w:r>
        <w:t xml:space="preserve">–</w:t>
      </w:r>
    </w:p>
    <w:p>
      <w:pPr>
        <w:pStyle w:val="BodyText"/>
      </w:pPr>
      <w:r>
        <w:t xml:space="preserve">343</w:t>
      </w:r>
    </w:p>
    <w:p>
      <w:pPr>
        <w:pStyle w:val="FirstParagraph"/>
      </w:pPr>
      <w:r>
        <w:t xml:space="preserve">32,892</w:t>
      </w:r>
    </w:p>
    <w:p>
      <w:pPr>
        <w:pStyle w:val="BodyText"/>
      </w:pPr>
      <w:r>
        <w:rPr>
          <w:rFonts w:hint="eastAsia"/>
        </w:rPr>
        <w:t xml:space="preserve">淨保費、收費收入及</w:t>
      </w:r>
      <w:r>
        <w:br/>
      </w:r>
      <w:r>
        <w:rPr>
          <w:rFonts w:hint="eastAsia"/>
        </w:rPr>
        <w:t xml:space="preserve">其他營運收益</w:t>
      </w:r>
    </w:p>
    <w:p>
      <w:pPr>
        <w:pStyle w:val="BodyText"/>
      </w:pPr>
      <w:r>
        <w:t xml:space="preserve">3,977</w:t>
      </w:r>
    </w:p>
    <w:p>
      <w:pPr>
        <w:pStyle w:val="BodyText"/>
      </w:pPr>
      <w:r>
        <w:t xml:space="preserve">3,973</w:t>
      </w:r>
    </w:p>
    <w:p>
      <w:pPr>
        <w:pStyle w:val="BodyText"/>
      </w:pPr>
      <w:r>
        <w:t xml:space="preserve">3,322</w:t>
      </w:r>
    </w:p>
    <w:p>
      <w:pPr>
        <w:pStyle w:val="BodyText"/>
      </w:pPr>
      <w:r>
        <w:t xml:space="preserve">532</w:t>
      </w:r>
    </w:p>
    <w:p>
      <w:pPr>
        <w:pStyle w:val="BodyText"/>
      </w:pPr>
      <w:r>
        <w:t xml:space="preserve">3,854</w:t>
      </w:r>
    </w:p>
    <w:p>
      <w:pPr>
        <w:pStyle w:val="BodyText"/>
      </w:pPr>
      <w:r>
        <w:t xml:space="preserve">–</w:t>
      </w:r>
    </w:p>
    <w:p>
      <w:pPr>
        <w:pStyle w:val="BodyText"/>
      </w:pPr>
      <w:r>
        <w:t xml:space="preserve">119</w:t>
      </w:r>
    </w:p>
    <w:p>
      <w:pPr>
        <w:pStyle w:val="BodyText"/>
      </w:pPr>
      <w:r>
        <w:t xml:space="preserve">14,350 </w:t>
      </w:r>
      <w:r>
        <w:rPr>
          <w:rFonts w:hint="eastAsia"/>
        </w:rPr>
        <w:t xml:space="preserve">投資回報</w:t>
      </w:r>
    </w:p>
    <w:p>
      <w:pPr>
        <w:pStyle w:val="BodyText"/>
      </w:pPr>
      <w:r>
        <w:t xml:space="preserve">47,242 </w:t>
      </w:r>
      <w:r>
        <w:rPr>
          <w:rFonts w:hint="eastAsia"/>
        </w:rPr>
        <w:t xml:space="preserve">總收益</w:t>
      </w:r>
    </w:p>
    <w:p>
      <w:pPr>
        <w:pStyle w:val="BodyText"/>
      </w:pPr>
      <w:r>
        <w:t xml:space="preserve">32,128 </w:t>
      </w:r>
      <w:r>
        <w:rPr>
          <w:rFonts w:hint="eastAsia"/>
        </w:rPr>
        <w:t xml:space="preserve">淨保險及投資合約給付</w:t>
      </w:r>
    </w:p>
    <w:p>
      <w:pPr>
        <w:pStyle w:val="BodyText"/>
      </w:pPr>
      <w:r>
        <w:t xml:space="preserve">7,879 </w:t>
      </w:r>
      <w:r>
        <w:rPr>
          <w:rFonts w:hint="eastAsia"/>
        </w:rPr>
        <w:t xml:space="preserve">其他開支</w:t>
      </w:r>
    </w:p>
    <w:p>
      <w:pPr>
        <w:pStyle w:val="BodyText"/>
      </w:pPr>
      <w:r>
        <w:t xml:space="preserve">40,007 </w:t>
      </w:r>
      <w:r>
        <w:rPr>
          <w:rFonts w:hint="eastAsia"/>
        </w:rPr>
        <w:t xml:space="preserve">總開支</w:t>
      </w:r>
    </w:p>
    <w:p>
      <w:pPr>
        <w:pStyle w:val="Compact"/>
        <w:numPr>
          <w:ilvl w:val="0"/>
          <w:numId w:val="1272"/>
        </w:numPr>
      </w:pPr>
      <w:r>
        <w:rPr>
          <w:rFonts w:hint="eastAsia"/>
        </w:rPr>
        <w:t xml:space="preserve">分佔聯營公司及合資公司虧損</w:t>
      </w:r>
    </w:p>
    <w:p>
      <w:pPr>
        <w:pStyle w:val="FirstParagraph"/>
      </w:pPr>
      <w:r>
        <w:t xml:space="preserve">7,227 </w:t>
      </w:r>
      <w:r>
        <w:rPr>
          <w:rFonts w:hint="eastAsia"/>
        </w:rPr>
        <w:t xml:space="preserve">稅前溢利</w:t>
      </w:r>
    </w:p>
    <w:p>
      <w:pPr>
        <w:pStyle w:val="BodyText"/>
      </w:pPr>
      <w:r>
        <w:t xml:space="preserve">181</w:t>
      </w:r>
    </w:p>
    <w:p>
      <w:pPr>
        <w:pStyle w:val="BodyText"/>
      </w:pPr>
      <w:r>
        <w:rPr>
          <w:rFonts w:hint="eastAsia"/>
        </w:rPr>
        <w:t xml:space="preserve">概覽財務及營運回顧企業管治其他資料財務報表2020年報</w:t>
      </w:r>
    </w:p>
    <w:p>
      <w:pPr>
        <w:pStyle w:val="Compact"/>
        <w:numPr>
          <w:ilvl w:val="0"/>
          <w:numId w:val="1273"/>
        </w:numPr>
      </w:pPr>
      <w:r>
        <w:rPr>
          <w:rFonts w:hint="eastAsia"/>
        </w:rPr>
        <w:t xml:space="preserve">收益</w:t>
      </w:r>
    </w:p>
    <w:p>
      <w:pPr>
        <w:pStyle w:val="FirstParagraph"/>
      </w:pPr>
      <w:r>
        <w:rPr>
          <w:rFonts w:hint="eastAsia"/>
        </w:rPr>
        <w:t xml:space="preserve">投資回報</w:t>
      </w:r>
    </w:p>
    <w:p>
      <w:pPr>
        <w:pStyle w:val="BodyText"/>
      </w:pPr>
      <w:r>
        <w:rPr>
          <w:rFonts w:hint="eastAsia"/>
        </w:rPr>
        <w:t xml:space="preserve">百萬美元</w:t>
      </w:r>
    </w:p>
    <w:p>
      <w:pPr>
        <w:pStyle w:val="BodyText"/>
      </w:pPr>
      <w:r>
        <w:rPr>
          <w:rFonts w:hint="eastAsia"/>
        </w:rPr>
        <w:t xml:space="preserve">利息收入</w:t>
      </w:r>
    </w:p>
    <w:p>
      <w:pPr>
        <w:pStyle w:val="BodyText"/>
      </w:pPr>
      <w:r>
        <w:rPr>
          <w:rFonts w:hint="eastAsia"/>
        </w:rPr>
        <w:t xml:space="preserve">股息收入</w:t>
      </w:r>
    </w:p>
    <w:p>
      <w:pPr>
        <w:pStyle w:val="BodyText"/>
      </w:pPr>
      <w:r>
        <w:rPr>
          <w:rFonts w:hint="eastAsia"/>
        </w:rPr>
        <w:t xml:space="preserve">租金收入(1)</w:t>
      </w:r>
    </w:p>
    <w:p>
      <w:pPr>
        <w:pStyle w:val="BodyText"/>
      </w:pPr>
      <w:r>
        <w:rPr>
          <w:rFonts w:hint="eastAsia"/>
        </w:rPr>
        <w:t xml:space="preserve">投資收入</w:t>
      </w:r>
    </w:p>
    <w:p>
      <w:pPr>
        <w:pStyle w:val="BodyText"/>
      </w:pPr>
      <w:r>
        <w:rPr>
          <w:rFonts w:hint="eastAsia"/>
        </w:rPr>
        <w:t xml:space="preserve">可供出售</w:t>
      </w:r>
    </w:p>
    <w:p>
      <w:pPr>
        <w:pStyle w:val="BodyText"/>
      </w:pPr>
      <w:r>
        <w:rPr>
          <w:rFonts w:hint="eastAsia"/>
        </w:rPr>
        <w:t xml:space="preserve">來自債務證券的已變現淨收益</w:t>
      </w:r>
    </w:p>
    <w:p>
      <w:pPr>
        <w:pStyle w:val="BodyText"/>
      </w:pPr>
      <w:r>
        <w:rPr>
          <w:rFonts w:hint="eastAsia"/>
        </w:rPr>
        <w:t xml:space="preserve">反映在合併收入表的可供出售金融資產的淨收益</w:t>
      </w:r>
    </w:p>
    <w:p>
      <w:pPr>
        <w:pStyle w:val="BodyText"/>
      </w:pPr>
      <w:r>
        <w:rPr>
          <w:rFonts w:hint="eastAsia"/>
        </w:rPr>
        <w:t xml:space="preserve">按公平值計入損益</w:t>
      </w:r>
    </w:p>
    <w:p>
      <w:pPr>
        <w:pStyle w:val="BodyText"/>
      </w:pPr>
      <w:r>
        <w:rPr>
          <w:rFonts w:hint="eastAsia"/>
        </w:rPr>
        <w:t xml:space="preserve">債務證券的淨收益</w:t>
      </w:r>
    </w:p>
    <w:p>
      <w:pPr>
        <w:pStyle w:val="BodyText"/>
      </w:pPr>
      <w:r>
        <w:rPr>
          <w:rFonts w:hint="eastAsia"/>
        </w:rPr>
        <w:t xml:space="preserve">股本證券的淨收益</w:t>
      </w:r>
    </w:p>
    <w:p>
      <w:pPr>
        <w:pStyle w:val="BodyText"/>
      </w:pPr>
      <w:r>
        <w:rPr>
          <w:rFonts w:hint="eastAsia"/>
        </w:rPr>
        <w:t xml:space="preserve">衍生工具的淨公平值變動</w:t>
      </w:r>
    </w:p>
    <w:p>
      <w:pPr>
        <w:pStyle w:val="BodyText"/>
      </w:pPr>
      <w:r>
        <w:rPr>
          <w:rFonts w:hint="eastAsia"/>
        </w:rPr>
        <w:t xml:space="preserve">按公平值計入損益的金融工具的淨收益</w:t>
      </w:r>
    </w:p>
    <w:p>
      <w:pPr>
        <w:pStyle w:val="BodyText"/>
      </w:pPr>
      <w:r>
        <w:rPr>
          <w:rFonts w:hint="eastAsia"/>
        </w:rPr>
        <w:t xml:space="preserve">投資物業的淨公平值變動</w:t>
      </w:r>
    </w:p>
    <w:p>
      <w:pPr>
        <w:pStyle w:val="BodyText"/>
      </w:pPr>
      <w:r>
        <w:rPr>
          <w:rFonts w:hint="eastAsia"/>
        </w:rPr>
        <w:t xml:space="preserve">淨匯兌虧損</w:t>
      </w:r>
    </w:p>
    <w:p>
      <w:pPr>
        <w:pStyle w:val="BodyText"/>
      </w:pPr>
      <w:r>
        <w:rPr>
          <w:rFonts w:hint="eastAsia"/>
        </w:rPr>
        <w:t xml:space="preserve">其他已變現淨（虧損）∕收益</w:t>
      </w:r>
    </w:p>
    <w:p>
      <w:pPr>
        <w:pStyle w:val="BodyText"/>
      </w:pPr>
      <w:r>
        <w:rPr>
          <w:rFonts w:hint="eastAsia"/>
        </w:rPr>
        <w:t xml:space="preserve">投資經驗</w:t>
      </w:r>
    </w:p>
    <w:p>
      <w:pPr>
        <w:pStyle w:val="BodyText"/>
      </w:pPr>
      <w:r>
        <w:rPr>
          <w:rFonts w:hint="eastAsia"/>
        </w:rPr>
        <w:t xml:space="preserve">投資回報</w:t>
      </w:r>
    </w:p>
    <w:p>
      <w:pPr>
        <w:pStyle w:val="BodyText"/>
      </w:pPr>
      <w:r>
        <w:rPr>
          <w:rFonts w:hint="eastAsia"/>
        </w:rPr>
        <w:t xml:space="preserve">附註：</w:t>
      </w:r>
    </w:p>
    <w:p>
      <w:pPr>
        <w:pStyle w:val="Compact"/>
        <w:numPr>
          <w:ilvl w:val="0"/>
          <w:numId w:val="1274"/>
        </w:numPr>
      </w:pPr>
      <w:r>
        <w:rPr>
          <w:rFonts w:hint="eastAsia"/>
        </w:rPr>
        <w:t xml:space="preserve">指源自本集團作為出租人的營運租賃合約之租金收入。</w:t>
      </w:r>
    </w:p>
    <w:p>
      <w:pPr>
        <w:pStyle w:val="FirstParagraph"/>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7,055</w:t>
      </w:r>
    </w:p>
    <w:p>
      <w:pPr>
        <w:pStyle w:val="BodyText"/>
      </w:pPr>
      <w:r>
        <w:t xml:space="preserve">932</w:t>
      </w:r>
    </w:p>
    <w:p>
      <w:pPr>
        <w:pStyle w:val="BodyText"/>
      </w:pPr>
      <w:r>
        <w:t xml:space="preserve">172</w:t>
      </w:r>
    </w:p>
    <w:p>
      <w:pPr>
        <w:pStyle w:val="BodyText"/>
      </w:pPr>
      <w:r>
        <w:t xml:space="preserve">8,159</w:t>
      </w:r>
    </w:p>
    <w:p>
      <w:pPr>
        <w:pStyle w:val="BodyText"/>
      </w:pPr>
      <w:r>
        <w:t xml:space="preserve">1,442</w:t>
      </w:r>
    </w:p>
    <w:p>
      <w:pPr>
        <w:pStyle w:val="BodyText"/>
      </w:pPr>
      <w:r>
        <w:t xml:space="preserve">1,442</w:t>
      </w:r>
    </w:p>
    <w:p>
      <w:pPr>
        <w:pStyle w:val="BodyText"/>
      </w:pPr>
      <w:r>
        <w:t xml:space="preserve">1,192</w:t>
      </w:r>
    </w:p>
    <w:p>
      <w:pPr>
        <w:pStyle w:val="BodyText"/>
      </w:pPr>
      <w:r>
        <w:t xml:space="preserve">5,436</w:t>
      </w:r>
    </w:p>
    <w:p>
      <w:pPr>
        <w:pStyle w:val="BodyText"/>
      </w:pPr>
      <w:r>
        <w:t xml:space="preserve">958</w:t>
      </w:r>
    </w:p>
    <w:p>
      <w:pPr>
        <w:pStyle w:val="BodyText"/>
      </w:pPr>
      <w:r>
        <w:t xml:space="preserve">7,586</w:t>
      </w:r>
    </w:p>
    <w:p>
      <w:pPr>
        <w:pStyle w:val="FirstParagraph"/>
      </w:pPr>
      <w:r>
        <w:t xml:space="preserve">8,548</w:t>
      </w:r>
    </w:p>
    <w:p>
      <w:pPr>
        <w:pStyle w:val="BodyText"/>
      </w:pPr>
      <w:r>
        <w:t xml:space="preserve">16,707</w:t>
      </w:r>
    </w:p>
    <w:p>
      <w:pPr>
        <w:pStyle w:val="BodyText"/>
      </w:pPr>
      <w:r>
        <w:t xml:space="preserve">6,714</w:t>
      </w:r>
    </w:p>
    <w:p>
      <w:pPr>
        <w:pStyle w:val="BodyText"/>
      </w:pPr>
      <w:r>
        <w:t xml:space="preserve">914</w:t>
      </w:r>
    </w:p>
    <w:p>
      <w:pPr>
        <w:pStyle w:val="BodyText"/>
      </w:pPr>
      <w:r>
        <w:t xml:space="preserve">180</w:t>
      </w:r>
    </w:p>
    <w:p>
      <w:pPr>
        <w:pStyle w:val="BodyText"/>
      </w:pPr>
      <w:r>
        <w:t xml:space="preserve">7,808</w:t>
      </w:r>
    </w:p>
    <w:p>
      <w:pPr>
        <w:pStyle w:val="BodyText"/>
      </w:pPr>
      <w:r>
        <w:t xml:space="preserve">610</w:t>
      </w:r>
    </w:p>
    <w:p>
      <w:pPr>
        <w:pStyle w:val="BodyText"/>
      </w:pPr>
      <w:r>
        <w:t xml:space="preserve">610</w:t>
      </w:r>
    </w:p>
    <w:p>
      <w:pPr>
        <w:pStyle w:val="BodyText"/>
      </w:pPr>
      <w:r>
        <w:t xml:space="preserve">1,256</w:t>
      </w:r>
    </w:p>
    <w:p>
      <w:pPr>
        <w:pStyle w:val="BodyText"/>
      </w:pPr>
      <w:r>
        <w:t xml:space="preserve">4,897</w:t>
      </w:r>
    </w:p>
    <w:p>
      <w:pPr>
        <w:pStyle w:val="BodyText"/>
      </w:pPr>
      <w:r>
        <w:t xml:space="preserve">93</w:t>
      </w:r>
    </w:p>
    <w:p>
      <w:pPr>
        <w:pStyle w:val="BodyText"/>
      </w:pPr>
      <w:r>
        <w:t xml:space="preserve">6,246</w:t>
      </w:r>
    </w:p>
    <w:p>
      <w:pPr>
        <w:pStyle w:val="BodyText"/>
      </w:pPr>
      <w:r>
        <w:t xml:space="preserve">103</w:t>
      </w:r>
    </w:p>
    <w:p>
      <w:pPr>
        <w:pStyle w:val="FirstParagraph"/>
      </w:pPr>
      <w:r>
        <w:t xml:space="preserve">44</w:t>
      </w:r>
    </w:p>
    <w:p>
      <w:pPr>
        <w:pStyle w:val="BodyText"/>
      </w:pPr>
      <w:r>
        <w:t xml:space="preserve">6,542</w:t>
      </w:r>
    </w:p>
    <w:p>
      <w:pPr>
        <w:pStyle w:val="BodyText"/>
      </w:pPr>
      <w:r>
        <w:t xml:space="preserve">14,350</w:t>
      </w:r>
    </w:p>
    <w:p>
      <w:pPr>
        <w:pStyle w:val="BodyText"/>
      </w:pPr>
      <w:r>
        <w:rPr>
          <w:rFonts w:hint="eastAsia"/>
        </w:rPr>
        <w:t xml:space="preserve">下列外匯變動引致的虧損已在合併收入表中確認（按公平值計入損益的項目所引致的收益及虧損除外）：</w:t>
      </w:r>
    </w:p>
    <w:p>
      <w:pPr>
        <w:pStyle w:val="BodyText"/>
      </w:pPr>
      <w:r>
        <w:rPr>
          <w:rFonts w:hint="eastAsia"/>
        </w:rPr>
        <w:t xml:space="preserve">百萬美元</w:t>
      </w:r>
    </w:p>
    <w:p>
      <w:pPr>
        <w:pStyle w:val="BodyText"/>
      </w:pPr>
      <w:r>
        <w:rPr>
          <w:rFonts w:hint="eastAsia"/>
        </w:rPr>
        <w:t xml:space="preserve">匯兌虧損</w:t>
      </w:r>
    </w:p>
    <w:p>
      <w:pPr>
        <w:pStyle w:val="BodyText"/>
      </w:pPr>
      <w:r>
        <w:rPr>
          <w:rFonts w:hint="eastAsia"/>
        </w:rPr>
        <w:t xml:space="preserve">其他營運收益</w:t>
      </w:r>
    </w:p>
    <w:p>
      <w:pPr>
        <w:pStyle w:val="BodyText"/>
      </w:pPr>
      <w:r>
        <w:rPr>
          <w:rFonts w:hint="eastAsia"/>
        </w:rPr>
        <w:t xml:space="preserve">其他營運收益主要包括資產管理費、行政費用及會籍費用。</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FirstParagraph"/>
      </w:pPr>
      <w:r>
        <w:t xml:space="preserve">182</w:t>
      </w:r>
    </w:p>
    <w:p>
      <w:pPr>
        <w:pStyle w:val="BodyText"/>
      </w:pPr>
      <w:r>
        <w:rPr>
          <w:rFonts w:hint="eastAsia"/>
        </w:rPr>
        <w:t xml:space="preserve">友邦保險控股有限公司</w:t>
      </w:r>
    </w:p>
    <w:p>
      <w:pPr>
        <w:pStyle w:val="Compact"/>
        <w:numPr>
          <w:ilvl w:val="0"/>
          <w:numId w:val="1278"/>
        </w:numPr>
      </w:pPr>
      <w:r>
        <w:rPr>
          <w:rFonts w:hint="eastAsia"/>
        </w:rPr>
        <w:t xml:space="preserve">開支</w:t>
      </w:r>
    </w:p>
    <w:p>
      <w:pPr>
        <w:pStyle w:val="FirstParagraph"/>
      </w:pPr>
      <w:r>
        <w:rPr>
          <w:rFonts w:hint="eastAsia"/>
        </w:rPr>
        <w:t xml:space="preserve">百萬美元</w:t>
      </w:r>
    </w:p>
    <w:p>
      <w:pPr>
        <w:pStyle w:val="BodyText"/>
      </w:pPr>
      <w:r>
        <w:rPr>
          <w:rFonts w:hint="eastAsia"/>
        </w:rPr>
        <w:t xml:space="preserve">保險合約給付</w:t>
      </w:r>
    </w:p>
    <w:p>
      <w:pPr>
        <w:pStyle w:val="BodyText"/>
      </w:pPr>
      <w:r>
        <w:rPr>
          <w:rFonts w:hint="eastAsia"/>
        </w:rPr>
        <w:t xml:space="preserve">保險合約負債變動</w:t>
      </w:r>
    </w:p>
    <w:p>
      <w:pPr>
        <w:pStyle w:val="BodyText"/>
      </w:pPr>
      <w:r>
        <w:rPr>
          <w:rFonts w:hint="eastAsia"/>
        </w:rPr>
        <w:t xml:space="preserve">投資合約給付</w:t>
      </w:r>
    </w:p>
    <w:p>
      <w:pPr>
        <w:pStyle w:val="BodyText"/>
      </w:pPr>
      <w:r>
        <w:rPr>
          <w:rFonts w:hint="eastAsia"/>
        </w:rPr>
        <w:t xml:space="preserve">保險及投資合約給付</w:t>
      </w:r>
    </w:p>
    <w:p>
      <w:pPr>
        <w:pStyle w:val="BodyText"/>
      </w:pPr>
      <w:r>
        <w:rPr>
          <w:rFonts w:hint="eastAsia"/>
        </w:rPr>
        <w:t xml:space="preserve">分保保險及投資合約給付</w:t>
      </w:r>
    </w:p>
    <w:p>
      <w:pPr>
        <w:pStyle w:val="BodyText"/>
      </w:pPr>
      <w:r>
        <w:rPr>
          <w:rFonts w:hint="eastAsia"/>
        </w:rPr>
        <w:t xml:space="preserve">保險及投資合約給付，已扣除再保險分出</w:t>
      </w:r>
    </w:p>
    <w:p>
      <w:pPr>
        <w:pStyle w:val="BodyText"/>
      </w:pPr>
      <w:r>
        <w:rPr>
          <w:rFonts w:hint="eastAsia"/>
        </w:rPr>
        <w:t xml:space="preserve">已發生的佣金及其他承保開支</w:t>
      </w:r>
    </w:p>
    <w:p>
      <w:pPr>
        <w:pStyle w:val="BodyText"/>
      </w:pPr>
      <w:r>
        <w:rPr>
          <w:rFonts w:hint="eastAsia"/>
        </w:rPr>
        <w:t xml:space="preserve">承保成本的遞延及攤銷</w:t>
      </w:r>
    </w:p>
    <w:p>
      <w:pPr>
        <w:pStyle w:val="BodyText"/>
      </w:pPr>
      <w:r>
        <w:rPr>
          <w:rFonts w:hint="eastAsia"/>
        </w:rPr>
        <w:t xml:space="preserve">佣金及其他承保開支</w:t>
      </w:r>
    </w:p>
    <w:p>
      <w:pPr>
        <w:pStyle w:val="BodyText"/>
      </w:pPr>
      <w:r>
        <w:rPr>
          <w:rFonts w:hint="eastAsia"/>
        </w:rPr>
        <w:t xml:space="preserve">僱員福利開支</w:t>
      </w:r>
    </w:p>
    <w:p>
      <w:pPr>
        <w:pStyle w:val="BodyText"/>
      </w:pPr>
      <w:r>
        <w:rPr>
          <w:rFonts w:hint="eastAsia"/>
        </w:rPr>
        <w:t xml:space="preserve">折舊</w:t>
      </w:r>
    </w:p>
    <w:p>
      <w:pPr>
        <w:pStyle w:val="BodyText"/>
      </w:pPr>
      <w:r>
        <w:rPr>
          <w:rFonts w:hint="eastAsia"/>
        </w:rPr>
        <w:t xml:space="preserve">攤銷</w:t>
      </w:r>
    </w:p>
    <w:p>
      <w:pPr>
        <w:pStyle w:val="BodyText"/>
      </w:pPr>
      <w:r>
        <w:rPr>
          <w:rFonts w:hint="eastAsia"/>
        </w:rPr>
        <w:t xml:space="preserve">其他營運開支(1)</w:t>
      </w:r>
    </w:p>
    <w:p>
      <w:pPr>
        <w:pStyle w:val="BodyText"/>
      </w:pPr>
      <w:r>
        <w:rPr>
          <w:rFonts w:hint="eastAsia"/>
        </w:rPr>
        <w:t xml:space="preserve">營運開支</w:t>
      </w:r>
    </w:p>
    <w:p>
      <w:pPr>
        <w:pStyle w:val="BodyText"/>
      </w:pPr>
      <w:r>
        <w:rPr>
          <w:rFonts w:hint="eastAsia"/>
        </w:rPr>
        <w:t xml:space="preserve">投資管理開支及其他</w:t>
      </w:r>
    </w:p>
    <w:p>
      <w:pPr>
        <w:pStyle w:val="BodyText"/>
      </w:pPr>
      <w:r>
        <w:rPr>
          <w:rFonts w:hint="eastAsia"/>
        </w:rPr>
        <w:t xml:space="preserve">持作自用物業折舊</w:t>
      </w:r>
    </w:p>
    <w:p>
      <w:pPr>
        <w:pStyle w:val="BodyText"/>
      </w:pPr>
      <w:r>
        <w:rPr>
          <w:rFonts w:hint="eastAsia"/>
        </w:rPr>
        <w:t xml:space="preserve">重組及其他非營運費用(2)</w:t>
      </w:r>
    </w:p>
    <w:p>
      <w:pPr>
        <w:pStyle w:val="BodyText"/>
      </w:pPr>
      <w:r>
        <w:rPr>
          <w:rFonts w:hint="eastAsia"/>
        </w:rPr>
        <w:t xml:space="preserve">合併投資基金第三方權益的變動</w:t>
      </w:r>
    </w:p>
    <w:p>
      <w:pPr>
        <w:pStyle w:val="BodyText"/>
      </w:pPr>
      <w:r>
        <w:rPr>
          <w:rFonts w:hint="eastAsia"/>
        </w:rPr>
        <w:t xml:space="preserve">其他開支</w:t>
      </w:r>
    </w:p>
    <w:p>
      <w:pPr>
        <w:pStyle w:val="BodyText"/>
      </w:pPr>
      <w:r>
        <w:rPr>
          <w:rFonts w:hint="eastAsia"/>
        </w:rPr>
        <w:t xml:space="preserve">財務費用</w:t>
      </w:r>
    </w:p>
    <w:p>
      <w:pPr>
        <w:pStyle w:val="BodyText"/>
      </w:pPr>
      <w:r>
        <w:rPr>
          <w:rFonts w:hint="eastAsia"/>
        </w:rPr>
        <w:t xml:space="preserve">總計</w:t>
      </w:r>
    </w:p>
    <w:p>
      <w:pPr>
        <w:pStyle w:val="BodyText"/>
      </w:pPr>
      <w:r>
        <w:rPr>
          <w:rFonts w:hint="eastAsia"/>
        </w:rPr>
        <w:t xml:space="preserve">其他營運開支包括2,500萬美元的核數師酬金（2019年：2,600萬美元），其分析如下：</w:t>
      </w:r>
    </w:p>
    <w:p>
      <w:pPr>
        <w:pStyle w:val="BodyText"/>
      </w:pPr>
      <w:r>
        <w:rPr>
          <w:rFonts w:hint="eastAsia"/>
        </w:rPr>
        <w:t xml:space="preserve">百萬美元</w:t>
      </w:r>
    </w:p>
    <w:p>
      <w:pPr>
        <w:pStyle w:val="BodyText"/>
      </w:pPr>
      <w:r>
        <w:rPr>
          <w:rFonts w:hint="eastAsia"/>
        </w:rPr>
        <w:t xml:space="preserve">核數服務</w:t>
      </w:r>
    </w:p>
    <w:p>
      <w:pPr>
        <w:pStyle w:val="BodyText"/>
      </w:pPr>
      <w:r>
        <w:rPr>
          <w:rFonts w:hint="eastAsia"/>
        </w:rPr>
        <w:t xml:space="preserve">非核數服務，其中包括：</w:t>
      </w:r>
    </w:p>
    <w:p>
      <w:pPr>
        <w:pStyle w:val="BodyText"/>
      </w:pPr>
      <w:r>
        <w:rPr>
          <w:rFonts w:hint="eastAsia"/>
        </w:rPr>
        <w:t xml:space="preserve">核數相關服務</w:t>
      </w:r>
    </w:p>
    <w:p>
      <w:pPr>
        <w:pStyle w:val="BodyText"/>
      </w:pPr>
      <w:r>
        <w:rPr>
          <w:rFonts w:hint="eastAsia"/>
        </w:rPr>
        <w:t xml:space="preserve">稅務服務</w:t>
      </w:r>
    </w:p>
    <w:p>
      <w:pPr>
        <w:pStyle w:val="BodyText"/>
      </w:pPr>
      <w:r>
        <w:rPr>
          <w:rFonts w:hint="eastAsia"/>
        </w:rPr>
        <w:t xml:space="preserve">其他服務</w:t>
      </w:r>
    </w:p>
    <w:p>
      <w:pPr>
        <w:pStyle w:val="BodyText"/>
      </w:pPr>
      <w:r>
        <w:rPr>
          <w:rFonts w:hint="eastAsia"/>
        </w:rPr>
        <w:t xml:space="preserve">總計</w:t>
      </w:r>
    </w:p>
    <w:p>
      <w:pPr>
        <w:pStyle w:val="BodyText"/>
      </w:pPr>
      <w:r>
        <w:rPr>
          <w:rFonts w:hint="eastAsia"/>
        </w:rPr>
        <w:t xml:space="preserve">附註：</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r>
        <w:br/>
      </w:r>
      <w:r>
        <w:rPr>
          <w:rFonts w:hint="eastAsia"/>
        </w:rPr>
        <w:t xml:space="preserve">（經調整）</w:t>
      </w:r>
    </w:p>
    <w:p>
      <w:pPr>
        <w:pStyle w:val="BodyText"/>
      </w:pPr>
      <w:r>
        <w:t xml:space="preserve">14,808</w:t>
      </w:r>
    </w:p>
    <w:p>
      <w:pPr>
        <w:pStyle w:val="BodyText"/>
      </w:pPr>
      <w:r>
        <w:t xml:space="preserve">20,752</w:t>
      </w:r>
    </w:p>
    <w:p>
      <w:pPr>
        <w:pStyle w:val="BodyText"/>
      </w:pPr>
      <w:r>
        <w:t xml:space="preserve">1,305</w:t>
      </w:r>
    </w:p>
    <w:p>
      <w:pPr>
        <w:pStyle w:val="BodyText"/>
      </w:pPr>
      <w:r>
        <w:t xml:space="preserve">36,865</w:t>
      </w:r>
    </w:p>
    <w:p>
      <w:pPr>
        <w:pStyle w:val="BodyText"/>
      </w:pPr>
      <w:r>
        <w:t xml:space="preserve">(2,126)</w:t>
      </w:r>
    </w:p>
    <w:p>
      <w:pPr>
        <w:pStyle w:val="BodyText"/>
      </w:pPr>
      <w:r>
        <w:t xml:space="preserve">34,739</w:t>
      </w:r>
    </w:p>
    <w:p>
      <w:pPr>
        <w:pStyle w:val="BodyText"/>
      </w:pPr>
      <w:r>
        <w:t xml:space="preserve">5,566</w:t>
      </w:r>
    </w:p>
    <w:p>
      <w:pPr>
        <w:pStyle w:val="BodyText"/>
      </w:pPr>
      <w:r>
        <w:t xml:space="preserve">(1,164)</w:t>
      </w:r>
    </w:p>
    <w:p>
      <w:pPr>
        <w:pStyle w:val="BodyText"/>
      </w:pPr>
      <w:r>
        <w:t xml:space="preserve">4,402</w:t>
      </w:r>
    </w:p>
    <w:p>
      <w:pPr>
        <w:pStyle w:val="BodyText"/>
      </w:pPr>
      <w:r>
        <w:t xml:space="preserve">1,727</w:t>
      </w:r>
    </w:p>
    <w:p>
      <w:pPr>
        <w:pStyle w:val="BodyText"/>
      </w:pPr>
      <w:r>
        <w:t xml:space="preserve">265</w:t>
      </w:r>
    </w:p>
    <w:p>
      <w:pPr>
        <w:pStyle w:val="BodyText"/>
      </w:pPr>
      <w:r>
        <w:t xml:space="preserve">92</w:t>
      </w:r>
    </w:p>
    <w:p>
      <w:pPr>
        <w:pStyle w:val="BodyText"/>
      </w:pPr>
      <w:r>
        <w:t xml:space="preserve">611</w:t>
      </w:r>
    </w:p>
    <w:p>
      <w:pPr>
        <w:pStyle w:val="BodyText"/>
      </w:pPr>
      <w:r>
        <w:t xml:space="preserve">14,011</w:t>
      </w:r>
    </w:p>
    <w:p>
      <w:pPr>
        <w:pStyle w:val="BodyText"/>
      </w:pPr>
      <w:r>
        <w:t xml:space="preserve">19,065</w:t>
      </w:r>
    </w:p>
    <w:p>
      <w:pPr>
        <w:pStyle w:val="BodyText"/>
      </w:pPr>
      <w:r>
        <w:t xml:space="preserve">992</w:t>
      </w:r>
    </w:p>
    <w:p>
      <w:pPr>
        <w:pStyle w:val="BodyText"/>
      </w:pPr>
      <w:r>
        <w:t xml:space="preserve">34,068</w:t>
      </w:r>
    </w:p>
    <w:p>
      <w:pPr>
        <w:pStyle w:val="BodyText"/>
      </w:pPr>
      <w:r>
        <w:t xml:space="preserve">(1,940)</w:t>
      </w:r>
    </w:p>
    <w:p>
      <w:pPr>
        <w:pStyle w:val="BodyText"/>
      </w:pPr>
      <w:r>
        <w:t xml:space="preserve">32,128</w:t>
      </w:r>
    </w:p>
    <w:p>
      <w:pPr>
        <w:pStyle w:val="BodyText"/>
      </w:pPr>
      <w:r>
        <w:t xml:space="preserve">6,499</w:t>
      </w:r>
    </w:p>
    <w:p>
      <w:pPr>
        <w:pStyle w:val="BodyText"/>
      </w:pPr>
      <w:r>
        <w:t xml:space="preserve">(2,216)</w:t>
      </w:r>
    </w:p>
    <w:p>
      <w:pPr>
        <w:pStyle w:val="BodyText"/>
      </w:pPr>
      <w:r>
        <w:t xml:space="preserve">4,283</w:t>
      </w:r>
    </w:p>
    <w:p>
      <w:pPr>
        <w:pStyle w:val="BodyText"/>
      </w:pPr>
      <w:r>
        <w:t xml:space="preserve">1,569</w:t>
      </w:r>
    </w:p>
    <w:p>
      <w:pPr>
        <w:pStyle w:val="BodyText"/>
      </w:pPr>
      <w:r>
        <w:t xml:space="preserve">228</w:t>
      </w:r>
    </w:p>
    <w:p>
      <w:pPr>
        <w:pStyle w:val="BodyText"/>
      </w:pPr>
      <w:r>
        <w:t xml:space="preserve">69</w:t>
      </w:r>
    </w:p>
    <w:p>
      <w:pPr>
        <w:pStyle w:val="BodyText"/>
      </w:pPr>
      <w:r>
        <w:t xml:space="preserve">602</w:t>
      </w:r>
    </w:p>
    <w:p>
      <w:pPr>
        <w:pStyle w:val="BodyText"/>
      </w:pPr>
      <w:r>
        <w:t xml:space="preserve">2,695</w:t>
      </w:r>
    </w:p>
    <w:p>
      <w:pPr>
        <w:pStyle w:val="BodyText"/>
      </w:pPr>
      <w:r>
        <w:t xml:space="preserve">2,468</w:t>
      </w:r>
    </w:p>
    <w:p>
      <w:pPr>
        <w:pStyle w:val="BodyText"/>
      </w:pPr>
      <w:r>
        <w:t xml:space="preserve">580</w:t>
      </w:r>
    </w:p>
    <w:p>
      <w:pPr>
        <w:pStyle w:val="BodyText"/>
      </w:pPr>
      <w:r>
        <w:t xml:space="preserve">32</w:t>
      </w:r>
    </w:p>
    <w:p>
      <w:pPr>
        <w:pStyle w:val="BodyText"/>
      </w:pPr>
      <w:r>
        <w:t xml:space="preserve">285</w:t>
      </w:r>
    </w:p>
    <w:p>
      <w:pPr>
        <w:pStyle w:val="BodyText"/>
      </w:pPr>
      <w:r>
        <w:t xml:space="preserve">47</w:t>
      </w:r>
    </w:p>
    <w:p>
      <w:pPr>
        <w:pStyle w:val="BodyText"/>
      </w:pPr>
      <w:r>
        <w:t xml:space="preserve">944</w:t>
      </w:r>
    </w:p>
    <w:p>
      <w:pPr>
        <w:pStyle w:val="BodyText"/>
      </w:pPr>
      <w:r>
        <w:t xml:space="preserve">292</w:t>
      </w:r>
    </w:p>
    <w:p>
      <w:pPr>
        <w:pStyle w:val="BodyText"/>
      </w:pPr>
      <w:r>
        <w:t xml:space="preserve">530</w:t>
      </w:r>
    </w:p>
    <w:p>
      <w:pPr>
        <w:pStyle w:val="BodyText"/>
      </w:pPr>
      <w:r>
        <w:t xml:space="preserve">42</w:t>
      </w:r>
    </w:p>
    <w:p>
      <w:pPr>
        <w:pStyle w:val="BodyText"/>
      </w:pPr>
      <w:r>
        <w:t xml:space="preserve">246</w:t>
      </w:r>
    </w:p>
    <w:p>
      <w:pPr>
        <w:pStyle w:val="BodyText"/>
      </w:pPr>
      <w:r>
        <w:t xml:space="preserve">27</w:t>
      </w:r>
    </w:p>
    <w:p>
      <w:pPr>
        <w:pStyle w:val="BodyText"/>
      </w:pPr>
      <w:r>
        <w:t xml:space="preserve">845</w:t>
      </w:r>
    </w:p>
    <w:p>
      <w:pPr>
        <w:pStyle w:val="BodyText"/>
      </w:pPr>
      <w:r>
        <w:t xml:space="preserve">283</w:t>
      </w:r>
    </w:p>
    <w:p>
      <w:pPr>
        <w:pStyle w:val="BodyText"/>
      </w:pPr>
      <w:r>
        <w:t xml:space="preserve">43,072</w:t>
      </w:r>
    </w:p>
    <w:p>
      <w:pPr>
        <w:pStyle w:val="BodyText"/>
      </w:pPr>
      <w:r>
        <w:t xml:space="preserve">40,007</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20</w:t>
      </w:r>
    </w:p>
    <w:p>
      <w:pPr>
        <w:pStyle w:val="BodyText"/>
      </w:pPr>
      <w:r>
        <w:t xml:space="preserve">4</w:t>
      </w:r>
    </w:p>
    <w:p>
      <w:pPr>
        <w:pStyle w:val="BodyText"/>
      </w:pPr>
      <w:r>
        <w:t xml:space="preserve">1</w:t>
      </w:r>
    </w:p>
    <w:p>
      <w:pPr>
        <w:pStyle w:val="BodyText"/>
      </w:pPr>
      <w:r>
        <w:t xml:space="preserve">–</w:t>
      </w:r>
    </w:p>
    <w:p>
      <w:pPr>
        <w:pStyle w:val="BodyText"/>
      </w:pPr>
      <w:r>
        <w:t xml:space="preserve">25</w:t>
      </w:r>
    </w:p>
    <w:p>
      <w:pPr>
        <w:pStyle w:val="BodyText"/>
      </w:pPr>
      <w:r>
        <w:t xml:space="preserve">19</w:t>
      </w:r>
    </w:p>
    <w:p>
      <w:pPr>
        <w:pStyle w:val="BodyText"/>
      </w:pPr>
      <w:r>
        <w:t xml:space="preserve">5</w:t>
      </w:r>
    </w:p>
    <w:p>
      <w:pPr>
        <w:pStyle w:val="BodyText"/>
      </w:pPr>
      <w:r>
        <w:t xml:space="preserve">1</w:t>
      </w:r>
    </w:p>
    <w:p>
      <w:pPr>
        <w:pStyle w:val="BodyText"/>
      </w:pPr>
      <w:r>
        <w:t xml:space="preserve">1</w:t>
      </w:r>
    </w:p>
    <w:p>
      <w:pPr>
        <w:pStyle w:val="BodyText"/>
      </w:pPr>
      <w:r>
        <w:t xml:space="preserve">26</w:t>
      </w:r>
    </w:p>
    <w:p>
      <w:pPr>
        <w:numPr>
          <w:ilvl w:val="0"/>
          <w:numId w:val="1279"/>
        </w:numPr>
      </w:pPr>
      <w:r>
        <w:rPr>
          <w:rFonts w:hint="eastAsia"/>
        </w:rPr>
        <w:t xml:space="preserve">包括短期租賃付款700萬美元（2019年：3,400萬美元）。</w:t>
      </w:r>
    </w:p>
    <w:p>
      <w:pPr>
        <w:numPr>
          <w:ilvl w:val="0"/>
          <w:numId w:val="1279"/>
        </w:numPr>
      </w:pPr>
      <w:r>
        <w:rPr>
          <w:rFonts w:hint="eastAsia"/>
        </w:rPr>
        <w:t xml:space="preserve">重組費用指有關重組項目的成本，主要包括裁員及合約終止成本。其他非營運費用主要包括企業交易相關成本、實施新會計準則的成本及其他預</w:t>
      </w:r>
    </w:p>
    <w:p>
      <w:pPr>
        <w:pStyle w:val="FirstParagraph"/>
      </w:pPr>
      <w:r>
        <w:rPr>
          <w:rFonts w:hint="eastAsia"/>
        </w:rPr>
        <w:t xml:space="preserve">期為非經常性質的項目。</w:t>
      </w:r>
    </w:p>
    <w:p>
      <w:pPr>
        <w:pStyle w:val="BodyText"/>
      </w:pPr>
      <w:r>
        <w:t xml:space="preserve">183</w:t>
      </w:r>
    </w:p>
    <w:p>
      <w:pPr>
        <w:pStyle w:val="BodyText"/>
      </w:pPr>
      <w:r>
        <w:rPr>
          <w:rFonts w:hint="eastAsia"/>
        </w:rPr>
        <w:t xml:space="preserve">概覽財務及營運回顧企業管治其他資料財務報表2020年報</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86</w:t>
      </w:r>
    </w:p>
    <w:p>
      <w:pPr>
        <w:pStyle w:val="BodyText"/>
      </w:pPr>
      <w:r>
        <w:t xml:space="preserve">178</w:t>
      </w:r>
    </w:p>
    <w:p>
      <w:pPr>
        <w:pStyle w:val="BodyText"/>
      </w:pPr>
      <w:r>
        <w:t xml:space="preserve">1</w:t>
      </w:r>
    </w:p>
    <w:p>
      <w:pPr>
        <w:pStyle w:val="BodyText"/>
      </w:pPr>
      <w:r>
        <w:t xml:space="preserve">265</w:t>
      </w:r>
    </w:p>
    <w:p>
      <w:pPr>
        <w:pStyle w:val="BodyText"/>
      </w:pPr>
      <w:r>
        <w:t xml:space="preserve">85</w:t>
      </w:r>
    </w:p>
    <w:p>
      <w:pPr>
        <w:pStyle w:val="BodyText"/>
      </w:pPr>
      <w:r>
        <w:t xml:space="preserve">142</w:t>
      </w:r>
    </w:p>
    <w:p>
      <w:pPr>
        <w:pStyle w:val="BodyText"/>
      </w:pPr>
      <w:r>
        <w:t xml:space="preserve">1</w:t>
      </w:r>
    </w:p>
    <w:p>
      <w:pPr>
        <w:pStyle w:val="BodyText"/>
      </w:pPr>
      <w:r>
        <w:t xml:space="preserve">228</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17</w:t>
      </w:r>
    </w:p>
    <w:p>
      <w:pPr>
        <w:pStyle w:val="BodyText"/>
      </w:pPr>
      <w:r>
        <w:t xml:space="preserve">248</w:t>
      </w:r>
    </w:p>
    <w:p>
      <w:pPr>
        <w:pStyle w:val="BodyText"/>
      </w:pPr>
      <w:r>
        <w:t xml:space="preserve">11</w:t>
      </w:r>
    </w:p>
    <w:p>
      <w:pPr>
        <w:pStyle w:val="BodyText"/>
      </w:pPr>
      <w:r>
        <w:t xml:space="preserve">16</w:t>
      </w:r>
    </w:p>
    <w:p>
      <w:pPr>
        <w:pStyle w:val="BodyText"/>
      </w:pPr>
      <w:r>
        <w:t xml:space="preserve">292</w:t>
      </w:r>
    </w:p>
    <w:p>
      <w:pPr>
        <w:pStyle w:val="BodyText"/>
      </w:pPr>
      <w:r>
        <w:t xml:space="preserve">54</w:t>
      </w:r>
    </w:p>
    <w:p>
      <w:pPr>
        <w:pStyle w:val="BodyText"/>
      </w:pPr>
      <w:r>
        <w:t xml:space="preserve">208</w:t>
      </w:r>
    </w:p>
    <w:p>
      <w:pPr>
        <w:pStyle w:val="BodyText"/>
      </w:pPr>
      <w:r>
        <w:t xml:space="preserve">5</w:t>
      </w:r>
    </w:p>
    <w:p>
      <w:pPr>
        <w:pStyle w:val="BodyText"/>
      </w:pPr>
      <w:r>
        <w:t xml:space="preserve">16</w:t>
      </w:r>
    </w:p>
    <w:p>
      <w:pPr>
        <w:pStyle w:val="BodyText"/>
      </w:pPr>
      <w:r>
        <w:t xml:space="preserve">283</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1,416</w:t>
      </w:r>
    </w:p>
    <w:p>
      <w:pPr>
        <w:pStyle w:val="BodyText"/>
      </w:pPr>
      <w:r>
        <w:t xml:space="preserve">1,278</w:t>
      </w:r>
    </w:p>
    <w:p>
      <w:pPr>
        <w:pStyle w:val="BodyText"/>
      </w:pPr>
      <w:r>
        <w:t xml:space="preserve">72</w:t>
      </w:r>
    </w:p>
    <w:p>
      <w:pPr>
        <w:pStyle w:val="BodyText"/>
      </w:pPr>
      <w:r>
        <w:t xml:space="preserve">93</w:t>
      </w:r>
    </w:p>
    <w:p>
      <w:pPr>
        <w:pStyle w:val="BodyText"/>
      </w:pPr>
      <w:r>
        <w:t xml:space="preserve">14</w:t>
      </w:r>
    </w:p>
    <w:p>
      <w:pPr>
        <w:pStyle w:val="BodyText"/>
      </w:pPr>
      <w:r>
        <w:t xml:space="preserve">132</w:t>
      </w:r>
    </w:p>
    <w:p>
      <w:pPr>
        <w:pStyle w:val="BodyText"/>
      </w:pPr>
      <w:r>
        <w:t xml:space="preserve">1,727</w:t>
      </w:r>
    </w:p>
    <w:p>
      <w:pPr>
        <w:pStyle w:val="BodyText"/>
      </w:pPr>
      <w:r>
        <w:t xml:space="preserve">79</w:t>
      </w:r>
    </w:p>
    <w:p>
      <w:pPr>
        <w:pStyle w:val="BodyText"/>
      </w:pPr>
      <w:r>
        <w:t xml:space="preserve">90</w:t>
      </w:r>
    </w:p>
    <w:p>
      <w:pPr>
        <w:pStyle w:val="BodyText"/>
      </w:pPr>
      <w:r>
        <w:t xml:space="preserve">13</w:t>
      </w:r>
    </w:p>
    <w:p>
      <w:pPr>
        <w:pStyle w:val="BodyText"/>
      </w:pPr>
      <w:r>
        <w:t xml:space="preserve">109</w:t>
      </w:r>
    </w:p>
    <w:p>
      <w:pPr>
        <w:pStyle w:val="BodyText"/>
      </w:pPr>
      <w:r>
        <w:t xml:space="preserve">1,569</w:t>
      </w:r>
    </w:p>
    <w:p>
      <w:pPr>
        <w:pStyle w:val="Compact"/>
        <w:numPr>
          <w:ilvl w:val="0"/>
          <w:numId w:val="1280"/>
        </w:numPr>
      </w:pPr>
      <w:r>
        <w:rPr>
          <w:rFonts w:hint="eastAsia"/>
        </w:rPr>
        <w:t xml:space="preserve">開支（續）</w:t>
      </w:r>
    </w:p>
    <w:p>
      <w:pPr>
        <w:pStyle w:val="FirstParagraph"/>
      </w:pPr>
      <w:r>
        <w:rPr>
          <w:rFonts w:hint="eastAsia"/>
        </w:rPr>
        <w:t xml:space="preserve">折舊包括：</w:t>
      </w:r>
    </w:p>
    <w:p>
      <w:pPr>
        <w:pStyle w:val="BodyText"/>
      </w:pPr>
      <w:r>
        <w:rPr>
          <w:rFonts w:hint="eastAsia"/>
        </w:rPr>
        <w:t xml:space="preserve">百萬美元</w:t>
      </w:r>
    </w:p>
    <w:p>
      <w:pPr>
        <w:pStyle w:val="BodyText"/>
      </w:pPr>
      <w:r>
        <w:rPr>
          <w:rFonts w:hint="eastAsia"/>
        </w:rPr>
        <w:t xml:space="preserve">電腦硬件、裝置及設備及其他</w:t>
      </w:r>
    </w:p>
    <w:p>
      <w:pPr>
        <w:pStyle w:val="BodyText"/>
      </w:pPr>
      <w:r>
        <w:rPr>
          <w:rFonts w:hint="eastAsia"/>
        </w:rPr>
        <w:t xml:space="preserve">使用權資產</w:t>
      </w:r>
    </w:p>
    <w:p>
      <w:pPr>
        <w:pStyle w:val="BodyText"/>
      </w:pPr>
      <w:r>
        <w:rPr>
          <w:rFonts w:hint="eastAsia"/>
        </w:rPr>
        <w:t xml:space="preserve">持作自用物業</w:t>
      </w:r>
    </w:p>
    <w:p>
      <w:pPr>
        <w:pStyle w:val="BodyText"/>
      </w:pPr>
      <w:r>
        <w:rPr>
          <w:rFonts w:hint="eastAsia"/>
        </w:rPr>
        <w:t xml:space="preserve">裝置及設備及其他</w:t>
      </w:r>
    </w:p>
    <w:p>
      <w:pPr>
        <w:pStyle w:val="BodyText"/>
      </w:pPr>
      <w:r>
        <w:rPr>
          <w:rFonts w:hint="eastAsia"/>
        </w:rPr>
        <w:t xml:space="preserve">總計</w:t>
      </w:r>
    </w:p>
    <w:p>
      <w:pPr>
        <w:pStyle w:val="BodyText"/>
      </w:pPr>
      <w:r>
        <w:rPr>
          <w:rFonts w:hint="eastAsia"/>
        </w:rPr>
        <w:t xml:space="preserve">財務費用的分析如下：</w:t>
      </w:r>
    </w:p>
    <w:p>
      <w:pPr>
        <w:pStyle w:val="BodyText"/>
      </w:pPr>
      <w:r>
        <w:rPr>
          <w:rFonts w:hint="eastAsia"/>
        </w:rPr>
        <w:t xml:space="preserve">百萬美元</w:t>
      </w:r>
    </w:p>
    <w:p>
      <w:pPr>
        <w:pStyle w:val="BodyText"/>
      </w:pPr>
      <w:r>
        <w:rPr>
          <w:rFonts w:hint="eastAsia"/>
        </w:rPr>
        <w:t xml:space="preserve">回購協議</w:t>
      </w:r>
    </w:p>
    <w:p>
      <w:pPr>
        <w:pStyle w:val="BodyText"/>
      </w:pPr>
      <w:r>
        <w:rPr>
          <w:rFonts w:hint="eastAsia"/>
        </w:rPr>
        <w:t xml:space="preserve">中期票據及證券</w:t>
      </w:r>
    </w:p>
    <w:p>
      <w:pPr>
        <w:pStyle w:val="BodyText"/>
      </w:pPr>
      <w:r>
        <w:rPr>
          <w:rFonts w:hint="eastAsia"/>
        </w:rPr>
        <w:t xml:space="preserve">其他貸款</w:t>
      </w:r>
    </w:p>
    <w:p>
      <w:pPr>
        <w:pStyle w:val="BodyText"/>
      </w:pPr>
      <w:r>
        <w:rPr>
          <w:rFonts w:hint="eastAsia"/>
        </w:rPr>
        <w:t xml:space="preserve">租賃負債</w:t>
      </w:r>
    </w:p>
    <w:p>
      <w:pPr>
        <w:pStyle w:val="BodyText"/>
      </w:pPr>
      <w:r>
        <w:rPr>
          <w:rFonts w:hint="eastAsia"/>
        </w:rPr>
        <w:t xml:space="preserve">總計</w:t>
      </w:r>
    </w:p>
    <w:p>
      <w:pPr>
        <w:pStyle w:val="BodyText"/>
      </w:pPr>
      <w:r>
        <w:rPr>
          <w:rFonts w:hint="eastAsia"/>
        </w:rPr>
        <w:t xml:space="preserve">僱員福利開支包括：</w:t>
      </w:r>
    </w:p>
    <w:p>
      <w:pPr>
        <w:pStyle w:val="BodyText"/>
      </w:pPr>
      <w:r>
        <w:rPr>
          <w:rFonts w:hint="eastAsia"/>
        </w:rPr>
        <w:t xml:space="preserve">百萬美元</w:t>
      </w:r>
    </w:p>
    <w:p>
      <w:pPr>
        <w:pStyle w:val="BodyText"/>
      </w:pPr>
      <w:r>
        <w:rPr>
          <w:rFonts w:hint="eastAsia"/>
        </w:rPr>
        <w:t xml:space="preserve">工資及薪金</w:t>
      </w:r>
    </w:p>
    <w:p>
      <w:pPr>
        <w:pStyle w:val="BodyText"/>
      </w:pPr>
      <w:r>
        <w:rPr>
          <w:rFonts w:hint="eastAsia"/>
        </w:rPr>
        <w:t xml:space="preserve">以股份為基礎的報酬</w:t>
      </w:r>
    </w:p>
    <w:p>
      <w:pPr>
        <w:pStyle w:val="BodyText"/>
      </w:pPr>
      <w:r>
        <w:rPr>
          <w:rFonts w:hint="eastAsia"/>
        </w:rPr>
        <w:t xml:space="preserve">退休金費用</w:t>
      </w:r>
      <w:r>
        <w:t xml:space="preserve"> </w:t>
      </w:r>
      <w:r>
        <w:rPr>
          <w:rFonts w:hint="eastAsia"/>
        </w:rPr>
        <w:t xml:space="preserve">－</w:t>
      </w:r>
      <w:r>
        <w:t xml:space="preserve"> </w:t>
      </w:r>
      <w:r>
        <w:rPr>
          <w:rFonts w:hint="eastAsia"/>
        </w:rPr>
        <w:t xml:space="preserve">界定供款計劃</w:t>
      </w:r>
    </w:p>
    <w:p>
      <w:pPr>
        <w:pStyle w:val="BodyText"/>
      </w:pPr>
      <w:r>
        <w:rPr>
          <w:rFonts w:hint="eastAsia"/>
        </w:rPr>
        <w:t xml:space="preserve">退休金費用</w:t>
      </w:r>
      <w:r>
        <w:t xml:space="preserve"> </w:t>
      </w:r>
      <w:r>
        <w:rPr>
          <w:rFonts w:hint="eastAsia"/>
        </w:rPr>
        <w:t xml:space="preserve">－</w:t>
      </w:r>
      <w:r>
        <w:t xml:space="preserve"> </w:t>
      </w:r>
      <w:r>
        <w:rPr>
          <w:rFonts w:hint="eastAsia"/>
        </w:rPr>
        <w:t xml:space="preserve">界定福利計劃</w:t>
      </w:r>
    </w:p>
    <w:p>
      <w:pPr>
        <w:pStyle w:val="BodyText"/>
      </w:pPr>
      <w:r>
        <w:rPr>
          <w:rFonts w:hint="eastAsia"/>
        </w:rPr>
        <w:t xml:space="preserve">其他僱員福利開支</w:t>
      </w:r>
    </w:p>
    <w:p>
      <w:pPr>
        <w:pStyle w:val="BodyText"/>
      </w:pPr>
      <w:r>
        <w:rPr>
          <w:rFonts w:hint="eastAsia"/>
        </w:rPr>
        <w:t xml:space="preserve">總計</w:t>
      </w:r>
    </w:p>
    <w:p>
      <w:pPr>
        <w:pStyle w:val="BodyText"/>
      </w:pPr>
      <w:r>
        <w:t xml:space="preserve">184</w:t>
      </w:r>
    </w:p>
    <w:p>
      <w:pPr>
        <w:pStyle w:val="BodyText"/>
      </w:pPr>
      <w:r>
        <w:rPr>
          <w:rFonts w:hint="eastAsia"/>
        </w:rPr>
        <w:t xml:space="preserve">友邦保險控股有限公司</w:t>
      </w:r>
    </w:p>
    <w:p>
      <w:pPr>
        <w:pStyle w:val="Compact"/>
        <w:numPr>
          <w:ilvl w:val="0"/>
          <w:numId w:val="1281"/>
        </w:numPr>
      </w:pPr>
      <w:r>
        <w:rPr>
          <w:rFonts w:hint="eastAsia"/>
        </w:rPr>
        <w:t xml:space="preserve">所得稅</w:t>
      </w:r>
    </w:p>
    <w:p>
      <w:pPr>
        <w:pStyle w:val="FirstParagraph"/>
      </w:pPr>
      <w:r>
        <w:rPr>
          <w:rFonts w:hint="eastAsia"/>
        </w:rPr>
        <w:t xml:space="preserve">百萬美元</w:t>
      </w:r>
    </w:p>
    <w:p>
      <w:pPr>
        <w:pStyle w:val="BodyText"/>
      </w:pPr>
      <w:r>
        <w:rPr>
          <w:rFonts w:hint="eastAsia"/>
        </w:rPr>
        <w:t xml:space="preserve">扣自合併收入表的稅項</w:t>
      </w:r>
    </w:p>
    <w:p>
      <w:pPr>
        <w:pStyle w:val="BodyText"/>
      </w:pPr>
      <w:r>
        <w:rPr>
          <w:rFonts w:hint="eastAsia"/>
        </w:rPr>
        <w:t xml:space="preserve">當期所得稅</w:t>
      </w:r>
      <w:r>
        <w:t xml:space="preserve"> </w:t>
      </w:r>
      <w:r>
        <w:rPr>
          <w:rFonts w:hint="eastAsia"/>
        </w:rPr>
        <w:t xml:space="preserve">－</w:t>
      </w:r>
      <w:r>
        <w:t xml:space="preserve"> </w:t>
      </w:r>
      <w:r>
        <w:rPr>
          <w:rFonts w:hint="eastAsia"/>
        </w:rPr>
        <w:t xml:space="preserve">香港利得稅</w:t>
      </w:r>
    </w:p>
    <w:p>
      <w:pPr>
        <w:pStyle w:val="BodyText"/>
      </w:pPr>
      <w:r>
        <w:rPr>
          <w:rFonts w:hint="eastAsia"/>
        </w:rPr>
        <w:t xml:space="preserve">當期所得稅</w:t>
      </w:r>
      <w:r>
        <w:t xml:space="preserve"> </w:t>
      </w:r>
      <w:r>
        <w:rPr>
          <w:rFonts w:hint="eastAsia"/>
        </w:rPr>
        <w:t xml:space="preserve">－</w:t>
      </w:r>
      <w:r>
        <w:t xml:space="preserve"> </w:t>
      </w:r>
      <w:r>
        <w:rPr>
          <w:rFonts w:hint="eastAsia"/>
        </w:rPr>
        <w:t xml:space="preserve">海外</w:t>
      </w:r>
    </w:p>
    <w:p>
      <w:pPr>
        <w:pStyle w:val="BodyText"/>
      </w:pPr>
      <w:r>
        <w:rPr>
          <w:rFonts w:hint="eastAsia"/>
        </w:rPr>
        <w:t xml:space="preserve">暫時性差異的遞延所得稅</w:t>
      </w:r>
    </w:p>
    <w:p>
      <w:pPr>
        <w:pStyle w:val="BodyText"/>
      </w:pPr>
      <w:r>
        <w:rPr>
          <w:rFonts w:hint="eastAsia"/>
        </w:rPr>
        <w:t xml:space="preserve">總計</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r>
        <w:br/>
      </w:r>
      <w:r>
        <w:rPr>
          <w:rFonts w:hint="eastAsia"/>
        </w:rPr>
        <w:t xml:space="preserve">（經調整）</w:t>
      </w:r>
    </w:p>
    <w:p>
      <w:pPr>
        <w:pStyle w:val="BodyText"/>
      </w:pPr>
      <w:r>
        <w:t xml:space="preserve">158</w:t>
      </w:r>
    </w:p>
    <w:p>
      <w:pPr>
        <w:pStyle w:val="BodyText"/>
      </w:pPr>
      <w:r>
        <w:t xml:space="preserve">901</w:t>
      </w:r>
    </w:p>
    <w:p>
      <w:pPr>
        <w:pStyle w:val="BodyText"/>
      </w:pPr>
      <w:r>
        <w:t xml:space="preserve">432</w:t>
      </w:r>
    </w:p>
    <w:p>
      <w:pPr>
        <w:pStyle w:val="BodyText"/>
      </w:pPr>
      <w:r>
        <w:t xml:space="preserve">157</w:t>
      </w:r>
    </w:p>
    <w:p>
      <w:pPr>
        <w:pStyle w:val="BodyText"/>
      </w:pPr>
      <w:r>
        <w:t xml:space="preserve">453</w:t>
      </w:r>
    </w:p>
    <w:p>
      <w:pPr>
        <w:pStyle w:val="BodyText"/>
      </w:pPr>
      <w:r>
        <w:t xml:space="preserve">599</w:t>
      </w:r>
    </w:p>
    <w:p>
      <w:pPr>
        <w:pStyle w:val="BodyText"/>
      </w:pPr>
      <w:r>
        <w:t xml:space="preserve">1,491</w:t>
      </w:r>
    </w:p>
    <w:p>
      <w:pPr>
        <w:pStyle w:val="BodyText"/>
      </w:pPr>
      <w:r>
        <w:t xml:space="preserve">1,209</w:t>
      </w:r>
    </w:p>
    <w:p>
      <w:pPr>
        <w:pStyle w:val="BodyText"/>
      </w:pPr>
      <w:r>
        <w:rPr>
          <w:rFonts w:hint="eastAsia"/>
        </w:rPr>
        <w:t xml:space="preserve">新加坡、汶萊、馬來西亞、澳洲、印尼、新西蘭、菲律賓及斯里蘭卡的壽險保單持有人回報應佔的稅項利益或開支已包括在</w:t>
      </w:r>
    </w:p>
    <w:p>
      <w:pPr>
        <w:pStyle w:val="BodyText"/>
      </w:pPr>
      <w:r>
        <w:rPr>
          <w:rFonts w:hint="eastAsia"/>
        </w:rPr>
        <w:t xml:space="preserve">合併收入表扣除或計入的稅項，並在合併收入表中作獨立分析，以便比較各年股東應佔稅項的相關實際稅率。上述列入的保</w:t>
      </w:r>
    </w:p>
    <w:p>
      <w:pPr>
        <w:pStyle w:val="BodyText"/>
      </w:pPr>
      <w:r>
        <w:rPr>
          <w:rFonts w:hint="eastAsia"/>
        </w:rPr>
        <w:t xml:space="preserve">單持有人回報的應佔稅項開支為1.71億美元（2019年：1.79億美元）。</w:t>
      </w:r>
    </w:p>
    <w:p>
      <w:pPr>
        <w:pStyle w:val="BodyText"/>
      </w:pPr>
      <w:r>
        <w:rPr>
          <w:rFonts w:hint="eastAsia"/>
        </w:rPr>
        <w:t xml:space="preserve">企業所得稅</w:t>
      </w:r>
    </w:p>
    <w:p>
      <w:pPr>
        <w:pStyle w:val="BodyText"/>
      </w:pPr>
      <w:r>
        <w:rPr>
          <w:rFonts w:hint="eastAsia"/>
        </w:rPr>
        <w:t xml:space="preserve">香港利得稅的撥備以16.5%計算。海外附屬公司及分公司的稅項按相關司法權區規定的當期適用稅率課稅，最主要的司法權</w:t>
      </w:r>
    </w:p>
    <w:p>
      <w:pPr>
        <w:pStyle w:val="BodyText"/>
      </w:pPr>
      <w:r>
        <w:rPr>
          <w:rFonts w:hint="eastAsia"/>
        </w:rPr>
        <w:t xml:space="preserve">區的適用稅率載列如下。</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其他市場</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16.5%</w:t>
      </w:r>
    </w:p>
    <w:p>
      <w:pPr>
        <w:pStyle w:val="BodyText"/>
      </w:pPr>
      <w:r>
        <w:t xml:space="preserve">16.5%</w:t>
      </w:r>
    </w:p>
    <w:p>
      <w:pPr>
        <w:pStyle w:val="BodyText"/>
      </w:pPr>
      <w:r>
        <w:t xml:space="preserve">20%</w:t>
      </w:r>
    </w:p>
    <w:p>
      <w:pPr>
        <w:pStyle w:val="BodyText"/>
      </w:pPr>
      <w:r>
        <w:t xml:space="preserve">17%</w:t>
      </w:r>
    </w:p>
    <w:p>
      <w:pPr>
        <w:pStyle w:val="BodyText"/>
      </w:pPr>
      <w:r>
        <w:t xml:space="preserve">24%</w:t>
      </w:r>
    </w:p>
    <w:p>
      <w:pPr>
        <w:pStyle w:val="BodyText"/>
      </w:pPr>
      <w:r>
        <w:t xml:space="preserve">25%</w:t>
      </w:r>
    </w:p>
    <w:p>
      <w:pPr>
        <w:pStyle w:val="BodyText"/>
      </w:pPr>
      <w:r>
        <w:t xml:space="preserve">20%</w:t>
      </w:r>
    </w:p>
    <w:p>
      <w:pPr>
        <w:pStyle w:val="BodyText"/>
      </w:pPr>
      <w:r>
        <w:t xml:space="preserve">17%</w:t>
      </w:r>
    </w:p>
    <w:p>
      <w:pPr>
        <w:pStyle w:val="BodyText"/>
      </w:pPr>
      <w:r>
        <w:t xml:space="preserve">24%</w:t>
      </w:r>
    </w:p>
    <w:p>
      <w:pPr>
        <w:pStyle w:val="BodyText"/>
      </w:pPr>
      <w:r>
        <w:t xml:space="preserve">25%</w:t>
      </w:r>
    </w:p>
    <w:p>
      <w:pPr>
        <w:pStyle w:val="BodyText"/>
      </w:pPr>
      <w:r>
        <w:t xml:space="preserve">12% - 30%</w:t>
      </w:r>
    </w:p>
    <w:p>
      <w:pPr>
        <w:pStyle w:val="BodyText"/>
      </w:pPr>
      <w:r>
        <w:t xml:space="preserve">12% - 30%</w:t>
      </w:r>
    </w:p>
    <w:p>
      <w:pPr>
        <w:pStyle w:val="BodyText"/>
      </w:pPr>
      <w:r>
        <w:rPr>
          <w:rFonts w:hint="eastAsia"/>
        </w:rPr>
        <w:t xml:space="preserve">上表反映截至各年末企業所得稅的主要稅率。稅率反映各司法權區在該年度施行或實質上已施行的企業稅率。</w:t>
      </w:r>
    </w:p>
    <w:p>
      <w:pPr>
        <w:pStyle w:val="BodyText"/>
      </w:pPr>
      <w:r>
        <w:rPr>
          <w:rFonts w:hint="eastAsia"/>
        </w:rPr>
        <w:t xml:space="preserve">AIA韓國目前的實際企業所得稅為27.5%，此包括累計盈利稅。基於當前法規，企業所得稅率將自2024年財政年度起恢復至</w:t>
      </w:r>
    </w:p>
    <w:p>
      <w:pPr>
        <w:pStyle w:val="BodyText"/>
      </w:pPr>
      <w:r>
        <w:t xml:space="preserve">24.2%。</w:t>
      </w:r>
    </w:p>
    <w:p>
      <w:pPr>
        <w:pStyle w:val="BodyText"/>
      </w:pPr>
      <w:r>
        <w:rPr>
          <w:rFonts w:hint="eastAsia"/>
        </w:rPr>
        <w:t xml:space="preserve">於2020年，印尼政府將企業所得稅率從25%調整至2020年及2021年財政年度的22%及2022年財政年度之後的20%。</w:t>
      </w:r>
    </w:p>
    <w:p>
      <w:pPr>
        <w:pStyle w:val="BodyText"/>
      </w:pPr>
      <w:r>
        <w:rPr>
          <w:rFonts w:hint="eastAsia"/>
        </w:rPr>
        <w:t xml:space="preserve">股息預扣稅</w:t>
      </w:r>
    </w:p>
    <w:p>
      <w:pPr>
        <w:pStyle w:val="BodyText"/>
      </w:pPr>
      <w:r>
        <w:rPr>
          <w:rFonts w:hint="eastAsia"/>
        </w:rPr>
        <w:t xml:space="preserve">在本集團經營業務所在的某些司法權區，附屬公司向本集團匯付的股息須繳納預扣稅。本集團就司法權區的未匯回營運盈利</w:t>
      </w:r>
    </w:p>
    <w:p>
      <w:pPr>
        <w:pStyle w:val="BodyText"/>
      </w:pPr>
      <w:r>
        <w:rPr>
          <w:rFonts w:hint="eastAsia"/>
        </w:rPr>
        <w:t xml:space="preserve">確認遞延稅項負債，而相關預扣稅將於股息分派時支出。</w:t>
      </w:r>
    </w:p>
    <w:p>
      <w:pPr>
        <w:pStyle w:val="BodyText"/>
      </w:pPr>
      <w:r>
        <w:t xml:space="preserve">185</w:t>
      </w:r>
    </w:p>
    <w:p>
      <w:pPr>
        <w:pStyle w:val="BodyText"/>
      </w:pPr>
      <w:r>
        <w:rPr>
          <w:rFonts w:hint="eastAsia"/>
        </w:rPr>
        <w:t xml:space="preserve">概覽財務及營運回顧企業管治其他資料財務報表2020年報</w:t>
      </w:r>
    </w:p>
    <w:p>
      <w:pPr>
        <w:pStyle w:val="Compact"/>
        <w:numPr>
          <w:ilvl w:val="0"/>
          <w:numId w:val="1282"/>
        </w:numPr>
      </w:pPr>
      <w:r>
        <w:rPr>
          <w:rFonts w:hint="eastAsia"/>
        </w:rPr>
        <w:t xml:space="preserve">所得稅（續）</w:t>
      </w:r>
    </w:p>
    <w:p>
      <w:pPr>
        <w:pStyle w:val="FirstParagraph"/>
      </w:pPr>
      <w:r>
        <w:rPr>
          <w:rFonts w:hint="eastAsia"/>
        </w:rPr>
        <w:t xml:space="preserve">百萬美元</w:t>
      </w:r>
    </w:p>
    <w:p>
      <w:pPr>
        <w:pStyle w:val="BodyText"/>
      </w:pPr>
      <w:r>
        <w:rPr>
          <w:rFonts w:hint="eastAsia"/>
        </w:rPr>
        <w:t xml:space="preserve">所得稅對賬</w:t>
      </w:r>
    </w:p>
    <w:p>
      <w:pPr>
        <w:pStyle w:val="BodyText"/>
      </w:pPr>
      <w:r>
        <w:rPr>
          <w:rFonts w:hint="eastAsia"/>
        </w:rPr>
        <w:t xml:space="preserve">所得稅前溢利</w:t>
      </w:r>
    </w:p>
    <w:p>
      <w:pPr>
        <w:pStyle w:val="BodyText"/>
      </w:pPr>
      <w:r>
        <w:rPr>
          <w:rFonts w:hint="eastAsia"/>
        </w:rPr>
        <w:t xml:space="preserve">按適用於相關司法權區溢利的當地稅率計算的稅項</w:t>
      </w:r>
    </w:p>
    <w:p>
      <w:pPr>
        <w:pStyle w:val="BodyText"/>
      </w:pPr>
      <w:r>
        <w:rPr>
          <w:rFonts w:hint="eastAsia"/>
        </w:rPr>
        <w:t xml:space="preserve">以下各項應付稅項的減少：</w:t>
      </w:r>
    </w:p>
    <w:p>
      <w:pPr>
        <w:pStyle w:val="BodyText"/>
      </w:pPr>
      <w:r>
        <w:rPr>
          <w:rFonts w:hint="eastAsia"/>
        </w:rPr>
        <w:t xml:space="preserve">壽險稅(1)</w:t>
      </w:r>
    </w:p>
    <w:p>
      <w:pPr>
        <w:pStyle w:val="BodyText"/>
      </w:pPr>
      <w:r>
        <w:rPr>
          <w:rFonts w:hint="eastAsia"/>
        </w:rPr>
        <w:t xml:space="preserve">免稅投資收入</w:t>
      </w:r>
    </w:p>
    <w:p>
      <w:pPr>
        <w:pStyle w:val="BodyText"/>
      </w:pPr>
      <w:r>
        <w:rPr>
          <w:rFonts w:hint="eastAsia"/>
        </w:rPr>
        <w:t xml:space="preserve">抵扣先前未確認的遞延稅項資產</w:t>
      </w:r>
    </w:p>
    <w:p>
      <w:pPr>
        <w:pStyle w:val="BodyText"/>
      </w:pPr>
      <w:r>
        <w:rPr>
          <w:rFonts w:hint="eastAsia"/>
        </w:rPr>
        <w:t xml:space="preserve">就過往年度作出的調整</w:t>
      </w:r>
    </w:p>
    <w:p>
      <w:pPr>
        <w:pStyle w:val="BodyText"/>
      </w:pPr>
      <w:r>
        <w:rPr>
          <w:rFonts w:hint="eastAsia"/>
        </w:rPr>
        <w:t xml:space="preserve">稅率及法例變更</w:t>
      </w:r>
    </w:p>
    <w:p>
      <w:pPr>
        <w:pStyle w:val="BodyText"/>
      </w:pPr>
      <w:r>
        <w:rPr>
          <w:rFonts w:hint="eastAsia"/>
        </w:rPr>
        <w:t xml:space="preserve">以下各項應付稅項的增加：</w:t>
      </w:r>
    </w:p>
    <w:p>
      <w:pPr>
        <w:pStyle w:val="BodyText"/>
      </w:pPr>
      <w:r>
        <w:rPr>
          <w:rFonts w:hint="eastAsia"/>
        </w:rPr>
        <w:t xml:space="preserve">壽險稅(1)</w:t>
      </w:r>
    </w:p>
    <w:p>
      <w:pPr>
        <w:pStyle w:val="BodyText"/>
      </w:pPr>
      <w:r>
        <w:rPr>
          <w:rFonts w:hint="eastAsia"/>
        </w:rPr>
        <w:t xml:space="preserve">預扣稅</w:t>
      </w:r>
    </w:p>
    <w:p>
      <w:pPr>
        <w:pStyle w:val="BodyText"/>
      </w:pPr>
      <w:r>
        <w:rPr>
          <w:rFonts w:hint="eastAsia"/>
        </w:rPr>
        <w:t xml:space="preserve">不可作抵扣的費用</w:t>
      </w:r>
    </w:p>
    <w:p>
      <w:pPr>
        <w:pStyle w:val="BodyText"/>
      </w:pPr>
      <w:r>
        <w:rPr>
          <w:rFonts w:hint="eastAsia"/>
        </w:rPr>
        <w:t xml:space="preserve">未確認遞延稅項資產</w:t>
      </w:r>
    </w:p>
    <w:p>
      <w:pPr>
        <w:pStyle w:val="BodyText"/>
      </w:pPr>
      <w:r>
        <w:rPr>
          <w:rFonts w:hint="eastAsia"/>
        </w:rPr>
        <w:t xml:space="preserve">未確認稅務狀況撥備(2)</w:t>
      </w:r>
    </w:p>
    <w:p>
      <w:pPr>
        <w:pStyle w:val="BodyText"/>
      </w:pPr>
      <w:r>
        <w:rPr>
          <w:rFonts w:hint="eastAsia"/>
        </w:rPr>
        <w:t xml:space="preserve">就過往年度作出的調整</w:t>
      </w:r>
    </w:p>
    <w:p>
      <w:pPr>
        <w:pStyle w:val="BodyText"/>
      </w:pPr>
      <w:r>
        <w:rPr>
          <w:rFonts w:hint="eastAsia"/>
        </w:rPr>
        <w:t xml:space="preserve">其他</w:t>
      </w:r>
    </w:p>
    <w:p>
      <w:pPr>
        <w:pStyle w:val="BodyText"/>
      </w:pPr>
      <w:r>
        <w:rPr>
          <w:rFonts w:hint="eastAsia"/>
        </w:rPr>
        <w:t xml:space="preserve">所得稅開支總計</w:t>
      </w:r>
    </w:p>
    <w:p>
      <w:pPr>
        <w:pStyle w:val="BodyText"/>
      </w:pPr>
      <w:r>
        <w:rPr>
          <w:rFonts w:hint="eastAsia"/>
        </w:rPr>
        <w:t xml:space="preserve">附註：</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r>
        <w:br/>
      </w:r>
      <w:r>
        <w:rPr>
          <w:rFonts w:hint="eastAsia"/>
        </w:rPr>
        <w:t xml:space="preserve">（經調整）</w:t>
      </w:r>
    </w:p>
    <w:p>
      <w:pPr>
        <w:pStyle w:val="BodyText"/>
      </w:pPr>
      <w:r>
        <w:t xml:space="preserve">7,270</w:t>
      </w:r>
    </w:p>
    <w:p>
      <w:pPr>
        <w:pStyle w:val="BodyText"/>
      </w:pPr>
      <w:r>
        <w:t xml:space="preserve">1,258</w:t>
      </w:r>
    </w:p>
    <w:p>
      <w:pPr>
        <w:pStyle w:val="FirstParagraph"/>
      </w:pPr>
      <w:r>
        <w:t xml:space="preserve">–</w:t>
      </w:r>
    </w:p>
    <w:p>
      <w:pPr>
        <w:pStyle w:val="FirstParagraph"/>
      </w:pPr>
      <w:r>
        <w:t xml:space="preserve">–</w:t>
      </w:r>
    </w:p>
    <w:p>
      <w:pPr>
        <w:pStyle w:val="BodyText"/>
      </w:pPr>
      <w:r>
        <w:t xml:space="preserve">25</w:t>
      </w:r>
    </w:p>
    <w:p>
      <w:pPr>
        <w:pStyle w:val="BodyText"/>
      </w:pPr>
      <w:r>
        <w:t xml:space="preserve">66</w:t>
      </w:r>
    </w:p>
    <w:p>
      <w:pPr>
        <w:pStyle w:val="BodyText"/>
      </w:pPr>
      <w:r>
        <w:t xml:space="preserve">–</w:t>
      </w:r>
    </w:p>
    <w:p>
      <w:pPr>
        <w:pStyle w:val="BodyText"/>
      </w:pPr>
      <w:r>
        <w:t xml:space="preserve">184</w:t>
      </w:r>
    </w:p>
    <w:p>
      <w:pPr>
        <w:pStyle w:val="BodyText"/>
      </w:pPr>
      <w:r>
        <w:t xml:space="preserve">106</w:t>
      </w:r>
    </w:p>
    <w:p>
      <w:pPr>
        <w:pStyle w:val="BodyText"/>
      </w:pPr>
      <w:r>
        <w:t xml:space="preserve">260</w:t>
      </w:r>
    </w:p>
    <w:p>
      <w:pPr>
        <w:pStyle w:val="BodyText"/>
      </w:pPr>
      <w:r>
        <w:t xml:space="preserve">641</w:t>
      </w:r>
    </w:p>
    <w:p>
      <w:pPr>
        <w:pStyle w:val="BodyText"/>
      </w:pPr>
      <w:r>
        <w:t xml:space="preserve">1,491</w:t>
      </w:r>
    </w:p>
    <w:p>
      <w:pPr>
        <w:pStyle w:val="BodyText"/>
      </w:pPr>
      <w:r>
        <w:t xml:space="preserve">7,227</w:t>
      </w:r>
    </w:p>
    <w:p>
      <w:pPr>
        <w:pStyle w:val="BodyText"/>
      </w:pPr>
      <w:r>
        <w:t xml:space="preserve">1,315</w:t>
      </w:r>
    </w:p>
    <w:p>
      <w:pPr>
        <w:pStyle w:val="BodyText"/>
      </w:pPr>
      <w:r>
        <w:t xml:space="preserve">–</w:t>
      </w:r>
    </w:p>
    <w:p>
      <w:pPr>
        <w:pStyle w:val="FirstParagraph"/>
      </w:pPr>
      <w:r>
        <w:t xml:space="preserve">–</w:t>
      </w:r>
    </w:p>
    <w:p>
      <w:pPr>
        <w:pStyle w:val="FirstParagraph"/>
      </w:pPr>
      <w:r>
        <w:t xml:space="preserve">86</w:t>
      </w:r>
    </w:p>
    <w:p>
      <w:pPr>
        <w:pStyle w:val="BodyText"/>
      </w:pPr>
      <w:r>
        <w:t xml:space="preserve">47</w:t>
      </w:r>
    </w:p>
    <w:p>
      <w:pPr>
        <w:pStyle w:val="BodyText"/>
      </w:pPr>
      <w:r>
        <w:t xml:space="preserve">101</w:t>
      </w:r>
    </w:p>
    <w:p>
      <w:pPr>
        <w:pStyle w:val="BodyText"/>
      </w:pPr>
      <w:r>
        <w:t xml:space="preserve">11</w:t>
      </w:r>
    </w:p>
    <w:p>
      <w:pPr>
        <w:pStyle w:val="BodyText"/>
      </w:pPr>
      <w:r>
        <w:t xml:space="preserve">7</w:t>
      </w:r>
    </w:p>
    <w:p>
      <w:pPr>
        <w:pStyle w:val="BodyText"/>
      </w:pPr>
      <w:r>
        <w:t xml:space="preserve">–</w:t>
      </w:r>
    </w:p>
    <w:p>
      <w:pPr>
        <w:pStyle w:val="BodyText"/>
      </w:pPr>
      <w:r>
        <w:t xml:space="preserve">36</w:t>
      </w:r>
    </w:p>
    <w:p>
      <w:pPr>
        <w:pStyle w:val="BodyText"/>
      </w:pPr>
      <w:r>
        <w:t xml:space="preserve">288</w:t>
      </w:r>
    </w:p>
    <w:p>
      <w:pPr>
        <w:pStyle w:val="BodyText"/>
      </w:pPr>
      <w:r>
        <w:t xml:space="preserve">1,209</w:t>
      </w:r>
    </w:p>
    <w:p>
      <w:pPr>
        <w:pStyle w:val="Compact"/>
        <w:numPr>
          <w:ilvl w:val="0"/>
          <w:numId w:val="1287"/>
        </w:numPr>
      </w:pPr>
      <w:r>
        <w:rPr>
          <w:rFonts w:hint="eastAsia"/>
        </w:rPr>
        <w:t xml:space="preserve">壽險稅指為壽險業務而設的稅制，即不以淨收入作計算應課稅溢利的基準而引起的永久性差異，如在香港，壽險業務的應課稅溢利來自壽險保</w:t>
      </w:r>
    </w:p>
    <w:p>
      <w:pPr>
        <w:pStyle w:val="FirstParagraph"/>
      </w:pPr>
      <w:r>
        <w:rPr>
          <w:rFonts w:hint="eastAsia"/>
        </w:rPr>
        <w:t xml:space="preserve">費。</w:t>
      </w:r>
    </w:p>
    <w:p>
      <w:pPr>
        <w:pStyle w:val="Compact"/>
        <w:numPr>
          <w:ilvl w:val="0"/>
          <w:numId w:val="1288"/>
        </w:numPr>
      </w:pPr>
      <w:r>
        <w:rPr>
          <w:rFonts w:hint="eastAsia"/>
        </w:rPr>
        <w:t xml:space="preserve">未確認稅務狀況撥備涉及本集團對相關法律或法規的詮釋可能與稅務機關有所不同的情況。撥備乃基於管理層對所產生不同結果的概率或可能性</w:t>
      </w:r>
    </w:p>
    <w:p>
      <w:pPr>
        <w:pStyle w:val="FirstParagraph"/>
      </w:pPr>
      <w:r>
        <w:rPr>
          <w:rFonts w:hint="eastAsia"/>
        </w:rPr>
        <w:t xml:space="preserve">的判斷及最佳估計（須定期重新評估）確認。由於有關該等項目的不確定性，未來最終結果可能與有關稅務事項的結果不同。</w:t>
      </w:r>
    </w:p>
    <w:p>
      <w:pPr>
        <w:pStyle w:val="BodyText"/>
      </w:pPr>
      <w:r>
        <w:t xml:space="preserve">186</w:t>
      </w:r>
    </w:p>
    <w:p>
      <w:pPr>
        <w:pStyle w:val="BodyText"/>
      </w:pPr>
      <w:r>
        <w:rPr>
          <w:rFonts w:hint="eastAsia"/>
        </w:rPr>
        <w:t xml:space="preserve">友邦保險控股有限公司</w:t>
      </w:r>
    </w:p>
    <w:p>
      <w:pPr>
        <w:pStyle w:val="Compact"/>
        <w:numPr>
          <w:ilvl w:val="0"/>
          <w:numId w:val="1289"/>
        </w:numPr>
      </w:pPr>
      <w:r>
        <w:rPr>
          <w:rFonts w:hint="eastAsia"/>
        </w:rPr>
        <w:t xml:space="preserve">所得稅（續）</w:t>
      </w:r>
    </w:p>
    <w:p>
      <w:pPr>
        <w:pStyle w:val="FirstParagraph"/>
      </w:pPr>
      <w:r>
        <w:rPr>
          <w:rFonts w:hint="eastAsia"/>
        </w:rPr>
        <w:t xml:space="preserve">年度的淨遞延稅項負債變動分析載列如下：</w:t>
      </w:r>
    </w:p>
    <w:p>
      <w:pPr>
        <w:pStyle w:val="BodyText"/>
      </w:pPr>
      <w:r>
        <w:rPr>
          <w:rFonts w:hint="eastAsia"/>
        </w:rPr>
        <w:t xml:space="preserve">於1月1日的</w:t>
      </w:r>
      <w:r>
        <w:br/>
      </w:r>
      <w:r>
        <w:rPr>
          <w:rFonts w:hint="eastAsia"/>
        </w:rPr>
        <w:t xml:space="preserve">淨遞延稅項</w:t>
      </w:r>
      <w:r>
        <w:br/>
      </w:r>
      <w:r>
        <w:rPr>
          <w:rFonts w:hint="eastAsia"/>
        </w:rPr>
        <w:t xml:space="preserve">資產</w:t>
      </w:r>
      <w:r>
        <w:t xml:space="preserve"> ∕</w:t>
      </w:r>
      <w:r>
        <w:br/>
      </w:r>
      <w:r>
        <w:rPr>
          <w:rFonts w:hint="eastAsia"/>
        </w:rPr>
        <w:t xml:space="preserve">（負債）－</w:t>
      </w:r>
      <w:r>
        <w:br/>
      </w:r>
      <w:r>
        <w:rPr>
          <w:rFonts w:hint="eastAsia"/>
        </w:rPr>
        <w:t xml:space="preserve">如前期呈報</w:t>
      </w:r>
    </w:p>
    <w:p>
      <w:pPr>
        <w:pStyle w:val="BodyText"/>
      </w:pPr>
      <w:r>
        <w:rPr>
          <w:rFonts w:hint="eastAsia"/>
        </w:rPr>
        <w:t xml:space="preserve">於1月1日的</w:t>
      </w:r>
      <w:r>
        <w:br/>
      </w:r>
      <w:r>
        <w:rPr>
          <w:rFonts w:hint="eastAsia"/>
        </w:rPr>
        <w:t xml:space="preserve">淨遞延稅項</w:t>
      </w:r>
      <w:r>
        <w:br/>
      </w:r>
      <w:r>
        <w:rPr>
          <w:rFonts w:hint="eastAsia"/>
        </w:rPr>
        <w:t xml:space="preserve">資產</w:t>
      </w:r>
      <w:r>
        <w:t xml:space="preserve"> ∕</w:t>
      </w:r>
      <w:r>
        <w:br/>
      </w:r>
      <w:r>
        <w:rPr>
          <w:rFonts w:hint="eastAsia"/>
        </w:rPr>
        <w:t xml:space="preserve">（負債）－</w:t>
      </w:r>
      <w:r>
        <w:br/>
      </w:r>
      <w:r>
        <w:rPr>
          <w:rFonts w:hint="eastAsia"/>
        </w:rPr>
        <w:t xml:space="preserve">經調整</w:t>
      </w:r>
    </w:p>
    <w:p>
      <w:pPr>
        <w:pStyle w:val="BodyText"/>
      </w:pPr>
      <w:r>
        <w:rPr>
          <w:rFonts w:hint="eastAsia"/>
        </w:rPr>
        <w:t xml:space="preserve">會計政策</w:t>
      </w:r>
      <w:r>
        <w:br/>
      </w:r>
      <w:r>
        <w:rPr>
          <w:rFonts w:hint="eastAsia"/>
        </w:rPr>
        <w:t xml:space="preserve">變更的影響</w:t>
      </w:r>
    </w:p>
    <w:p>
      <w:pPr>
        <w:pStyle w:val="BodyText"/>
      </w:pPr>
      <w:r>
        <w:rPr>
          <w:rFonts w:hint="eastAsia"/>
        </w:rPr>
        <w:t xml:space="preserve">收購</w:t>
      </w:r>
      <w:r>
        <w:br/>
      </w:r>
      <w:r>
        <w:rPr>
          <w:rFonts w:hint="eastAsia"/>
        </w:rPr>
        <w:t xml:space="preserve">附屬公司</w:t>
      </w:r>
    </w:p>
    <w:p>
      <w:pPr>
        <w:pStyle w:val="BodyText"/>
      </w:pPr>
      <w:r>
        <w:rPr>
          <w:rFonts w:hint="eastAsia"/>
        </w:rPr>
        <w:t xml:space="preserve">計入</w:t>
      </w:r>
      <w:r>
        <w:t xml:space="preserve"> ∕</w:t>
      </w:r>
      <w:r>
        <w:br/>
      </w:r>
      <w:r>
        <w:rPr>
          <w:rFonts w:hint="eastAsia"/>
        </w:rPr>
        <w:t xml:space="preserve">（扣自）</w:t>
      </w:r>
      <w:r>
        <w:br/>
      </w:r>
      <w:r>
        <w:rPr>
          <w:rFonts w:hint="eastAsia"/>
        </w:rPr>
        <w:t xml:space="preserve">收入表</w:t>
      </w:r>
    </w:p>
    <w:p>
      <w:pPr>
        <w:pStyle w:val="BodyText"/>
      </w:pPr>
      <w:r>
        <w:rPr>
          <w:rFonts w:hint="eastAsia"/>
        </w:rPr>
        <w:t xml:space="preserve">計入</w:t>
      </w:r>
      <w:r>
        <w:t xml:space="preserve"> </w:t>
      </w:r>
      <w:r>
        <w:rPr>
          <w:rFonts w:hint="eastAsia"/>
        </w:rPr>
        <w:t xml:space="preserve">∕（扣自）其他全面收入</w:t>
      </w:r>
    </w:p>
    <w:p>
      <w:pPr>
        <w:pStyle w:val="BodyText"/>
      </w:pPr>
      <w:r>
        <w:rPr>
          <w:rFonts w:hint="eastAsia"/>
        </w:rPr>
        <w:t xml:space="preserve">公平值</w:t>
      </w:r>
      <w:r>
        <w:br/>
      </w:r>
      <w:r>
        <w:rPr>
          <w:rFonts w:hint="eastAsia"/>
        </w:rPr>
        <w:t xml:space="preserve">準備金(2)</w:t>
      </w:r>
    </w:p>
    <w:p>
      <w:pPr>
        <w:pStyle w:val="BodyText"/>
      </w:pPr>
      <w:r>
        <w:rPr>
          <w:rFonts w:hint="eastAsia"/>
        </w:rPr>
        <w:t xml:space="preserve">外匯</w:t>
      </w:r>
    </w:p>
    <w:p>
      <w:pPr>
        <w:pStyle w:val="BodyText"/>
      </w:pPr>
      <w:r>
        <w:rPr>
          <w:rFonts w:hint="eastAsia"/>
        </w:rPr>
        <w:t xml:space="preserve">其他</w:t>
      </w:r>
    </w:p>
    <w:p>
      <w:pPr>
        <w:pStyle w:val="BodyText"/>
      </w:pPr>
      <w:r>
        <w:rPr>
          <w:rFonts w:hint="eastAsia"/>
        </w:rPr>
        <w:t xml:space="preserve">於年末</w:t>
      </w:r>
      <w:r>
        <w:br/>
      </w:r>
      <w:r>
        <w:rPr>
          <w:rFonts w:hint="eastAsia"/>
        </w:rPr>
        <w:t xml:space="preserve">淨遞延</w:t>
      </w:r>
      <w:r>
        <w:br/>
      </w:r>
      <w:r>
        <w:rPr>
          <w:rFonts w:hint="eastAsia"/>
        </w:rPr>
        <w:t xml:space="preserve">稅項資產</w:t>
      </w:r>
      <w:r>
        <w:t xml:space="preserve"> ∕</w:t>
      </w:r>
      <w:r>
        <w:br/>
      </w:r>
      <w:r>
        <w:rPr>
          <w:rFonts w:hint="eastAsia"/>
        </w:rPr>
        <w:t xml:space="preserve">（負債）</w:t>
      </w:r>
    </w:p>
    <w:p>
      <w:pPr>
        <w:pStyle w:val="BodyText"/>
      </w:pPr>
      <w:r>
        <w:t xml:space="preserve">(2,468)</w:t>
      </w:r>
    </w:p>
    <w:p>
      <w:pPr>
        <w:pStyle w:val="BodyText"/>
      </w:pPr>
      <w:r>
        <w:t xml:space="preserve">(3,339)</w:t>
      </w:r>
    </w:p>
    <w:p>
      <w:pPr>
        <w:pStyle w:val="BodyText"/>
      </w:pPr>
      <w:r>
        <w:t xml:space="preserve">639</w:t>
      </w:r>
    </w:p>
    <w:p>
      <w:pPr>
        <w:pStyle w:val="FirstParagraph"/>
      </w:pPr>
      <w:r>
        <w:t xml:space="preserve">215</w:t>
      </w:r>
    </w:p>
    <w:p>
      <w:pPr>
        <w:pStyle w:val="BodyText"/>
      </w:pPr>
      <w:r>
        <w:t xml:space="preserve">170</w:t>
      </w:r>
    </w:p>
    <w:p>
      <w:pPr>
        <w:pStyle w:val="FirstParagraph"/>
      </w:pPr>
      <w:r>
        <w:t xml:space="preserve">33</w:t>
      </w:r>
    </w:p>
    <w:p>
      <w:pPr>
        <w:pStyle w:val="BodyText"/>
      </w:pPr>
      <w:r>
        <w:t xml:space="preserve">–</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3</w:t>
      </w:r>
    </w:p>
    <w:p>
      <w:pPr>
        <w:pStyle w:val="BodyText"/>
      </w:pPr>
      <w:r>
        <w:t xml:space="preserve">(2,435)</w:t>
      </w:r>
    </w:p>
    <w:p>
      <w:pPr>
        <w:pStyle w:val="BodyText"/>
      </w:pPr>
      <w:r>
        <w:t xml:space="preserve">(3,339)</w:t>
      </w:r>
    </w:p>
    <w:p>
      <w:pPr>
        <w:pStyle w:val="BodyText"/>
      </w:pPr>
      <w:r>
        <w:t xml:space="preserve">626</w:t>
      </w:r>
    </w:p>
    <w:p>
      <w:pPr>
        <w:pStyle w:val="FirstParagraph"/>
      </w:pPr>
      <w:r>
        <w:t xml:space="preserve">215</w:t>
      </w:r>
    </w:p>
    <w:p>
      <w:pPr>
        <w:pStyle w:val="BodyText"/>
      </w:pPr>
      <w:r>
        <w:t xml:space="preserve">170</w:t>
      </w:r>
    </w:p>
    <w:p>
      <w:pPr>
        <w:pStyle w:val="FirstParagraph"/>
      </w:pPr>
      <w:r>
        <w:t xml:space="preserve">(6,214)</w:t>
      </w:r>
    </w:p>
    <w:p>
      <w:pPr>
        <w:pStyle w:val="BodyText"/>
      </w:pPr>
      <w:r>
        <w:t xml:space="preserve">23</w:t>
      </w:r>
    </w:p>
    <w:p>
      <w:pPr>
        <w:pStyle w:val="BodyText"/>
      </w:pPr>
      <w:r>
        <w:t xml:space="preserve">(6,191)</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55</w:t>
      </w:r>
    </w:p>
    <w:p>
      <w:pPr>
        <w:pStyle w:val="FirstParagraph"/>
      </w:pPr>
      <w:r>
        <w:t xml:space="preserve">9</w:t>
      </w:r>
    </w:p>
    <w:p>
      <w:pPr>
        <w:pStyle w:val="FirstParagraph"/>
      </w:pPr>
      <w:r>
        <w:t xml:space="preserve">71</w:t>
      </w:r>
    </w:p>
    <w:p>
      <w:pPr>
        <w:pStyle w:val="FirstParagraph"/>
      </w:pPr>
      <w:r>
        <w:t xml:space="preserve">109</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3</w:t>
      </w:r>
    </w:p>
    <w:p>
      <w:pPr>
        <w:pStyle w:val="FirstParagraph"/>
      </w:pPr>
      <w:r>
        <w:t xml:space="preserve">4</w:t>
      </w:r>
    </w:p>
    <w:p>
      <w:pPr>
        <w:pStyle w:val="BodyText"/>
      </w:pPr>
      <w:r>
        <w:t xml:space="preserve">8</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w:t>
      </w:r>
    </w:p>
    <w:p>
      <w:pPr>
        <w:pStyle w:val="BodyText"/>
      </w:pPr>
      <w:r>
        <w:t xml:space="preserve">–</w:t>
      </w:r>
    </w:p>
    <w:p>
      <w:pPr>
        <w:pStyle w:val="BodyText"/>
      </w:pPr>
      <w:r>
        <w:t xml:space="preserve">–</w:t>
      </w:r>
    </w:p>
    <w:p>
      <w:pPr>
        <w:pStyle w:val="FirstParagraph"/>
      </w:pPr>
      <w:r>
        <w:t xml:space="preserve">(2,473)</w:t>
      </w:r>
    </w:p>
    <w:p>
      <w:pPr>
        <w:pStyle w:val="BodyText"/>
      </w:pPr>
      <w:r>
        <w:t xml:space="preserve">(3,608)</w:t>
      </w:r>
    </w:p>
    <w:p>
      <w:pPr>
        <w:pStyle w:val="BodyText"/>
      </w:pPr>
      <w:r>
        <w:t xml:space="preserve">304</w:t>
      </w:r>
    </w:p>
    <w:p>
      <w:pPr>
        <w:pStyle w:val="FirstParagraph"/>
      </w:pPr>
      <w:r>
        <w:t xml:space="preserve">144</w:t>
      </w:r>
    </w:p>
    <w:p>
      <w:pPr>
        <w:pStyle w:val="BodyText"/>
      </w:pPr>
      <w:r>
        <w:t xml:space="preserve">249</w:t>
      </w:r>
    </w:p>
    <w:p>
      <w:pPr>
        <w:pStyle w:val="FirstParagraph"/>
      </w:pPr>
      <w:r>
        <w:t xml:space="preserve">(6,879)</w:t>
      </w:r>
    </w:p>
    <w:p>
      <w:pPr>
        <w:pStyle w:val="BodyText"/>
      </w:pPr>
      <w:r>
        <w:rPr>
          <w:rFonts w:hint="eastAsia"/>
        </w:rPr>
        <w:t xml:space="preserve">於1月1日的</w:t>
      </w:r>
      <w:r>
        <w:br/>
      </w:r>
      <w:r>
        <w:rPr>
          <w:rFonts w:hint="eastAsia"/>
        </w:rPr>
        <w:t xml:space="preserve">淨遞延稅項</w:t>
      </w:r>
      <w:r>
        <w:br/>
      </w:r>
      <w:r>
        <w:rPr>
          <w:rFonts w:hint="eastAsia"/>
        </w:rPr>
        <w:t xml:space="preserve">資產</w:t>
      </w:r>
      <w:r>
        <w:t xml:space="preserve"> ∕</w:t>
      </w:r>
      <w:r>
        <w:br/>
      </w:r>
      <w:r>
        <w:rPr>
          <w:rFonts w:hint="eastAsia"/>
        </w:rPr>
        <w:t xml:space="preserve">（負債）－</w:t>
      </w:r>
      <w:r>
        <w:br/>
      </w:r>
      <w:r>
        <w:rPr>
          <w:rFonts w:hint="eastAsia"/>
        </w:rPr>
        <w:t xml:space="preserve">如前期呈報</w:t>
      </w:r>
    </w:p>
    <w:p>
      <w:pPr>
        <w:pStyle w:val="BodyText"/>
      </w:pPr>
      <w:r>
        <w:rPr>
          <w:rFonts w:hint="eastAsia"/>
        </w:rPr>
        <w:t xml:space="preserve">於1月1日的</w:t>
      </w:r>
      <w:r>
        <w:br/>
      </w:r>
      <w:r>
        <w:rPr>
          <w:rFonts w:hint="eastAsia"/>
        </w:rPr>
        <w:t xml:space="preserve">淨遞延稅項</w:t>
      </w:r>
      <w:r>
        <w:br/>
      </w:r>
      <w:r>
        <w:rPr>
          <w:rFonts w:hint="eastAsia"/>
        </w:rPr>
        <w:t xml:space="preserve">資產</w:t>
      </w:r>
      <w:r>
        <w:t xml:space="preserve"> ∕</w:t>
      </w:r>
      <w:r>
        <w:br/>
      </w:r>
      <w:r>
        <w:rPr>
          <w:rFonts w:hint="eastAsia"/>
        </w:rPr>
        <w:t xml:space="preserve">（負債）－</w:t>
      </w:r>
      <w:r>
        <w:br/>
      </w:r>
      <w:r>
        <w:rPr>
          <w:rFonts w:hint="eastAsia"/>
        </w:rPr>
        <w:t xml:space="preserve">經調整</w:t>
      </w:r>
    </w:p>
    <w:p>
      <w:pPr>
        <w:pStyle w:val="BodyText"/>
      </w:pPr>
      <w:r>
        <w:rPr>
          <w:rFonts w:hint="eastAsia"/>
        </w:rPr>
        <w:t xml:space="preserve">會計政策</w:t>
      </w:r>
      <w:r>
        <w:br/>
      </w:r>
      <w:r>
        <w:rPr>
          <w:rFonts w:hint="eastAsia"/>
        </w:rPr>
        <w:t xml:space="preserve">變更的影響</w:t>
      </w:r>
    </w:p>
    <w:p>
      <w:pPr>
        <w:pStyle w:val="BodyText"/>
      </w:pPr>
      <w:r>
        <w:rPr>
          <w:rFonts w:hint="eastAsia"/>
        </w:rPr>
        <w:t xml:space="preserve">收購</w:t>
      </w:r>
    </w:p>
    <w:p>
      <w:pPr>
        <w:pStyle w:val="BodyText"/>
      </w:pPr>
      <w:r>
        <w:rPr>
          <w:rFonts w:hint="eastAsia"/>
        </w:rPr>
        <w:t xml:space="preserve">附屬公司(3)</w:t>
      </w:r>
    </w:p>
    <w:p>
      <w:pPr>
        <w:pStyle w:val="BodyText"/>
      </w:pPr>
      <w:r>
        <w:rPr>
          <w:rFonts w:hint="eastAsia"/>
        </w:rPr>
        <w:t xml:space="preserve">計入</w:t>
      </w:r>
      <w:r>
        <w:t xml:space="preserve"> ∕</w:t>
      </w:r>
      <w:r>
        <w:br/>
      </w:r>
      <w:r>
        <w:rPr>
          <w:rFonts w:hint="eastAsia"/>
        </w:rPr>
        <w:t xml:space="preserve">（扣自）</w:t>
      </w:r>
      <w:r>
        <w:br/>
      </w:r>
      <w:r>
        <w:rPr>
          <w:rFonts w:hint="eastAsia"/>
        </w:rPr>
        <w:t xml:space="preserve">收入表</w:t>
      </w:r>
    </w:p>
    <w:p>
      <w:pPr>
        <w:pStyle w:val="BodyText"/>
      </w:pPr>
      <w:r>
        <w:rPr>
          <w:rFonts w:hint="eastAsia"/>
        </w:rPr>
        <w:t xml:space="preserve">計入</w:t>
      </w:r>
      <w:r>
        <w:t xml:space="preserve"> </w:t>
      </w:r>
      <w:r>
        <w:rPr>
          <w:rFonts w:hint="eastAsia"/>
        </w:rPr>
        <w:t xml:space="preserve">∕（扣自）其他全面收入</w:t>
      </w:r>
    </w:p>
    <w:p>
      <w:pPr>
        <w:pStyle w:val="BodyText"/>
      </w:pPr>
      <w:r>
        <w:rPr>
          <w:rFonts w:hint="eastAsia"/>
        </w:rPr>
        <w:t xml:space="preserve">公平值</w:t>
      </w:r>
      <w:r>
        <w:br/>
      </w:r>
      <w:r>
        <w:rPr>
          <w:rFonts w:hint="eastAsia"/>
        </w:rPr>
        <w:t xml:space="preserve">準備金(2)</w:t>
      </w:r>
    </w:p>
    <w:p>
      <w:pPr>
        <w:pStyle w:val="BodyText"/>
      </w:pPr>
      <w:r>
        <w:rPr>
          <w:rFonts w:hint="eastAsia"/>
        </w:rPr>
        <w:t xml:space="preserve">外匯</w:t>
      </w:r>
    </w:p>
    <w:p>
      <w:pPr>
        <w:pStyle w:val="BodyText"/>
      </w:pPr>
      <w:r>
        <w:rPr>
          <w:rFonts w:hint="eastAsia"/>
        </w:rPr>
        <w:t xml:space="preserve">其他</w:t>
      </w:r>
    </w:p>
    <w:p>
      <w:pPr>
        <w:pStyle w:val="BodyText"/>
      </w:pPr>
      <w:r>
        <w:rPr>
          <w:rFonts w:hint="eastAsia"/>
        </w:rPr>
        <w:t xml:space="preserve">於年末</w:t>
      </w:r>
      <w:r>
        <w:br/>
      </w:r>
      <w:r>
        <w:rPr>
          <w:rFonts w:hint="eastAsia"/>
        </w:rPr>
        <w:t xml:space="preserve">淨遞延</w:t>
      </w:r>
      <w:r>
        <w:br/>
      </w:r>
      <w:r>
        <w:rPr>
          <w:rFonts w:hint="eastAsia"/>
        </w:rPr>
        <w:t xml:space="preserve">稅項資產</w:t>
      </w:r>
      <w:r>
        <w:t xml:space="preserve"> ∕</w:t>
      </w:r>
      <w:r>
        <w:br/>
      </w:r>
      <w:r>
        <w:rPr>
          <w:rFonts w:hint="eastAsia"/>
        </w:rPr>
        <w:t xml:space="preserve">（負債）</w:t>
      </w:r>
    </w:p>
    <w:p>
      <w:pPr>
        <w:pStyle w:val="FirstParagraph"/>
      </w:pPr>
      <w:r>
        <w:t xml:space="preserve">(3,062)</w:t>
      </w:r>
    </w:p>
    <w:p>
      <w:pPr>
        <w:pStyle w:val="BodyText"/>
      </w:pPr>
      <w:r>
        <w:t xml:space="preserve">726</w:t>
      </w:r>
    </w:p>
    <w:p>
      <w:pPr>
        <w:pStyle w:val="FirstParagraph"/>
      </w:pPr>
      <w:r>
        <w:t xml:space="preserve">137</w:t>
      </w:r>
    </w:p>
    <w:p>
      <w:pPr>
        <w:pStyle w:val="BodyText"/>
      </w:pPr>
      <w:r>
        <w:t xml:space="preserve">55</w:t>
      </w:r>
    </w:p>
    <w:p>
      <w:pPr>
        <w:pStyle w:val="FirstParagraph"/>
      </w:pPr>
      <w:r>
        <w:t xml:space="preserve">4</w:t>
      </w:r>
    </w:p>
    <w:p>
      <w:pPr>
        <w:pStyle w:val="BodyText"/>
      </w:pPr>
      <w:r>
        <w:t xml:space="preserve">–</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3</w:t>
      </w:r>
    </w:p>
    <w:p>
      <w:pPr>
        <w:pStyle w:val="FirstParagraph"/>
      </w:pPr>
      <w:r>
        <w:t xml:space="preserve">(3,062)</w:t>
      </w:r>
    </w:p>
    <w:p>
      <w:pPr>
        <w:pStyle w:val="BodyText"/>
      </w:pPr>
      <w:r>
        <w:t xml:space="preserve">715</w:t>
      </w:r>
    </w:p>
    <w:p>
      <w:pPr>
        <w:pStyle w:val="FirstParagraph"/>
      </w:pPr>
      <w:r>
        <w:t xml:space="preserve">137</w:t>
      </w:r>
    </w:p>
    <w:p>
      <w:pPr>
        <w:pStyle w:val="BodyText"/>
      </w:pPr>
      <w:r>
        <w:t xml:space="preserve">55</w:t>
      </w:r>
    </w:p>
    <w:p>
      <w:pPr>
        <w:pStyle w:val="FirstParagraph"/>
      </w:pPr>
      <w:r>
        <w:t xml:space="preserve">–</w:t>
      </w:r>
    </w:p>
    <w:p>
      <w:pPr>
        <w:pStyle w:val="BodyText"/>
      </w:pPr>
      <w:r>
        <w:t xml:space="preserve">26</w:t>
      </w:r>
    </w:p>
    <w:p>
      <w:pPr>
        <w:pStyle w:val="BodyText"/>
      </w:pPr>
      <w:r>
        <w:t xml:space="preserve">–</w:t>
      </w:r>
    </w:p>
    <w:p>
      <w:pPr>
        <w:pStyle w:val="BodyText"/>
      </w:pPr>
      <w:r>
        <w:t xml:space="preserve">15</w:t>
      </w:r>
    </w:p>
    <w:p>
      <w:pPr>
        <w:pStyle w:val="BodyText"/>
      </w:pPr>
      <w:r>
        <w:t xml:space="preserve">–</w:t>
      </w:r>
    </w:p>
    <w:p>
      <w:pPr>
        <w:pStyle w:val="BodyText"/>
      </w:pPr>
      <w:r>
        <w:t xml:space="preserve">–</w:t>
      </w:r>
    </w:p>
    <w:p>
      <w:pPr>
        <w:pStyle w:val="FirstParagraph"/>
      </w:pPr>
      <w:r>
        <w:t xml:space="preserve">(4,161)</w:t>
      </w:r>
    </w:p>
    <w:p>
      <w:pPr>
        <w:pStyle w:val="FirstParagraph"/>
      </w:pPr>
      <w:r>
        <w:t xml:space="preserve">(4,165)</w:t>
      </w:r>
    </w:p>
    <w:p>
      <w:pPr>
        <w:pStyle w:val="FirstParagraph"/>
      </w:pPr>
      <w:r>
        <w:t xml:space="preserve">53</w:t>
      </w:r>
    </w:p>
    <w:p>
      <w:pPr>
        <w:pStyle w:val="BodyText"/>
      </w:pPr>
      <w:r>
        <w:t xml:space="preserve">114</w:t>
      </w:r>
    </w:p>
    <w:p>
      <w:pPr>
        <w:pStyle w:val="FirstParagraph"/>
      </w:pPr>
      <w:r>
        <w:t xml:space="preserve">(1,216)</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(1,216)</w:t>
      </w:r>
    </w:p>
    <w:p>
      <w:pPr>
        <w:pStyle w:val="FirstParagraph"/>
      </w:pPr>
      <w:r>
        <w:t xml:space="preserve">37</w:t>
      </w:r>
    </w:p>
    <w:p>
      <w:pPr>
        <w:pStyle w:val="FirstParagraph"/>
      </w:pPr>
      <w:r>
        <w:t xml:space="preserve">7</w:t>
      </w:r>
    </w:p>
    <w:p>
      <w:pPr>
        <w:pStyle w:val="BodyText"/>
      </w:pPr>
      <w:r>
        <w:t xml:space="preserve">1</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3</w:t>
      </w:r>
    </w:p>
    <w:p>
      <w:pPr>
        <w:pStyle w:val="BodyText"/>
      </w:pPr>
      <w:r>
        <w:t xml:space="preserve">–</w:t>
      </w:r>
    </w:p>
    <w:p>
      <w:pPr>
        <w:pStyle w:val="BodyText"/>
      </w:pPr>
      <w:r>
        <w:t xml:space="preserve">–</w:t>
      </w:r>
    </w:p>
    <w:p>
      <w:pPr>
        <w:pStyle w:val="FirstParagraph"/>
      </w:pPr>
      <w:r>
        <w:t xml:space="preserve">(2,435)</w:t>
      </w:r>
    </w:p>
    <w:p>
      <w:pPr>
        <w:pStyle w:val="BodyText"/>
      </w:pPr>
      <w:r>
        <w:t xml:space="preserve">(3,339)</w:t>
      </w:r>
    </w:p>
    <w:p>
      <w:pPr>
        <w:pStyle w:val="BodyText"/>
      </w:pPr>
      <w:r>
        <w:t xml:space="preserve">626</w:t>
      </w:r>
    </w:p>
    <w:p>
      <w:pPr>
        <w:pStyle w:val="FirstParagraph"/>
      </w:pPr>
      <w:r>
        <w:t xml:space="preserve">215</w:t>
      </w:r>
    </w:p>
    <w:p>
      <w:pPr>
        <w:pStyle w:val="BodyText"/>
      </w:pPr>
      <w:r>
        <w:t xml:space="preserve">170</w:t>
      </w:r>
    </w:p>
    <w:p>
      <w:pPr>
        <w:pStyle w:val="FirstParagraph"/>
      </w:pPr>
      <w:r>
        <w:t xml:space="preserve">(6,191)</w:t>
      </w:r>
    </w:p>
    <w:p>
      <w:pPr>
        <w:pStyle w:val="BodyText"/>
      </w:pPr>
      <w:r>
        <w:rPr>
          <w:rFonts w:hint="eastAsia"/>
        </w:rPr>
        <w:t xml:space="preserve">百萬美元</w:t>
      </w:r>
    </w:p>
    <w:p>
      <w:pPr>
        <w:pStyle w:val="BodyText"/>
      </w:pPr>
      <w:r>
        <w:rPr>
          <w:rFonts w:hint="eastAsia"/>
        </w:rPr>
        <w:t xml:space="preserve">2020年12月31日</w:t>
      </w:r>
    </w:p>
    <w:p>
      <w:pPr>
        <w:pStyle w:val="BodyText"/>
      </w:pPr>
      <w:r>
        <w:rPr>
          <w:rFonts w:hint="eastAsia"/>
        </w:rPr>
        <w:t xml:space="preserve">金融工具的重估</w:t>
      </w:r>
    </w:p>
    <w:p>
      <w:pPr>
        <w:pStyle w:val="BodyText"/>
      </w:pPr>
      <w:r>
        <w:rPr>
          <w:rFonts w:hint="eastAsia"/>
        </w:rPr>
        <w:t xml:space="preserve">遞延承保成本</w:t>
      </w:r>
    </w:p>
    <w:p>
      <w:pPr>
        <w:pStyle w:val="BodyText"/>
      </w:pPr>
      <w:r>
        <w:rPr>
          <w:rFonts w:hint="eastAsia"/>
        </w:rPr>
        <w:t xml:space="preserve">保險及投資合約負債</w:t>
      </w:r>
    </w:p>
    <w:p>
      <w:pPr>
        <w:pStyle w:val="BodyText"/>
      </w:pPr>
      <w:r>
        <w:rPr>
          <w:rFonts w:hint="eastAsia"/>
        </w:rPr>
        <w:t xml:space="preserve">預扣稅</w:t>
      </w:r>
    </w:p>
    <w:p>
      <w:pPr>
        <w:pStyle w:val="BodyText"/>
      </w:pPr>
      <w:r>
        <w:rPr>
          <w:rFonts w:hint="eastAsia"/>
        </w:rPr>
        <w:t xml:space="preserve">支出撥備</w:t>
      </w:r>
    </w:p>
    <w:p>
      <w:pPr>
        <w:pStyle w:val="BodyText"/>
      </w:pPr>
      <w:r>
        <w:rPr>
          <w:rFonts w:hint="eastAsia"/>
        </w:rPr>
        <w:t xml:space="preserve">用以抵銷未來應課稅</w:t>
      </w:r>
      <w:r>
        <w:br/>
      </w:r>
      <w:r>
        <w:rPr>
          <w:rFonts w:hint="eastAsia"/>
        </w:rPr>
        <w:t xml:space="preserve">收入的虧損</w:t>
      </w:r>
    </w:p>
    <w:p>
      <w:pPr>
        <w:pStyle w:val="BodyText"/>
      </w:pPr>
      <w:r>
        <w:rPr>
          <w:rFonts w:hint="eastAsia"/>
        </w:rPr>
        <w:t xml:space="preserve">壽險盈餘(1)</w:t>
      </w:r>
    </w:p>
    <w:p>
      <w:pPr>
        <w:pStyle w:val="BodyText"/>
      </w:pPr>
      <w:r>
        <w:rPr>
          <w:rFonts w:hint="eastAsia"/>
        </w:rPr>
        <w:t xml:space="preserve">其他</w:t>
      </w:r>
    </w:p>
    <w:p>
      <w:pPr>
        <w:pStyle w:val="BodyText"/>
      </w:pPr>
      <w:r>
        <w:rPr>
          <w:rFonts w:hint="eastAsia"/>
        </w:rPr>
        <w:t xml:space="preserve">總計</w:t>
      </w:r>
    </w:p>
    <w:p>
      <w:pPr>
        <w:pStyle w:val="BodyText"/>
      </w:pPr>
      <w:r>
        <w:rPr>
          <w:rFonts w:hint="eastAsia"/>
        </w:rPr>
        <w:t xml:space="preserve">百萬美元</w:t>
      </w:r>
    </w:p>
    <w:p>
      <w:pPr>
        <w:pStyle w:val="BodyText"/>
      </w:pPr>
      <w:r>
        <w:rPr>
          <w:rFonts w:hint="eastAsia"/>
        </w:rPr>
        <w:t xml:space="preserve">2019年12月31日</w:t>
      </w:r>
      <w:r>
        <w:t xml:space="preserve"> </w:t>
      </w:r>
      <w:r>
        <w:rPr>
          <w:rFonts w:hint="eastAsia"/>
        </w:rPr>
        <w:t xml:space="preserve">－</w:t>
      </w:r>
      <w:r>
        <w:br/>
      </w:r>
      <w:r>
        <w:rPr>
          <w:rFonts w:hint="eastAsia"/>
        </w:rPr>
        <w:t xml:space="preserve">經調整</w:t>
      </w:r>
    </w:p>
    <w:p>
      <w:pPr>
        <w:pStyle w:val="BodyText"/>
      </w:pPr>
      <w:r>
        <w:rPr>
          <w:rFonts w:hint="eastAsia"/>
        </w:rPr>
        <w:t xml:space="preserve">金融工具的重估</w:t>
      </w:r>
    </w:p>
    <w:p>
      <w:pPr>
        <w:pStyle w:val="BodyText"/>
      </w:pPr>
      <w:r>
        <w:rPr>
          <w:rFonts w:hint="eastAsia"/>
        </w:rPr>
        <w:t xml:space="preserve">遞延承保成本</w:t>
      </w:r>
    </w:p>
    <w:p>
      <w:pPr>
        <w:pStyle w:val="BodyText"/>
      </w:pPr>
      <w:r>
        <w:rPr>
          <w:rFonts w:hint="eastAsia"/>
        </w:rPr>
        <w:t xml:space="preserve">保險及投資合約負債</w:t>
      </w:r>
    </w:p>
    <w:p>
      <w:pPr>
        <w:pStyle w:val="BodyText"/>
      </w:pPr>
      <w:r>
        <w:rPr>
          <w:rFonts w:hint="eastAsia"/>
        </w:rPr>
        <w:t xml:space="preserve">預扣稅</w:t>
      </w:r>
    </w:p>
    <w:p>
      <w:pPr>
        <w:pStyle w:val="BodyText"/>
      </w:pPr>
      <w:r>
        <w:rPr>
          <w:rFonts w:hint="eastAsia"/>
        </w:rPr>
        <w:t xml:space="preserve">支出撥備</w:t>
      </w:r>
    </w:p>
    <w:p>
      <w:pPr>
        <w:pStyle w:val="BodyText"/>
      </w:pPr>
      <w:r>
        <w:rPr>
          <w:rFonts w:hint="eastAsia"/>
        </w:rPr>
        <w:t xml:space="preserve">用以抵銷未來應課稅</w:t>
      </w:r>
      <w:r>
        <w:br/>
      </w:r>
      <w:r>
        <w:rPr>
          <w:rFonts w:hint="eastAsia"/>
        </w:rPr>
        <w:t xml:space="preserve">收入的虧損</w:t>
      </w:r>
    </w:p>
    <w:p>
      <w:pPr>
        <w:pStyle w:val="BodyText"/>
      </w:pPr>
      <w:r>
        <w:rPr>
          <w:rFonts w:hint="eastAsia"/>
        </w:rPr>
        <w:t xml:space="preserve">壽險盈餘(1)</w:t>
      </w:r>
    </w:p>
    <w:p>
      <w:pPr>
        <w:pStyle w:val="BodyText"/>
      </w:pPr>
      <w:r>
        <w:rPr>
          <w:rFonts w:hint="eastAsia"/>
        </w:rPr>
        <w:t xml:space="preserve">其他</w:t>
      </w:r>
    </w:p>
    <w:p>
      <w:pPr>
        <w:pStyle w:val="BodyText"/>
      </w:pPr>
      <w:r>
        <w:rPr>
          <w:rFonts w:hint="eastAsia"/>
        </w:rPr>
        <w:t xml:space="preserve">總計</w:t>
      </w:r>
    </w:p>
    <w:p>
      <w:pPr>
        <w:pStyle w:val="BodyText"/>
      </w:pPr>
      <w:r>
        <w:rPr>
          <w:rFonts w:hint="eastAsia"/>
        </w:rPr>
        <w:t xml:space="preserve">附註：</w:t>
      </w:r>
    </w:p>
    <w:p>
      <w:pPr>
        <w:numPr>
          <w:ilvl w:val="0"/>
          <w:numId w:val="1321"/>
        </w:numPr>
      </w:pPr>
      <w:r>
        <w:rPr>
          <w:rFonts w:hint="eastAsia"/>
        </w:rPr>
        <w:t xml:space="preserve">壽險盈餘指應課稅溢利根據長期基金的實際分派計算時引起的暫時性差異。這主要與新加坡及馬來西亞相關。</w:t>
      </w:r>
    </w:p>
    <w:p>
      <w:pPr>
        <w:numPr>
          <w:ilvl w:val="0"/>
          <w:numId w:val="1321"/>
        </w:numPr>
      </w:pPr>
      <w:r>
        <w:rPr>
          <w:rFonts w:hint="eastAsia"/>
        </w:rPr>
        <w:t xml:space="preserve">公平值準備金內的遞延稅項開支</w:t>
      </w:r>
      <w:r>
        <w:t xml:space="preserve"> </w:t>
      </w:r>
      <w:r>
        <w:rPr>
          <w:rFonts w:hint="eastAsia"/>
        </w:rPr>
        <w:t xml:space="preserve">∕（收入）於2020年為9,600萬美元（2019年：12.16億美元），其中與可供出售金融資產的公平值收益有關的金額為</w:t>
      </w:r>
      <w:r>
        <w:br/>
      </w:r>
      <w:r>
        <w:rPr>
          <w:rFonts w:hint="eastAsia"/>
        </w:rPr>
        <w:t xml:space="preserve">1.94億美元（2019年：12.82億美元）及與出售時轉撥至收入的可供出售金融資產的公平值收益有關的金額為(9,800)萬美元（2019年：(6,600)萬美</w:t>
      </w:r>
      <w:r>
        <w:br/>
      </w:r>
      <w:r>
        <w:rPr>
          <w:rFonts w:hint="eastAsia"/>
        </w:rPr>
        <w:t xml:space="preserve">元）。</w:t>
      </w:r>
    </w:p>
    <w:p>
      <w:pPr>
        <w:numPr>
          <w:ilvl w:val="0"/>
          <w:numId w:val="1321"/>
        </w:numPr>
      </w:pPr>
      <w:r>
        <w:rPr>
          <w:rFonts w:hint="eastAsia"/>
        </w:rPr>
        <w:t xml:space="preserve">1.18億美元是關於收購CMLA的一次性調整。</w:t>
      </w:r>
    </w:p>
    <w:p>
      <w:pPr>
        <w:pStyle w:val="FirstParagraph"/>
      </w:pPr>
      <w:r>
        <w:t xml:space="preserve">187</w:t>
      </w:r>
    </w:p>
    <w:p>
      <w:pPr>
        <w:pStyle w:val="BodyText"/>
      </w:pPr>
      <w:r>
        <w:rPr>
          <w:rFonts w:hint="eastAsia"/>
        </w:rPr>
        <w:t xml:space="preserve">概覽財務及營運回顧企業管治其他資料財務報表2020年報</w:t>
      </w:r>
    </w:p>
    <w:p>
      <w:pPr>
        <w:pStyle w:val="Compact"/>
        <w:numPr>
          <w:ilvl w:val="0"/>
          <w:numId w:val="1322"/>
        </w:numPr>
      </w:pPr>
      <w:r>
        <w:rPr>
          <w:rFonts w:hint="eastAsia"/>
        </w:rPr>
        <w:t xml:space="preserve">所得稅（續）</w:t>
      </w:r>
    </w:p>
    <w:p>
      <w:pPr>
        <w:pStyle w:val="FirstParagraph"/>
      </w:pPr>
      <w:r>
        <w:rPr>
          <w:rFonts w:hint="eastAsia"/>
        </w:rPr>
        <w:t xml:space="preserve">遞延稅項資產只在有充足未來應課稅溢利以變現下確認。由於若干分公司及附屬公司有稅項虧損紀錄但沒有充分憑證會產生</w:t>
      </w:r>
    </w:p>
    <w:p>
      <w:pPr>
        <w:pStyle w:val="BodyText"/>
      </w:pPr>
      <w:r>
        <w:rPr>
          <w:rFonts w:hint="eastAsia"/>
        </w:rPr>
        <w:t xml:space="preserve">未來溢利，故本集團尚未就因此等分公司及附屬公司的稅項虧損和會計處理方法及法定</w:t>
      </w:r>
      <w:r>
        <w:t xml:space="preserve"> </w:t>
      </w:r>
      <w:r>
        <w:rPr>
          <w:rFonts w:hint="eastAsia"/>
        </w:rPr>
        <w:t xml:space="preserve">∕稅務準備金方法不同而產生的保險</w:t>
      </w:r>
    </w:p>
    <w:p>
      <w:pPr>
        <w:pStyle w:val="BodyText"/>
      </w:pPr>
      <w:r>
        <w:rPr>
          <w:rFonts w:hint="eastAsia"/>
        </w:rPr>
        <w:t xml:space="preserve">及投資合約負債之暫時性差異確認6,500萬美元（2019年：7,100萬美元）遞延稅項資產。</w:t>
      </w:r>
    </w:p>
    <w:p>
      <w:pPr>
        <w:pStyle w:val="BodyText"/>
      </w:pPr>
      <w:r>
        <w:rPr>
          <w:rFonts w:hint="eastAsia"/>
        </w:rPr>
        <w:t xml:space="preserve">本集團並無就司法權區的業務的未匯回盈利計提2.95億美元（2019年：1.76億美元）遞延稅項負債，而有關盈利於分派時將產</w:t>
      </w:r>
    </w:p>
    <w:p>
      <w:pPr>
        <w:pStyle w:val="BodyText"/>
      </w:pPr>
      <w:r>
        <w:rPr>
          <w:rFonts w:hint="eastAsia"/>
        </w:rPr>
        <w:t xml:space="preserve">生預扣稅支出，此乃因為本集團並不認為有關累計盈利會於可見將來匯回。</w:t>
      </w:r>
    </w:p>
    <w:p>
      <w:pPr>
        <w:pStyle w:val="BodyText"/>
      </w:pPr>
      <w:r>
        <w:rPr>
          <w:rFonts w:hint="eastAsia"/>
        </w:rPr>
        <w:t xml:space="preserve">本集團在香港、澳門、泰國、新加坡、馬來西亞、中國內地、澳洲、柬埔寨、緬甸、新西蘭、菲律賓、南韓、斯里蘭卡及中</w:t>
      </w:r>
    </w:p>
    <w:p>
      <w:pPr>
        <w:pStyle w:val="BodyText"/>
      </w:pPr>
      <w:r>
        <w:rPr>
          <w:rFonts w:hint="eastAsia"/>
        </w:rPr>
        <w:t xml:space="preserve">國台灣有未動用所得稅虧損結轉。香港、新加坡、澳洲及新西蘭的稅項虧損可無限期結轉。餘下分公司及附屬公司的稅項虧</w:t>
      </w:r>
    </w:p>
    <w:p>
      <w:pPr>
        <w:pStyle w:val="BodyText"/>
      </w:pPr>
      <w:r>
        <w:rPr>
          <w:rFonts w:hint="eastAsia"/>
        </w:rPr>
        <w:t xml:space="preserve">損於截至2022年（菲律賓）、2023年（澳門、中國內地及緬甸）、2024年（斯里蘭卡）、2025年（柬埔寨及泰國）、2027年（馬來</w:t>
      </w:r>
    </w:p>
    <w:p>
      <w:pPr>
        <w:pStyle w:val="BodyText"/>
      </w:pPr>
      <w:r>
        <w:rPr>
          <w:rFonts w:hint="eastAsia"/>
        </w:rPr>
        <w:t xml:space="preserve">西亞）及2030年（南韓及中國台灣）止期間到期。</w:t>
      </w:r>
    </w:p>
    <w:p>
      <w:pPr>
        <w:pStyle w:val="BodyText"/>
      </w:pPr>
      <w:r>
        <w:t xml:space="preserve">188</w:t>
      </w:r>
    </w:p>
    <w:p>
      <w:pPr>
        <w:pStyle w:val="BodyText"/>
      </w:pPr>
      <w:r>
        <w:rPr>
          <w:rFonts w:hint="eastAsia"/>
        </w:rPr>
        <w:t xml:space="preserve">友邦保險控股有限公司</w:t>
      </w:r>
    </w:p>
    <w:p>
      <w:pPr>
        <w:pStyle w:val="Compact"/>
        <w:numPr>
          <w:ilvl w:val="0"/>
          <w:numId w:val="1323"/>
        </w:numPr>
      </w:pPr>
      <w:r>
        <w:rPr>
          <w:rFonts w:hint="eastAsia"/>
        </w:rPr>
        <w:t xml:space="preserve">每股盈利</w:t>
      </w:r>
    </w:p>
    <w:p>
      <w:pPr>
        <w:pStyle w:val="FirstParagraph"/>
      </w:pPr>
      <w:r>
        <w:rPr>
          <w:rFonts w:hint="eastAsia"/>
        </w:rPr>
        <w:t xml:space="preserve">基本</w:t>
      </w:r>
    </w:p>
    <w:p>
      <w:pPr>
        <w:pStyle w:val="BodyText"/>
      </w:pPr>
      <w:r>
        <w:rPr>
          <w:rFonts w:hint="eastAsia"/>
        </w:rPr>
        <w:t xml:space="preserve">每股基本盈利以友邦保險控股有限公司股東應佔純利除以年內已發行普通股的加權平均股數計算。由僱員股票信託持有的股</w:t>
      </w:r>
    </w:p>
    <w:p>
      <w:pPr>
        <w:pStyle w:val="BodyText"/>
      </w:pPr>
      <w:r>
        <w:rPr>
          <w:rFonts w:hint="eastAsia"/>
        </w:rPr>
        <w:t xml:space="preserve">份，自購買日期起計將不會用作計算每股基本及攤薄盈利的已發行股份。</w:t>
      </w:r>
    </w:p>
    <w:p>
      <w:pPr>
        <w:pStyle w:val="BodyText"/>
      </w:pPr>
      <w:r>
        <w:rPr>
          <w:rFonts w:hint="eastAsia"/>
        </w:rPr>
        <w:t xml:space="preserve">友邦保險控股有限公司股東應佔純利（百萬美元）</w:t>
      </w:r>
    </w:p>
    <w:p>
      <w:pPr>
        <w:pStyle w:val="BodyText"/>
      </w:pPr>
      <w:r>
        <w:rPr>
          <w:rFonts w:hint="eastAsia"/>
        </w:rPr>
        <w:t xml:space="preserve">已發行普通股的加權平均股數（百萬）</w:t>
      </w:r>
    </w:p>
    <w:p>
      <w:pPr>
        <w:pStyle w:val="BodyText"/>
      </w:pPr>
      <w:r>
        <w:rPr>
          <w:rFonts w:hint="eastAsia"/>
        </w:rPr>
        <w:t xml:space="preserve">每股基本盈利（美仙</w:t>
      </w:r>
      <w:r>
        <w:t xml:space="preserve"> </w:t>
      </w:r>
      <w:r>
        <w:rPr>
          <w:rFonts w:hint="eastAsia"/>
        </w:rPr>
        <w:t xml:space="preserve">∕股）</w:t>
      </w:r>
    </w:p>
    <w:p>
      <w:pPr>
        <w:pStyle w:val="BodyText"/>
      </w:pPr>
      <w:r>
        <w:rPr>
          <w:rFonts w:hint="eastAsia"/>
        </w:rPr>
        <w:t xml:space="preserve">攤薄</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r>
        <w:br/>
      </w:r>
      <w:r>
        <w:rPr>
          <w:rFonts w:hint="eastAsia"/>
        </w:rPr>
        <w:t xml:space="preserve">（經調整）</w:t>
      </w:r>
    </w:p>
    <w:p>
      <w:pPr>
        <w:pStyle w:val="BodyText"/>
      </w:pPr>
      <w:r>
        <w:t xml:space="preserve">5,779</w:t>
      </w:r>
    </w:p>
    <w:p>
      <w:pPr>
        <w:pStyle w:val="BodyText"/>
      </w:pPr>
      <w:r>
        <w:t xml:space="preserve">12,060</w:t>
      </w:r>
    </w:p>
    <w:p>
      <w:pPr>
        <w:pStyle w:val="BodyText"/>
      </w:pPr>
      <w:r>
        <w:t xml:space="preserve">47.92</w:t>
      </w:r>
    </w:p>
    <w:p>
      <w:pPr>
        <w:pStyle w:val="BodyText"/>
      </w:pPr>
      <w:r>
        <w:t xml:space="preserve">5,979</w:t>
      </w:r>
    </w:p>
    <w:p>
      <w:pPr>
        <w:pStyle w:val="BodyText"/>
      </w:pPr>
      <w:r>
        <w:t xml:space="preserve">12,042</w:t>
      </w:r>
    </w:p>
    <w:p>
      <w:pPr>
        <w:pStyle w:val="BodyText"/>
      </w:pPr>
      <w:r>
        <w:t xml:space="preserve">49.65</w:t>
      </w:r>
    </w:p>
    <w:p>
      <w:pPr>
        <w:pStyle w:val="BodyText"/>
      </w:pPr>
      <w:r>
        <w:rPr>
          <w:rFonts w:hint="eastAsia"/>
        </w:rPr>
        <w:t xml:space="preserve">每股攤薄盈利乃假設轉換所有具潛在攤薄影響的普通股以調整已發行普通股的加權平均股數而計算。截至2020年及2019年12</w:t>
      </w:r>
    </w:p>
    <w:p>
      <w:pPr>
        <w:pStyle w:val="BodyText"/>
      </w:pPr>
      <w:r>
        <w:rPr>
          <w:rFonts w:hint="eastAsia"/>
        </w:rPr>
        <w:t xml:space="preserve">月31日，本集團所發行具潛在攤薄效應的工具為根據附註40所述的若干以股份為基礎的報酬計劃中授予合資格董事、主管、</w:t>
      </w:r>
    </w:p>
    <w:p>
      <w:pPr>
        <w:pStyle w:val="BodyText"/>
      </w:pPr>
      <w:r>
        <w:rPr>
          <w:rFonts w:hint="eastAsia"/>
        </w:rPr>
        <w:t xml:space="preserve">僱員及代理的購股權、受限制股份單位、受限制股份購買單位及受限制股份認購單位。</w:t>
      </w:r>
    </w:p>
    <w:p>
      <w:pPr>
        <w:pStyle w:val="BodyText"/>
      </w:pPr>
      <w:r>
        <w:rPr>
          <w:rFonts w:hint="eastAsia"/>
        </w:rPr>
        <w:t xml:space="preserve">友邦保險控股有限公司股東應佔純利（百萬美元）</w:t>
      </w:r>
    </w:p>
    <w:p>
      <w:pPr>
        <w:pStyle w:val="BodyText"/>
      </w:pPr>
      <w:r>
        <w:rPr>
          <w:rFonts w:hint="eastAsia"/>
        </w:rPr>
        <w:t xml:space="preserve">已發行普通股的加權平均股數（百萬）</w:t>
      </w:r>
    </w:p>
    <w:p>
      <w:pPr>
        <w:pStyle w:val="BodyText"/>
      </w:pPr>
      <w:r>
        <w:rPr>
          <w:rFonts w:hint="eastAsia"/>
        </w:rPr>
        <w:t xml:space="preserve">根據以股份為基礎的報酬計劃授出的購股權、受限制股份單位、</w:t>
      </w:r>
      <w:r>
        <w:br/>
      </w:r>
      <w:r>
        <w:rPr>
          <w:rFonts w:hint="eastAsia"/>
        </w:rPr>
        <w:t xml:space="preserve">受限制股份購買單位及受限制股份認購單位的調整（百萬）</w:t>
      </w:r>
    </w:p>
    <w:p>
      <w:pPr>
        <w:pStyle w:val="BodyText"/>
      </w:pPr>
      <w:r>
        <w:rPr>
          <w:rFonts w:hint="eastAsia"/>
        </w:rPr>
        <w:t xml:space="preserve">用於計算每股攤薄盈利的普通股加權平均股數（百萬）</w:t>
      </w:r>
    </w:p>
    <w:p>
      <w:pPr>
        <w:pStyle w:val="BodyText"/>
      </w:pPr>
      <w:r>
        <w:rPr>
          <w:rFonts w:hint="eastAsia"/>
        </w:rPr>
        <w:t xml:space="preserve">每股攤薄盈利（美仙</w:t>
      </w:r>
      <w:r>
        <w:t xml:space="preserve"> </w:t>
      </w:r>
      <w:r>
        <w:rPr>
          <w:rFonts w:hint="eastAsia"/>
        </w:rPr>
        <w:t xml:space="preserve">∕股）</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r>
        <w:br/>
      </w:r>
      <w:r>
        <w:rPr>
          <w:rFonts w:hint="eastAsia"/>
        </w:rPr>
        <w:t xml:space="preserve">（經調整）</w:t>
      </w:r>
    </w:p>
    <w:p>
      <w:pPr>
        <w:pStyle w:val="BodyText"/>
      </w:pPr>
      <w:r>
        <w:t xml:space="preserve">5,779</w:t>
      </w:r>
    </w:p>
    <w:p>
      <w:pPr>
        <w:pStyle w:val="BodyText"/>
      </w:pPr>
      <w:r>
        <w:t xml:space="preserve">12,060</w:t>
      </w:r>
    </w:p>
    <w:p>
      <w:pPr>
        <w:pStyle w:val="BodyText"/>
      </w:pPr>
      <w:r>
        <w:t xml:space="preserve">20</w:t>
      </w:r>
    </w:p>
    <w:p>
      <w:pPr>
        <w:pStyle w:val="BodyText"/>
      </w:pPr>
      <w:r>
        <w:t xml:space="preserve">12,080</w:t>
      </w:r>
    </w:p>
    <w:p>
      <w:pPr>
        <w:pStyle w:val="BodyText"/>
      </w:pPr>
      <w:r>
        <w:t xml:space="preserve">47.84</w:t>
      </w:r>
    </w:p>
    <w:p>
      <w:pPr>
        <w:pStyle w:val="BodyText"/>
      </w:pPr>
      <w:r>
        <w:t xml:space="preserve">5,979</w:t>
      </w:r>
    </w:p>
    <w:p>
      <w:pPr>
        <w:pStyle w:val="BodyText"/>
      </w:pPr>
      <w:r>
        <w:t xml:space="preserve">12,042</w:t>
      </w:r>
    </w:p>
    <w:p>
      <w:pPr>
        <w:pStyle w:val="BodyText"/>
      </w:pPr>
      <w:r>
        <w:t xml:space="preserve">29</w:t>
      </w:r>
    </w:p>
    <w:p>
      <w:pPr>
        <w:pStyle w:val="BodyText"/>
      </w:pPr>
      <w:r>
        <w:t xml:space="preserve">12,071</w:t>
      </w:r>
    </w:p>
    <w:p>
      <w:pPr>
        <w:pStyle w:val="BodyText"/>
      </w:pPr>
      <w:r>
        <w:t xml:space="preserve">49.53</w:t>
      </w:r>
    </w:p>
    <w:p>
      <w:pPr>
        <w:pStyle w:val="BodyText"/>
      </w:pPr>
      <w:r>
        <w:rPr>
          <w:rFonts w:hint="eastAsia"/>
        </w:rPr>
        <w:t xml:space="preserve">於2020年12月31日，由於9,156,477份購股權（2019年：4,249,232份）可能具有反攤薄效應，故計算普通股攤薄加權平均股數</w:t>
      </w:r>
    </w:p>
    <w:p>
      <w:pPr>
        <w:pStyle w:val="BodyText"/>
      </w:pPr>
      <w:r>
        <w:rPr>
          <w:rFonts w:hint="eastAsia"/>
        </w:rPr>
        <w:t xml:space="preserve">時並不包括此等購股權。</w:t>
      </w:r>
    </w:p>
    <w:p>
      <w:pPr>
        <w:pStyle w:val="BodyText"/>
      </w:pPr>
      <w:r>
        <w:rPr>
          <w:rFonts w:hint="eastAsia"/>
        </w:rPr>
        <w:t xml:space="preserve">每股稅後營運溢利</w:t>
      </w:r>
    </w:p>
    <w:p>
      <w:pPr>
        <w:pStyle w:val="BodyText"/>
      </w:pPr>
      <w:r>
        <w:rPr>
          <w:rFonts w:hint="eastAsia"/>
        </w:rPr>
        <w:t xml:space="preserve">每股稅後營運溢利（見附註7）以友邦保險控股有限公司股東應佔稅後營運溢利除以年內已發行普通股的加權平均股數計算。</w:t>
      </w:r>
    </w:p>
    <w:p>
      <w:pPr>
        <w:pStyle w:val="BodyText"/>
      </w:pPr>
      <w:r>
        <w:rPr>
          <w:rFonts w:hint="eastAsia"/>
        </w:rPr>
        <w:t xml:space="preserve">截至2020年及2019年12月31日，本集團所發行具潛在攤薄效應的工具為根據附註40所述的若干以股份為基礎的報酬計劃中</w:t>
      </w:r>
    </w:p>
    <w:p>
      <w:pPr>
        <w:pStyle w:val="BodyText"/>
      </w:pPr>
      <w:r>
        <w:rPr>
          <w:rFonts w:hint="eastAsia"/>
        </w:rPr>
        <w:t xml:space="preserve">授予合資格董事、主管、僱員及代理的購股權、受限制股份單位、受限制股份購買單位及受限制股份認購單位。</w:t>
      </w:r>
    </w:p>
    <w:p>
      <w:pPr>
        <w:pStyle w:val="BodyText"/>
      </w:pPr>
      <w:r>
        <w:rPr>
          <w:rFonts w:hint="eastAsia"/>
        </w:rPr>
        <w:t xml:space="preserve">基本（美仙</w:t>
      </w:r>
      <w:r>
        <w:t xml:space="preserve"> </w:t>
      </w:r>
      <w:r>
        <w:rPr>
          <w:rFonts w:hint="eastAsia"/>
        </w:rPr>
        <w:t xml:space="preserve">∕股）</w:t>
      </w:r>
    </w:p>
    <w:p>
      <w:pPr>
        <w:pStyle w:val="BodyText"/>
      </w:pPr>
      <w:r>
        <w:rPr>
          <w:rFonts w:hint="eastAsia"/>
        </w:rPr>
        <w:t xml:space="preserve">攤薄（美仙</w:t>
      </w:r>
      <w:r>
        <w:t xml:space="preserve"> </w:t>
      </w:r>
      <w:r>
        <w:rPr>
          <w:rFonts w:hint="eastAsia"/>
        </w:rPr>
        <w:t xml:space="preserve">∕股）</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r>
        <w:br/>
      </w:r>
      <w:r>
        <w:rPr>
          <w:rFonts w:hint="eastAsia"/>
        </w:rPr>
        <w:t xml:space="preserve">（經調整）</w:t>
      </w:r>
    </w:p>
    <w:p>
      <w:pPr>
        <w:pStyle w:val="BodyText"/>
      </w:pPr>
      <w:r>
        <w:t xml:space="preserve">49.27</w:t>
      </w:r>
    </w:p>
    <w:p>
      <w:pPr>
        <w:pStyle w:val="BodyText"/>
      </w:pPr>
      <w:r>
        <w:t xml:space="preserve">49.19</w:t>
      </w:r>
    </w:p>
    <w:p>
      <w:pPr>
        <w:pStyle w:val="BodyText"/>
      </w:pPr>
      <w:r>
        <w:t xml:space="preserve">47.24</w:t>
      </w:r>
    </w:p>
    <w:p>
      <w:pPr>
        <w:pStyle w:val="BodyText"/>
      </w:pPr>
      <w:r>
        <w:t xml:space="preserve">47.13</w:t>
      </w:r>
    </w:p>
    <w:p>
      <w:pPr>
        <w:pStyle w:val="BodyText"/>
      </w:pPr>
      <w:r>
        <w:t xml:space="preserve">189</w:t>
      </w:r>
    </w:p>
    <w:p>
      <w:pPr>
        <w:pStyle w:val="BodyText"/>
      </w:pPr>
      <w:r>
        <w:rPr>
          <w:rFonts w:hint="eastAsia"/>
        </w:rPr>
        <w:t xml:space="preserve">概覽財務及營運回顧企業管治其他資料財務報表2020年報</w:t>
      </w:r>
    </w:p>
    <w:p>
      <w:pPr>
        <w:pStyle w:val="Compact"/>
        <w:numPr>
          <w:ilvl w:val="0"/>
          <w:numId w:val="1324"/>
        </w:numPr>
      </w:pPr>
      <w:r>
        <w:rPr>
          <w:rFonts w:hint="eastAsia"/>
        </w:rPr>
        <w:t xml:space="preserve">股息</w:t>
      </w:r>
    </w:p>
    <w:p>
      <w:pPr>
        <w:pStyle w:val="FirstParagraph"/>
      </w:pPr>
      <w:r>
        <w:rPr>
          <w:rFonts w:hint="eastAsia"/>
        </w:rPr>
        <w:t xml:space="preserve">向本公司股東作出的年度股息：</w:t>
      </w:r>
    </w:p>
    <w:p>
      <w:pPr>
        <w:pStyle w:val="BodyText"/>
      </w:pPr>
      <w:r>
        <w:rPr>
          <w:rFonts w:hint="eastAsia"/>
        </w:rPr>
        <w:t xml:space="preserve">百萬美元</w:t>
      </w:r>
    </w:p>
    <w:p>
      <w:pPr>
        <w:pStyle w:val="BodyText"/>
      </w:pPr>
      <w:r>
        <w:rPr>
          <w:rFonts w:hint="eastAsia"/>
        </w:rPr>
        <w:t xml:space="preserve">宣派及派付的中期股息每股35.00港仙（2019年：每股33.30港仙）</w:t>
      </w:r>
    </w:p>
    <w:p>
      <w:pPr>
        <w:pStyle w:val="BodyText"/>
      </w:pPr>
      <w:r>
        <w:rPr>
          <w:rFonts w:hint="eastAsia"/>
        </w:rPr>
        <w:t xml:space="preserve">於報告日期後擬派的末期股息每股100.30港仙（2019年：每股93.30港仙）(1)</w:t>
      </w:r>
    </w:p>
    <w:p>
      <w:pPr>
        <w:pStyle w:val="BodyText"/>
      </w:pPr>
      <w:r>
        <w:rPr>
          <w:rFonts w:hint="eastAsia"/>
        </w:rPr>
        <w:t xml:space="preserve">總計</w:t>
      </w:r>
    </w:p>
    <w:p>
      <w:pPr>
        <w:pStyle w:val="BodyText"/>
      </w:pPr>
      <w:r>
        <w:rPr>
          <w:rFonts w:hint="eastAsia"/>
        </w:rPr>
        <w:t xml:space="preserve">附註：</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545</w:t>
      </w:r>
    </w:p>
    <w:p>
      <w:pPr>
        <w:pStyle w:val="BodyText"/>
      </w:pPr>
      <w:r>
        <w:t xml:space="preserve">1,561</w:t>
      </w:r>
    </w:p>
    <w:p>
      <w:pPr>
        <w:pStyle w:val="BodyText"/>
      </w:pPr>
      <w:r>
        <w:t xml:space="preserve">2,106</w:t>
      </w:r>
    </w:p>
    <w:p>
      <w:pPr>
        <w:pStyle w:val="BodyText"/>
      </w:pPr>
      <w:r>
        <w:t xml:space="preserve">513</w:t>
      </w:r>
    </w:p>
    <w:p>
      <w:pPr>
        <w:pStyle w:val="BodyText"/>
      </w:pPr>
      <w:r>
        <w:t xml:space="preserve">1,444</w:t>
      </w:r>
    </w:p>
    <w:p>
      <w:pPr>
        <w:pStyle w:val="BodyText"/>
      </w:pPr>
      <w:r>
        <w:t xml:space="preserve">1,957</w:t>
      </w:r>
    </w:p>
    <w:p>
      <w:pPr>
        <w:pStyle w:val="Compact"/>
        <w:numPr>
          <w:ilvl w:val="0"/>
          <w:numId w:val="1325"/>
        </w:numPr>
      </w:pPr>
      <w:r>
        <w:rPr>
          <w:rFonts w:hint="eastAsia"/>
        </w:rPr>
        <w:t xml:space="preserve">乃以於2020年及2019年12月31日發行在外而有權享有股息的股份（僱員股票信託所持有的股份除外）為基準計算。</w:t>
      </w:r>
    </w:p>
    <w:p>
      <w:pPr>
        <w:pStyle w:val="FirstParagraph"/>
      </w:pPr>
      <w:r>
        <w:rPr>
          <w:rFonts w:hint="eastAsia"/>
        </w:rPr>
        <w:t xml:space="preserve">上述末期股息已由董事會於2021年3月12日擬派，惟須於2021年5月20日舉行的股東週年大會上獲股東批准方可作實。於報</w:t>
      </w:r>
    </w:p>
    <w:p>
      <w:pPr>
        <w:pStyle w:val="BodyText"/>
      </w:pPr>
      <w:r>
        <w:rPr>
          <w:rFonts w:hint="eastAsia"/>
        </w:rPr>
        <w:t xml:space="preserve">告日期，擬派末期股息並未確認為負債。</w:t>
      </w:r>
    </w:p>
    <w:p>
      <w:pPr>
        <w:pStyle w:val="BodyText"/>
      </w:pPr>
      <w:r>
        <w:rPr>
          <w:rFonts w:hint="eastAsia"/>
        </w:rPr>
        <w:t xml:space="preserve">於年內批准及支付的應付本公司股東的前財政期間股息：</w:t>
      </w:r>
    </w:p>
    <w:p>
      <w:pPr>
        <w:pStyle w:val="BodyText"/>
      </w:pPr>
      <w:r>
        <w:rPr>
          <w:rFonts w:hint="eastAsia"/>
        </w:rPr>
        <w:t xml:space="preserve">百萬美元</w:t>
      </w:r>
    </w:p>
    <w:p>
      <w:pPr>
        <w:pStyle w:val="BodyText"/>
      </w:pPr>
      <w:r>
        <w:rPr>
          <w:rFonts w:hint="eastAsia"/>
        </w:rPr>
        <w:t xml:space="preserve">於年內批准及支付的前財政年度末期股息每股93.30港仙（2019年：每股84.80港仙）</w:t>
      </w:r>
    </w:p>
    <w:p>
      <w:pPr>
        <w:pStyle w:val="BodyText"/>
      </w:pPr>
      <w:r>
        <w:rPr>
          <w:rFonts w:hint="eastAsia"/>
        </w:rPr>
        <w:t xml:space="preserve">於年內批准及支付的前財政年度特別股息每股零港仙（2019年：每股9.50港仙）</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1,452</w:t>
      </w:r>
    </w:p>
    <w:p>
      <w:pPr>
        <w:pStyle w:val="BodyText"/>
      </w:pPr>
      <w:r>
        <w:t xml:space="preserve">–</w:t>
      </w:r>
    </w:p>
    <w:p>
      <w:pPr>
        <w:pStyle w:val="BodyText"/>
      </w:pPr>
      <w:r>
        <w:t xml:space="preserve">1,302</w:t>
      </w:r>
    </w:p>
    <w:p>
      <w:pPr>
        <w:pStyle w:val="BodyText"/>
      </w:pPr>
      <w:r>
        <w:t xml:space="preserve">146</w:t>
      </w:r>
    </w:p>
    <w:p>
      <w:pPr>
        <w:pStyle w:val="BodyText"/>
      </w:pPr>
      <w:r>
        <w:t xml:space="preserve">190</w:t>
      </w:r>
    </w:p>
    <w:p>
      <w:pPr>
        <w:pStyle w:val="BodyText"/>
      </w:pPr>
      <w:r>
        <w:rPr>
          <w:rFonts w:hint="eastAsia"/>
        </w:rPr>
        <w:t xml:space="preserve">友邦保險控股有限公司</w:t>
      </w:r>
    </w:p>
    <w:p>
      <w:pPr>
        <w:pStyle w:val="Compact"/>
        <w:numPr>
          <w:ilvl w:val="0"/>
          <w:numId w:val="1326"/>
        </w:numPr>
      </w:pPr>
      <w:r>
        <w:rPr>
          <w:rFonts w:hint="eastAsia"/>
        </w:rPr>
        <w:t xml:space="preserve">無形資產</w:t>
      </w:r>
    </w:p>
    <w:p>
      <w:pPr>
        <w:pStyle w:val="FirstParagraph"/>
      </w:pPr>
      <w:r>
        <w:rPr>
          <w:rFonts w:hint="eastAsia"/>
        </w:rPr>
        <w:t xml:space="preserve">百萬美元</w:t>
      </w:r>
    </w:p>
    <w:p>
      <w:pPr>
        <w:pStyle w:val="BodyText"/>
      </w:pPr>
      <w:r>
        <w:rPr>
          <w:rFonts w:hint="eastAsia"/>
        </w:rPr>
        <w:t xml:space="preserve">成本</w:t>
      </w:r>
    </w:p>
    <w:p>
      <w:pPr>
        <w:pStyle w:val="BodyText"/>
      </w:pPr>
      <w:r>
        <w:rPr>
          <w:rFonts w:hint="eastAsia"/>
        </w:rPr>
        <w:t xml:space="preserve">於2019年1月1日</w:t>
      </w:r>
    </w:p>
    <w:p>
      <w:pPr>
        <w:pStyle w:val="BodyText"/>
      </w:pPr>
      <w:r>
        <w:rPr>
          <w:rFonts w:hint="eastAsia"/>
        </w:rPr>
        <w:t xml:space="preserve">增加</w:t>
      </w:r>
    </w:p>
    <w:p>
      <w:pPr>
        <w:pStyle w:val="BodyText"/>
      </w:pPr>
      <w:r>
        <w:rPr>
          <w:rFonts w:hint="eastAsia"/>
        </w:rPr>
        <w:t xml:space="preserve">收購附屬公司</w:t>
      </w:r>
    </w:p>
    <w:p>
      <w:pPr>
        <w:pStyle w:val="BodyText"/>
      </w:pPr>
      <w:r>
        <w:rPr>
          <w:rFonts w:hint="eastAsia"/>
        </w:rPr>
        <w:t xml:space="preserve">出售</w:t>
      </w:r>
    </w:p>
    <w:p>
      <w:pPr>
        <w:pStyle w:val="BodyText"/>
      </w:pPr>
      <w:r>
        <w:rPr>
          <w:rFonts w:hint="eastAsia"/>
        </w:rPr>
        <w:t xml:space="preserve">外匯變動</w:t>
      </w:r>
    </w:p>
    <w:p>
      <w:pPr>
        <w:pStyle w:val="BodyText"/>
      </w:pPr>
      <w:r>
        <w:rPr>
          <w:rFonts w:hint="eastAsia"/>
        </w:rPr>
        <w:t xml:space="preserve">於2019年12月31日</w:t>
      </w:r>
    </w:p>
    <w:p>
      <w:pPr>
        <w:pStyle w:val="BodyText"/>
      </w:pPr>
      <w:r>
        <w:rPr>
          <w:rFonts w:hint="eastAsia"/>
        </w:rPr>
        <w:t xml:space="preserve">增加</w:t>
      </w:r>
    </w:p>
    <w:p>
      <w:pPr>
        <w:pStyle w:val="BodyText"/>
      </w:pPr>
      <w:r>
        <w:rPr>
          <w:rFonts w:hint="eastAsia"/>
        </w:rPr>
        <w:t xml:space="preserve">計量期間調整</w:t>
      </w:r>
    </w:p>
    <w:p>
      <w:pPr>
        <w:pStyle w:val="BodyText"/>
      </w:pPr>
      <w:r>
        <w:rPr>
          <w:rFonts w:hint="eastAsia"/>
        </w:rPr>
        <w:t xml:space="preserve">出售</w:t>
      </w:r>
    </w:p>
    <w:p>
      <w:pPr>
        <w:pStyle w:val="BodyText"/>
      </w:pPr>
      <w:r>
        <w:rPr>
          <w:rFonts w:hint="eastAsia"/>
        </w:rPr>
        <w:t xml:space="preserve">外匯變動</w:t>
      </w:r>
    </w:p>
    <w:p>
      <w:pPr>
        <w:pStyle w:val="BodyText"/>
      </w:pPr>
      <w:r>
        <w:rPr>
          <w:rFonts w:hint="eastAsia"/>
        </w:rPr>
        <w:t xml:space="preserve">於2020年12月31日</w:t>
      </w:r>
    </w:p>
    <w:p>
      <w:pPr>
        <w:pStyle w:val="BodyText"/>
      </w:pPr>
      <w:r>
        <w:rPr>
          <w:rFonts w:hint="eastAsia"/>
        </w:rPr>
        <w:t xml:space="preserve">累計攤銷</w:t>
      </w:r>
    </w:p>
    <w:p>
      <w:pPr>
        <w:pStyle w:val="BodyText"/>
      </w:pPr>
      <w:r>
        <w:rPr>
          <w:rFonts w:hint="eastAsia"/>
        </w:rPr>
        <w:t xml:space="preserve">於2019年1月1日</w:t>
      </w:r>
    </w:p>
    <w:p>
      <w:pPr>
        <w:pStyle w:val="BodyText"/>
      </w:pPr>
      <w:r>
        <w:rPr>
          <w:rFonts w:hint="eastAsia"/>
        </w:rPr>
        <w:t xml:space="preserve">年內攤銷費用</w:t>
      </w:r>
    </w:p>
    <w:p>
      <w:pPr>
        <w:pStyle w:val="BodyText"/>
      </w:pPr>
      <w:r>
        <w:rPr>
          <w:rFonts w:hint="eastAsia"/>
        </w:rPr>
        <w:t xml:space="preserve">出售</w:t>
      </w:r>
    </w:p>
    <w:p>
      <w:pPr>
        <w:pStyle w:val="BodyText"/>
      </w:pPr>
      <w:r>
        <w:rPr>
          <w:rFonts w:hint="eastAsia"/>
        </w:rPr>
        <w:t xml:space="preserve">外匯變動</w:t>
      </w:r>
    </w:p>
    <w:p>
      <w:pPr>
        <w:pStyle w:val="BodyText"/>
      </w:pPr>
      <w:r>
        <w:rPr>
          <w:rFonts w:hint="eastAsia"/>
        </w:rPr>
        <w:t xml:space="preserve">於2019年12月31日</w:t>
      </w:r>
    </w:p>
    <w:p>
      <w:pPr>
        <w:pStyle w:val="BodyText"/>
      </w:pPr>
      <w:r>
        <w:rPr>
          <w:rFonts w:hint="eastAsia"/>
        </w:rPr>
        <w:t xml:space="preserve">年內攤銷費用</w:t>
      </w:r>
    </w:p>
    <w:p>
      <w:pPr>
        <w:pStyle w:val="BodyText"/>
      </w:pPr>
      <w:r>
        <w:rPr>
          <w:rFonts w:hint="eastAsia"/>
        </w:rPr>
        <w:t xml:space="preserve">出售</w:t>
      </w:r>
    </w:p>
    <w:p>
      <w:pPr>
        <w:pStyle w:val="BodyText"/>
      </w:pPr>
      <w:r>
        <w:rPr>
          <w:rFonts w:hint="eastAsia"/>
        </w:rPr>
        <w:t xml:space="preserve">外匯變動</w:t>
      </w:r>
    </w:p>
    <w:p>
      <w:pPr>
        <w:pStyle w:val="BodyText"/>
      </w:pPr>
      <w:r>
        <w:rPr>
          <w:rFonts w:hint="eastAsia"/>
        </w:rPr>
        <w:t xml:space="preserve">於2020年12月31日</w:t>
      </w:r>
    </w:p>
    <w:p>
      <w:pPr>
        <w:pStyle w:val="BodyText"/>
      </w:pPr>
      <w:r>
        <w:rPr>
          <w:rFonts w:hint="eastAsia"/>
        </w:rPr>
        <w:t xml:space="preserve">賬面淨值</w:t>
      </w:r>
    </w:p>
    <w:p>
      <w:pPr>
        <w:pStyle w:val="BodyText"/>
      </w:pPr>
      <w:r>
        <w:rPr>
          <w:rFonts w:hint="eastAsia"/>
        </w:rPr>
        <w:t xml:space="preserve">於2019年12月31日</w:t>
      </w:r>
    </w:p>
    <w:p>
      <w:pPr>
        <w:pStyle w:val="BodyText"/>
      </w:pPr>
      <w:r>
        <w:rPr>
          <w:rFonts w:hint="eastAsia"/>
        </w:rPr>
        <w:t xml:space="preserve">於2020年12月31日</w:t>
      </w:r>
    </w:p>
    <w:p>
      <w:pPr>
        <w:pStyle w:val="BodyText"/>
      </w:pPr>
      <w:r>
        <w:rPr>
          <w:rFonts w:hint="eastAsia"/>
        </w:rPr>
        <w:t xml:space="preserve">附註</w:t>
      </w:r>
    </w:p>
    <w:p>
      <w:pPr>
        <w:pStyle w:val="BodyText"/>
      </w:pPr>
      <w:r>
        <w:rPr>
          <w:rFonts w:hint="eastAsia"/>
        </w:rPr>
        <w:t xml:space="preserve">商譽</w:t>
      </w:r>
    </w:p>
    <w:p>
      <w:pPr>
        <w:pStyle w:val="BodyText"/>
      </w:pPr>
      <w:r>
        <w:rPr>
          <w:rFonts w:hint="eastAsia"/>
        </w:rPr>
        <w:t xml:space="preserve">電腦軟件</w:t>
      </w:r>
    </w:p>
    <w:p>
      <w:pPr>
        <w:pStyle w:val="BodyText"/>
      </w:pPr>
      <w:r>
        <w:rPr>
          <w:rFonts w:hint="eastAsia"/>
        </w:rPr>
        <w:t xml:space="preserve">分銷及</w:t>
      </w:r>
      <w:r>
        <w:br/>
      </w:r>
      <w:r>
        <w:rPr>
          <w:rFonts w:hint="eastAsia"/>
        </w:rPr>
        <w:t xml:space="preserve">其他權利</w:t>
      </w:r>
    </w:p>
    <w:p>
      <w:pPr>
        <w:pStyle w:val="BodyText"/>
      </w:pPr>
      <w:r>
        <w:rPr>
          <w:rFonts w:hint="eastAsia"/>
        </w:rPr>
        <w:t xml:space="preserve">總計</w:t>
      </w:r>
    </w:p>
    <w:p>
      <w:pPr>
        <w:pStyle w:val="BodyText"/>
      </w:pPr>
      <w:r>
        <w:t xml:space="preserve">5</w:t>
      </w:r>
    </w:p>
    <w:p>
      <w:pPr>
        <w:pStyle w:val="BodyText"/>
      </w:pPr>
      <w:r>
        <w:t xml:space="preserve">976</w:t>
      </w:r>
    </w:p>
    <w:p>
      <w:pPr>
        <w:pStyle w:val="BodyText"/>
      </w:pPr>
      <w:r>
        <w:t xml:space="preserve">–</w:t>
      </w:r>
    </w:p>
    <w:p>
      <w:pPr>
        <w:pStyle w:val="BodyText"/>
      </w:pPr>
      <w:r>
        <w:t xml:space="preserve">558</w:t>
      </w:r>
    </w:p>
    <w:p>
      <w:pPr>
        <w:pStyle w:val="BodyText"/>
      </w:pPr>
      <w:r>
        <w:t xml:space="preserve">–</w:t>
      </w:r>
    </w:p>
    <w:p>
      <w:pPr>
        <w:pStyle w:val="BodyText"/>
      </w:pPr>
      <w:r>
        <w:t xml:space="preserve">21</w:t>
      </w:r>
    </w:p>
    <w:p>
      <w:pPr>
        <w:pStyle w:val="BodyText"/>
      </w:pPr>
      <w:r>
        <w:t xml:space="preserve">1,555</w:t>
      </w:r>
    </w:p>
    <w:p>
      <w:pPr>
        <w:pStyle w:val="BodyText"/>
      </w:pPr>
      <w:r>
        <w:t xml:space="preserve">–</w:t>
      </w:r>
    </w:p>
    <w:p>
      <w:pPr>
        <w:pStyle w:val="BodyText"/>
      </w:pPr>
      <w:r>
        <w:t xml:space="preserve">18</w:t>
      </w:r>
    </w:p>
    <w:p>
      <w:pPr>
        <w:pStyle w:val="BodyText"/>
      </w:pPr>
      <w:r>
        <w:t xml:space="preserve">–</w:t>
      </w:r>
    </w:p>
    <w:p>
      <w:pPr>
        <w:pStyle w:val="BodyText"/>
      </w:pPr>
      <w:r>
        <w:t xml:space="preserve">86</w:t>
      </w:r>
    </w:p>
    <w:p>
      <w:pPr>
        <w:pStyle w:val="BodyText"/>
      </w:pPr>
      <w:r>
        <w:t xml:space="preserve">1,659</w:t>
      </w:r>
    </w:p>
    <w:p>
      <w:pPr>
        <w:pStyle w:val="FirstParagraph"/>
      </w:pPr>
      <w:r>
        <w:t xml:space="preserve">–</w:t>
      </w:r>
    </w:p>
    <w:p>
      <w:pPr>
        <w:pStyle w:val="BodyText"/>
      </w:pPr>
      <w:r>
        <w:t xml:space="preserve">–</w:t>
      </w:r>
    </w:p>
    <w:p>
      <w:pPr>
        <w:pStyle w:val="BodyText"/>
      </w:pPr>
      <w:r>
        <w:t xml:space="preserve">–</w:t>
      </w:r>
    </w:p>
    <w:p>
      <w:pPr>
        <w:pStyle w:val="FirstParagraph"/>
      </w:pPr>
      <w:r>
        <w:t xml:space="preserve">–</w:t>
      </w:r>
    </w:p>
    <w:p>
      <w:pPr>
        <w:pStyle w:val="BodyText"/>
      </w:pPr>
      <w:r>
        <w:t xml:space="preserve">–</w:t>
      </w:r>
    </w:p>
    <w:p>
      <w:pPr>
        <w:pStyle w:val="BodyText"/>
      </w:pPr>
      <w:r>
        <w:t xml:space="preserve">–</w:t>
      </w:r>
    </w:p>
    <w:p>
      <w:pPr>
        <w:pStyle w:val="FirstParagraph"/>
      </w:pPr>
      <w:r>
        <w:t xml:space="preserve">1,551</w:t>
      </w:r>
    </w:p>
    <w:p>
      <w:pPr>
        <w:pStyle w:val="BodyText"/>
      </w:pPr>
      <w:r>
        <w:t xml:space="preserve">1,655</w:t>
      </w:r>
    </w:p>
    <w:p>
      <w:pPr>
        <w:pStyle w:val="BodyText"/>
      </w:pPr>
      <w:r>
        <w:t xml:space="preserve">598</w:t>
      </w:r>
    </w:p>
    <w:p>
      <w:pPr>
        <w:pStyle w:val="BodyText"/>
      </w:pPr>
      <w:r>
        <w:t xml:space="preserve">79</w:t>
      </w:r>
    </w:p>
    <w:p>
      <w:pPr>
        <w:pStyle w:val="BodyText"/>
      </w:pPr>
      <w:r>
        <w:t xml:space="preserve">4</w:t>
      </w:r>
    </w:p>
    <w:p>
      <w:pPr>
        <w:pStyle w:val="FirstParagraph"/>
      </w:pPr>
      <w:r>
        <w:t xml:space="preserve">8</w:t>
      </w:r>
    </w:p>
    <w:p>
      <w:pPr>
        <w:pStyle w:val="BodyText"/>
      </w:pPr>
      <w:r>
        <w:t xml:space="preserve">687</w:t>
      </w:r>
    </w:p>
    <w:p>
      <w:pPr>
        <w:pStyle w:val="BodyText"/>
      </w:pPr>
      <w:r>
        <w:t xml:space="preserve">130</w:t>
      </w:r>
    </w:p>
    <w:p>
      <w:pPr>
        <w:pStyle w:val="BodyText"/>
      </w:pPr>
      <w:r>
        <w:t xml:space="preserve">–</w:t>
      </w:r>
    </w:p>
    <w:p>
      <w:pPr>
        <w:pStyle w:val="FirstParagraph"/>
      </w:pPr>
      <w:r>
        <w:t xml:space="preserve">28</w:t>
      </w:r>
    </w:p>
    <w:p>
      <w:pPr>
        <w:pStyle w:val="BodyText"/>
      </w:pPr>
      <w:r>
        <w:t xml:space="preserve">823</w:t>
      </w:r>
    </w:p>
    <w:p>
      <w:pPr>
        <w:pStyle w:val="FirstParagraph"/>
      </w:pPr>
      <w:r>
        <w:t xml:space="preserve">1</w:t>
      </w:r>
    </w:p>
    <w:p>
      <w:pPr>
        <w:pStyle w:val="FirstParagraph"/>
      </w:pPr>
      <w:r>
        <w:t xml:space="preserve">16</w:t>
      </w:r>
    </w:p>
    <w:p>
      <w:pPr>
        <w:pStyle w:val="FirstParagraph"/>
      </w:pPr>
      <w:r>
        <w:t xml:space="preserve">265</w:t>
      </w:r>
    </w:p>
    <w:p>
      <w:pPr>
        <w:pStyle w:val="BodyText"/>
      </w:pPr>
      <w:r>
        <w:t xml:space="preserve">311</w:t>
      </w:r>
    </w:p>
    <w:p>
      <w:pPr>
        <w:pStyle w:val="BodyText"/>
      </w:pPr>
      <w:r>
        <w:t xml:space="preserve">888</w:t>
      </w:r>
    </w:p>
    <w:p>
      <w:pPr>
        <w:pStyle w:val="BodyText"/>
      </w:pPr>
      <w:r>
        <w:t xml:space="preserve">2,462</w:t>
      </w:r>
    </w:p>
    <w:p>
      <w:pPr>
        <w:pStyle w:val="BodyText"/>
      </w:pPr>
      <w:r>
        <w:t xml:space="preserve">2</w:t>
      </w:r>
    </w:p>
    <w:p>
      <w:pPr>
        <w:pStyle w:val="BodyText"/>
      </w:pPr>
      <w:r>
        <w:t xml:space="preserve">–</w:t>
      </w:r>
    </w:p>
    <w:p>
      <w:pPr>
        <w:pStyle w:val="BodyText"/>
      </w:pPr>
      <w:r>
        <w:t xml:space="preserve">–</w:t>
      </w:r>
    </w:p>
    <w:p>
      <w:pPr>
        <w:pStyle w:val="BodyText"/>
      </w:pPr>
      <w:r>
        <w:t xml:space="preserve">5</w:t>
      </w:r>
    </w:p>
    <w:p>
      <w:pPr>
        <w:pStyle w:val="BodyText"/>
      </w:pPr>
      <w:r>
        <w:t xml:space="preserve">895</w:t>
      </w:r>
    </w:p>
    <w:p>
      <w:pPr>
        <w:pStyle w:val="BodyText"/>
      </w:pPr>
      <w:r>
        <w:t xml:space="preserve">3</w:t>
      </w:r>
    </w:p>
    <w:p>
      <w:pPr>
        <w:pStyle w:val="BodyText"/>
      </w:pPr>
      <w:r>
        <w:t xml:space="preserve">–</w:t>
      </w:r>
    </w:p>
    <w:p>
      <w:pPr>
        <w:pStyle w:val="FirstParagraph"/>
      </w:pPr>
      <w:r>
        <w:t xml:space="preserve">15</w:t>
      </w:r>
    </w:p>
    <w:p>
      <w:pPr>
        <w:pStyle w:val="BodyText"/>
      </w:pPr>
      <w:r>
        <w:t xml:space="preserve">911</w:t>
      </w:r>
    </w:p>
    <w:p>
      <w:pPr>
        <w:pStyle w:val="FirstParagraph"/>
      </w:pPr>
      <w:r>
        <w:t xml:space="preserve">–</w:t>
      </w:r>
    </w:p>
    <w:p>
      <w:pPr>
        <w:pStyle w:val="BodyText"/>
      </w:pPr>
      <w:r>
        <w:t xml:space="preserve">–</w:t>
      </w:r>
    </w:p>
    <w:p>
      <w:pPr>
        <w:pStyle w:val="FirstParagraph"/>
      </w:pPr>
      <w:r>
        <w:t xml:space="preserve">2</w:t>
      </w:r>
    </w:p>
    <w:p>
      <w:pPr>
        <w:pStyle w:val="FirstParagraph"/>
      </w:pPr>
      <w:r>
        <w:t xml:space="preserve">704</w:t>
      </w:r>
    </w:p>
    <w:p>
      <w:pPr>
        <w:pStyle w:val="BodyText"/>
      </w:pPr>
      <w:r>
        <w:t xml:space="preserve">668</w:t>
      </w:r>
    </w:p>
    <w:p>
      <w:pPr>
        <w:pStyle w:val="BodyText"/>
      </w:pPr>
      <w:r>
        <w:t xml:space="preserve">81</w:t>
      </w:r>
    </w:p>
    <w:p>
      <w:pPr>
        <w:pStyle w:val="BodyText"/>
      </w:pPr>
      <w:r>
        <w:t xml:space="preserve">562</w:t>
      </w:r>
    </w:p>
    <w:p>
      <w:pPr>
        <w:pStyle w:val="FirstParagraph"/>
      </w:pPr>
      <w:r>
        <w:t xml:space="preserve">34</w:t>
      </w:r>
    </w:p>
    <w:p>
      <w:pPr>
        <w:pStyle w:val="BodyText"/>
      </w:pPr>
      <w:r>
        <w:t xml:space="preserve">3,137</w:t>
      </w:r>
    </w:p>
    <w:p>
      <w:pPr>
        <w:pStyle w:val="BodyText"/>
      </w:pPr>
      <w:r>
        <w:t xml:space="preserve">133</w:t>
      </w:r>
    </w:p>
    <w:p>
      <w:pPr>
        <w:pStyle w:val="BodyText"/>
      </w:pPr>
      <w:r>
        <w:t xml:space="preserve">18</w:t>
      </w:r>
    </w:p>
    <w:p>
      <w:pPr>
        <w:pStyle w:val="FirstParagraph"/>
      </w:pPr>
      <w:r>
        <w:t xml:space="preserve">129</w:t>
      </w:r>
    </w:p>
    <w:p>
      <w:pPr>
        <w:pStyle w:val="BodyText"/>
      </w:pPr>
      <w:r>
        <w:t xml:space="preserve">3,393</w:t>
      </w:r>
    </w:p>
    <w:p>
      <w:pPr>
        <w:pStyle w:val="FirstParagraph"/>
      </w:pPr>
      <w:r>
        <w:t xml:space="preserve">1</w:t>
      </w:r>
    </w:p>
    <w:p>
      <w:pPr>
        <w:pStyle w:val="FirstParagraph"/>
      </w:pPr>
      <w:r>
        <w:t xml:space="preserve">18</w:t>
      </w:r>
    </w:p>
    <w:p>
      <w:pPr>
        <w:pStyle w:val="FirstParagraph"/>
      </w:pPr>
      <w:r>
        <w:t xml:space="preserve">2,520</w:t>
      </w:r>
    </w:p>
    <w:p>
      <w:pPr>
        <w:pStyle w:val="BodyText"/>
      </w:pPr>
      <w:r>
        <w:t xml:space="preserve">2,634</w:t>
      </w:r>
    </w:p>
    <w:p>
      <w:pPr>
        <w:pStyle w:val="BodyText"/>
      </w:pPr>
      <w:r>
        <w:rPr>
          <w:rFonts w:hint="eastAsia"/>
        </w:rPr>
        <w:t xml:space="preserve">本集團持有無形資產作長期用途，而年度攤銷支出1.42億美元（2019年：1.21億美元）與於報告期末起12個月內使用後預期</w:t>
      </w:r>
    </w:p>
    <w:p>
      <w:pPr>
        <w:pStyle w:val="BodyText"/>
      </w:pPr>
      <w:r>
        <w:rPr>
          <w:rFonts w:hint="eastAsia"/>
        </w:rPr>
        <w:t xml:space="preserve">可收回的金額相若。</w:t>
      </w:r>
    </w:p>
    <w:p>
      <w:pPr>
        <w:pStyle w:val="BodyText"/>
      </w:pPr>
      <w:r>
        <w:rPr>
          <w:rFonts w:hint="eastAsia"/>
        </w:rPr>
        <w:t xml:space="preserve">本附註內的無形資產不包括遞延承保及啟動成本，其乃單獨披露，進一步詳情載於附註20。</w:t>
      </w:r>
    </w:p>
    <w:p>
      <w:pPr>
        <w:pStyle w:val="BodyText"/>
      </w:pPr>
      <w:r>
        <w:rPr>
          <w:rFonts w:hint="eastAsia"/>
        </w:rPr>
        <w:t xml:space="preserve">商譽減值測試</w:t>
      </w:r>
    </w:p>
    <w:p>
      <w:pPr>
        <w:pStyle w:val="BodyText"/>
      </w:pPr>
      <w:r>
        <w:rPr>
          <w:rFonts w:hint="eastAsia"/>
        </w:rPr>
        <w:t xml:space="preserve">商譽主要來自本集團於馬來西亞的保險業務7.31億美元（2019年：7.18億美元）及澳洲（包括新西蘭）的保險業務8.20億美元</w:t>
      </w:r>
    </w:p>
    <w:p>
      <w:pPr>
        <w:pStyle w:val="BodyText"/>
      </w:pPr>
      <w:r>
        <w:rPr>
          <w:rFonts w:hint="eastAsia"/>
        </w:rPr>
        <w:t xml:space="preserve">（2019年：7.28億美元）。本集團通過比較現金產生單位（單位組別）（包括商譽）的賬面值與該現金產生單位（單位組別）的可</w:t>
      </w:r>
    </w:p>
    <w:p>
      <w:pPr>
        <w:pStyle w:val="BodyText"/>
      </w:pPr>
      <w:r>
        <w:rPr>
          <w:rFonts w:hint="eastAsia"/>
        </w:rPr>
        <w:t xml:space="preserve">收回金額作商譽減值測試。倘若該單位（單位組別）的可收回金額高於其單位（單位組別）的賬面值，則分配予該單位（單位</w:t>
      </w:r>
    </w:p>
    <w:p>
      <w:pPr>
        <w:pStyle w:val="BodyText"/>
      </w:pPr>
      <w:r>
        <w:rPr>
          <w:rFonts w:hint="eastAsia"/>
        </w:rPr>
        <w:t xml:space="preserve">組別）的商譽應被認定為未減值。除另有說明外，可收回金額指現金產生單位（單位組別）的使用價值。</w:t>
      </w:r>
    </w:p>
    <w:p>
      <w:pPr>
        <w:pStyle w:val="BodyText"/>
      </w:pPr>
      <w:r>
        <w:rPr>
          <w:rFonts w:hint="eastAsia"/>
        </w:rPr>
        <w:t xml:space="preserve">使用價值乃基於現金產生單位（單位組別）的業務的內涵價值及預計未來新業務的現值計算，為一項以精算方式釐定的評估</w:t>
      </w:r>
    </w:p>
    <w:p>
      <w:pPr>
        <w:pStyle w:val="BodyText"/>
      </w:pPr>
      <w:r>
        <w:rPr>
          <w:rFonts w:hint="eastAsia"/>
        </w:rPr>
        <w:t xml:space="preserve">價值。預計未來新業務的現值乃基於管理層批准的財務預算釐定，除另有說明外，通常涵蓋三年期間。該等財務預算反映管</w:t>
      </w:r>
    </w:p>
    <w:p>
      <w:pPr>
        <w:pStyle w:val="BodyText"/>
      </w:pPr>
      <w:r>
        <w:rPr>
          <w:rFonts w:hint="eastAsia"/>
        </w:rPr>
        <w:t xml:space="preserve">理層基於過往經驗及對保費及開支等最佳估計營運假設。此外，超出該初始三年期間的預計未來新業務現值使用永續增長率</w:t>
      </w:r>
      <w:r>
        <w:br/>
      </w:r>
      <w:r>
        <w:rPr>
          <w:rFonts w:hint="eastAsia"/>
        </w:rPr>
        <w:t xml:space="preserve">進行推斷，永續增長率通常不超過支持商譽的現金流量產生的地區的長期預計國內生產總值(GDP)增長率。</w:t>
      </w:r>
    </w:p>
    <w:p>
      <w:pPr>
        <w:pStyle w:val="BodyText"/>
      </w:pPr>
      <w:r>
        <w:t xml:space="preserve">191</w:t>
      </w:r>
    </w:p>
    <w:p>
      <w:pPr>
        <w:pStyle w:val="BodyText"/>
      </w:pPr>
      <w:r>
        <w:rPr>
          <w:rFonts w:hint="eastAsia"/>
        </w:rPr>
        <w:t xml:space="preserve">概覽財務及營運回顧企業管治其他資料財務報表2020年報</w:t>
      </w:r>
    </w:p>
    <w:p>
      <w:pPr>
        <w:pStyle w:val="Compact"/>
        <w:numPr>
          <w:ilvl w:val="0"/>
          <w:numId w:val="1344"/>
        </w:numPr>
      </w:pPr>
      <w:r>
        <w:rPr>
          <w:rFonts w:hint="eastAsia"/>
        </w:rPr>
        <w:t xml:space="preserve">無形資產（續）</w:t>
      </w:r>
    </w:p>
    <w:p>
      <w:pPr>
        <w:pStyle w:val="FirstParagraph"/>
      </w:pPr>
      <w:r>
        <w:rPr>
          <w:rFonts w:hint="eastAsia"/>
        </w:rPr>
        <w:t xml:space="preserve">商譽減值測試（續）</w:t>
      </w:r>
    </w:p>
    <w:p>
      <w:pPr>
        <w:pStyle w:val="BodyText"/>
      </w:pPr>
      <w:r>
        <w:rPr>
          <w:rFonts w:hint="eastAsia"/>
        </w:rPr>
        <w:t xml:space="preserve">內涵價值計算中所使用的主要假設包括風險貼現率、投資回報、死亡率、傷病率、續保率、開支及通脹。於大多數情況下，</w:t>
      </w:r>
    </w:p>
    <w:p>
      <w:pPr>
        <w:pStyle w:val="BodyText"/>
      </w:pPr>
      <w:r>
        <w:rPr>
          <w:rFonts w:hint="eastAsia"/>
        </w:rPr>
        <w:t xml:space="preserve">該等假設與詳載於內涵價值補充資料第5節的假設相匹配。預計未來新業務的現值乃基於一組指標（其中包括考慮近期產品</w:t>
      </w:r>
    </w:p>
    <w:p>
      <w:pPr>
        <w:pStyle w:val="BodyText"/>
      </w:pPr>
      <w:r>
        <w:rPr>
          <w:rFonts w:hint="eastAsia"/>
        </w:rPr>
        <w:t xml:space="preserve">組合、業務策略、市場趨勢及與未來新業務預測相關的風險）計算。有效保單業務使用價值及預計未來新業務現值所用的風</w:t>
      </w:r>
    </w:p>
    <w:p>
      <w:pPr>
        <w:pStyle w:val="BodyText"/>
      </w:pPr>
      <w:r>
        <w:rPr>
          <w:rFonts w:hint="eastAsia"/>
        </w:rPr>
        <w:t xml:space="preserve">險貼現率介乎8%至16%（2019年：8%至16%），且未來新業務現金流量的永續增長率3%（如適用）用於推斷超出財務預算初</w:t>
      </w:r>
    </w:p>
    <w:p>
      <w:pPr>
        <w:pStyle w:val="BodyText"/>
      </w:pPr>
      <w:r>
        <w:rPr>
          <w:rFonts w:hint="eastAsia"/>
        </w:rPr>
        <w:t xml:space="preserve">始三年期間預計未來新業務的現值；該增長率乃經參考支持商譽的現金流量產生的地區的長期預計GDP增長率釐定。若在特</w:t>
      </w:r>
    </w:p>
    <w:p>
      <w:pPr>
        <w:pStyle w:val="BodyText"/>
      </w:pPr>
      <w:r>
        <w:rPr>
          <w:rFonts w:hint="eastAsia"/>
        </w:rPr>
        <w:t xml:space="preserve">定情況下上述方法並不適用，本集團可能會採用其他方法評估未來新業務的價值。</w:t>
      </w:r>
    </w:p>
    <w:p>
      <w:pPr>
        <w:pStyle w:val="Compact"/>
        <w:numPr>
          <w:ilvl w:val="0"/>
          <w:numId w:val="1345"/>
        </w:numPr>
      </w:pPr>
      <w:r>
        <w:rPr>
          <w:rFonts w:hint="eastAsia"/>
        </w:rPr>
        <w:t xml:space="preserve">於聯營公司及合資公司的投資</w:t>
      </w:r>
    </w:p>
    <w:p>
      <w:pPr>
        <w:pStyle w:val="FirstParagraph"/>
      </w:pPr>
      <w:r>
        <w:rPr>
          <w:rFonts w:hint="eastAsia"/>
        </w:rPr>
        <w:t xml:space="preserve">百萬美元</w:t>
      </w:r>
    </w:p>
    <w:p>
      <w:pPr>
        <w:pStyle w:val="BodyText"/>
      </w:pPr>
      <w:r>
        <w:rPr>
          <w:rFonts w:hint="eastAsia"/>
        </w:rPr>
        <w:t xml:space="preserve">本集團</w:t>
      </w:r>
    </w:p>
    <w:p>
      <w:pPr>
        <w:pStyle w:val="BodyText"/>
      </w:pPr>
      <w:r>
        <w:rPr>
          <w:rFonts w:hint="eastAsia"/>
        </w:rPr>
        <w:t xml:space="preserve">於聯營公司的投資</w:t>
      </w:r>
    </w:p>
    <w:p>
      <w:pPr>
        <w:pStyle w:val="BodyText"/>
      </w:pPr>
      <w:r>
        <w:rPr>
          <w:rFonts w:hint="eastAsia"/>
        </w:rPr>
        <w:t xml:space="preserve">於合資公司的投資</w:t>
      </w:r>
    </w:p>
    <w:p>
      <w:pPr>
        <w:pStyle w:val="BodyText"/>
      </w:pPr>
      <w:r>
        <w:rPr>
          <w:rFonts w:hint="eastAsia"/>
        </w:rPr>
        <w:t xml:space="preserve">總計</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592</w:t>
      </w:r>
    </w:p>
    <w:p>
      <w:pPr>
        <w:pStyle w:val="BodyText"/>
      </w:pPr>
      <w:r>
        <w:t xml:space="preserve">14</w:t>
      </w:r>
    </w:p>
    <w:p>
      <w:pPr>
        <w:pStyle w:val="BodyText"/>
      </w:pPr>
      <w:r>
        <w:t xml:space="preserve">606</w:t>
      </w:r>
    </w:p>
    <w:p>
      <w:pPr>
        <w:pStyle w:val="BodyText"/>
      </w:pPr>
      <w:r>
        <w:t xml:space="preserve">603</w:t>
      </w:r>
    </w:p>
    <w:p>
      <w:pPr>
        <w:pStyle w:val="BodyText"/>
      </w:pPr>
      <w:r>
        <w:t xml:space="preserve">12</w:t>
      </w:r>
    </w:p>
    <w:p>
      <w:pPr>
        <w:pStyle w:val="BodyText"/>
      </w:pPr>
      <w:r>
        <w:t xml:space="preserve">615</w:t>
      </w:r>
    </w:p>
    <w:p>
      <w:pPr>
        <w:pStyle w:val="BodyText"/>
      </w:pPr>
      <w:r>
        <w:rPr>
          <w:rFonts w:hint="eastAsia"/>
        </w:rPr>
        <w:t xml:space="preserve">於聯營公司及合資公司的投資旨在為本集團的表現帶來長期貢獻，因此所有數額預期均會在報告期末起12個月後變現。</w:t>
      </w:r>
    </w:p>
    <w:p>
      <w:pPr>
        <w:pStyle w:val="BodyText"/>
      </w:pPr>
      <w:r>
        <w:rPr>
          <w:rFonts w:hint="eastAsia"/>
        </w:rPr>
        <w:t xml:space="preserve">本集團所持主要聯營公司及合資公司的權益如下：</w:t>
      </w:r>
    </w:p>
    <w:p>
      <w:pPr>
        <w:pStyle w:val="BodyText"/>
      </w:pPr>
      <w:r>
        <w:rPr>
          <w:rFonts w:hint="eastAsia"/>
        </w:rPr>
        <w:t xml:space="preserve">註冊成立地方</w:t>
      </w:r>
      <w:r>
        <w:t xml:space="preserve"> </w:t>
      </w:r>
      <w:r>
        <w:rPr>
          <w:rFonts w:hint="eastAsia"/>
        </w:rPr>
        <w:t xml:space="preserve">主要活動</w:t>
      </w:r>
    </w:p>
    <w:p>
      <w:pPr>
        <w:pStyle w:val="BodyText"/>
      </w:pPr>
      <w:r>
        <w:rPr>
          <w:rFonts w:hint="eastAsia"/>
        </w:rPr>
        <w:t xml:space="preserve">所持股份類別</w:t>
      </w:r>
    </w:p>
    <w:p>
      <w:pPr>
        <w:pStyle w:val="BodyText"/>
      </w:pPr>
      <w:r>
        <w:rPr>
          <w:rFonts w:hint="eastAsia"/>
        </w:rPr>
        <w:t xml:space="preserve">本集團所佔權益百分比</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Tata AIA Life Insurance Company Limited</w:t>
      </w:r>
    </w:p>
    <w:p>
      <w:pPr>
        <w:pStyle w:val="BodyText"/>
      </w:pPr>
      <w:r>
        <w:rPr>
          <w:rFonts w:hint="eastAsia"/>
        </w:rPr>
        <w:t xml:space="preserve">印度</w:t>
      </w:r>
    </w:p>
    <w:p>
      <w:pPr>
        <w:pStyle w:val="BodyText"/>
      </w:pPr>
      <w:r>
        <w:rPr>
          <w:rFonts w:hint="eastAsia"/>
        </w:rPr>
        <w:t xml:space="preserve">保險</w:t>
      </w:r>
    </w:p>
    <w:p>
      <w:pPr>
        <w:pStyle w:val="BodyText"/>
      </w:pPr>
      <w:r>
        <w:rPr>
          <w:rFonts w:hint="eastAsia"/>
        </w:rPr>
        <w:t xml:space="preserve">普通股</w:t>
      </w:r>
    </w:p>
    <w:p>
      <w:pPr>
        <w:pStyle w:val="BodyText"/>
      </w:pPr>
      <w:r>
        <w:t xml:space="preserve">49%</w:t>
      </w:r>
    </w:p>
    <w:p>
      <w:pPr>
        <w:pStyle w:val="BodyText"/>
      </w:pPr>
      <w:r>
        <w:t xml:space="preserve">49%</w:t>
      </w:r>
    </w:p>
    <w:p>
      <w:pPr>
        <w:pStyle w:val="BodyText"/>
      </w:pPr>
      <w:r>
        <w:rPr>
          <w:rFonts w:hint="eastAsia"/>
        </w:rPr>
        <w:t xml:space="preserve">所有聯營公司及合資公司並無上市。</w:t>
      </w:r>
    </w:p>
    <w:p>
      <w:pPr>
        <w:pStyle w:val="BodyText"/>
      </w:pPr>
      <w:r>
        <w:rPr>
          <w:rFonts w:hint="eastAsia"/>
        </w:rPr>
        <w:t xml:space="preserve">聯營公司及合資公司的綜合財務資料</w:t>
      </w:r>
    </w:p>
    <w:p>
      <w:pPr>
        <w:pStyle w:val="BodyText"/>
      </w:pPr>
      <w:r>
        <w:rPr>
          <w:rFonts w:hint="eastAsia"/>
        </w:rPr>
        <w:t xml:space="preserve">於聯營公司及合資公司的投資使用權益法計量。下表為該等聯營公司及合資公司的合計賬面值、分佔虧損及其他全面開支分</w:t>
      </w:r>
    </w:p>
    <w:p>
      <w:pPr>
        <w:pStyle w:val="BodyText"/>
      </w:pPr>
      <w:r>
        <w:rPr>
          <w:rFonts w:hint="eastAsia"/>
        </w:rPr>
        <w:t xml:space="preserve">析。</w:t>
      </w:r>
    </w:p>
    <w:p>
      <w:pPr>
        <w:pStyle w:val="BodyText"/>
      </w:pPr>
      <w:r>
        <w:rPr>
          <w:rFonts w:hint="eastAsia"/>
        </w:rPr>
        <w:t xml:space="preserve">百萬美元</w:t>
      </w:r>
    </w:p>
    <w:p>
      <w:pPr>
        <w:pStyle w:val="BodyText"/>
      </w:pPr>
      <w:r>
        <w:rPr>
          <w:rFonts w:hint="eastAsia"/>
        </w:rPr>
        <w:t xml:space="preserve">財務狀況表的賬面值</w:t>
      </w:r>
    </w:p>
    <w:p>
      <w:pPr>
        <w:pStyle w:val="BodyText"/>
      </w:pPr>
      <w:r>
        <w:rPr>
          <w:rFonts w:hint="eastAsia"/>
        </w:rPr>
        <w:t xml:space="preserve">來自持續經營業務的虧損</w:t>
      </w:r>
    </w:p>
    <w:p>
      <w:pPr>
        <w:pStyle w:val="BodyText"/>
      </w:pPr>
      <w:r>
        <w:rPr>
          <w:rFonts w:hint="eastAsia"/>
        </w:rPr>
        <w:t xml:space="preserve">其他全面開支</w:t>
      </w:r>
    </w:p>
    <w:p>
      <w:pPr>
        <w:pStyle w:val="BodyText"/>
      </w:pPr>
      <w:r>
        <w:rPr>
          <w:rFonts w:hint="eastAsia"/>
        </w:rPr>
        <w:t xml:space="preserve">全面開支總額</w:t>
      </w:r>
    </w:p>
    <w:p>
      <w:pPr>
        <w:pStyle w:val="BodyText"/>
      </w:pPr>
      <w:r>
        <w:t xml:space="preserve">192</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606</w:t>
      </w:r>
    </w:p>
    <w:p>
      <w:pPr>
        <w:pStyle w:val="FirstParagraph"/>
      </w:pPr>
      <w:r>
        <w:t xml:space="preserve">615</w:t>
      </w:r>
    </w:p>
    <w:p>
      <w:pPr>
        <w:pStyle w:val="FirstParagraph"/>
      </w:pPr>
      <w:r>
        <w:rPr>
          <w:rFonts w:hint="eastAsia"/>
        </w:rPr>
        <w:t xml:space="preserve">友邦保險控股有限公司</w:t>
      </w:r>
    </w:p>
    <w:p>
      <w:pPr>
        <w:pStyle w:val="Compact"/>
        <w:numPr>
          <w:ilvl w:val="0"/>
          <w:numId w:val="1348"/>
        </w:numPr>
      </w:pPr>
      <w:r>
        <w:rPr>
          <w:rFonts w:hint="eastAsia"/>
        </w:rPr>
        <w:t xml:space="preserve">物業、廠房及設備</w:t>
      </w:r>
    </w:p>
    <w:p>
      <w:pPr>
        <w:pStyle w:val="FirstParagraph"/>
      </w:pPr>
      <w:r>
        <w:rPr>
          <w:rFonts w:hint="eastAsia"/>
        </w:rPr>
        <w:t xml:space="preserve">百萬美元</w:t>
      </w:r>
    </w:p>
    <w:p>
      <w:pPr>
        <w:pStyle w:val="BodyText"/>
      </w:pPr>
      <w:r>
        <w:rPr>
          <w:rFonts w:hint="eastAsia"/>
        </w:rPr>
        <w:t xml:space="preserve">成本或重估</w:t>
      </w:r>
    </w:p>
    <w:p>
      <w:pPr>
        <w:pStyle w:val="BodyText"/>
      </w:pPr>
      <w:r>
        <w:rPr>
          <w:rFonts w:hint="eastAsia"/>
        </w:rPr>
        <w:t xml:space="preserve">於2019年1月1日</w:t>
      </w:r>
    </w:p>
    <w:p>
      <w:pPr>
        <w:pStyle w:val="BodyText"/>
      </w:pPr>
      <w:r>
        <w:rPr>
          <w:rFonts w:hint="eastAsia"/>
        </w:rPr>
        <w:t xml:space="preserve">增加</w:t>
      </w:r>
    </w:p>
    <w:p>
      <w:pPr>
        <w:pStyle w:val="BodyText"/>
      </w:pPr>
      <w:r>
        <w:rPr>
          <w:rFonts w:hint="eastAsia"/>
        </w:rPr>
        <w:t xml:space="preserve">出售</w:t>
      </w:r>
    </w:p>
    <w:p>
      <w:pPr>
        <w:pStyle w:val="BodyText"/>
      </w:pPr>
      <w:r>
        <w:rPr>
          <w:rFonts w:hint="eastAsia"/>
        </w:rPr>
        <w:t xml:space="preserve">轉自投資物業淨額</w:t>
      </w:r>
    </w:p>
    <w:p>
      <w:pPr>
        <w:pStyle w:val="BodyText"/>
      </w:pPr>
      <w:r>
        <w:rPr>
          <w:rFonts w:hint="eastAsia"/>
        </w:rPr>
        <w:t xml:space="preserve">估值增加</w:t>
      </w:r>
    </w:p>
    <w:p>
      <w:pPr>
        <w:pStyle w:val="BodyText"/>
      </w:pPr>
      <w:r>
        <w:rPr>
          <w:rFonts w:hint="eastAsia"/>
        </w:rPr>
        <w:t xml:space="preserve">外匯變動</w:t>
      </w:r>
    </w:p>
    <w:p>
      <w:pPr>
        <w:pStyle w:val="BodyText"/>
      </w:pPr>
      <w:r>
        <w:rPr>
          <w:rFonts w:hint="eastAsia"/>
        </w:rPr>
        <w:t xml:space="preserve">於2019年12月31日</w:t>
      </w:r>
    </w:p>
    <w:p>
      <w:pPr>
        <w:pStyle w:val="BodyText"/>
      </w:pPr>
      <w:r>
        <w:rPr>
          <w:rFonts w:hint="eastAsia"/>
        </w:rPr>
        <w:t xml:space="preserve">增加</w:t>
      </w:r>
    </w:p>
    <w:p>
      <w:pPr>
        <w:pStyle w:val="BodyText"/>
      </w:pPr>
      <w:r>
        <w:rPr>
          <w:rFonts w:hint="eastAsia"/>
        </w:rPr>
        <w:t xml:space="preserve">出售</w:t>
      </w:r>
    </w:p>
    <w:p>
      <w:pPr>
        <w:pStyle w:val="BodyText"/>
      </w:pPr>
      <w:r>
        <w:rPr>
          <w:rFonts w:hint="eastAsia"/>
        </w:rPr>
        <w:t xml:space="preserve">估值減少</w:t>
      </w:r>
    </w:p>
    <w:p>
      <w:pPr>
        <w:pStyle w:val="BodyText"/>
      </w:pPr>
      <w:r>
        <w:rPr>
          <w:rFonts w:hint="eastAsia"/>
        </w:rPr>
        <w:t xml:space="preserve">外匯變動</w:t>
      </w:r>
    </w:p>
    <w:p>
      <w:pPr>
        <w:pStyle w:val="BodyText"/>
      </w:pPr>
      <w:r>
        <w:rPr>
          <w:rFonts w:hint="eastAsia"/>
        </w:rPr>
        <w:t xml:space="preserve">於2020年12月31日</w:t>
      </w:r>
    </w:p>
    <w:p>
      <w:pPr>
        <w:pStyle w:val="BodyText"/>
      </w:pPr>
      <w:r>
        <w:rPr>
          <w:rFonts w:hint="eastAsia"/>
        </w:rPr>
        <w:t xml:space="preserve">累計折舊</w:t>
      </w:r>
    </w:p>
    <w:p>
      <w:pPr>
        <w:pStyle w:val="BodyText"/>
      </w:pPr>
      <w:r>
        <w:rPr>
          <w:rFonts w:hint="eastAsia"/>
        </w:rPr>
        <w:t xml:space="preserve">於2019年1月1日</w:t>
      </w:r>
    </w:p>
    <w:p>
      <w:pPr>
        <w:pStyle w:val="BodyText"/>
      </w:pPr>
      <w:r>
        <w:rPr>
          <w:rFonts w:hint="eastAsia"/>
        </w:rPr>
        <w:t xml:space="preserve">年內折舊支出</w:t>
      </w:r>
    </w:p>
    <w:p>
      <w:pPr>
        <w:pStyle w:val="BodyText"/>
      </w:pPr>
      <w:r>
        <w:rPr>
          <w:rFonts w:hint="eastAsia"/>
        </w:rPr>
        <w:t xml:space="preserve">出售</w:t>
      </w:r>
    </w:p>
    <w:p>
      <w:pPr>
        <w:pStyle w:val="BodyText"/>
      </w:pPr>
      <w:r>
        <w:rPr>
          <w:rFonts w:hint="eastAsia"/>
        </w:rPr>
        <w:t xml:space="preserve">重估調整</w:t>
      </w:r>
    </w:p>
    <w:p>
      <w:pPr>
        <w:pStyle w:val="BodyText"/>
      </w:pPr>
      <w:r>
        <w:rPr>
          <w:rFonts w:hint="eastAsia"/>
        </w:rPr>
        <w:t xml:space="preserve">外匯變動</w:t>
      </w:r>
    </w:p>
    <w:p>
      <w:pPr>
        <w:pStyle w:val="BodyText"/>
      </w:pPr>
      <w:r>
        <w:rPr>
          <w:rFonts w:hint="eastAsia"/>
        </w:rPr>
        <w:t xml:space="preserve">於2019年12月31日</w:t>
      </w:r>
    </w:p>
    <w:p>
      <w:pPr>
        <w:pStyle w:val="BodyText"/>
      </w:pPr>
      <w:r>
        <w:rPr>
          <w:rFonts w:hint="eastAsia"/>
        </w:rPr>
        <w:t xml:space="preserve">年內折舊支出</w:t>
      </w:r>
    </w:p>
    <w:p>
      <w:pPr>
        <w:pStyle w:val="BodyText"/>
      </w:pPr>
      <w:r>
        <w:rPr>
          <w:rFonts w:hint="eastAsia"/>
        </w:rPr>
        <w:t xml:space="preserve">出售</w:t>
      </w:r>
    </w:p>
    <w:p>
      <w:pPr>
        <w:pStyle w:val="BodyText"/>
      </w:pPr>
      <w:r>
        <w:rPr>
          <w:rFonts w:hint="eastAsia"/>
        </w:rPr>
        <w:t xml:space="preserve">重估調整</w:t>
      </w:r>
    </w:p>
    <w:p>
      <w:pPr>
        <w:pStyle w:val="BodyText"/>
      </w:pPr>
      <w:r>
        <w:rPr>
          <w:rFonts w:hint="eastAsia"/>
        </w:rPr>
        <w:t xml:space="preserve">外匯變動</w:t>
      </w:r>
    </w:p>
    <w:p>
      <w:pPr>
        <w:pStyle w:val="BodyText"/>
      </w:pPr>
      <w:r>
        <w:rPr>
          <w:rFonts w:hint="eastAsia"/>
        </w:rPr>
        <w:t xml:space="preserve">於2020年12月31日</w:t>
      </w:r>
    </w:p>
    <w:p>
      <w:pPr>
        <w:pStyle w:val="BodyText"/>
      </w:pPr>
      <w:r>
        <w:rPr>
          <w:rFonts w:hint="eastAsia"/>
        </w:rPr>
        <w:t xml:space="preserve">賬面淨值</w:t>
      </w:r>
    </w:p>
    <w:p>
      <w:pPr>
        <w:pStyle w:val="BodyText"/>
      </w:pPr>
      <w:r>
        <w:rPr>
          <w:rFonts w:hint="eastAsia"/>
        </w:rPr>
        <w:t xml:space="preserve">於2019年12月31日</w:t>
      </w:r>
    </w:p>
    <w:p>
      <w:pPr>
        <w:pStyle w:val="BodyText"/>
      </w:pPr>
      <w:r>
        <w:rPr>
          <w:rFonts w:hint="eastAsia"/>
        </w:rPr>
        <w:t xml:space="preserve">於2020年12月31日</w:t>
      </w:r>
    </w:p>
    <w:p>
      <w:pPr>
        <w:pStyle w:val="BodyText"/>
      </w:pPr>
      <w:r>
        <w:rPr>
          <w:rFonts w:hint="eastAsia"/>
        </w:rPr>
        <w:t xml:space="preserve">持作自用物業</w:t>
      </w:r>
    </w:p>
    <w:p>
      <w:pPr>
        <w:pStyle w:val="BodyText"/>
      </w:pPr>
      <w:r>
        <w:rPr>
          <w:rFonts w:hint="eastAsia"/>
        </w:rPr>
        <w:t xml:space="preserve">電腦硬件</w:t>
      </w:r>
    </w:p>
    <w:p>
      <w:pPr>
        <w:pStyle w:val="BodyText"/>
      </w:pPr>
      <w:r>
        <w:rPr>
          <w:rFonts w:hint="eastAsia"/>
        </w:rPr>
        <w:t xml:space="preserve">裝置及</w:t>
      </w:r>
      <w:r>
        <w:br/>
      </w:r>
      <w:r>
        <w:rPr>
          <w:rFonts w:hint="eastAsia"/>
        </w:rPr>
        <w:t xml:space="preserve">設備及其他</w:t>
      </w:r>
    </w:p>
    <w:p>
      <w:pPr>
        <w:pStyle w:val="BodyText"/>
      </w:pPr>
      <w:r>
        <w:rPr>
          <w:rFonts w:hint="eastAsia"/>
        </w:rPr>
        <w:t xml:space="preserve">總計</w:t>
      </w:r>
    </w:p>
    <w:p>
      <w:pPr>
        <w:pStyle w:val="BodyText"/>
      </w:pPr>
      <w:r>
        <w:t xml:space="preserve">2,384</w:t>
      </w:r>
    </w:p>
    <w:p>
      <w:pPr>
        <w:pStyle w:val="BodyText"/>
      </w:pPr>
      <w:r>
        <w:t xml:space="preserve">202</w:t>
      </w:r>
    </w:p>
    <w:p>
      <w:pPr>
        <w:pStyle w:val="FirstParagraph"/>
      </w:pPr>
      <w:r>
        <w:t xml:space="preserve">12</w:t>
      </w:r>
    </w:p>
    <w:p>
      <w:pPr>
        <w:pStyle w:val="BodyText"/>
      </w:pPr>
      <w:r>
        <w:t xml:space="preserve">141</w:t>
      </w:r>
    </w:p>
    <w:p>
      <w:pPr>
        <w:pStyle w:val="BodyText"/>
      </w:pPr>
      <w:r>
        <w:t xml:space="preserve">22</w:t>
      </w:r>
    </w:p>
    <w:p>
      <w:pPr>
        <w:pStyle w:val="BodyText"/>
      </w:pPr>
      <w:r>
        <w:t xml:space="preserve">2,741</w:t>
      </w:r>
    </w:p>
    <w:p>
      <w:pPr>
        <w:pStyle w:val="BodyText"/>
      </w:pPr>
      <w:r>
        <w:t xml:space="preserve">118</w:t>
      </w:r>
    </w:p>
    <w:p>
      <w:pPr>
        <w:pStyle w:val="FirstParagraph"/>
      </w:pPr>
      <w:r>
        <w:t xml:space="preserve">33</w:t>
      </w:r>
    </w:p>
    <w:p>
      <w:pPr>
        <w:pStyle w:val="BodyText"/>
      </w:pPr>
      <w:r>
        <w:t xml:space="preserve">2,753</w:t>
      </w:r>
    </w:p>
    <w:p>
      <w:pPr>
        <w:pStyle w:val="BodyText"/>
      </w:pPr>
      <w:r>
        <w:t xml:space="preserve">–</w:t>
      </w:r>
    </w:p>
    <w:p>
      <w:pPr>
        <w:pStyle w:val="FirstParagraph"/>
      </w:pPr>
      <w:r>
        <w:t xml:space="preserve">12</w:t>
      </w:r>
    </w:p>
    <w:p>
      <w:pPr>
        <w:pStyle w:val="BodyText"/>
      </w:pPr>
      <w:r>
        <w:t xml:space="preserve">29</w:t>
      </w:r>
    </w:p>
    <w:p>
      <w:pPr>
        <w:pStyle w:val="BodyText"/>
      </w:pPr>
      <w:r>
        <w:t xml:space="preserve">–</w:t>
      </w:r>
    </w:p>
    <w:p>
      <w:pPr>
        <w:pStyle w:val="FirstParagraph"/>
      </w:pPr>
      <w:r>
        <w:t xml:space="preserve">32</w:t>
      </w:r>
    </w:p>
    <w:p>
      <w:pPr>
        <w:pStyle w:val="BodyText"/>
      </w:pPr>
      <w:r>
        <w:t xml:space="preserve">30</w:t>
      </w:r>
    </w:p>
    <w:p>
      <w:pPr>
        <w:pStyle w:val="BodyText"/>
      </w:pPr>
      <w:r>
        <w:t xml:space="preserve">–</w:t>
      </w:r>
    </w:p>
    <w:p>
      <w:pPr>
        <w:pStyle w:val="BodyText"/>
      </w:pPr>
      <w:r>
        <w:t xml:space="preserve">195</w:t>
      </w:r>
    </w:p>
    <w:p>
      <w:pPr>
        <w:pStyle w:val="BodyText"/>
      </w:pPr>
      <w:r>
        <w:t xml:space="preserve">30</w:t>
      </w:r>
    </w:p>
    <w:p>
      <w:pPr>
        <w:pStyle w:val="FirstParagraph"/>
      </w:pPr>
      <w:r>
        <w:t xml:space="preserve">–</w:t>
      </w:r>
    </w:p>
    <w:p>
      <w:pPr>
        <w:pStyle w:val="BodyText"/>
      </w:pPr>
      <w:r>
        <w:t xml:space="preserve">–</w:t>
      </w:r>
    </w:p>
    <w:p>
      <w:pPr>
        <w:pStyle w:val="BodyText"/>
      </w:pPr>
      <w:r>
        <w:t xml:space="preserve">5</w:t>
      </w:r>
    </w:p>
    <w:p>
      <w:pPr>
        <w:pStyle w:val="BodyText"/>
      </w:pPr>
      <w:r>
        <w:t xml:space="preserve">221</w:t>
      </w:r>
    </w:p>
    <w:p>
      <w:pPr>
        <w:pStyle w:val="BodyText"/>
      </w:pPr>
      <w:r>
        <w:t xml:space="preserve">28</w:t>
      </w:r>
    </w:p>
    <w:p>
      <w:pPr>
        <w:pStyle w:val="FirstParagraph"/>
      </w:pPr>
      <w:r>
        <w:t xml:space="preserve">–</w:t>
      </w:r>
    </w:p>
    <w:p>
      <w:pPr>
        <w:pStyle w:val="BodyText"/>
      </w:pPr>
      <w:r>
        <w:t xml:space="preserve">5</w:t>
      </w:r>
    </w:p>
    <w:p>
      <w:pPr>
        <w:pStyle w:val="BodyText"/>
      </w:pPr>
      <w:r>
        <w:t xml:space="preserve">249</w:t>
      </w:r>
    </w:p>
    <w:p>
      <w:pPr>
        <w:pStyle w:val="FirstParagraph"/>
      </w:pPr>
      <w:r>
        <w:t xml:space="preserve">8</w:t>
      </w:r>
    </w:p>
    <w:p>
      <w:pPr>
        <w:pStyle w:val="BodyText"/>
      </w:pPr>
      <w:r>
        <w:t xml:space="preserve">–</w:t>
      </w:r>
    </w:p>
    <w:p>
      <w:pPr>
        <w:pStyle w:val="FirstParagraph"/>
      </w:pPr>
      <w:r>
        <w:t xml:space="preserve">4</w:t>
      </w:r>
    </w:p>
    <w:p>
      <w:pPr>
        <w:pStyle w:val="BodyText"/>
      </w:pPr>
      <w:r>
        <w:t xml:space="preserve">–</w:t>
      </w:r>
    </w:p>
    <w:p>
      <w:pPr>
        <w:pStyle w:val="FirstParagraph"/>
      </w:pPr>
      <w:r>
        <w:t xml:space="preserve">529</w:t>
      </w:r>
    </w:p>
    <w:p>
      <w:pPr>
        <w:pStyle w:val="BodyText"/>
      </w:pPr>
      <w:r>
        <w:t xml:space="preserve">69</w:t>
      </w:r>
    </w:p>
    <w:p>
      <w:pPr>
        <w:pStyle w:val="FirstParagraph"/>
      </w:pPr>
      <w:r>
        <w:t xml:space="preserve">–</w:t>
      </w:r>
    </w:p>
    <w:p>
      <w:pPr>
        <w:pStyle w:val="BodyText"/>
      </w:pPr>
      <w:r>
        <w:t xml:space="preserve">–</w:t>
      </w:r>
    </w:p>
    <w:p>
      <w:pPr>
        <w:pStyle w:val="BodyText"/>
      </w:pPr>
      <w:r>
        <w:t xml:space="preserve">11</w:t>
      </w:r>
    </w:p>
    <w:p>
      <w:pPr>
        <w:pStyle w:val="BodyText"/>
      </w:pPr>
      <w:r>
        <w:t xml:space="preserve">585</w:t>
      </w:r>
    </w:p>
    <w:p>
      <w:pPr>
        <w:pStyle w:val="BodyText"/>
      </w:pPr>
      <w:r>
        <w:t xml:space="preserve">51</w:t>
      </w:r>
    </w:p>
    <w:p>
      <w:pPr>
        <w:pStyle w:val="FirstParagraph"/>
      </w:pPr>
      <w:r>
        <w:t xml:space="preserve">–</w:t>
      </w:r>
    </w:p>
    <w:p>
      <w:pPr>
        <w:pStyle w:val="BodyText"/>
      </w:pPr>
      <w:r>
        <w:t xml:space="preserve">11</w:t>
      </w:r>
    </w:p>
    <w:p>
      <w:pPr>
        <w:pStyle w:val="BodyText"/>
      </w:pPr>
      <w:r>
        <w:t xml:space="preserve">620</w:t>
      </w:r>
    </w:p>
    <w:p>
      <w:pPr>
        <w:pStyle w:val="FirstParagraph"/>
      </w:pPr>
      <w:r>
        <w:t xml:space="preserve">18</w:t>
      </w:r>
    </w:p>
    <w:p>
      <w:pPr>
        <w:pStyle w:val="BodyText"/>
      </w:pPr>
      <w:r>
        <w:t xml:space="preserve">–</w:t>
      </w:r>
    </w:p>
    <w:p>
      <w:pPr>
        <w:pStyle w:val="FirstParagraph"/>
      </w:pPr>
      <w:r>
        <w:t xml:space="preserve">24</w:t>
      </w:r>
    </w:p>
    <w:p>
      <w:pPr>
        <w:pStyle w:val="BodyText"/>
      </w:pPr>
      <w:r>
        <w:t xml:space="preserve">–</w:t>
      </w:r>
    </w:p>
    <w:p>
      <w:pPr>
        <w:pStyle w:val="FirstParagraph"/>
      </w:pPr>
      <w:r>
        <w:t xml:space="preserve">3,108</w:t>
      </w:r>
    </w:p>
    <w:p>
      <w:pPr>
        <w:pStyle w:val="BodyText"/>
      </w:pPr>
      <w:r>
        <w:t xml:space="preserve">301</w:t>
      </w:r>
    </w:p>
    <w:p>
      <w:pPr>
        <w:pStyle w:val="FirstParagraph"/>
      </w:pPr>
      <w:r>
        <w:t xml:space="preserve">12</w:t>
      </w:r>
    </w:p>
    <w:p>
      <w:pPr>
        <w:pStyle w:val="BodyText"/>
      </w:pPr>
      <w:r>
        <w:t xml:space="preserve">141</w:t>
      </w:r>
    </w:p>
    <w:p>
      <w:pPr>
        <w:pStyle w:val="BodyText"/>
      </w:pPr>
      <w:r>
        <w:t xml:space="preserve">38</w:t>
      </w:r>
    </w:p>
    <w:p>
      <w:pPr>
        <w:pStyle w:val="BodyText"/>
      </w:pPr>
      <w:r>
        <w:t xml:space="preserve">3,547</w:t>
      </w:r>
    </w:p>
    <w:p>
      <w:pPr>
        <w:pStyle w:val="BodyText"/>
      </w:pPr>
      <w:r>
        <w:t xml:space="preserve">197</w:t>
      </w:r>
    </w:p>
    <w:p>
      <w:pPr>
        <w:pStyle w:val="FirstParagraph"/>
      </w:pPr>
      <w:r>
        <w:t xml:space="preserve">49</w:t>
      </w:r>
    </w:p>
    <w:p>
      <w:pPr>
        <w:pStyle w:val="BodyText"/>
      </w:pPr>
      <w:r>
        <w:t xml:space="preserve">3,622</w:t>
      </w:r>
    </w:p>
    <w:p>
      <w:pPr>
        <w:pStyle w:val="FirstParagraph"/>
      </w:pPr>
      <w:r>
        <w:t xml:space="preserve">38</w:t>
      </w:r>
    </w:p>
    <w:p>
      <w:pPr>
        <w:pStyle w:val="BodyText"/>
      </w:pPr>
      <w:r>
        <w:t xml:space="preserve">29</w:t>
      </w:r>
    </w:p>
    <w:p>
      <w:pPr>
        <w:pStyle w:val="FirstParagraph"/>
      </w:pPr>
      <w:r>
        <w:t xml:space="preserve">60</w:t>
      </w:r>
    </w:p>
    <w:p>
      <w:pPr>
        <w:pStyle w:val="BodyText"/>
      </w:pPr>
      <w:r>
        <w:t xml:space="preserve">30</w:t>
      </w:r>
    </w:p>
    <w:p>
      <w:pPr>
        <w:pStyle w:val="FirstParagraph"/>
      </w:pPr>
      <w:r>
        <w:t xml:space="preserve">2,598</w:t>
      </w:r>
    </w:p>
    <w:p>
      <w:pPr>
        <w:pStyle w:val="BodyText"/>
      </w:pPr>
      <w:r>
        <w:t xml:space="preserve">2,462</w:t>
      </w:r>
    </w:p>
    <w:p>
      <w:pPr>
        <w:pStyle w:val="BodyText"/>
      </w:pPr>
      <w:r>
        <w:t xml:space="preserve">42</w:t>
      </w:r>
    </w:p>
    <w:p>
      <w:pPr>
        <w:pStyle w:val="BodyText"/>
      </w:pPr>
      <w:r>
        <w:t xml:space="preserve">46</w:t>
      </w:r>
    </w:p>
    <w:p>
      <w:pPr>
        <w:pStyle w:val="BodyText"/>
      </w:pPr>
      <w:r>
        <w:t xml:space="preserve">225</w:t>
      </w:r>
    </w:p>
    <w:p>
      <w:pPr>
        <w:pStyle w:val="BodyText"/>
      </w:pPr>
      <w:r>
        <w:t xml:space="preserve">214</w:t>
      </w:r>
    </w:p>
    <w:p>
      <w:pPr>
        <w:pStyle w:val="BodyText"/>
      </w:pPr>
      <w:r>
        <w:t xml:space="preserve">2,865</w:t>
      </w:r>
    </w:p>
    <w:p>
      <w:pPr>
        <w:pStyle w:val="BodyText"/>
      </w:pPr>
      <w:r>
        <w:t xml:space="preserve">2,722</w:t>
      </w:r>
    </w:p>
    <w:p>
      <w:pPr>
        <w:pStyle w:val="BodyText"/>
      </w:pPr>
      <w:r>
        <w:t xml:space="preserve">193</w:t>
      </w:r>
    </w:p>
    <w:p>
      <w:pPr>
        <w:pStyle w:val="BodyText"/>
      </w:pPr>
      <w:r>
        <w:rPr>
          <w:rFonts w:hint="eastAsia"/>
        </w:rPr>
        <w:t xml:space="preserve">概覽財務及營運回顧企業管治其他資料財務報表2020年報</w:t>
      </w:r>
    </w:p>
    <w:p>
      <w:pPr>
        <w:pStyle w:val="Compact"/>
        <w:numPr>
          <w:ilvl w:val="0"/>
          <w:numId w:val="1368"/>
        </w:numPr>
      </w:pPr>
      <w:r>
        <w:rPr>
          <w:rFonts w:hint="eastAsia"/>
        </w:rPr>
        <w:t xml:space="preserve">物業、廠房及設備（續）</w:t>
      </w:r>
    </w:p>
    <w:p>
      <w:pPr>
        <w:pStyle w:val="FirstParagraph"/>
      </w:pPr>
      <w:r>
        <w:rPr>
          <w:rFonts w:hint="eastAsia"/>
        </w:rPr>
        <w:t xml:space="preserve">有關租賃的使用權資產於物業、廠房及設備內呈報。按相關資產類別劃分的使用權資產的賬面值載列如下：</w:t>
      </w:r>
    </w:p>
    <w:p>
      <w:pPr>
        <w:pStyle w:val="BodyText"/>
      </w:pPr>
      <w:r>
        <w:rPr>
          <w:rFonts w:hint="eastAsia"/>
        </w:rPr>
        <w:t xml:space="preserve">百萬美元</w:t>
      </w:r>
    </w:p>
    <w:p>
      <w:pPr>
        <w:pStyle w:val="BodyText"/>
      </w:pPr>
      <w:r>
        <w:rPr>
          <w:rFonts w:hint="eastAsia"/>
        </w:rPr>
        <w:t xml:space="preserve">持作自用物業</w:t>
      </w:r>
    </w:p>
    <w:p>
      <w:pPr>
        <w:pStyle w:val="BodyText"/>
      </w:pPr>
      <w:r>
        <w:rPr>
          <w:rFonts w:hint="eastAsia"/>
        </w:rPr>
        <w:t xml:space="preserve">裝置及設備及其他</w:t>
      </w:r>
    </w:p>
    <w:p>
      <w:pPr>
        <w:pStyle w:val="BodyText"/>
      </w:pPr>
      <w:r>
        <w:rPr>
          <w:rFonts w:hint="eastAsia"/>
        </w:rPr>
        <w:t xml:space="preserve">總計</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1,438</w:t>
      </w:r>
    </w:p>
    <w:p>
      <w:pPr>
        <w:pStyle w:val="BodyText"/>
      </w:pPr>
      <w:r>
        <w:t xml:space="preserve">4</w:t>
      </w:r>
    </w:p>
    <w:p>
      <w:pPr>
        <w:pStyle w:val="BodyText"/>
      </w:pPr>
      <w:r>
        <w:t xml:space="preserve">1,442</w:t>
      </w:r>
    </w:p>
    <w:p>
      <w:pPr>
        <w:pStyle w:val="BodyText"/>
      </w:pPr>
      <w:r>
        <w:t xml:space="preserve">1,579</w:t>
      </w:r>
    </w:p>
    <w:p>
      <w:pPr>
        <w:pStyle w:val="BodyText"/>
      </w:pPr>
      <w:r>
        <w:t xml:space="preserve">3</w:t>
      </w:r>
    </w:p>
    <w:p>
      <w:pPr>
        <w:pStyle w:val="BodyText"/>
      </w:pPr>
      <w:r>
        <w:t xml:space="preserve">1,582</w:t>
      </w:r>
    </w:p>
    <w:p>
      <w:pPr>
        <w:pStyle w:val="BodyText"/>
      </w:pPr>
      <w:r>
        <w:rPr>
          <w:rFonts w:hint="eastAsia"/>
        </w:rPr>
        <w:t xml:space="preserve">截至2020年12月31日止年度的使用權資產增加為1.03億美元（2019年：1.93億美元）。</w:t>
      </w:r>
    </w:p>
    <w:p>
      <w:pPr>
        <w:pStyle w:val="BodyText"/>
      </w:pPr>
      <w:r>
        <w:rPr>
          <w:rFonts w:hint="eastAsia"/>
        </w:rPr>
        <w:t xml:space="preserve">持作自用物業（不包括使用權資產）按報告日期公平值減累計折舊列賬。有關本集團與持作自用物業有關的租賃土地權益及</w:t>
      </w:r>
    </w:p>
    <w:p>
      <w:pPr>
        <w:pStyle w:val="BodyText"/>
      </w:pPr>
      <w:r>
        <w:rPr>
          <w:rFonts w:hint="eastAsia"/>
        </w:rPr>
        <w:t xml:space="preserve">土地使用權的使用權資產亦按相同基準列賬。報告日期之公平值乃由獨立專業估值師釐定。估值方法及過程的詳細資料乃於</w:t>
      </w:r>
    </w:p>
    <w:p>
      <w:pPr>
        <w:pStyle w:val="BodyText"/>
      </w:pPr>
      <w:r>
        <w:rPr>
          <w:rFonts w:hint="eastAsia"/>
        </w:rPr>
        <w:t xml:space="preserve">附註3及23披露。有關其他租賃物業、廠房及設備的使用權資產按成本減累計折舊列賬。</w:t>
      </w:r>
    </w:p>
    <w:p>
      <w:pPr>
        <w:pStyle w:val="BodyText"/>
      </w:pPr>
      <w:r>
        <w:rPr>
          <w:rFonts w:hint="eastAsia"/>
        </w:rPr>
        <w:t xml:space="preserve">於年內，於持作自用物業的賬面值中確認的支出2,200萬美元（2019年：600萬美元）乃源自持作自用物業的建設過程。持作</w:t>
      </w:r>
    </w:p>
    <w:p>
      <w:pPr>
        <w:pStyle w:val="BodyText"/>
      </w:pPr>
      <w:r>
        <w:rPr>
          <w:rFonts w:hint="eastAsia"/>
        </w:rPr>
        <w:t xml:space="preserve">自用物業的重估減少7,700萬美元（2019年：增加1.70億美元）已撥至其他全面收入，其中6,600萬美元（2019年：增加1.46億</w:t>
      </w:r>
    </w:p>
    <w:p>
      <w:pPr>
        <w:pStyle w:val="BodyText"/>
      </w:pPr>
      <w:r>
        <w:rPr>
          <w:rFonts w:hint="eastAsia"/>
        </w:rPr>
        <w:t xml:space="preserve">美元）與使用權資產有關。</w:t>
      </w:r>
    </w:p>
    <w:p>
      <w:pPr>
        <w:pStyle w:val="BodyText"/>
      </w:pPr>
      <w:r>
        <w:rPr>
          <w:rFonts w:hint="eastAsia"/>
        </w:rPr>
        <w:t xml:space="preserve">若持作自用物業（不包括使用權資產）按歷史成本基準呈列，則賬面值將為3.45億美元（2019年：3.35億美元）。同樣地，按</w:t>
      </w:r>
    </w:p>
    <w:p>
      <w:pPr>
        <w:pStyle w:val="BodyText"/>
      </w:pPr>
      <w:r>
        <w:rPr>
          <w:rFonts w:hint="eastAsia"/>
        </w:rPr>
        <w:t xml:space="preserve">歷史基準呈列，有關本集團與持作自用物業有關的租賃土地權益及土地使用權的使用權資產的賬面值將為8.78億美元（2019</w:t>
      </w:r>
    </w:p>
    <w:p>
      <w:pPr>
        <w:pStyle w:val="BodyText"/>
      </w:pPr>
      <w:r>
        <w:rPr>
          <w:rFonts w:hint="eastAsia"/>
        </w:rPr>
        <w:t xml:space="preserve">年：8.94億美元）。本集團持有物業、廠房及設備作長期用途，因此，年度折舊支出與報告期末起12個月內使用後預期可收</w:t>
      </w:r>
    </w:p>
    <w:p>
      <w:pPr>
        <w:pStyle w:val="BodyText"/>
      </w:pPr>
      <w:r>
        <w:rPr>
          <w:rFonts w:hint="eastAsia"/>
        </w:rPr>
        <w:t xml:space="preserve">回的金額相若。</w:t>
      </w:r>
    </w:p>
    <w:p>
      <w:pPr>
        <w:pStyle w:val="BodyText"/>
      </w:pPr>
      <w:r>
        <w:t xml:space="preserve">194</w:t>
      </w:r>
    </w:p>
    <w:p>
      <w:pPr>
        <w:pStyle w:val="BodyText"/>
      </w:pPr>
      <w:r>
        <w:rPr>
          <w:rFonts w:hint="eastAsia"/>
        </w:rPr>
        <w:t xml:space="preserve">友邦保險控股有限公司</w:t>
      </w:r>
    </w:p>
    <w:p>
      <w:pPr>
        <w:pStyle w:val="Compact"/>
        <w:numPr>
          <w:ilvl w:val="0"/>
          <w:numId w:val="1369"/>
        </w:numPr>
      </w:pPr>
      <w:r>
        <w:rPr>
          <w:rFonts w:hint="eastAsia"/>
        </w:rPr>
        <w:t xml:space="preserve">投資物業</w:t>
      </w:r>
    </w:p>
    <w:p>
      <w:pPr>
        <w:pStyle w:val="FirstParagraph"/>
      </w:pPr>
      <w:r>
        <w:rPr>
          <w:rFonts w:hint="eastAsia"/>
        </w:rPr>
        <w:t xml:space="preserve">百萬美元</w:t>
      </w:r>
    </w:p>
    <w:p>
      <w:pPr>
        <w:pStyle w:val="BodyText"/>
      </w:pPr>
      <w:r>
        <w:rPr>
          <w:rFonts w:hint="eastAsia"/>
        </w:rPr>
        <w:t xml:space="preserve">公平值</w:t>
      </w:r>
    </w:p>
    <w:p>
      <w:pPr>
        <w:pStyle w:val="BodyText"/>
      </w:pPr>
      <w:r>
        <w:rPr>
          <w:rFonts w:hint="eastAsia"/>
        </w:rPr>
        <w:t xml:space="preserve">於2019年1月1日</w:t>
      </w:r>
    </w:p>
    <w:p>
      <w:pPr>
        <w:pStyle w:val="BodyText"/>
      </w:pPr>
      <w:r>
        <w:rPr>
          <w:rFonts w:hint="eastAsia"/>
        </w:rPr>
        <w:t xml:space="preserve">增加及後續費用資本化</w:t>
      </w:r>
    </w:p>
    <w:p>
      <w:pPr>
        <w:pStyle w:val="BodyText"/>
      </w:pPr>
      <w:r>
        <w:rPr>
          <w:rFonts w:hint="eastAsia"/>
        </w:rPr>
        <w:t xml:space="preserve">出售</w:t>
      </w:r>
    </w:p>
    <w:p>
      <w:pPr>
        <w:pStyle w:val="BodyText"/>
      </w:pPr>
      <w:r>
        <w:rPr>
          <w:rFonts w:hint="eastAsia"/>
        </w:rPr>
        <w:t xml:space="preserve">轉至物業、廠房及設備淨額</w:t>
      </w:r>
    </w:p>
    <w:p>
      <w:pPr>
        <w:pStyle w:val="BodyText"/>
      </w:pPr>
      <w:r>
        <w:rPr>
          <w:rFonts w:hint="eastAsia"/>
        </w:rPr>
        <w:t xml:space="preserve">公平值收益</w:t>
      </w:r>
    </w:p>
    <w:p>
      <w:pPr>
        <w:pStyle w:val="BodyText"/>
      </w:pPr>
      <w:r>
        <w:rPr>
          <w:rFonts w:hint="eastAsia"/>
        </w:rPr>
        <w:t xml:space="preserve">外匯變動</w:t>
      </w:r>
    </w:p>
    <w:p>
      <w:pPr>
        <w:pStyle w:val="BodyText"/>
      </w:pPr>
      <w:r>
        <w:rPr>
          <w:rFonts w:hint="eastAsia"/>
        </w:rPr>
        <w:t xml:space="preserve">於2019年12月31日</w:t>
      </w:r>
    </w:p>
    <w:p>
      <w:pPr>
        <w:pStyle w:val="BodyText"/>
      </w:pPr>
      <w:r>
        <w:rPr>
          <w:rFonts w:hint="eastAsia"/>
        </w:rPr>
        <w:t xml:space="preserve">增加及後續費用資本化</w:t>
      </w:r>
    </w:p>
    <w:p>
      <w:pPr>
        <w:pStyle w:val="BodyText"/>
      </w:pPr>
      <w:r>
        <w:rPr>
          <w:rFonts w:hint="eastAsia"/>
        </w:rPr>
        <w:t xml:space="preserve">出售</w:t>
      </w:r>
    </w:p>
    <w:p>
      <w:pPr>
        <w:pStyle w:val="BodyText"/>
      </w:pPr>
      <w:r>
        <w:rPr>
          <w:rFonts w:hint="eastAsia"/>
        </w:rPr>
        <w:t xml:space="preserve">公平值虧損</w:t>
      </w:r>
    </w:p>
    <w:p>
      <w:pPr>
        <w:pStyle w:val="BodyText"/>
      </w:pPr>
      <w:r>
        <w:rPr>
          <w:rFonts w:hint="eastAsia"/>
        </w:rPr>
        <w:t xml:space="preserve">外匯變動</w:t>
      </w:r>
    </w:p>
    <w:p>
      <w:pPr>
        <w:pStyle w:val="BodyText"/>
      </w:pPr>
      <w:r>
        <w:rPr>
          <w:rFonts w:hint="eastAsia"/>
        </w:rPr>
        <w:t xml:space="preserve">於2020年12月31日</w:t>
      </w:r>
    </w:p>
    <w:p>
      <w:pPr>
        <w:pStyle w:val="BodyText"/>
      </w:pPr>
      <w:r>
        <w:t xml:space="preserve">4,794</w:t>
      </w:r>
    </w:p>
    <w:p>
      <w:pPr>
        <w:pStyle w:val="BodyText"/>
      </w:pPr>
      <w:r>
        <w:t xml:space="preserve">9</w:t>
      </w:r>
    </w:p>
    <w:p>
      <w:pPr>
        <w:pStyle w:val="FirstParagraph"/>
      </w:pPr>
      <w:r>
        <w:t xml:space="preserve">103</w:t>
      </w:r>
    </w:p>
    <w:p>
      <w:pPr>
        <w:pStyle w:val="BodyText"/>
      </w:pPr>
      <w:r>
        <w:t xml:space="preserve">60</w:t>
      </w:r>
    </w:p>
    <w:p>
      <w:pPr>
        <w:pStyle w:val="BodyText"/>
      </w:pPr>
      <w:r>
        <w:t xml:space="preserve">4,834</w:t>
      </w:r>
    </w:p>
    <w:p>
      <w:pPr>
        <w:pStyle w:val="BodyText"/>
      </w:pPr>
      <w:r>
        <w:t xml:space="preserve">29</w:t>
      </w:r>
    </w:p>
    <w:p>
      <w:pPr>
        <w:pStyle w:val="FirstParagraph"/>
      </w:pPr>
      <w:r>
        <w:t xml:space="preserve">69</w:t>
      </w:r>
    </w:p>
    <w:p>
      <w:pPr>
        <w:pStyle w:val="BodyText"/>
      </w:pPr>
      <w:r>
        <w:t xml:space="preserve">4,639</w:t>
      </w:r>
    </w:p>
    <w:p>
      <w:pPr>
        <w:pStyle w:val="BodyText"/>
      </w:pPr>
      <w:r>
        <w:rPr>
          <w:rFonts w:hint="eastAsia"/>
        </w:rPr>
        <w:t xml:space="preserve">投資物業按獨立專業估值師釐定的報告日期公平值列賬。估值方法及過程的詳細資料於附註3及23披露。</w:t>
      </w:r>
    </w:p>
    <w:p>
      <w:pPr>
        <w:pStyle w:val="BodyText"/>
      </w:pPr>
      <w:r>
        <w:rPr>
          <w:rFonts w:hint="eastAsia"/>
        </w:rPr>
        <w:t xml:space="preserve">本集團透過營運租賃出租投資物業。此等租約的起始時期一般為一至十年，並可根據未來協商選擇續租。租金一般依照市</w:t>
      </w:r>
    </w:p>
    <w:p>
      <w:pPr>
        <w:pStyle w:val="BodyText"/>
      </w:pPr>
      <w:r>
        <w:rPr>
          <w:rFonts w:hint="eastAsia"/>
        </w:rPr>
        <w:t xml:space="preserve">場租金每一至四年協商一次。期內並無賺取任何重大或有租金收入。投資物業的租金收入為1.72億美元（2019年：1.80億美</w:t>
      </w:r>
    </w:p>
    <w:p>
      <w:pPr>
        <w:pStyle w:val="BodyText"/>
      </w:pPr>
      <w:r>
        <w:rPr>
          <w:rFonts w:hint="eastAsia"/>
        </w:rPr>
        <w:t xml:space="preserve">元）。產生租金收入的投資物業的直接營運開支（包括維修及保養）為2,700萬美元（2019年：3,400萬美元）。</w:t>
      </w:r>
    </w:p>
    <w:p>
      <w:pPr>
        <w:pStyle w:val="BodyText"/>
      </w:pPr>
      <w:r>
        <w:rPr>
          <w:rFonts w:hint="eastAsia"/>
        </w:rPr>
        <w:t xml:space="preserve">本集團以投資物業形式持有香港境外永久業權土地以及租賃土地。並非由本集團佔用並持作長期出租或資本增值（或兩者兼</w:t>
      </w:r>
    </w:p>
    <w:p>
      <w:pPr>
        <w:pStyle w:val="BodyText"/>
      </w:pPr>
      <w:r>
        <w:rPr>
          <w:rFonts w:hint="eastAsia"/>
        </w:rPr>
        <w:t xml:space="preserve">有）用途的租賃土地，乃分類為投資物業。彼等乃根據營運租賃租用及初始按成本確認為使用權資產，於後續期間的公平值</w:t>
      </w:r>
    </w:p>
    <w:p>
      <w:pPr>
        <w:pStyle w:val="BodyText"/>
      </w:pPr>
      <w:r>
        <w:rPr>
          <w:rFonts w:hint="eastAsia"/>
        </w:rPr>
        <w:t xml:space="preserve">變動於合併收入表確認。本集團並無在香港持有永久業權土地。</w:t>
      </w:r>
    </w:p>
    <w:p>
      <w:pPr>
        <w:pStyle w:val="BodyText"/>
      </w:pPr>
      <w:r>
        <w:rPr>
          <w:rFonts w:hint="eastAsia"/>
        </w:rPr>
        <w:t xml:space="preserve">本集團預計可於未來時期根據營運租賃收取的未來未貼現租賃款項的分析如下：</w:t>
      </w:r>
    </w:p>
    <w:p>
      <w:pPr>
        <w:pStyle w:val="BodyText"/>
      </w:pPr>
      <w:r>
        <w:rPr>
          <w:rFonts w:hint="eastAsia"/>
        </w:rPr>
        <w:t xml:space="preserve">百萬美元</w:t>
      </w:r>
    </w:p>
    <w:p>
      <w:pPr>
        <w:pStyle w:val="BodyText"/>
      </w:pPr>
      <w:r>
        <w:rPr>
          <w:rFonts w:hint="eastAsia"/>
        </w:rPr>
        <w:t xml:space="preserve">租賃分類為營運租賃的投資物業</w:t>
      </w:r>
    </w:p>
    <w:p>
      <w:pPr>
        <w:pStyle w:val="BodyText"/>
      </w:pPr>
      <w:r>
        <w:rPr>
          <w:rFonts w:hint="eastAsia"/>
        </w:rPr>
        <w:t xml:space="preserve">一年內到期</w:t>
      </w:r>
    </w:p>
    <w:p>
      <w:pPr>
        <w:pStyle w:val="BodyText"/>
      </w:pPr>
      <w:r>
        <w:rPr>
          <w:rFonts w:hint="eastAsia"/>
        </w:rPr>
        <w:t xml:space="preserve">一年後但兩年內到期</w:t>
      </w:r>
    </w:p>
    <w:p>
      <w:pPr>
        <w:pStyle w:val="BodyText"/>
      </w:pPr>
      <w:r>
        <w:rPr>
          <w:rFonts w:hint="eastAsia"/>
        </w:rPr>
        <w:t xml:space="preserve">兩年後但三年內到期</w:t>
      </w:r>
    </w:p>
    <w:p>
      <w:pPr>
        <w:pStyle w:val="BodyText"/>
      </w:pPr>
      <w:r>
        <w:rPr>
          <w:rFonts w:hint="eastAsia"/>
        </w:rPr>
        <w:t xml:space="preserve">三年後但四年內到期</w:t>
      </w:r>
    </w:p>
    <w:p>
      <w:pPr>
        <w:pStyle w:val="BodyText"/>
      </w:pPr>
      <w:r>
        <w:rPr>
          <w:rFonts w:hint="eastAsia"/>
        </w:rPr>
        <w:t xml:space="preserve">四年後但五年內到期</w:t>
      </w:r>
    </w:p>
    <w:p>
      <w:pPr>
        <w:pStyle w:val="BodyText"/>
      </w:pPr>
      <w:r>
        <w:rPr>
          <w:rFonts w:hint="eastAsia"/>
        </w:rPr>
        <w:t xml:space="preserve">五年或以後到期</w:t>
      </w:r>
    </w:p>
    <w:p>
      <w:pPr>
        <w:pStyle w:val="BodyText"/>
      </w:pPr>
      <w:r>
        <w:rPr>
          <w:rFonts w:hint="eastAsia"/>
        </w:rPr>
        <w:t xml:space="preserve">未貼現租賃收款總額</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132</w:t>
      </w:r>
    </w:p>
    <w:p>
      <w:pPr>
        <w:pStyle w:val="BodyText"/>
      </w:pPr>
      <w:r>
        <w:t xml:space="preserve">99</w:t>
      </w:r>
    </w:p>
    <w:p>
      <w:pPr>
        <w:pStyle w:val="BodyText"/>
      </w:pPr>
      <w:r>
        <w:t xml:space="preserve">56</w:t>
      </w:r>
    </w:p>
    <w:p>
      <w:pPr>
        <w:pStyle w:val="BodyText"/>
      </w:pPr>
      <w:r>
        <w:t xml:space="preserve">44</w:t>
      </w:r>
    </w:p>
    <w:p>
      <w:pPr>
        <w:pStyle w:val="BodyText"/>
      </w:pPr>
      <w:r>
        <w:t xml:space="preserve">13</w:t>
      </w:r>
    </w:p>
    <w:p>
      <w:pPr>
        <w:pStyle w:val="BodyText"/>
      </w:pPr>
      <w:r>
        <w:t xml:space="preserve">25</w:t>
      </w:r>
    </w:p>
    <w:p>
      <w:pPr>
        <w:pStyle w:val="BodyText"/>
      </w:pPr>
      <w:r>
        <w:t xml:space="preserve">369</w:t>
      </w:r>
    </w:p>
    <w:p>
      <w:pPr>
        <w:pStyle w:val="BodyText"/>
      </w:pPr>
      <w:r>
        <w:t xml:space="preserve">132</w:t>
      </w:r>
    </w:p>
    <w:p>
      <w:pPr>
        <w:pStyle w:val="BodyText"/>
      </w:pPr>
      <w:r>
        <w:t xml:space="preserve">80</w:t>
      </w:r>
    </w:p>
    <w:p>
      <w:pPr>
        <w:pStyle w:val="BodyText"/>
      </w:pPr>
      <w:r>
        <w:t xml:space="preserve">57</w:t>
      </w:r>
    </w:p>
    <w:p>
      <w:pPr>
        <w:pStyle w:val="BodyText"/>
      </w:pPr>
      <w:r>
        <w:t xml:space="preserve">22</w:t>
      </w:r>
    </w:p>
    <w:p>
      <w:pPr>
        <w:pStyle w:val="BodyText"/>
      </w:pPr>
      <w:r>
        <w:t xml:space="preserve">21</w:t>
      </w:r>
    </w:p>
    <w:p>
      <w:pPr>
        <w:pStyle w:val="BodyText"/>
      </w:pPr>
      <w:r>
        <w:t xml:space="preserve">43</w:t>
      </w:r>
    </w:p>
    <w:p>
      <w:pPr>
        <w:pStyle w:val="BodyText"/>
      </w:pPr>
      <w:r>
        <w:t xml:space="preserve">355</w:t>
      </w:r>
    </w:p>
    <w:p>
      <w:pPr>
        <w:pStyle w:val="BodyText"/>
      </w:pPr>
      <w:r>
        <w:t xml:space="preserve">195</w:t>
      </w:r>
    </w:p>
    <w:p>
      <w:pPr>
        <w:pStyle w:val="BodyText"/>
      </w:pPr>
      <w:r>
        <w:rPr>
          <w:rFonts w:hint="eastAsia"/>
        </w:rPr>
        <w:t xml:space="preserve">概覽財務及營運回顧企業管治其他資料財務報表2020年報</w:t>
      </w:r>
    </w:p>
    <w:p>
      <w:pPr>
        <w:pStyle w:val="Compact"/>
        <w:numPr>
          <w:ilvl w:val="0"/>
          <w:numId w:val="1372"/>
        </w:numPr>
      </w:pPr>
      <w:r>
        <w:rPr>
          <w:rFonts w:hint="eastAsia"/>
        </w:rPr>
        <w:t xml:space="preserve">再保險資產</w:t>
      </w:r>
    </w:p>
    <w:p>
      <w:pPr>
        <w:pStyle w:val="FirstParagraph"/>
      </w:pPr>
      <w:r>
        <w:rPr>
          <w:rFonts w:hint="eastAsia"/>
        </w:rPr>
        <w:t xml:space="preserve">百萬美元</w:t>
      </w:r>
    </w:p>
    <w:p>
      <w:pPr>
        <w:pStyle w:val="BodyText"/>
      </w:pPr>
      <w:r>
        <w:rPr>
          <w:rFonts w:hint="eastAsia"/>
        </w:rPr>
        <w:t xml:space="preserve">可從再保險公司收回的金額</w:t>
      </w:r>
    </w:p>
    <w:p>
      <w:pPr>
        <w:pStyle w:val="BodyText"/>
      </w:pPr>
      <w:r>
        <w:rPr>
          <w:rFonts w:hint="eastAsia"/>
        </w:rPr>
        <w:t xml:space="preserve">分保保險及投資合約負債</w:t>
      </w:r>
    </w:p>
    <w:p>
      <w:pPr>
        <w:pStyle w:val="BodyText"/>
      </w:pPr>
      <w:r>
        <w:rPr>
          <w:rFonts w:hint="eastAsia"/>
        </w:rPr>
        <w:t xml:space="preserve">總計(1)</w:t>
      </w:r>
    </w:p>
    <w:p>
      <w:pPr>
        <w:pStyle w:val="BodyText"/>
      </w:pPr>
      <w:r>
        <w:rPr>
          <w:rFonts w:hint="eastAsia"/>
        </w:rPr>
        <w:t xml:space="preserve">附註：</w:t>
      </w:r>
    </w:p>
    <w:p>
      <w:pPr>
        <w:pStyle w:val="Compact"/>
        <w:numPr>
          <w:ilvl w:val="0"/>
          <w:numId w:val="1373"/>
        </w:numPr>
      </w:pPr>
      <w:r>
        <w:rPr>
          <w:rFonts w:hint="eastAsia"/>
        </w:rPr>
        <w:t xml:space="preserve">包括12.90億美元（2019年：9.72億美元），預期將於報告期末起12個月內收回。</w:t>
      </w:r>
    </w:p>
    <w:p>
      <w:pPr>
        <w:pStyle w:val="FirstParagraph"/>
      </w:pPr>
      <w:r>
        <w:rPr>
          <w:rFonts w:hint="eastAsia"/>
        </w:rPr>
        <w:t xml:space="preserve">附註</w:t>
      </w:r>
    </w:p>
    <w:p>
      <w:pPr>
        <w:pStyle w:val="BodyText"/>
      </w:pPr>
      <w:r>
        <w:t xml:space="preserve">27</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671</w:t>
      </w:r>
    </w:p>
    <w:p>
      <w:pPr>
        <w:pStyle w:val="BodyText"/>
      </w:pPr>
      <w:r>
        <w:t xml:space="preserve">3,889</w:t>
      </w:r>
    </w:p>
    <w:p>
      <w:pPr>
        <w:pStyle w:val="BodyText"/>
      </w:pPr>
      <w:r>
        <w:t xml:space="preserve">4,560</w:t>
      </w:r>
    </w:p>
    <w:p>
      <w:pPr>
        <w:pStyle w:val="BodyText"/>
      </w:pPr>
      <w:r>
        <w:t xml:space="preserve">683</w:t>
      </w:r>
    </w:p>
    <w:p>
      <w:pPr>
        <w:pStyle w:val="BodyText"/>
      </w:pPr>
      <w:r>
        <w:t xml:space="preserve">3,150</w:t>
      </w:r>
    </w:p>
    <w:p>
      <w:pPr>
        <w:pStyle w:val="BodyText"/>
      </w:pPr>
      <w:r>
        <w:t xml:space="preserve">3,833</w:t>
      </w:r>
    </w:p>
    <w:p>
      <w:pPr>
        <w:pStyle w:val="Compact"/>
        <w:numPr>
          <w:ilvl w:val="0"/>
          <w:numId w:val="1374"/>
        </w:numPr>
      </w:pPr>
      <w:r>
        <w:rPr>
          <w:rFonts w:hint="eastAsia"/>
        </w:rPr>
        <w:t xml:space="preserve">遞延承保及啟動成本</w:t>
      </w:r>
    </w:p>
    <w:p>
      <w:pPr>
        <w:pStyle w:val="FirstParagraph"/>
      </w:pPr>
      <w:r>
        <w:rPr>
          <w:rFonts w:hint="eastAsia"/>
        </w:rPr>
        <w:t xml:space="preserve">百萬美元</w:t>
      </w:r>
    </w:p>
    <w:p>
      <w:pPr>
        <w:pStyle w:val="BodyText"/>
      </w:pPr>
      <w:r>
        <w:rPr>
          <w:rFonts w:hint="eastAsia"/>
        </w:rPr>
        <w:t xml:space="preserve">賬面值</w:t>
      </w:r>
    </w:p>
    <w:p>
      <w:pPr>
        <w:pStyle w:val="BodyText"/>
      </w:pPr>
      <w:r>
        <w:rPr>
          <w:rFonts w:hint="eastAsia"/>
        </w:rPr>
        <w:t xml:space="preserve">保險合約的遞延承保成本</w:t>
      </w:r>
    </w:p>
    <w:p>
      <w:pPr>
        <w:pStyle w:val="BodyText"/>
      </w:pPr>
      <w:r>
        <w:rPr>
          <w:rFonts w:hint="eastAsia"/>
        </w:rPr>
        <w:t xml:space="preserve">投資合約的遞延啟動成本</w:t>
      </w:r>
    </w:p>
    <w:p>
      <w:pPr>
        <w:pStyle w:val="BodyText"/>
      </w:pPr>
      <w:r>
        <w:rPr>
          <w:rFonts w:hint="eastAsia"/>
        </w:rPr>
        <w:t xml:space="preserve">收購業務價值</w:t>
      </w:r>
    </w:p>
    <w:p>
      <w:pPr>
        <w:pStyle w:val="BodyText"/>
      </w:pPr>
      <w:r>
        <w:rPr>
          <w:rFonts w:hint="eastAsia"/>
        </w:rPr>
        <w:t xml:space="preserve">減：預先再保險費回扣</w:t>
      </w:r>
    </w:p>
    <w:p>
      <w:pPr>
        <w:pStyle w:val="BodyText"/>
      </w:pPr>
      <w:r>
        <w:rPr>
          <w:rFonts w:hint="eastAsia"/>
        </w:rPr>
        <w:t xml:space="preserve">總計</w:t>
      </w:r>
    </w:p>
    <w:p>
      <w:pPr>
        <w:pStyle w:val="BodyText"/>
      </w:pPr>
      <w:r>
        <w:rPr>
          <w:rFonts w:hint="eastAsia"/>
        </w:rPr>
        <w:t xml:space="preserve">年內變動</w:t>
      </w:r>
    </w:p>
    <w:p>
      <w:pPr>
        <w:pStyle w:val="BodyText"/>
      </w:pPr>
      <w:r>
        <w:rPr>
          <w:rFonts w:hint="eastAsia"/>
        </w:rPr>
        <w:t xml:space="preserve">於財政年初</w:t>
      </w:r>
    </w:p>
    <w:p>
      <w:pPr>
        <w:pStyle w:val="BodyText"/>
      </w:pPr>
      <w:r>
        <w:rPr>
          <w:rFonts w:hint="eastAsia"/>
        </w:rPr>
        <w:t xml:space="preserve">承保成本及啟動成本的遞延及攤銷</w:t>
      </w:r>
    </w:p>
    <w:p>
      <w:pPr>
        <w:pStyle w:val="BodyText"/>
      </w:pPr>
      <w:r>
        <w:rPr>
          <w:rFonts w:hint="eastAsia"/>
        </w:rPr>
        <w:t xml:space="preserve">外匯變動</w:t>
      </w:r>
    </w:p>
    <w:p>
      <w:pPr>
        <w:pStyle w:val="BodyText"/>
      </w:pPr>
      <w:r>
        <w:rPr>
          <w:rFonts w:hint="eastAsia"/>
        </w:rPr>
        <w:t xml:space="preserve">假設變動的影響</w:t>
      </w:r>
    </w:p>
    <w:p>
      <w:pPr>
        <w:pStyle w:val="BodyText"/>
      </w:pPr>
      <w:r>
        <w:rPr>
          <w:rFonts w:hint="eastAsia"/>
        </w:rPr>
        <w:t xml:space="preserve">其他變動</w:t>
      </w:r>
    </w:p>
    <w:p>
      <w:pPr>
        <w:pStyle w:val="BodyText"/>
      </w:pPr>
      <w:r>
        <w:rPr>
          <w:rFonts w:hint="eastAsia"/>
        </w:rPr>
        <w:t xml:space="preserve">於財政年末</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27,549</w:t>
      </w:r>
    </w:p>
    <w:p>
      <w:pPr>
        <w:pStyle w:val="BodyText"/>
      </w:pPr>
      <w:r>
        <w:t xml:space="preserve">25,915</w:t>
      </w:r>
    </w:p>
    <w:p>
      <w:pPr>
        <w:pStyle w:val="BodyText"/>
      </w:pPr>
      <w:r>
        <w:t xml:space="preserve">261</w:t>
      </w:r>
    </w:p>
    <w:p>
      <w:pPr>
        <w:pStyle w:val="BodyText"/>
      </w:pPr>
      <w:r>
        <w:t xml:space="preserve">432</w:t>
      </w:r>
    </w:p>
    <w:p>
      <w:pPr>
        <w:pStyle w:val="FirstParagraph"/>
      </w:pPr>
      <w:r>
        <w:t xml:space="preserve">302</w:t>
      </w:r>
    </w:p>
    <w:p>
      <w:pPr>
        <w:pStyle w:val="BodyText"/>
      </w:pPr>
      <w:r>
        <w:t xml:space="preserve">432</w:t>
      </w:r>
    </w:p>
    <w:p>
      <w:pPr>
        <w:pStyle w:val="FirstParagraph"/>
      </w:pPr>
      <w:r>
        <w:t xml:space="preserve">27,915</w:t>
      </w:r>
    </w:p>
    <w:p>
      <w:pPr>
        <w:pStyle w:val="BodyText"/>
      </w:pPr>
      <w:r>
        <w:t xml:space="preserve">26,328</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26,328</w:t>
      </w:r>
    </w:p>
    <w:p>
      <w:pPr>
        <w:pStyle w:val="BodyText"/>
      </w:pPr>
      <w:r>
        <w:t xml:space="preserve">1,220</w:t>
      </w:r>
    </w:p>
    <w:p>
      <w:pPr>
        <w:pStyle w:val="BodyText"/>
      </w:pPr>
      <w:r>
        <w:t xml:space="preserve">559</w:t>
      </w:r>
    </w:p>
    <w:p>
      <w:pPr>
        <w:pStyle w:val="FirstParagraph"/>
      </w:pPr>
      <w:r>
        <w:t xml:space="preserve">24,626</w:t>
      </w:r>
    </w:p>
    <w:p>
      <w:pPr>
        <w:pStyle w:val="BodyText"/>
      </w:pPr>
      <w:r>
        <w:t xml:space="preserve">2,242</w:t>
      </w:r>
    </w:p>
    <w:p>
      <w:pPr>
        <w:pStyle w:val="BodyText"/>
      </w:pPr>
      <w:r>
        <w:t xml:space="preserve">403</w:t>
      </w:r>
    </w:p>
    <w:p>
      <w:pPr>
        <w:pStyle w:val="FirstParagraph"/>
      </w:pPr>
      <w:r>
        <w:t xml:space="preserve">27,915</w:t>
      </w:r>
    </w:p>
    <w:p>
      <w:pPr>
        <w:pStyle w:val="BodyText"/>
      </w:pPr>
      <w:r>
        <w:t xml:space="preserve">26,328</w:t>
      </w:r>
    </w:p>
    <w:p>
      <w:pPr>
        <w:pStyle w:val="BodyText"/>
      </w:pPr>
      <w:r>
        <w:rPr>
          <w:rFonts w:hint="eastAsia"/>
        </w:rPr>
        <w:t xml:space="preserve">遞延承保及啟動成本預料會在本集團的保險及投資合約的平均年期收回，且最少每年進行一次負債充足性測試以確定可否收</w:t>
      </w:r>
    </w:p>
    <w:p>
      <w:pPr>
        <w:pStyle w:val="BodyText"/>
      </w:pPr>
      <w:r>
        <w:rPr>
          <w:rFonts w:hint="eastAsia"/>
        </w:rPr>
        <w:t xml:space="preserve">回。因此，隨若干萬能壽險及單位連結式產品的投資表現而變動的年度攤銷費用與預期將可在報告期末起12個月內變現的數</w:t>
      </w:r>
    </w:p>
    <w:p>
      <w:pPr>
        <w:pStyle w:val="BodyText"/>
      </w:pPr>
      <w:r>
        <w:rPr>
          <w:rFonts w:hint="eastAsia"/>
        </w:rPr>
        <w:t xml:space="preserve">額相若。</w:t>
      </w:r>
    </w:p>
    <w:p>
      <w:pPr>
        <w:pStyle w:val="BodyText"/>
      </w:pPr>
      <w:r>
        <w:t xml:space="preserve">196</w:t>
      </w:r>
    </w:p>
    <w:p>
      <w:pPr>
        <w:pStyle w:val="BodyText"/>
      </w:pPr>
      <w:r>
        <w:rPr>
          <w:rFonts w:hint="eastAsia"/>
        </w:rPr>
        <w:t xml:space="preserve">友邦保險控股有限公司</w:t>
      </w:r>
    </w:p>
    <w:p>
      <w:pPr>
        <w:pStyle w:val="Compact"/>
        <w:numPr>
          <w:ilvl w:val="0"/>
          <w:numId w:val="1379"/>
        </w:numPr>
      </w:pPr>
      <w:r>
        <w:rPr>
          <w:rFonts w:hint="eastAsia"/>
        </w:rPr>
        <w:t xml:space="preserve">金融投資</w:t>
      </w:r>
    </w:p>
    <w:p>
      <w:pPr>
        <w:pStyle w:val="FirstParagraph"/>
      </w:pPr>
      <w:r>
        <w:rPr>
          <w:rFonts w:hint="eastAsia"/>
        </w:rPr>
        <w:t xml:space="preserve">下列各表按類別及性質分析本集團的金融投資。本集團以兩個明顯不同的類別管理金融投資：單位連結式投資和保單持有人</w:t>
      </w:r>
    </w:p>
    <w:p>
      <w:pPr>
        <w:pStyle w:val="BodyText"/>
      </w:pPr>
      <w:r>
        <w:rPr>
          <w:rFonts w:hint="eastAsia"/>
        </w:rPr>
        <w:t xml:space="preserve">及股東投資。單位連結式投資的投資風險一般由客戶全數承擔，故不會直接影響年內稅前溢利。此外，單位連結式合約持有</w:t>
      </w:r>
    </w:p>
    <w:p>
      <w:pPr>
        <w:pStyle w:val="BodyText"/>
      </w:pPr>
      <w:r>
        <w:rPr>
          <w:rFonts w:hint="eastAsia"/>
        </w:rPr>
        <w:t xml:space="preserve">人有責任在本集團所提供的投資選項間分配其保單價值。雖然年內稅前溢利並不受單位連結式投資影響，但由於本集團選擇</w:t>
      </w:r>
    </w:p>
    <w:p>
      <w:pPr>
        <w:pStyle w:val="BodyText"/>
      </w:pPr>
      <w:r>
        <w:rPr>
          <w:rFonts w:hint="eastAsia"/>
        </w:rPr>
        <w:t xml:space="preserve">以公平值呈列所有單位連結式投資與單位連結式合約的保險及投資合約負債的相關變動，故此等金融投資的投資回報計入本</w:t>
      </w:r>
    </w:p>
    <w:p>
      <w:pPr>
        <w:pStyle w:val="BodyText"/>
      </w:pPr>
      <w:r>
        <w:rPr>
          <w:rFonts w:hint="eastAsia"/>
        </w:rPr>
        <w:t xml:space="preserve">集團的年內稅前溢利。保單持有人及股東投資包括所有除單位連結式投資以外的金融投資。保單持有人及股東投資的投資風</w:t>
      </w:r>
    </w:p>
    <w:p>
      <w:pPr>
        <w:pStyle w:val="BodyText"/>
      </w:pPr>
      <w:r>
        <w:rPr>
          <w:rFonts w:hint="eastAsia"/>
        </w:rPr>
        <w:t xml:space="preserve">險部分或全部由本集團承擔。</w:t>
      </w:r>
    </w:p>
    <w:p>
      <w:pPr>
        <w:pStyle w:val="BodyText"/>
      </w:pPr>
      <w:r>
        <w:rPr>
          <w:rFonts w:hint="eastAsia"/>
        </w:rPr>
        <w:t xml:space="preserve">保單持有人及股東投資可進一步分類為分紅基金，具備預期與保單持有人酌情分紅特點及相關個別劃分資產的其他分紅業務</w:t>
      </w:r>
    </w:p>
    <w:p>
      <w:pPr>
        <w:pStyle w:val="BodyText"/>
      </w:pPr>
      <w:r>
        <w:rPr>
          <w:rFonts w:hint="eastAsia"/>
        </w:rPr>
        <w:t xml:space="preserve">（「具特定資產組合的其他分紅業務」）和其他保單持有人及股東。具特定資產組合的其他分紅業務指預期保單持有人將收取</w:t>
      </w:r>
    </w:p>
    <w:p>
      <w:pPr>
        <w:pStyle w:val="BodyText"/>
      </w:pPr>
      <w:r>
        <w:rPr>
          <w:rFonts w:hint="eastAsia"/>
        </w:rPr>
        <w:t xml:space="preserve">保險公司基於相關獨立投資資產的表現而酌情釐定的額外給付的業務，而本集團亦就支持該類別資產而作出明確的法定準備</w:t>
      </w:r>
    </w:p>
    <w:p>
      <w:pPr>
        <w:pStyle w:val="BodyText"/>
      </w:pPr>
      <w:r>
        <w:rPr>
          <w:rFonts w:hint="eastAsia"/>
        </w:rPr>
        <w:t xml:space="preserve">金撥備並於相關地區申報。</w:t>
      </w:r>
    </w:p>
    <w:p>
      <w:pPr>
        <w:pStyle w:val="BodyText"/>
      </w:pPr>
      <w:r>
        <w:rPr>
          <w:rFonts w:hint="eastAsia"/>
        </w:rPr>
        <w:t xml:space="preserve">個別分析分紅基金及具特定資產組合的其他分紅業務持有的金融投資的原因是分紅基金須遵守當地有關保單持有人分享所宣</w:t>
      </w:r>
    </w:p>
    <w:p>
      <w:pPr>
        <w:pStyle w:val="BodyText"/>
      </w:pPr>
      <w:r>
        <w:rPr>
          <w:rFonts w:hint="eastAsia"/>
        </w:rPr>
        <w:t xml:space="preserve">派紅利的最低比例的一般規定，而就具特定資產組合的其他分紅業務而言，誠如上文所闡釋，預期保單持有人將收取保險公</w:t>
      </w:r>
    </w:p>
    <w:p>
      <w:pPr>
        <w:pStyle w:val="BodyText"/>
      </w:pPr>
      <w:r>
        <w:rPr>
          <w:rFonts w:hint="eastAsia"/>
        </w:rPr>
        <w:t xml:space="preserve">司基於相關獨立投資資產的表現而酌情釐定的額外給付，而本集團亦就支持該類別資產而作出明確的法定準備金撥備並於相</w:t>
      </w:r>
    </w:p>
    <w:p>
      <w:pPr>
        <w:pStyle w:val="BodyText"/>
      </w:pPr>
      <w:r>
        <w:rPr>
          <w:rFonts w:hint="eastAsia"/>
        </w:rPr>
        <w:t xml:space="preserve">關地區申報。本集團選擇以公平值呈列分紅基金的債務及股本證券。就具特定資產組合的其他分紅業務而言，本集團選擇以</w:t>
      </w:r>
    </w:p>
    <w:p>
      <w:pPr>
        <w:pStyle w:val="BodyText"/>
      </w:pPr>
      <w:r>
        <w:rPr>
          <w:rFonts w:hint="eastAsia"/>
        </w:rPr>
        <w:t xml:space="preserve">公平值呈列股本證券及分類為可供出售的大部分債務證券。本集團的會計政策是假設於合併財務狀況表日期的所有業績將根</w:t>
      </w:r>
    </w:p>
    <w:p>
      <w:pPr>
        <w:pStyle w:val="BodyText"/>
      </w:pPr>
      <w:r>
        <w:rPr>
          <w:rFonts w:hint="eastAsia"/>
        </w:rPr>
        <w:t xml:space="preserve">據附註2.4所述有關保單持有人分紅宣派為紅利，保險合約負債就該分紅基金及具特定資產組合的其他分紅業務將分配予保</w:t>
      </w:r>
    </w:p>
    <w:p>
      <w:pPr>
        <w:pStyle w:val="BodyText"/>
      </w:pPr>
      <w:r>
        <w:rPr>
          <w:rFonts w:hint="eastAsia"/>
        </w:rPr>
        <w:t xml:space="preserve">單持有人的淨資產值按相關比例入賬。因此，本集團的年內稅前純利將受分配予前文所述股東的投資回報比例所影響。</w:t>
      </w:r>
    </w:p>
    <w:p>
      <w:pPr>
        <w:pStyle w:val="BodyText"/>
      </w:pPr>
      <w:r>
        <w:rPr>
          <w:rFonts w:hint="eastAsia"/>
        </w:rPr>
        <w:t xml:space="preserve">其他保單持有人及股東投資與單位連結式投資、分紅基金及具特定資產組合的其他分紅業務不同，乃由於並無直接的合約或</w:t>
      </w:r>
    </w:p>
    <w:p>
      <w:pPr>
        <w:pStyle w:val="BodyText"/>
      </w:pPr>
      <w:r>
        <w:rPr>
          <w:rFonts w:hint="eastAsia"/>
        </w:rPr>
        <w:t xml:space="preserve">法例要求規管其分配予保單持有人的金額（如有），或並無預期保單持有人將會收取保險公司基於相關獨立投資資產的表現</w:t>
      </w:r>
    </w:p>
    <w:p>
      <w:pPr>
        <w:pStyle w:val="BodyText"/>
      </w:pPr>
      <w:r>
        <w:rPr>
          <w:rFonts w:hint="eastAsia"/>
        </w:rPr>
        <w:t xml:space="preserve">而酌情釐定的額外給付，而本集團亦就支持該類別資產而作出明確的法定準備金撥備並於相關地區申報。本集團選擇以公平</w:t>
      </w:r>
    </w:p>
    <w:p>
      <w:pPr>
        <w:pStyle w:val="BodyText"/>
      </w:pPr>
      <w:r>
        <w:rPr>
          <w:rFonts w:hint="eastAsia"/>
        </w:rPr>
        <w:t xml:space="preserve">值呈列此類別中的股本證券及此類別中分類為可供出售的大部分債務證券。投資此類別的投資風險直接影響本集團的財務報</w:t>
      </w:r>
    </w:p>
    <w:p>
      <w:pPr>
        <w:pStyle w:val="BodyText"/>
      </w:pPr>
      <w:r>
        <w:rPr>
          <w:rFonts w:hint="eastAsia"/>
        </w:rPr>
        <w:t xml:space="preserve">表。雖然部分投資回報可透過宣派紅利分配予保單持有人，但本集團的保險及若干投資合約負債的會計政策採用包括無保證</w:t>
      </w:r>
    </w:p>
    <w:p>
      <w:pPr>
        <w:pStyle w:val="BodyText"/>
      </w:pPr>
      <w:r>
        <w:rPr>
          <w:rFonts w:hint="eastAsia"/>
        </w:rPr>
        <w:t xml:space="preserve">分紅發行日期最佳估值的均衡淨保費法。當此等投資的投資回報未分配予分紅合約或隨最佳估值改變，本集團的稅前溢利會</w:t>
      </w:r>
    </w:p>
    <w:p>
      <w:pPr>
        <w:pStyle w:val="BodyText"/>
      </w:pPr>
      <w:r>
        <w:rPr>
          <w:rFonts w:hint="eastAsia"/>
        </w:rPr>
        <w:t xml:space="preserve">受到影響。</w:t>
      </w:r>
    </w:p>
    <w:p>
      <w:pPr>
        <w:pStyle w:val="BodyText"/>
      </w:pPr>
      <w:r>
        <w:rPr>
          <w:rFonts w:hint="eastAsia"/>
        </w:rPr>
        <w:t xml:space="preserve">下表中，「FVTPL」代表按公平值計入損益的金融投資，而「AFS」則代表分類為可供出售的金融投資。</w:t>
      </w:r>
    </w:p>
    <w:p>
      <w:pPr>
        <w:pStyle w:val="BodyText"/>
      </w:pPr>
      <w:r>
        <w:t xml:space="preserve">197</w:t>
      </w:r>
    </w:p>
    <w:p>
      <w:pPr>
        <w:pStyle w:val="BodyText"/>
      </w:pPr>
      <w:r>
        <w:rPr>
          <w:rFonts w:hint="eastAsia"/>
        </w:rPr>
        <w:t xml:space="preserve">概覽財務及營運回顧企業管治其他資料財務報表2020年報</w:t>
      </w:r>
    </w:p>
    <w:p>
      <w:pPr>
        <w:pStyle w:val="Compact"/>
        <w:numPr>
          <w:ilvl w:val="0"/>
          <w:numId w:val="1380"/>
        </w:numPr>
      </w:pPr>
      <w:r>
        <w:rPr>
          <w:rFonts w:hint="eastAsia"/>
        </w:rPr>
        <w:t xml:space="preserve">金融投資（續）</w:t>
      </w:r>
    </w:p>
    <w:p>
      <w:pPr>
        <w:pStyle w:val="FirstParagraph"/>
      </w:pPr>
      <w:r>
        <w:rPr>
          <w:rFonts w:hint="eastAsia"/>
        </w:rPr>
        <w:t xml:space="preserve">債務證券</w:t>
      </w:r>
    </w:p>
    <w:p>
      <w:pPr>
        <w:pStyle w:val="BodyText"/>
      </w:pPr>
      <w:r>
        <w:rPr>
          <w:rFonts w:hint="eastAsia"/>
        </w:rPr>
        <w:t xml:space="preserve">在編製此等表格時，已根據本集團的信貸風險評估框架使用外界評級。當無可獲得的外界評級時，則採用內部評級方式（如</w:t>
      </w:r>
    </w:p>
    <w:p>
      <w:pPr>
        <w:pStyle w:val="BodyText"/>
      </w:pPr>
      <w:r>
        <w:rPr>
          <w:rFonts w:hint="eastAsia"/>
        </w:rPr>
        <w:t xml:space="preserve">適用）。</w:t>
      </w:r>
    </w:p>
    <w:p>
      <w:pPr>
        <w:pStyle w:val="BodyText"/>
      </w:pPr>
      <w:r>
        <w:rPr>
          <w:rFonts w:hint="eastAsia"/>
        </w:rPr>
        <w:t xml:space="preserve">信貸風險限額乃根據本集團的信貸風險評估框架設定，該框架定義了債務證券的相對風險水平。</w:t>
      </w:r>
    </w:p>
    <w:p>
      <w:pPr>
        <w:pStyle w:val="BodyText"/>
      </w:pPr>
      <w:r>
        <w:rPr>
          <w:rFonts w:hint="eastAsia"/>
        </w:rPr>
        <w:t xml:space="preserve">外界評級</w:t>
      </w:r>
    </w:p>
    <w:p>
      <w:pPr>
        <w:pStyle w:val="BodyText"/>
      </w:pPr>
      <w:r>
        <w:rPr>
          <w:rFonts w:hint="eastAsia"/>
        </w:rPr>
        <w:t xml:space="preserve">內部評級</w:t>
      </w:r>
    </w:p>
    <w:p>
      <w:pPr>
        <w:pStyle w:val="BodyText"/>
      </w:pPr>
      <w:r>
        <w:rPr>
          <w:rFonts w:hint="eastAsia"/>
        </w:rPr>
        <w:t xml:space="preserve">按下述呈報</w:t>
      </w:r>
    </w:p>
    <w:p>
      <w:pPr>
        <w:pStyle w:val="BodyText"/>
      </w:pPr>
      <w:r>
        <w:rPr>
          <w:rFonts w:hint="eastAsia"/>
        </w:rPr>
        <w:t xml:space="preserve">標準普爾及惠譽</w:t>
      </w:r>
    </w:p>
    <w:p>
      <w:pPr>
        <w:pStyle w:val="BodyText"/>
      </w:pPr>
      <w:r>
        <w:t xml:space="preserve">AAA</w:t>
      </w:r>
    </w:p>
    <w:p>
      <w:pPr>
        <w:pStyle w:val="BodyText"/>
      </w:pPr>
      <w:r>
        <w:rPr>
          <w:rFonts w:hint="eastAsia"/>
        </w:rPr>
        <w:t xml:space="preserve">AA+至AA-</w:t>
      </w:r>
    </w:p>
    <w:p>
      <w:pPr>
        <w:pStyle w:val="BodyText"/>
      </w:pPr>
      <w:r>
        <w:rPr>
          <w:rFonts w:hint="eastAsia"/>
        </w:rPr>
        <w:t xml:space="preserve">A+至A-</w:t>
      </w:r>
    </w:p>
    <w:p>
      <w:pPr>
        <w:pStyle w:val="BodyText"/>
      </w:pPr>
      <w:r>
        <w:rPr>
          <w:rFonts w:hint="eastAsia"/>
        </w:rPr>
        <w:t xml:space="preserve">BBB+至BBB-</w:t>
      </w:r>
    </w:p>
    <w:p>
      <w:pPr>
        <w:pStyle w:val="BodyText"/>
      </w:pPr>
      <w:r>
        <w:rPr>
          <w:rFonts w:hint="eastAsia"/>
        </w:rPr>
        <w:t xml:space="preserve">BB+及以下</w:t>
      </w:r>
    </w:p>
    <w:p>
      <w:pPr>
        <w:pStyle w:val="BodyText"/>
      </w:pPr>
      <w:r>
        <w:rPr>
          <w:rFonts w:hint="eastAsia"/>
        </w:rPr>
        <w:t xml:space="preserve">穆迪</w:t>
      </w:r>
    </w:p>
    <w:p>
      <w:pPr>
        <w:pStyle w:val="BodyText"/>
      </w:pPr>
      <w:r>
        <w:t xml:space="preserve">Aaa</w:t>
      </w:r>
    </w:p>
    <w:p>
      <w:pPr>
        <w:pStyle w:val="BodyText"/>
      </w:pPr>
      <w:r>
        <w:rPr>
          <w:rFonts w:hint="eastAsia"/>
        </w:rPr>
        <w:t xml:space="preserve">Aa1至Aa3</w:t>
      </w:r>
    </w:p>
    <w:p>
      <w:pPr>
        <w:pStyle w:val="BodyText"/>
      </w:pPr>
      <w:r>
        <w:rPr>
          <w:rFonts w:hint="eastAsia"/>
        </w:rPr>
        <w:t xml:space="preserve">A1至A3</w:t>
      </w:r>
    </w:p>
    <w:p>
      <w:pPr>
        <w:pStyle w:val="BodyText"/>
      </w:pPr>
      <w:r>
        <w:rPr>
          <w:rFonts w:hint="eastAsia"/>
        </w:rPr>
        <w:t xml:space="preserve">Baa1至Baa3</w:t>
      </w:r>
    </w:p>
    <w:p>
      <w:pPr>
        <w:pStyle w:val="BodyText"/>
      </w:pPr>
      <w:r>
        <w:rPr>
          <w:rFonts w:hint="eastAsia"/>
        </w:rPr>
        <w:t xml:space="preserve">Ba1及以下</w:t>
      </w:r>
    </w:p>
    <w:p>
      <w:pPr>
        <w:pStyle w:val="BodyText"/>
      </w:pPr>
      <w:r>
        <w:t xml:space="preserve">1</w:t>
      </w:r>
    </w:p>
    <w:p>
      <w:pPr>
        <w:pStyle w:val="BodyText"/>
      </w:pPr>
      <w:r>
        <w:rPr>
          <w:rFonts w:hint="eastAsia"/>
        </w:rPr>
        <w:t xml:space="preserve">2+至2-</w:t>
      </w:r>
    </w:p>
    <w:p>
      <w:pPr>
        <w:pStyle w:val="BodyText"/>
      </w:pPr>
      <w:r>
        <w:rPr>
          <w:rFonts w:hint="eastAsia"/>
        </w:rPr>
        <w:t xml:space="preserve">3+至3-</w:t>
      </w:r>
    </w:p>
    <w:p>
      <w:pPr>
        <w:pStyle w:val="BodyText"/>
      </w:pPr>
      <w:r>
        <w:rPr>
          <w:rFonts w:hint="eastAsia"/>
        </w:rPr>
        <w:t xml:space="preserve">4+至4-</w:t>
      </w:r>
    </w:p>
    <w:p>
      <w:pPr>
        <w:pStyle w:val="BodyText"/>
      </w:pPr>
      <w:r>
        <w:t xml:space="preserve">AAA</w:t>
      </w:r>
    </w:p>
    <w:p>
      <w:pPr>
        <w:pStyle w:val="BodyText"/>
      </w:pPr>
      <w:r>
        <w:t xml:space="preserve">AA</w:t>
      </w:r>
    </w:p>
    <w:p>
      <w:pPr>
        <w:pStyle w:val="BodyText"/>
      </w:pPr>
      <w:r>
        <w:t xml:space="preserve">A</w:t>
      </w:r>
    </w:p>
    <w:p>
      <w:pPr>
        <w:pStyle w:val="BodyText"/>
      </w:pPr>
      <w:r>
        <w:t xml:space="preserve">BBB</w:t>
      </w:r>
    </w:p>
    <w:p>
      <w:pPr>
        <w:pStyle w:val="BodyText"/>
      </w:pPr>
      <w:r>
        <w:rPr>
          <w:rFonts w:hint="eastAsia"/>
        </w:rPr>
        <w:t xml:space="preserve">5+及以下</w:t>
      </w:r>
    </w:p>
    <w:p>
      <w:pPr>
        <w:pStyle w:val="BodyText"/>
      </w:pPr>
      <w:r>
        <w:rPr>
          <w:rFonts w:hint="eastAsia"/>
        </w:rPr>
        <w:t xml:space="preserve">投資級別以下</w:t>
      </w:r>
    </w:p>
    <w:p>
      <w:pPr>
        <w:pStyle w:val="BodyText"/>
      </w:pPr>
      <w:r>
        <w:rPr>
          <w:rFonts w:hint="eastAsia"/>
        </w:rPr>
        <w:t xml:space="preserve">按種類劃分的債務證券如下：</w:t>
      </w:r>
    </w:p>
    <w:p>
      <w:pPr>
        <w:pStyle w:val="BodyText"/>
      </w:pPr>
      <w:r>
        <w:rPr>
          <w:rFonts w:hint="eastAsia"/>
        </w:rPr>
        <w:t xml:space="preserve">保單持有人及股東</w:t>
      </w:r>
    </w:p>
    <w:p>
      <w:pPr>
        <w:pStyle w:val="BodyText"/>
      </w:pPr>
      <w:r>
        <w:rPr>
          <w:rFonts w:hint="eastAsia"/>
        </w:rPr>
        <w:t xml:space="preserve">分紅基金及</w:t>
      </w:r>
      <w:r>
        <w:br/>
      </w:r>
      <w:r>
        <w:rPr>
          <w:rFonts w:hint="eastAsia"/>
        </w:rPr>
        <w:t xml:space="preserve">具特定資產組合的</w:t>
      </w:r>
      <w:r>
        <w:br/>
      </w:r>
      <w:r>
        <w:rPr>
          <w:rFonts w:hint="eastAsia"/>
        </w:rPr>
        <w:t xml:space="preserve">其他分紅業務</w:t>
      </w:r>
    </w:p>
    <w:p>
      <w:pPr>
        <w:pStyle w:val="BodyText"/>
      </w:pPr>
      <w:r>
        <w:rPr>
          <w:rFonts w:hint="eastAsia"/>
        </w:rPr>
        <w:t xml:space="preserve">其他保單持有人</w:t>
      </w:r>
      <w:r>
        <w:br/>
      </w:r>
      <w:r>
        <w:rPr>
          <w:rFonts w:hint="eastAsia"/>
        </w:rPr>
        <w:t xml:space="preserve">及股東</w:t>
      </w:r>
    </w:p>
    <w:p>
      <w:pPr>
        <w:pStyle w:val="BodyText"/>
      </w:pPr>
      <w:r>
        <w:rPr>
          <w:rFonts w:hint="eastAsia"/>
        </w:rPr>
        <w:t xml:space="preserve">百萬美元</w:t>
      </w:r>
    </w:p>
    <w:p>
      <w:pPr>
        <w:pStyle w:val="BodyText"/>
      </w:pPr>
      <w:r>
        <w:t xml:space="preserve">FVTPL</w:t>
      </w:r>
    </w:p>
    <w:p>
      <w:pPr>
        <w:pStyle w:val="BodyText"/>
      </w:pPr>
      <w:r>
        <w:t xml:space="preserve">AFS</w:t>
      </w:r>
    </w:p>
    <w:p>
      <w:pPr>
        <w:pStyle w:val="BodyText"/>
      </w:pPr>
      <w:r>
        <w:t xml:space="preserve">FVTPL</w:t>
      </w:r>
    </w:p>
    <w:p>
      <w:pPr>
        <w:pStyle w:val="BodyText"/>
      </w:pPr>
      <w:r>
        <w:t xml:space="preserve">AFS</w:t>
      </w:r>
    </w:p>
    <w:p>
      <w:pPr>
        <w:pStyle w:val="BodyText"/>
      </w:pPr>
      <w:r>
        <w:rPr>
          <w:rFonts w:hint="eastAsia"/>
        </w:rPr>
        <w:t xml:space="preserve">小計</w:t>
      </w:r>
    </w:p>
    <w:p>
      <w:pPr>
        <w:pStyle w:val="BodyText"/>
      </w:pPr>
      <w:r>
        <w:rPr>
          <w:rFonts w:hint="eastAsia"/>
        </w:rPr>
        <w:t xml:space="preserve">單位連</w:t>
      </w:r>
      <w:r>
        <w:br/>
      </w:r>
      <w:r>
        <w:rPr>
          <w:rFonts w:hint="eastAsia"/>
        </w:rPr>
        <w:t xml:space="preserve">結式</w:t>
      </w:r>
    </w:p>
    <w:p>
      <w:pPr>
        <w:pStyle w:val="BodyText"/>
      </w:pPr>
      <w:r>
        <w:t xml:space="preserve">FVTPL</w:t>
      </w:r>
    </w:p>
    <w:p>
      <w:pPr>
        <w:pStyle w:val="BodyText"/>
      </w:pPr>
      <w:r>
        <w:rPr>
          <w:rFonts w:hint="eastAsia"/>
        </w:rPr>
        <w:t xml:space="preserve">合併</w:t>
      </w:r>
    </w:p>
    <w:p>
      <w:pPr>
        <w:pStyle w:val="BodyText"/>
      </w:pPr>
      <w:r>
        <w:rPr>
          <w:rFonts w:hint="eastAsia"/>
        </w:rPr>
        <w:t xml:space="preserve">投資基金(1)</w:t>
      </w:r>
    </w:p>
    <w:p>
      <w:pPr>
        <w:pStyle w:val="BodyText"/>
      </w:pPr>
      <w:r>
        <w:t xml:space="preserve">FVTPL</w:t>
      </w:r>
    </w:p>
    <w:p>
      <w:pPr>
        <w:pStyle w:val="BodyText"/>
      </w:pPr>
      <w:r>
        <w:rPr>
          <w:rFonts w:hint="eastAsia"/>
        </w:rPr>
        <w:t xml:space="preserve">總計</w:t>
      </w:r>
    </w:p>
    <w:p>
      <w:pPr>
        <w:pStyle w:val="BodyText"/>
      </w:pPr>
      <w:r>
        <w:rPr>
          <w:rFonts w:hint="eastAsia"/>
        </w:rPr>
        <w:t xml:space="preserve">2020年12月31日</w:t>
      </w:r>
    </w:p>
    <w:p>
      <w:pPr>
        <w:pStyle w:val="BodyText"/>
      </w:pPr>
      <w:r>
        <w:rPr>
          <w:rFonts w:hint="eastAsia"/>
        </w:rPr>
        <w:t xml:space="preserve">政府債券(2)</w:t>
      </w:r>
    </w:p>
    <w:p>
      <w:pPr>
        <w:pStyle w:val="BodyText"/>
      </w:pPr>
      <w:r>
        <w:rPr>
          <w:rFonts w:hint="eastAsia"/>
        </w:rPr>
        <w:t xml:space="preserve">泰國</w:t>
      </w:r>
    </w:p>
    <w:p>
      <w:pPr>
        <w:pStyle w:val="BodyText"/>
      </w:pPr>
      <w:r>
        <w:rPr>
          <w:rFonts w:hint="eastAsia"/>
        </w:rPr>
        <w:t xml:space="preserve">中國內地</w:t>
      </w:r>
    </w:p>
    <w:p>
      <w:pPr>
        <w:pStyle w:val="BodyText"/>
      </w:pPr>
      <w:r>
        <w:rPr>
          <w:rFonts w:hint="eastAsia"/>
        </w:rPr>
        <w:t xml:space="preserve">南韓</w:t>
      </w:r>
    </w:p>
    <w:p>
      <w:pPr>
        <w:pStyle w:val="BodyText"/>
      </w:pPr>
      <w:r>
        <w:rPr>
          <w:rFonts w:hint="eastAsia"/>
        </w:rPr>
        <w:t xml:space="preserve">新加坡</w:t>
      </w:r>
    </w:p>
    <w:p>
      <w:pPr>
        <w:pStyle w:val="BodyText"/>
      </w:pPr>
      <w:r>
        <w:rPr>
          <w:rFonts w:hint="eastAsia"/>
        </w:rPr>
        <w:t xml:space="preserve">菲律賓</w:t>
      </w:r>
    </w:p>
    <w:p>
      <w:pPr>
        <w:pStyle w:val="BodyText"/>
      </w:pPr>
      <w:r>
        <w:rPr>
          <w:rFonts w:hint="eastAsia"/>
        </w:rPr>
        <w:t xml:space="preserve">馬來西亞</w:t>
      </w:r>
    </w:p>
    <w:p>
      <w:pPr>
        <w:pStyle w:val="BodyText"/>
      </w:pPr>
      <w:r>
        <w:rPr>
          <w:rFonts w:hint="eastAsia"/>
        </w:rPr>
        <w:t xml:space="preserve">印尼</w:t>
      </w:r>
    </w:p>
    <w:p>
      <w:pPr>
        <w:pStyle w:val="BodyText"/>
      </w:pPr>
      <w:r>
        <w:rPr>
          <w:rFonts w:hint="eastAsia"/>
        </w:rPr>
        <w:t xml:space="preserve">其他</w:t>
      </w:r>
    </w:p>
    <w:p>
      <w:pPr>
        <w:pStyle w:val="BodyText"/>
      </w:pPr>
      <w:r>
        <w:rPr>
          <w:rFonts w:hint="eastAsia"/>
        </w:rPr>
        <w:t xml:space="preserve">小計</w:t>
      </w:r>
    </w:p>
    <w:p>
      <w:pPr>
        <w:pStyle w:val="BodyText"/>
      </w:pPr>
      <w:r>
        <w:rPr>
          <w:rFonts w:hint="eastAsia"/>
        </w:rPr>
        <w:t xml:space="preserve">附註：</w:t>
      </w:r>
    </w:p>
    <w:p>
      <w:pPr>
        <w:pStyle w:val="BodyText"/>
      </w:pPr>
      <w:r>
        <w:t xml:space="preserve">–</w:t>
      </w:r>
    </w:p>
    <w:p>
      <w:pPr>
        <w:pStyle w:val="BodyText"/>
      </w:pPr>
      <w:r>
        <w:t xml:space="preserve">4,041</w:t>
      </w:r>
    </w:p>
    <w:p>
      <w:pPr>
        <w:pStyle w:val="BodyText"/>
      </w:pPr>
      <w:r>
        <w:t xml:space="preserve">–</w:t>
      </w:r>
    </w:p>
    <w:p>
      <w:pPr>
        <w:pStyle w:val="BodyText"/>
      </w:pPr>
      <w:r>
        <w:t xml:space="preserve">3,396</w:t>
      </w:r>
    </w:p>
    <w:p>
      <w:pPr>
        <w:pStyle w:val="BodyText"/>
      </w:pPr>
      <w:r>
        <w:t xml:space="preserve">–</w:t>
      </w:r>
    </w:p>
    <w:p>
      <w:pPr>
        <w:pStyle w:val="BodyText"/>
      </w:pPr>
      <w:r>
        <w:t xml:space="preserve">1,422</w:t>
      </w:r>
    </w:p>
    <w:p>
      <w:pPr>
        <w:pStyle w:val="BodyText"/>
      </w:pPr>
      <w:r>
        <w:t xml:space="preserve">–</w:t>
      </w:r>
    </w:p>
    <w:p>
      <w:pPr>
        <w:pStyle w:val="BodyText"/>
      </w:pPr>
      <w:r>
        <w:t xml:space="preserve">465</w:t>
      </w:r>
    </w:p>
    <w:p>
      <w:pPr>
        <w:pStyle w:val="BodyText"/>
      </w:pPr>
      <w:r>
        <w:t xml:space="preserve">9,324</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148</w:t>
      </w:r>
    </w:p>
    <w:p>
      <w:pPr>
        <w:pStyle w:val="BodyText"/>
      </w:pPr>
      <w:r>
        <w:t xml:space="preserve">1,041</w:t>
      </w:r>
    </w:p>
    <w:p>
      <w:pPr>
        <w:pStyle w:val="BodyText"/>
      </w:pPr>
      <w:r>
        <w:t xml:space="preserve">1,189</w:t>
      </w:r>
    </w:p>
    <w:p>
      <w:pPr>
        <w:pStyle w:val="BodyText"/>
      </w:pPr>
      <w:r>
        <w:t xml:space="preserve">16,524</w:t>
      </w:r>
    </w:p>
    <w:p>
      <w:pPr>
        <w:pStyle w:val="BodyText"/>
      </w:pPr>
      <w:r>
        <w:t xml:space="preserve">16,524</w:t>
      </w:r>
    </w:p>
    <w:p>
      <w:pPr>
        <w:pStyle w:val="BodyText"/>
      </w:pPr>
      <w:r>
        <w:t xml:space="preserve">13,706</w:t>
      </w:r>
    </w:p>
    <w:p>
      <w:pPr>
        <w:pStyle w:val="BodyText"/>
      </w:pPr>
      <w:r>
        <w:t xml:space="preserve">17,747</w:t>
      </w:r>
    </w:p>
    <w:p>
      <w:pPr>
        <w:pStyle w:val="BodyText"/>
      </w:pPr>
      <w:r>
        <w:t xml:space="preserve">8,225</w:t>
      </w:r>
    </w:p>
    <w:p>
      <w:pPr>
        <w:pStyle w:val="BodyText"/>
      </w:pPr>
      <w:r>
        <w:t xml:space="preserve">1,588</w:t>
      </w:r>
    </w:p>
    <w:p>
      <w:pPr>
        <w:pStyle w:val="BodyText"/>
      </w:pPr>
      <w:r>
        <w:t xml:space="preserve">2,777</w:t>
      </w:r>
    </w:p>
    <w:p>
      <w:pPr>
        <w:pStyle w:val="BodyText"/>
      </w:pPr>
      <w:r>
        <w:t xml:space="preserve">769</w:t>
      </w:r>
    </w:p>
    <w:p>
      <w:pPr>
        <w:pStyle w:val="BodyText"/>
      </w:pPr>
      <w:r>
        <w:t xml:space="preserve">586</w:t>
      </w:r>
    </w:p>
    <w:p>
      <w:pPr>
        <w:pStyle w:val="BodyText"/>
      </w:pPr>
      <w:r>
        <w:t xml:space="preserve">8,225</w:t>
      </w:r>
    </w:p>
    <w:p>
      <w:pPr>
        <w:pStyle w:val="BodyText"/>
      </w:pPr>
      <w:r>
        <w:t xml:space="preserve">4,984</w:t>
      </w:r>
    </w:p>
    <w:p>
      <w:pPr>
        <w:pStyle w:val="BodyText"/>
      </w:pPr>
      <w:r>
        <w:t xml:space="preserve">2,777</w:t>
      </w:r>
    </w:p>
    <w:p>
      <w:pPr>
        <w:pStyle w:val="BodyText"/>
      </w:pPr>
      <w:r>
        <w:t xml:space="preserve">2,191</w:t>
      </w:r>
    </w:p>
    <w:p>
      <w:pPr>
        <w:pStyle w:val="BodyText"/>
      </w:pPr>
      <w:r>
        <w:t xml:space="preserve">734</w:t>
      </w:r>
    </w:p>
    <w:p>
      <w:pPr>
        <w:pStyle w:val="BodyText"/>
      </w:pPr>
      <w:r>
        <w:t xml:space="preserve">1,575</w:t>
      </w:r>
    </w:p>
    <w:p>
      <w:pPr>
        <w:pStyle w:val="BodyText"/>
      </w:pPr>
      <w:r>
        <w:t xml:space="preserve">3,081</w:t>
      </w:r>
    </w:p>
    <w:p>
      <w:pPr>
        <w:pStyle w:val="BodyText"/>
      </w:pPr>
      <w:r>
        <w:t xml:space="preserve">–</w:t>
      </w:r>
    </w:p>
    <w:p>
      <w:pPr>
        <w:pStyle w:val="BodyText"/>
      </w:pPr>
      <w:r>
        <w:t xml:space="preserve">38</w:t>
      </w:r>
    </w:p>
    <w:p>
      <w:pPr>
        <w:pStyle w:val="BodyText"/>
      </w:pPr>
      <w:r>
        <w:t xml:space="preserve">311</w:t>
      </w:r>
    </w:p>
    <w:p>
      <w:pPr>
        <w:pStyle w:val="BodyText"/>
      </w:pPr>
      <w:r>
        <w:t xml:space="preserve">867</w:t>
      </w:r>
    </w:p>
    <w:p>
      <w:pPr>
        <w:pStyle w:val="BodyText"/>
      </w:pPr>
      <w:r>
        <w:t xml:space="preserve">157</w:t>
      </w:r>
    </w:p>
    <w:p>
      <w:pPr>
        <w:pStyle w:val="BodyText"/>
      </w:pPr>
      <w:r>
        <w:t xml:space="preserve">168</w:t>
      </w:r>
    </w:p>
    <w:p>
      <w:pPr>
        <w:pStyle w:val="BodyText"/>
      </w:pPr>
      <w:r>
        <w:t xml:space="preserve">92</w:t>
      </w:r>
    </w:p>
    <w:p>
      <w:pPr>
        <w:pStyle w:val="BodyText"/>
      </w:pPr>
      <w:r>
        <w:t xml:space="preserve">213</w:t>
      </w:r>
    </w:p>
    <w:p>
      <w:pPr>
        <w:pStyle w:val="BodyText"/>
      </w:pPr>
      <w:r>
        <w:t xml:space="preserve">45,750</w:t>
      </w:r>
    </w:p>
    <w:p>
      <w:pPr>
        <w:pStyle w:val="BodyText"/>
      </w:pPr>
      <w:r>
        <w:t xml:space="preserve">56,263</w:t>
      </w:r>
    </w:p>
    <w:p>
      <w:pPr>
        <w:pStyle w:val="BodyText"/>
      </w:pPr>
      <w:r>
        <w:t xml:space="preserve">1,846</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16,524</w:t>
      </w:r>
    </w:p>
    <w:p>
      <w:pPr>
        <w:pStyle w:val="BodyText"/>
      </w:pPr>
      <w:r>
        <w:t xml:space="preserve">17,785</w:t>
      </w:r>
    </w:p>
    <w:p>
      <w:pPr>
        <w:pStyle w:val="BodyText"/>
      </w:pPr>
      <w:r>
        <w:t xml:space="preserve">8,536</w:t>
      </w:r>
    </w:p>
    <w:p>
      <w:pPr>
        <w:pStyle w:val="BodyText"/>
      </w:pPr>
      <w:r>
        <w:t xml:space="preserve">5,851</w:t>
      </w:r>
    </w:p>
    <w:p>
      <w:pPr>
        <w:pStyle w:val="BodyText"/>
      </w:pPr>
      <w:r>
        <w:t xml:space="preserve">2,934</w:t>
      </w:r>
    </w:p>
    <w:p>
      <w:pPr>
        <w:pStyle w:val="BodyText"/>
      </w:pPr>
      <w:r>
        <w:t xml:space="preserve">2,359</w:t>
      </w:r>
    </w:p>
    <w:p>
      <w:pPr>
        <w:pStyle w:val="BodyText"/>
      </w:pPr>
      <w:r>
        <w:t xml:space="preserve">826</w:t>
      </w:r>
    </w:p>
    <w:p>
      <w:pPr>
        <w:pStyle w:val="BodyText"/>
      </w:pPr>
      <w:r>
        <w:t xml:space="preserve">3,294</w:t>
      </w:r>
    </w:p>
    <w:p>
      <w:pPr>
        <w:pStyle w:val="BodyText"/>
      </w:pPr>
      <w:r>
        <w:t xml:space="preserve">58,109</w:t>
      </w:r>
    </w:p>
    <w:p>
      <w:pPr>
        <w:numPr>
          <w:ilvl w:val="0"/>
          <w:numId w:val="1381"/>
        </w:numPr>
      </w:pPr>
      <w:r>
        <w:rPr>
          <w:rFonts w:hint="eastAsia"/>
        </w:rPr>
        <w:t xml:space="preserve">合併投資基金反映100%該等基金所持有的資產及負債。</w:t>
      </w:r>
    </w:p>
    <w:p>
      <w:pPr>
        <w:numPr>
          <w:ilvl w:val="0"/>
          <w:numId w:val="1381"/>
        </w:numPr>
      </w:pPr>
      <w:r>
        <w:rPr>
          <w:rFonts w:hint="eastAsia"/>
        </w:rPr>
        <w:t xml:space="preserve">政府債券包括各業務單位經營所在國家的政府以當地貨幣或外幣發行的債券。本集團的信貸風險評估框架並未對該等政府債券設定信貸風險限</w:t>
      </w:r>
    </w:p>
    <w:p>
      <w:pPr>
        <w:pStyle w:val="FirstParagraph"/>
      </w:pPr>
      <w:r>
        <w:rPr>
          <w:rFonts w:hint="eastAsia"/>
        </w:rPr>
        <w:t xml:space="preserve">額，故並無於表中列示信貸評級。於2020年12月31日的結餘總額中，99%獲評為投資級別。</w:t>
      </w:r>
    </w:p>
    <w:p>
      <w:pPr>
        <w:pStyle w:val="BodyText"/>
      </w:pPr>
      <w:r>
        <w:t xml:space="preserve">198</w:t>
      </w:r>
    </w:p>
    <w:p>
      <w:pPr>
        <w:pStyle w:val="BodyText"/>
      </w:pPr>
      <w:r>
        <w:rPr>
          <w:rFonts w:hint="eastAsia"/>
        </w:rPr>
        <w:t xml:space="preserve">友邦保險控股有限公司</w:t>
      </w:r>
    </w:p>
    <w:p>
      <w:pPr>
        <w:pStyle w:val="Compact"/>
        <w:numPr>
          <w:ilvl w:val="0"/>
          <w:numId w:val="1382"/>
        </w:numPr>
      </w:pPr>
      <w:r>
        <w:rPr>
          <w:rFonts w:hint="eastAsia"/>
        </w:rPr>
        <w:t xml:space="preserve">金融投資（續）</w:t>
      </w:r>
    </w:p>
    <w:p>
      <w:pPr>
        <w:pStyle w:val="FirstParagraph"/>
      </w:pPr>
      <w:r>
        <w:rPr>
          <w:rFonts w:hint="eastAsia"/>
        </w:rPr>
        <w:t xml:space="preserve">債務證券（續）</w:t>
      </w:r>
    </w:p>
    <w:p>
      <w:pPr>
        <w:pStyle w:val="BodyText"/>
      </w:pPr>
      <w:r>
        <w:rPr>
          <w:rFonts w:hint="eastAsia"/>
        </w:rPr>
        <w:t xml:space="preserve">按種類劃分的債務證券如下：（續）</w:t>
      </w:r>
    </w:p>
    <w:p>
      <w:pPr>
        <w:pStyle w:val="BodyText"/>
      </w:pPr>
      <w:r>
        <w:rPr>
          <w:rFonts w:hint="eastAsia"/>
        </w:rPr>
        <w:t xml:space="preserve">保單持有人及股東</w:t>
      </w:r>
    </w:p>
    <w:p>
      <w:pPr>
        <w:pStyle w:val="BodyText"/>
      </w:pPr>
      <w:r>
        <w:rPr>
          <w:rFonts w:hint="eastAsia"/>
        </w:rPr>
        <w:t xml:space="preserve">分紅基金及</w:t>
      </w:r>
      <w:r>
        <w:br/>
      </w:r>
      <w:r>
        <w:rPr>
          <w:rFonts w:hint="eastAsia"/>
        </w:rPr>
        <w:t xml:space="preserve">具特定資產組合的</w:t>
      </w:r>
      <w:r>
        <w:br/>
      </w:r>
      <w:r>
        <w:rPr>
          <w:rFonts w:hint="eastAsia"/>
        </w:rPr>
        <w:t xml:space="preserve">其他分紅業務</w:t>
      </w:r>
    </w:p>
    <w:p>
      <w:pPr>
        <w:pStyle w:val="BodyText"/>
      </w:pPr>
      <w:r>
        <w:rPr>
          <w:rFonts w:hint="eastAsia"/>
        </w:rPr>
        <w:t xml:space="preserve">其他保單持有人</w:t>
      </w:r>
      <w:r>
        <w:br/>
      </w:r>
      <w:r>
        <w:rPr>
          <w:rFonts w:hint="eastAsia"/>
        </w:rPr>
        <w:t xml:space="preserve">及股東</w:t>
      </w:r>
    </w:p>
    <w:p>
      <w:pPr>
        <w:pStyle w:val="BodyText"/>
      </w:pPr>
      <w:r>
        <w:rPr>
          <w:rFonts w:hint="eastAsia"/>
        </w:rPr>
        <w:t xml:space="preserve">百萬美元</w:t>
      </w:r>
    </w:p>
    <w:p>
      <w:pPr>
        <w:pStyle w:val="BodyText"/>
      </w:pPr>
      <w:r>
        <w:t xml:space="preserve">FVTPL</w:t>
      </w:r>
    </w:p>
    <w:p>
      <w:pPr>
        <w:pStyle w:val="BodyText"/>
      </w:pPr>
      <w:r>
        <w:t xml:space="preserve">AFS</w:t>
      </w:r>
    </w:p>
    <w:p>
      <w:pPr>
        <w:pStyle w:val="BodyText"/>
      </w:pPr>
      <w:r>
        <w:t xml:space="preserve">FVTPL</w:t>
      </w:r>
    </w:p>
    <w:p>
      <w:pPr>
        <w:pStyle w:val="BodyText"/>
      </w:pPr>
      <w:r>
        <w:t xml:space="preserve">AFS</w:t>
      </w:r>
    </w:p>
    <w:p>
      <w:pPr>
        <w:pStyle w:val="BodyText"/>
      </w:pPr>
      <w:r>
        <w:rPr>
          <w:rFonts w:hint="eastAsia"/>
        </w:rPr>
        <w:t xml:space="preserve">小計</w:t>
      </w:r>
    </w:p>
    <w:p>
      <w:pPr>
        <w:pStyle w:val="BodyText"/>
      </w:pPr>
      <w:r>
        <w:rPr>
          <w:rFonts w:hint="eastAsia"/>
        </w:rPr>
        <w:t xml:space="preserve">單位</w:t>
      </w:r>
      <w:r>
        <w:br/>
      </w:r>
      <w:r>
        <w:rPr>
          <w:rFonts w:hint="eastAsia"/>
        </w:rPr>
        <w:t xml:space="preserve">連結式</w:t>
      </w:r>
    </w:p>
    <w:p>
      <w:pPr>
        <w:pStyle w:val="BodyText"/>
      </w:pPr>
      <w:r>
        <w:t xml:space="preserve">FVTPL</w:t>
      </w:r>
    </w:p>
    <w:p>
      <w:pPr>
        <w:pStyle w:val="BodyText"/>
      </w:pPr>
      <w:r>
        <w:rPr>
          <w:rFonts w:hint="eastAsia"/>
        </w:rPr>
        <w:t xml:space="preserve">合併投資</w:t>
      </w:r>
    </w:p>
    <w:p>
      <w:pPr>
        <w:pStyle w:val="BodyText"/>
      </w:pPr>
      <w:r>
        <w:rPr>
          <w:rFonts w:hint="eastAsia"/>
        </w:rPr>
        <w:t xml:space="preserve">基金(1)</w:t>
      </w:r>
    </w:p>
    <w:p>
      <w:pPr>
        <w:pStyle w:val="BodyText"/>
      </w:pPr>
      <w:r>
        <w:t xml:space="preserve">FVTPL</w:t>
      </w:r>
    </w:p>
    <w:p>
      <w:pPr>
        <w:pStyle w:val="BodyText"/>
      </w:pPr>
      <w:r>
        <w:rPr>
          <w:rFonts w:hint="eastAsia"/>
        </w:rPr>
        <w:t xml:space="preserve">總計</w:t>
      </w:r>
    </w:p>
    <w:p>
      <w:pPr>
        <w:pStyle w:val="BodyText"/>
      </w:pPr>
      <w:r>
        <w:rPr>
          <w:rFonts w:hint="eastAsia"/>
        </w:rPr>
        <w:t xml:space="preserve">2020年12月31日</w:t>
      </w:r>
    </w:p>
    <w:p>
      <w:pPr>
        <w:pStyle w:val="BodyText"/>
      </w:pPr>
      <w:r>
        <w:rPr>
          <w:rFonts w:hint="eastAsia"/>
        </w:rPr>
        <w:t xml:space="preserve">其他政府及政府機構債券(3)</w:t>
      </w:r>
    </w:p>
    <w:p>
      <w:pPr>
        <w:pStyle w:val="BodyText"/>
      </w:pPr>
      <w:r>
        <w:t xml:space="preserve">AAA</w:t>
      </w:r>
    </w:p>
    <w:p>
      <w:pPr>
        <w:pStyle w:val="BodyText"/>
      </w:pPr>
      <w:r>
        <w:t xml:space="preserve">AA</w:t>
      </w:r>
    </w:p>
    <w:p>
      <w:pPr>
        <w:pStyle w:val="BodyText"/>
      </w:pPr>
      <w:r>
        <w:t xml:space="preserve">A</w:t>
      </w:r>
    </w:p>
    <w:p>
      <w:pPr>
        <w:pStyle w:val="BodyText"/>
      </w:pPr>
      <w:r>
        <w:t xml:space="preserve">BBB</w:t>
      </w:r>
    </w:p>
    <w:p>
      <w:pPr>
        <w:pStyle w:val="BodyText"/>
      </w:pPr>
      <w:r>
        <w:rPr>
          <w:rFonts w:hint="eastAsia"/>
        </w:rPr>
        <w:t xml:space="preserve">投資級別以下</w:t>
      </w:r>
    </w:p>
    <w:p>
      <w:pPr>
        <w:pStyle w:val="BodyText"/>
      </w:pPr>
      <w:r>
        <w:rPr>
          <w:rFonts w:hint="eastAsia"/>
        </w:rPr>
        <w:t xml:space="preserve">未獲評級</w:t>
      </w:r>
    </w:p>
    <w:p>
      <w:pPr>
        <w:pStyle w:val="BodyText"/>
      </w:pPr>
      <w:r>
        <w:rPr>
          <w:rFonts w:hint="eastAsia"/>
        </w:rPr>
        <w:t xml:space="preserve">小計</w:t>
      </w:r>
    </w:p>
    <w:p>
      <w:pPr>
        <w:pStyle w:val="BodyText"/>
      </w:pPr>
      <w:r>
        <w:rPr>
          <w:rFonts w:hint="eastAsia"/>
        </w:rPr>
        <w:t xml:space="preserve">公司債券</w:t>
      </w:r>
    </w:p>
    <w:p>
      <w:pPr>
        <w:pStyle w:val="BodyText"/>
      </w:pPr>
      <w:r>
        <w:t xml:space="preserve">AAA</w:t>
      </w:r>
    </w:p>
    <w:p>
      <w:pPr>
        <w:pStyle w:val="BodyText"/>
      </w:pPr>
      <w:r>
        <w:t xml:space="preserve">AA</w:t>
      </w:r>
    </w:p>
    <w:p>
      <w:pPr>
        <w:pStyle w:val="BodyText"/>
      </w:pPr>
      <w:r>
        <w:t xml:space="preserve">A</w:t>
      </w:r>
    </w:p>
    <w:p>
      <w:pPr>
        <w:pStyle w:val="BodyText"/>
      </w:pPr>
      <w:r>
        <w:t xml:space="preserve">BBB</w:t>
      </w:r>
    </w:p>
    <w:p>
      <w:pPr>
        <w:pStyle w:val="BodyText"/>
      </w:pPr>
      <w:r>
        <w:rPr>
          <w:rFonts w:hint="eastAsia"/>
        </w:rPr>
        <w:t xml:space="preserve">投資級別以下</w:t>
      </w:r>
    </w:p>
    <w:p>
      <w:pPr>
        <w:pStyle w:val="BodyText"/>
      </w:pPr>
      <w:r>
        <w:rPr>
          <w:rFonts w:hint="eastAsia"/>
        </w:rPr>
        <w:t xml:space="preserve">未獲評級</w:t>
      </w:r>
    </w:p>
    <w:p>
      <w:pPr>
        <w:pStyle w:val="BodyText"/>
      </w:pPr>
      <w:r>
        <w:rPr>
          <w:rFonts w:hint="eastAsia"/>
        </w:rPr>
        <w:t xml:space="preserve">小計</w:t>
      </w:r>
    </w:p>
    <w:p>
      <w:pPr>
        <w:pStyle w:val="BodyText"/>
      </w:pPr>
      <w:r>
        <w:rPr>
          <w:rFonts w:hint="eastAsia"/>
        </w:rPr>
        <w:t xml:space="preserve">結構證券(4)</w:t>
      </w:r>
    </w:p>
    <w:p>
      <w:pPr>
        <w:pStyle w:val="BodyText"/>
      </w:pPr>
      <w:r>
        <w:t xml:space="preserve">AAA</w:t>
      </w:r>
    </w:p>
    <w:p>
      <w:pPr>
        <w:pStyle w:val="BodyText"/>
      </w:pPr>
      <w:r>
        <w:t xml:space="preserve">AA</w:t>
      </w:r>
    </w:p>
    <w:p>
      <w:pPr>
        <w:pStyle w:val="BodyText"/>
      </w:pPr>
      <w:r>
        <w:t xml:space="preserve">A</w:t>
      </w:r>
    </w:p>
    <w:p>
      <w:pPr>
        <w:pStyle w:val="BodyText"/>
      </w:pPr>
      <w:r>
        <w:t xml:space="preserve">BBB</w:t>
      </w:r>
    </w:p>
    <w:p>
      <w:pPr>
        <w:pStyle w:val="BodyText"/>
      </w:pPr>
      <w:r>
        <w:rPr>
          <w:rFonts w:hint="eastAsia"/>
        </w:rPr>
        <w:t xml:space="preserve">投資級別以下</w:t>
      </w:r>
    </w:p>
    <w:p>
      <w:pPr>
        <w:pStyle w:val="BodyText"/>
      </w:pPr>
      <w:r>
        <w:rPr>
          <w:rFonts w:hint="eastAsia"/>
        </w:rPr>
        <w:t xml:space="preserve">未獲評級</w:t>
      </w:r>
    </w:p>
    <w:p>
      <w:pPr>
        <w:pStyle w:val="BodyText"/>
      </w:pPr>
      <w:r>
        <w:rPr>
          <w:rFonts w:hint="eastAsia"/>
        </w:rPr>
        <w:t xml:space="preserve">小計</w:t>
      </w:r>
    </w:p>
    <w:p>
      <w:pPr>
        <w:pStyle w:val="BodyText"/>
      </w:pPr>
      <w:r>
        <w:rPr>
          <w:rFonts w:hint="eastAsia"/>
        </w:rPr>
        <w:t xml:space="preserve">總計(5)(6)</w:t>
      </w:r>
    </w:p>
    <w:p>
      <w:pPr>
        <w:pStyle w:val="BodyText"/>
      </w:pPr>
      <w:r>
        <w:rPr>
          <w:rFonts w:hint="eastAsia"/>
        </w:rPr>
        <w:t xml:space="preserve">附註：</w:t>
      </w:r>
    </w:p>
    <w:p>
      <w:pPr>
        <w:pStyle w:val="BodyText"/>
      </w:pPr>
      <w:r>
        <w:t xml:space="preserve">2,501</w:t>
      </w:r>
    </w:p>
    <w:p>
      <w:pPr>
        <w:pStyle w:val="BodyText"/>
      </w:pPr>
      <w:r>
        <w:t xml:space="preserve">268</w:t>
      </w:r>
    </w:p>
    <w:p>
      <w:pPr>
        <w:pStyle w:val="BodyText"/>
      </w:pPr>
      <w:r>
        <w:t xml:space="preserve">3,269</w:t>
      </w:r>
    </w:p>
    <w:p>
      <w:pPr>
        <w:pStyle w:val="BodyText"/>
      </w:pPr>
      <w:r>
        <w:t xml:space="preserve">676</w:t>
      </w:r>
    </w:p>
    <w:p>
      <w:pPr>
        <w:pStyle w:val="BodyText"/>
      </w:pPr>
      <w:r>
        <w:t xml:space="preserve">53</w:t>
      </w:r>
    </w:p>
    <w:p>
      <w:pPr>
        <w:pStyle w:val="BodyText"/>
      </w:pPr>
      <w:r>
        <w:t xml:space="preserve">–</w:t>
      </w:r>
    </w:p>
    <w:p>
      <w:pPr>
        <w:pStyle w:val="BodyText"/>
      </w:pPr>
      <w:r>
        <w:t xml:space="preserve">1,296</w:t>
      </w:r>
    </w:p>
    <w:p>
      <w:pPr>
        <w:pStyle w:val="BodyText"/>
      </w:pPr>
      <w:r>
        <w:t xml:space="preserve">1,028</w:t>
      </w:r>
    </w:p>
    <w:p>
      <w:pPr>
        <w:pStyle w:val="BodyText"/>
      </w:pPr>
      <w:r>
        <w:t xml:space="preserve">1,545</w:t>
      </w:r>
    </w:p>
    <w:p>
      <w:pPr>
        <w:pStyle w:val="BodyText"/>
      </w:pPr>
      <w:r>
        <w:t xml:space="preserve">1,046</w:t>
      </w:r>
    </w:p>
    <w:p>
      <w:pPr>
        <w:pStyle w:val="BodyText"/>
      </w:pPr>
      <w:r>
        <w:t xml:space="preserve">19</w:t>
      </w:r>
    </w:p>
    <w:p>
      <w:pPr>
        <w:pStyle w:val="BodyText"/>
      </w:pPr>
      <w:r>
        <w:t xml:space="preserve">–</w:t>
      </w:r>
    </w:p>
    <w:p>
      <w:pPr>
        <w:pStyle w:val="BodyText"/>
      </w:pPr>
      <w:r>
        <w:t xml:space="preserve">7</w:t>
      </w:r>
    </w:p>
    <w:p>
      <w:pPr>
        <w:pStyle w:val="BodyText"/>
      </w:pPr>
      <w:r>
        <w:t xml:space="preserve">3</w:t>
      </w:r>
    </w:p>
    <w:p>
      <w:pPr>
        <w:pStyle w:val="BodyText"/>
      </w:pPr>
      <w:r>
        <w:t xml:space="preserve">4</w:t>
      </w:r>
    </w:p>
    <w:p>
      <w:pPr>
        <w:pStyle w:val="BodyText"/>
      </w:pPr>
      <w:r>
        <w:t xml:space="preserve">58</w:t>
      </w:r>
    </w:p>
    <w:p>
      <w:pPr>
        <w:pStyle w:val="BodyText"/>
      </w:pPr>
      <w:r>
        <w:t xml:space="preserve">3</w:t>
      </w:r>
    </w:p>
    <w:p>
      <w:pPr>
        <w:pStyle w:val="BodyText"/>
      </w:pPr>
      <w:r>
        <w:t xml:space="preserve">–</w:t>
      </w:r>
    </w:p>
    <w:p>
      <w:pPr>
        <w:pStyle w:val="BodyText"/>
      </w:pPr>
      <w:r>
        <w:t xml:space="preserve">5,247</w:t>
      </w:r>
    </w:p>
    <w:p>
      <w:pPr>
        <w:pStyle w:val="BodyText"/>
      </w:pPr>
      <w:r>
        <w:t xml:space="preserve">4,324</w:t>
      </w:r>
    </w:p>
    <w:p>
      <w:pPr>
        <w:pStyle w:val="BodyText"/>
      </w:pPr>
      <w:r>
        <w:t xml:space="preserve">4,440</w:t>
      </w:r>
    </w:p>
    <w:p>
      <w:pPr>
        <w:pStyle w:val="BodyText"/>
      </w:pPr>
      <w:r>
        <w:t xml:space="preserve">4,450</w:t>
      </w:r>
    </w:p>
    <w:p>
      <w:pPr>
        <w:pStyle w:val="BodyText"/>
      </w:pPr>
      <w:r>
        <w:t xml:space="preserve">382</w:t>
      </w:r>
    </w:p>
    <w:p>
      <w:pPr>
        <w:pStyle w:val="BodyText"/>
      </w:pPr>
      <w:r>
        <w:t xml:space="preserve">–</w:t>
      </w:r>
    </w:p>
    <w:p>
      <w:pPr>
        <w:pStyle w:val="BodyText"/>
      </w:pPr>
      <w:r>
        <w:t xml:space="preserve">9,051</w:t>
      </w:r>
    </w:p>
    <w:p>
      <w:pPr>
        <w:pStyle w:val="BodyText"/>
      </w:pPr>
      <w:r>
        <w:t xml:space="preserve">5,623</w:t>
      </w:r>
    </w:p>
    <w:p>
      <w:pPr>
        <w:pStyle w:val="BodyText"/>
      </w:pPr>
      <w:r>
        <w:t xml:space="preserve">9,258</w:t>
      </w:r>
    </w:p>
    <w:p>
      <w:pPr>
        <w:pStyle w:val="BodyText"/>
      </w:pPr>
      <w:r>
        <w:t xml:space="preserve">6,230</w:t>
      </w:r>
    </w:p>
    <w:p>
      <w:pPr>
        <w:pStyle w:val="BodyText"/>
      </w:pPr>
      <w:r>
        <w:t xml:space="preserve">457</w:t>
      </w:r>
    </w:p>
    <w:p>
      <w:pPr>
        <w:pStyle w:val="BodyText"/>
      </w:pPr>
      <w:r>
        <w:t xml:space="preserve">–</w:t>
      </w:r>
    </w:p>
    <w:p>
      <w:pPr>
        <w:pStyle w:val="BodyText"/>
      </w:pPr>
      <w:r>
        <w:t xml:space="preserve">183</w:t>
      </w:r>
    </w:p>
    <w:p>
      <w:pPr>
        <w:pStyle w:val="BodyText"/>
      </w:pPr>
      <w:r>
        <w:t xml:space="preserve">165</w:t>
      </w:r>
    </w:p>
    <w:p>
      <w:pPr>
        <w:pStyle w:val="BodyText"/>
      </w:pPr>
      <w:r>
        <w:t xml:space="preserve">87</w:t>
      </w:r>
    </w:p>
    <w:p>
      <w:pPr>
        <w:pStyle w:val="BodyText"/>
      </w:pPr>
      <w:r>
        <w:t xml:space="preserve">63</w:t>
      </w:r>
    </w:p>
    <w:p>
      <w:pPr>
        <w:pStyle w:val="BodyText"/>
      </w:pPr>
      <w:r>
        <w:t xml:space="preserve">6</w:t>
      </w:r>
    </w:p>
    <w:p>
      <w:pPr>
        <w:pStyle w:val="BodyText"/>
      </w:pPr>
      <w:r>
        <w:t xml:space="preserve">4</w:t>
      </w:r>
    </w:p>
    <w:p>
      <w:pPr>
        <w:pStyle w:val="BodyText"/>
      </w:pPr>
      <w:r>
        <w:t xml:space="preserve">–</w:t>
      </w:r>
    </w:p>
    <w:p>
      <w:pPr>
        <w:pStyle w:val="BodyText"/>
      </w:pPr>
      <w:r>
        <w:t xml:space="preserve">260</w:t>
      </w:r>
    </w:p>
    <w:p>
      <w:pPr>
        <w:pStyle w:val="BodyText"/>
      </w:pPr>
      <w:r>
        <w:t xml:space="preserve">71</w:t>
      </w:r>
    </w:p>
    <w:p>
      <w:pPr>
        <w:pStyle w:val="BodyText"/>
      </w:pPr>
      <w:r>
        <w:t xml:space="preserve">1</w:t>
      </w:r>
    </w:p>
    <w:p>
      <w:pPr>
        <w:pStyle w:val="BodyText"/>
      </w:pPr>
      <w:r>
        <w:t xml:space="preserve">–</w:t>
      </w:r>
    </w:p>
    <w:p>
      <w:pPr>
        <w:pStyle w:val="BodyText"/>
      </w:pPr>
      <w:r>
        <w:t xml:space="preserve">–</w:t>
      </w:r>
    </w:p>
    <w:p>
      <w:pPr>
        <w:pStyle w:val="BodyText"/>
      </w:pPr>
      <w:r>
        <w:t xml:space="preserve">9,234</w:t>
      </w:r>
    </w:p>
    <w:p>
      <w:pPr>
        <w:pStyle w:val="BodyText"/>
      </w:pPr>
      <w:r>
        <w:t xml:space="preserve">6,048</w:t>
      </w:r>
    </w:p>
    <w:p>
      <w:pPr>
        <w:pStyle w:val="BodyText"/>
      </w:pPr>
      <w:r>
        <w:t xml:space="preserve">9,416</w:t>
      </w:r>
    </w:p>
    <w:p>
      <w:pPr>
        <w:pStyle w:val="BodyText"/>
      </w:pPr>
      <w:r>
        <w:t xml:space="preserve">6,294</w:t>
      </w:r>
    </w:p>
    <w:p>
      <w:pPr>
        <w:pStyle w:val="BodyText"/>
      </w:pPr>
      <w:r>
        <w:t xml:space="preserve">463</w:t>
      </w:r>
    </w:p>
    <w:p>
      <w:pPr>
        <w:pStyle w:val="BodyText"/>
      </w:pPr>
      <w:r>
        <w:t xml:space="preserve">4</w:t>
      </w:r>
    </w:p>
    <w:p>
      <w:pPr>
        <w:pStyle w:val="BodyText"/>
      </w:pPr>
      <w:r>
        <w:t xml:space="preserve">6,767</w:t>
      </w:r>
    </w:p>
    <w:p>
      <w:pPr>
        <w:pStyle w:val="BodyText"/>
      </w:pPr>
      <w:r>
        <w:t xml:space="preserve">4,934</w:t>
      </w:r>
    </w:p>
    <w:p>
      <w:pPr>
        <w:pStyle w:val="BodyText"/>
      </w:pPr>
      <w:r>
        <w:t xml:space="preserve">75</w:t>
      </w:r>
    </w:p>
    <w:p>
      <w:pPr>
        <w:pStyle w:val="BodyText"/>
      </w:pPr>
      <w:r>
        <w:t xml:space="preserve">18,843</w:t>
      </w:r>
    </w:p>
    <w:p>
      <w:pPr>
        <w:pStyle w:val="BodyText"/>
      </w:pPr>
      <w:r>
        <w:t xml:space="preserve">30,619</w:t>
      </w:r>
    </w:p>
    <w:p>
      <w:pPr>
        <w:pStyle w:val="BodyText"/>
      </w:pPr>
      <w:r>
        <w:t xml:space="preserve">508</w:t>
      </w:r>
    </w:p>
    <w:p>
      <w:pPr>
        <w:pStyle w:val="BodyText"/>
      </w:pPr>
      <w:r>
        <w:t xml:space="preserve">332</w:t>
      </w:r>
    </w:p>
    <w:p>
      <w:pPr>
        <w:pStyle w:val="BodyText"/>
      </w:pPr>
      <w:r>
        <w:t xml:space="preserve">31,459</w:t>
      </w:r>
    </w:p>
    <w:p>
      <w:pPr>
        <w:pStyle w:val="BodyText"/>
      </w:pPr>
      <w:r>
        <w:t xml:space="preserve">12</w:t>
      </w:r>
    </w:p>
    <w:p>
      <w:pPr>
        <w:pStyle w:val="BodyText"/>
      </w:pPr>
      <w:r>
        <w:t xml:space="preserve">323</w:t>
      </w:r>
    </w:p>
    <w:p>
      <w:pPr>
        <w:pStyle w:val="BodyText"/>
      </w:pPr>
      <w:r>
        <w:t xml:space="preserve">5,220</w:t>
      </w:r>
    </w:p>
    <w:p>
      <w:pPr>
        <w:pStyle w:val="BodyText"/>
      </w:pPr>
      <w:r>
        <w:t xml:space="preserve">5,880</w:t>
      </w:r>
    </w:p>
    <w:p>
      <w:pPr>
        <w:pStyle w:val="BodyText"/>
      </w:pPr>
      <w:r>
        <w:t xml:space="preserve">481</w:t>
      </w:r>
    </w:p>
    <w:p>
      <w:pPr>
        <w:pStyle w:val="BodyText"/>
      </w:pPr>
      <w:r>
        <w:t xml:space="preserve">6</w:t>
      </w:r>
    </w:p>
    <w:p>
      <w:pPr>
        <w:pStyle w:val="BodyText"/>
      </w:pPr>
      <w:r>
        <w:t xml:space="preserve">352</w:t>
      </w:r>
    </w:p>
    <w:p>
      <w:pPr>
        <w:pStyle w:val="BodyText"/>
      </w:pPr>
      <w:r>
        <w:t xml:space="preserve">2,428</w:t>
      </w:r>
    </w:p>
    <w:p>
      <w:pPr>
        <w:pStyle w:val="BodyText"/>
      </w:pPr>
      <w:r>
        <w:t xml:space="preserve">18,954</w:t>
      </w:r>
    </w:p>
    <w:p>
      <w:pPr>
        <w:pStyle w:val="BodyText"/>
      </w:pPr>
      <w:r>
        <w:t xml:space="preserve">20,645</w:t>
      </w:r>
    </w:p>
    <w:p>
      <w:pPr>
        <w:pStyle w:val="BodyText"/>
      </w:pPr>
      <w:r>
        <w:t xml:space="preserve">289</w:t>
      </w:r>
    </w:p>
    <w:p>
      <w:pPr>
        <w:pStyle w:val="BodyText"/>
      </w:pPr>
      <w:r>
        <w:t xml:space="preserve">–</w:t>
      </w:r>
    </w:p>
    <w:p>
      <w:pPr>
        <w:pStyle w:val="BodyText"/>
      </w:pPr>
      <w:r>
        <w:t xml:space="preserve">–</w:t>
      </w:r>
    </w:p>
    <w:p>
      <w:pPr>
        <w:pStyle w:val="BodyText"/>
      </w:pPr>
      <w:r>
        <w:t xml:space="preserve">9</w:t>
      </w:r>
    </w:p>
    <w:p>
      <w:pPr>
        <w:pStyle w:val="BodyText"/>
      </w:pPr>
      <w:r>
        <w:t xml:space="preserve">55</w:t>
      </w:r>
    </w:p>
    <w:p>
      <w:pPr>
        <w:pStyle w:val="BodyText"/>
      </w:pPr>
      <w:r>
        <w:t xml:space="preserve">156</w:t>
      </w:r>
    </w:p>
    <w:p>
      <w:pPr>
        <w:pStyle w:val="BodyText"/>
      </w:pPr>
      <w:r>
        <w:t xml:space="preserve">20</w:t>
      </w:r>
    </w:p>
    <w:p>
      <w:pPr>
        <w:pStyle w:val="BodyText"/>
      </w:pPr>
      <w:r>
        <w:t xml:space="preserve">24</w:t>
      </w:r>
    </w:p>
    <w:p>
      <w:pPr>
        <w:pStyle w:val="BodyText"/>
      </w:pPr>
      <w:r>
        <w:t xml:space="preserve">600</w:t>
      </w:r>
    </w:p>
    <w:p>
      <w:pPr>
        <w:pStyle w:val="BodyText"/>
      </w:pPr>
      <w:r>
        <w:t xml:space="preserve">964</w:t>
      </w:r>
    </w:p>
    <w:p>
      <w:pPr>
        <w:pStyle w:val="BodyText"/>
      </w:pPr>
      <w:r>
        <w:t xml:space="preserve">3,052</w:t>
      </w:r>
    </w:p>
    <w:p>
      <w:pPr>
        <w:pStyle w:val="BodyText"/>
      </w:pPr>
      <w:r>
        <w:t xml:space="preserve">5,812</w:t>
      </w:r>
    </w:p>
    <w:p>
      <w:pPr>
        <w:pStyle w:val="BodyText"/>
      </w:pPr>
      <w:r>
        <w:t xml:space="preserve">22,063</w:t>
      </w:r>
    </w:p>
    <w:p>
      <w:pPr>
        <w:pStyle w:val="BodyText"/>
      </w:pPr>
      <w:r>
        <w:t xml:space="preserve">46,292</w:t>
      </w:r>
    </w:p>
    <w:p>
      <w:pPr>
        <w:pStyle w:val="BodyText"/>
      </w:pPr>
      <w:r>
        <w:t xml:space="preserve">24,158</w:t>
      </w:r>
    </w:p>
    <w:p>
      <w:pPr>
        <w:pStyle w:val="BodyText"/>
      </w:pPr>
      <w:r>
        <w:t xml:space="preserve">50,839</w:t>
      </w:r>
    </w:p>
    <w:p>
      <w:pPr>
        <w:pStyle w:val="BodyText"/>
      </w:pPr>
      <w:r>
        <w:t xml:space="preserve">2,102</w:t>
      </w:r>
    </w:p>
    <w:p>
      <w:pPr>
        <w:pStyle w:val="BodyText"/>
      </w:pPr>
      <w:r>
        <w:t xml:space="preserve">2,892</w:t>
      </w:r>
    </w:p>
    <w:p>
      <w:pPr>
        <w:pStyle w:val="BodyText"/>
      </w:pPr>
      <w:r>
        <w:t xml:space="preserve">–</w:t>
      </w:r>
    </w:p>
    <w:p>
      <w:pPr>
        <w:pStyle w:val="BodyText"/>
      </w:pPr>
      <w:r>
        <w:t xml:space="preserve">30</w:t>
      </w:r>
    </w:p>
    <w:p>
      <w:pPr>
        <w:pStyle w:val="BodyText"/>
      </w:pPr>
      <w:r>
        <w:t xml:space="preserve">25</w:t>
      </w:r>
    </w:p>
    <w:p>
      <w:pPr>
        <w:pStyle w:val="BodyText"/>
      </w:pPr>
      <w:r>
        <w:t xml:space="preserve">10</w:t>
      </w:r>
    </w:p>
    <w:p>
      <w:pPr>
        <w:pStyle w:val="BodyText"/>
      </w:pPr>
      <w:r>
        <w:t xml:space="preserve">256</w:t>
      </w:r>
    </w:p>
    <w:p>
      <w:pPr>
        <w:pStyle w:val="BodyText"/>
      </w:pPr>
      <w:r>
        <w:t xml:space="preserve">892</w:t>
      </w:r>
    </w:p>
    <w:p>
      <w:pPr>
        <w:pStyle w:val="BodyText"/>
      </w:pPr>
      <w:r>
        <w:t xml:space="preserve">122</w:t>
      </w:r>
    </w:p>
    <w:p>
      <w:pPr>
        <w:pStyle w:val="BodyText"/>
      </w:pPr>
      <w:r>
        <w:t xml:space="preserve">154</w:t>
      </w:r>
    </w:p>
    <w:p>
      <w:pPr>
        <w:pStyle w:val="BodyText"/>
      </w:pPr>
      <w:r>
        <w:t xml:space="preserve">–</w:t>
      </w:r>
    </w:p>
    <w:p>
      <w:pPr>
        <w:pStyle w:val="BodyText"/>
      </w:pPr>
      <w:r>
        <w:t xml:space="preserve">315</w:t>
      </w:r>
    </w:p>
    <w:p>
      <w:pPr>
        <w:pStyle w:val="BodyText"/>
      </w:pPr>
      <w:r>
        <w:t xml:space="preserve">989</w:t>
      </w:r>
    </w:p>
    <w:p>
      <w:pPr>
        <w:pStyle w:val="BodyText"/>
      </w:pPr>
      <w:r>
        <w:t xml:space="preserve">6,137</w:t>
      </w:r>
    </w:p>
    <w:p>
      <w:pPr>
        <w:pStyle w:val="BodyText"/>
      </w:pPr>
      <w:r>
        <w:t xml:space="preserve">1,299</w:t>
      </w:r>
    </w:p>
    <w:p>
      <w:pPr>
        <w:pStyle w:val="BodyText"/>
      </w:pPr>
      <w:r>
        <w:t xml:space="preserve">47,847</w:t>
      </w:r>
    </w:p>
    <w:p>
      <w:pPr>
        <w:pStyle w:val="BodyText"/>
      </w:pPr>
      <w:r>
        <w:t xml:space="preserve">395</w:t>
      </w:r>
    </w:p>
    <w:p>
      <w:pPr>
        <w:pStyle w:val="BodyText"/>
      </w:pPr>
      <w:r>
        <w:t xml:space="preserve">52,126</w:t>
      </w:r>
    </w:p>
    <w:p>
      <w:pPr>
        <w:pStyle w:val="BodyText"/>
      </w:pPr>
      <w:r>
        <w:t xml:space="preserve">54</w:t>
      </w:r>
    </w:p>
    <w:p>
      <w:pPr>
        <w:pStyle w:val="BodyText"/>
      </w:pPr>
      <w:r>
        <w:t xml:space="preserve">–</w:t>
      </w:r>
    </w:p>
    <w:p>
      <w:pPr>
        <w:pStyle w:val="BodyText"/>
      </w:pPr>
      <w:r>
        <w:t xml:space="preserve">3,068</w:t>
      </w:r>
    </w:p>
    <w:p>
      <w:pPr>
        <w:pStyle w:val="BodyText"/>
      </w:pPr>
      <w:r>
        <w:t xml:space="preserve">184</w:t>
      </w:r>
    </w:p>
    <w:p>
      <w:pPr>
        <w:pStyle w:val="BodyText"/>
      </w:pPr>
      <w:r>
        <w:t xml:space="preserve">11,922</w:t>
      </w:r>
    </w:p>
    <w:p>
      <w:pPr>
        <w:pStyle w:val="BodyText"/>
      </w:pPr>
      <w:r>
        <w:t xml:space="preserve">42,668</w:t>
      </w:r>
    </w:p>
    <w:p>
      <w:pPr>
        <w:pStyle w:val="BodyText"/>
      </w:pPr>
      <w:r>
        <w:t xml:space="preserve">264</w:t>
      </w:r>
    </w:p>
    <w:p>
      <w:pPr>
        <w:pStyle w:val="BodyText"/>
      </w:pPr>
      <w:r>
        <w:t xml:space="preserve">51,975</w:t>
      </w:r>
    </w:p>
    <w:p>
      <w:pPr>
        <w:pStyle w:val="BodyText"/>
      </w:pPr>
      <w:r>
        <w:t xml:space="preserve">106,829</w:t>
      </w:r>
    </w:p>
    <w:p>
      <w:pPr>
        <w:pStyle w:val="BodyText"/>
      </w:pPr>
      <w:r>
        <w:t xml:space="preserve">1,459</w:t>
      </w:r>
    </w:p>
    <w:p>
      <w:pPr>
        <w:pStyle w:val="BodyText"/>
      </w:pPr>
      <w:r>
        <w:t xml:space="preserve">2,063</w:t>
      </w:r>
    </w:p>
    <w:p>
      <w:pPr>
        <w:pStyle w:val="BodyText"/>
      </w:pPr>
      <w:r>
        <w:t xml:space="preserve">110,351</w:t>
      </w:r>
    </w:p>
    <w:p>
      <w:pPr>
        <w:pStyle w:val="BodyText"/>
      </w:pPr>
      <w:r>
        <w:t xml:space="preserve">97</w:t>
      </w:r>
    </w:p>
    <w:p>
      <w:pPr>
        <w:pStyle w:val="BodyText"/>
      </w:pPr>
      <w:r>
        <w:t xml:space="preserve">30</w:t>
      </w:r>
    </w:p>
    <w:p>
      <w:pPr>
        <w:pStyle w:val="BodyText"/>
      </w:pPr>
      <w:r>
        <w:t xml:space="preserve">100</w:t>
      </w:r>
    </w:p>
    <w:p>
      <w:pPr>
        <w:pStyle w:val="BodyText"/>
      </w:pPr>
      <w:r>
        <w:t xml:space="preserve">90</w:t>
      </w:r>
    </w:p>
    <w:p>
      <w:pPr>
        <w:pStyle w:val="BodyText"/>
      </w:pPr>
      <w:r>
        <w:t xml:space="preserve">–</w:t>
      </w:r>
    </w:p>
    <w:p>
      <w:pPr>
        <w:pStyle w:val="BodyText"/>
      </w:pPr>
      <w:r>
        <w:t xml:space="preserve">40</w:t>
      </w:r>
    </w:p>
    <w:p>
      <w:pPr>
        <w:pStyle w:val="BodyText"/>
      </w:pPr>
      <w:r>
        <w:t xml:space="preserve">357</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203</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271</w:t>
      </w:r>
    </w:p>
    <w:p>
      <w:pPr>
        <w:pStyle w:val="BodyText"/>
      </w:pPr>
      <w:r>
        <w:t xml:space="preserve">474</w:t>
      </w:r>
    </w:p>
    <w:p>
      <w:pPr>
        <w:pStyle w:val="BodyText"/>
      </w:pPr>
      <w:r>
        <w:t xml:space="preserve">10</w:t>
      </w:r>
    </w:p>
    <w:p>
      <w:pPr>
        <w:pStyle w:val="BodyText"/>
      </w:pPr>
      <w:r>
        <w:t xml:space="preserve">146</w:t>
      </w:r>
    </w:p>
    <w:p>
      <w:pPr>
        <w:pStyle w:val="BodyText"/>
      </w:pPr>
      <w:r>
        <w:t xml:space="preserve">471</w:t>
      </w:r>
    </w:p>
    <w:p>
      <w:pPr>
        <w:pStyle w:val="BodyText"/>
      </w:pPr>
      <w:r>
        <w:t xml:space="preserve">286</w:t>
      </w:r>
    </w:p>
    <w:p>
      <w:pPr>
        <w:pStyle w:val="BodyText"/>
      </w:pPr>
      <w:r>
        <w:t xml:space="preserve">12</w:t>
      </w:r>
    </w:p>
    <w:p>
      <w:pPr>
        <w:pStyle w:val="BodyText"/>
      </w:pPr>
      <w:r>
        <w:t xml:space="preserve">11</w:t>
      </w:r>
    </w:p>
    <w:p>
      <w:pPr>
        <w:pStyle w:val="BodyText"/>
      </w:pPr>
      <w:r>
        <w:t xml:space="preserve">310</w:t>
      </w:r>
    </w:p>
    <w:p>
      <w:pPr>
        <w:pStyle w:val="BodyText"/>
      </w:pPr>
      <w:r>
        <w:t xml:space="preserve">176</w:t>
      </w:r>
    </w:p>
    <w:p>
      <w:pPr>
        <w:pStyle w:val="BodyText"/>
      </w:pPr>
      <w:r>
        <w:t xml:space="preserve">571</w:t>
      </w:r>
    </w:p>
    <w:p>
      <w:pPr>
        <w:pStyle w:val="BodyText"/>
      </w:pPr>
      <w:r>
        <w:t xml:space="preserve">376</w:t>
      </w:r>
    </w:p>
    <w:p>
      <w:pPr>
        <w:pStyle w:val="BodyText"/>
      </w:pPr>
      <w:r>
        <w:t xml:space="preserve">12</w:t>
      </w:r>
    </w:p>
    <w:p>
      <w:pPr>
        <w:pStyle w:val="BodyText"/>
      </w:pPr>
      <w:r>
        <w:t xml:space="preserve">322</w:t>
      </w:r>
    </w:p>
    <w:p>
      <w:pPr>
        <w:pStyle w:val="BodyText"/>
      </w:pPr>
      <w:r>
        <w:t xml:space="preserve">149</w:t>
      </w:r>
    </w:p>
    <w:p>
      <w:pPr>
        <w:pStyle w:val="BodyText"/>
      </w:pPr>
      <w:r>
        <w:t xml:space="preserve">–</w:t>
      </w:r>
    </w:p>
    <w:p>
      <w:pPr>
        <w:pStyle w:val="BodyText"/>
      </w:pPr>
      <w:r>
        <w:t xml:space="preserve">25</w:t>
      </w:r>
    </w:p>
    <w:p>
      <w:pPr>
        <w:pStyle w:val="BodyText"/>
      </w:pPr>
      <w:r>
        <w:t xml:space="preserve">20</w:t>
      </w:r>
    </w:p>
    <w:p>
      <w:pPr>
        <w:pStyle w:val="BodyText"/>
      </w:pPr>
      <w:r>
        <w:t xml:space="preserve">–</w:t>
      </w:r>
    </w:p>
    <w:p>
      <w:pPr>
        <w:pStyle w:val="BodyText"/>
      </w:pPr>
      <w:r>
        <w:t xml:space="preserve">1</w:t>
      </w:r>
    </w:p>
    <w:p>
      <w:pPr>
        <w:pStyle w:val="BodyText"/>
      </w:pPr>
      <w:r>
        <w:t xml:space="preserve">936</w:t>
      </w:r>
    </w:p>
    <w:p>
      <w:pPr>
        <w:pStyle w:val="BodyText"/>
      </w:pPr>
      <w:r>
        <w:t xml:space="preserve">1,767</w:t>
      </w:r>
    </w:p>
    <w:p>
      <w:pPr>
        <w:pStyle w:val="BodyText"/>
      </w:pPr>
      <w:r>
        <w:t xml:space="preserve">195</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459</w:t>
      </w:r>
    </w:p>
    <w:p>
      <w:pPr>
        <w:pStyle w:val="BodyText"/>
      </w:pPr>
      <w:r>
        <w:t xml:space="preserve">176</w:t>
      </w:r>
    </w:p>
    <w:p>
      <w:pPr>
        <w:pStyle w:val="BodyText"/>
      </w:pPr>
      <w:r>
        <w:t xml:space="preserve">596</w:t>
      </w:r>
    </w:p>
    <w:p>
      <w:pPr>
        <w:pStyle w:val="BodyText"/>
      </w:pPr>
      <w:r>
        <w:t xml:space="preserve">396</w:t>
      </w:r>
    </w:p>
    <w:p>
      <w:pPr>
        <w:pStyle w:val="BodyText"/>
      </w:pPr>
      <w:r>
        <w:t xml:space="preserve">12</w:t>
      </w:r>
    </w:p>
    <w:p>
      <w:pPr>
        <w:pStyle w:val="BodyText"/>
      </w:pPr>
      <w:r>
        <w:t xml:space="preserve">323</w:t>
      </w:r>
    </w:p>
    <w:p>
      <w:pPr>
        <w:pStyle w:val="BodyText"/>
      </w:pPr>
      <w:r>
        <w:t xml:space="preserve">1,962</w:t>
      </w:r>
    </w:p>
    <w:p>
      <w:pPr>
        <w:pStyle w:val="BodyText"/>
      </w:pPr>
      <w:r>
        <w:t xml:space="preserve">28,370</w:t>
      </w:r>
    </w:p>
    <w:p>
      <w:pPr>
        <w:pStyle w:val="BodyText"/>
      </w:pPr>
      <w:r>
        <w:t xml:space="preserve">47,602</w:t>
      </w:r>
    </w:p>
    <w:p>
      <w:pPr>
        <w:pStyle w:val="BodyText"/>
      </w:pPr>
      <w:r>
        <w:t xml:space="preserve">2,002</w:t>
      </w:r>
    </w:p>
    <w:p>
      <w:pPr>
        <w:pStyle w:val="BodyText"/>
      </w:pPr>
      <w:r>
        <w:t xml:space="preserve">117,504</w:t>
      </w:r>
    </w:p>
    <w:p>
      <w:pPr>
        <w:pStyle w:val="BodyText"/>
      </w:pPr>
      <w:r>
        <w:t xml:space="preserve">195,478</w:t>
      </w:r>
    </w:p>
    <w:p>
      <w:pPr>
        <w:pStyle w:val="BodyText"/>
      </w:pPr>
      <w:r>
        <w:t xml:space="preserve">4,008</w:t>
      </w:r>
    </w:p>
    <w:p>
      <w:pPr>
        <w:pStyle w:val="BodyText"/>
      </w:pPr>
      <w:r>
        <w:t xml:space="preserve">2,395</w:t>
      </w:r>
    </w:p>
    <w:p>
      <w:pPr>
        <w:pStyle w:val="BodyText"/>
      </w:pPr>
      <w:r>
        <w:t xml:space="preserve">201,881</w:t>
      </w:r>
    </w:p>
    <w:p>
      <w:pPr>
        <w:numPr>
          <w:ilvl w:val="0"/>
          <w:numId w:val="1383"/>
        </w:numPr>
      </w:pPr>
      <w:r>
        <w:rPr>
          <w:rFonts w:hint="eastAsia"/>
        </w:rPr>
        <w:t xml:space="preserve">合併投資基金反映100%該等基金所持有的資產及負債。</w:t>
      </w:r>
    </w:p>
    <w:p>
      <w:pPr>
        <w:numPr>
          <w:ilvl w:val="0"/>
          <w:numId w:val="1383"/>
        </w:numPr>
      </w:pPr>
      <w:r>
        <w:rPr>
          <w:rFonts w:hint="eastAsia"/>
        </w:rPr>
        <w:t xml:space="preserve">其他政府及政府機構債券包括政府及政府資助機構如國家、省級和市級機關、政府相關實體、跨國發展銀行及跨國組織發行的其他債券。</w:t>
      </w:r>
    </w:p>
    <w:p>
      <w:pPr>
        <w:numPr>
          <w:ilvl w:val="0"/>
          <w:numId w:val="1383"/>
        </w:numPr>
      </w:pPr>
      <w:r>
        <w:rPr>
          <w:rFonts w:hint="eastAsia"/>
        </w:rPr>
        <w:t xml:space="preserve">結構證券包括抵押債務證券、按揭抵押證券及其他資產抵押證券。</w:t>
      </w:r>
    </w:p>
    <w:p>
      <w:pPr>
        <w:numPr>
          <w:ilvl w:val="0"/>
          <w:numId w:val="1383"/>
        </w:numPr>
      </w:pPr>
      <w:r>
        <w:rPr>
          <w:rFonts w:hint="eastAsia"/>
        </w:rPr>
        <w:t xml:space="preserve">91.88億美元的債務證券因當地的法例要求而受規限。</w:t>
      </w:r>
    </w:p>
    <w:p>
      <w:pPr>
        <w:numPr>
          <w:ilvl w:val="0"/>
          <w:numId w:val="1383"/>
        </w:numPr>
      </w:pPr>
      <w:r>
        <w:rPr>
          <w:rFonts w:hint="eastAsia"/>
        </w:rPr>
        <w:t xml:space="preserve">根據國際財務報告準則第9號，具有可產生符合SPPI資格的現金流量合約條款的AFS債務證券，金額為1,972.44億美元，其中98%獲評為投資級</w:t>
      </w:r>
    </w:p>
    <w:p>
      <w:pPr>
        <w:pStyle w:val="FirstParagraph"/>
      </w:pPr>
      <w:r>
        <w:rPr>
          <w:rFonts w:hint="eastAsia"/>
        </w:rPr>
        <w:t xml:space="preserve">別。</w:t>
      </w:r>
    </w:p>
    <w:p>
      <w:pPr>
        <w:pStyle w:val="BodyText"/>
      </w:pPr>
      <w:r>
        <w:t xml:space="preserve">199</w:t>
      </w:r>
    </w:p>
    <w:p>
      <w:pPr>
        <w:pStyle w:val="BodyText"/>
      </w:pPr>
      <w:r>
        <w:rPr>
          <w:rFonts w:hint="eastAsia"/>
        </w:rPr>
        <w:t xml:space="preserve">概覽財務及營運回顧企業管治其他資料財務報表2020年報</w:t>
      </w:r>
    </w:p>
    <w:p>
      <w:pPr>
        <w:pStyle w:val="Compact"/>
        <w:numPr>
          <w:ilvl w:val="0"/>
          <w:numId w:val="1384"/>
        </w:numPr>
      </w:pPr>
      <w:r>
        <w:rPr>
          <w:rFonts w:hint="eastAsia"/>
        </w:rPr>
        <w:t xml:space="preserve">金融投資（續）</w:t>
      </w:r>
    </w:p>
    <w:p>
      <w:pPr>
        <w:pStyle w:val="FirstParagraph"/>
      </w:pPr>
      <w:r>
        <w:rPr>
          <w:rFonts w:hint="eastAsia"/>
        </w:rPr>
        <w:t xml:space="preserve">債務證券（續）</w:t>
      </w:r>
    </w:p>
    <w:p>
      <w:pPr>
        <w:pStyle w:val="BodyText"/>
      </w:pPr>
      <w:r>
        <w:rPr>
          <w:rFonts w:hint="eastAsia"/>
        </w:rPr>
        <w:t xml:space="preserve">按種類劃分的債務證券如下：（續）</w:t>
      </w:r>
    </w:p>
    <w:p>
      <w:pPr>
        <w:pStyle w:val="BodyText"/>
      </w:pPr>
      <w:r>
        <w:rPr>
          <w:rFonts w:hint="eastAsia"/>
        </w:rPr>
        <w:t xml:space="preserve">保單持有人及股東</w:t>
      </w:r>
    </w:p>
    <w:p>
      <w:pPr>
        <w:pStyle w:val="BodyText"/>
      </w:pPr>
      <w:r>
        <w:rPr>
          <w:rFonts w:hint="eastAsia"/>
        </w:rPr>
        <w:t xml:space="preserve">分紅基金及</w:t>
      </w:r>
      <w:r>
        <w:br/>
      </w:r>
      <w:r>
        <w:rPr>
          <w:rFonts w:hint="eastAsia"/>
        </w:rPr>
        <w:t xml:space="preserve">具特定資產組合的</w:t>
      </w:r>
      <w:r>
        <w:br/>
      </w:r>
      <w:r>
        <w:rPr>
          <w:rFonts w:hint="eastAsia"/>
        </w:rPr>
        <w:t xml:space="preserve">其他分紅業務</w:t>
      </w:r>
    </w:p>
    <w:p>
      <w:pPr>
        <w:pStyle w:val="BodyText"/>
      </w:pPr>
      <w:r>
        <w:rPr>
          <w:rFonts w:hint="eastAsia"/>
        </w:rPr>
        <w:t xml:space="preserve">其他保單持有人</w:t>
      </w:r>
      <w:r>
        <w:br/>
      </w:r>
      <w:r>
        <w:rPr>
          <w:rFonts w:hint="eastAsia"/>
        </w:rPr>
        <w:t xml:space="preserve">及股東</w:t>
      </w:r>
    </w:p>
    <w:p>
      <w:pPr>
        <w:pStyle w:val="BodyText"/>
      </w:pPr>
      <w:r>
        <w:rPr>
          <w:rFonts w:hint="eastAsia"/>
        </w:rPr>
        <w:t xml:space="preserve">單位</w:t>
      </w:r>
      <w:r>
        <w:br/>
      </w:r>
      <w:r>
        <w:rPr>
          <w:rFonts w:hint="eastAsia"/>
        </w:rPr>
        <w:t xml:space="preserve">連結式</w:t>
      </w:r>
    </w:p>
    <w:p>
      <w:pPr>
        <w:pStyle w:val="BodyText"/>
      </w:pPr>
      <w:r>
        <w:rPr>
          <w:rFonts w:hint="eastAsia"/>
        </w:rPr>
        <w:t xml:space="preserve">合併投資</w:t>
      </w:r>
    </w:p>
    <w:p>
      <w:pPr>
        <w:pStyle w:val="BodyText"/>
      </w:pPr>
      <w:r>
        <w:rPr>
          <w:rFonts w:hint="eastAsia"/>
        </w:rPr>
        <w:t xml:space="preserve">基金(1)</w:t>
      </w:r>
    </w:p>
    <w:p>
      <w:pPr>
        <w:pStyle w:val="BodyText"/>
      </w:pPr>
      <w:r>
        <w:rPr>
          <w:rFonts w:hint="eastAsia"/>
        </w:rPr>
        <w:t xml:space="preserve">百萬美元</w:t>
      </w:r>
    </w:p>
    <w:p>
      <w:pPr>
        <w:pStyle w:val="BodyText"/>
      </w:pPr>
      <w:r>
        <w:t xml:space="preserve">FVTPL</w:t>
      </w:r>
    </w:p>
    <w:p>
      <w:pPr>
        <w:pStyle w:val="BodyText"/>
      </w:pPr>
      <w:r>
        <w:t xml:space="preserve">AFS</w:t>
      </w:r>
    </w:p>
    <w:p>
      <w:pPr>
        <w:pStyle w:val="BodyText"/>
      </w:pPr>
      <w:r>
        <w:t xml:space="preserve">FVTPL</w:t>
      </w:r>
    </w:p>
    <w:p>
      <w:pPr>
        <w:pStyle w:val="BodyText"/>
      </w:pPr>
      <w:r>
        <w:t xml:space="preserve">AFS</w:t>
      </w:r>
    </w:p>
    <w:p>
      <w:pPr>
        <w:pStyle w:val="BodyText"/>
      </w:pPr>
      <w:r>
        <w:rPr>
          <w:rFonts w:hint="eastAsia"/>
        </w:rPr>
        <w:t xml:space="preserve">小計</w:t>
      </w:r>
    </w:p>
    <w:p>
      <w:pPr>
        <w:pStyle w:val="BodyText"/>
      </w:pPr>
      <w:r>
        <w:t xml:space="preserve">FVTPL</w:t>
      </w:r>
    </w:p>
    <w:p>
      <w:pPr>
        <w:pStyle w:val="BodyText"/>
      </w:pPr>
      <w:r>
        <w:t xml:space="preserve">FVTPL</w:t>
      </w:r>
    </w:p>
    <w:p>
      <w:pPr>
        <w:pStyle w:val="BodyText"/>
      </w:pPr>
      <w:r>
        <w:rPr>
          <w:rFonts w:hint="eastAsia"/>
        </w:rPr>
        <w:t xml:space="preserve">總計</w:t>
      </w:r>
    </w:p>
    <w:p>
      <w:pPr>
        <w:pStyle w:val="BodyText"/>
      </w:pPr>
      <w:r>
        <w:rPr>
          <w:rFonts w:hint="eastAsia"/>
        </w:rPr>
        <w:t xml:space="preserve">2019年12月31日</w:t>
      </w:r>
    </w:p>
    <w:p>
      <w:pPr>
        <w:pStyle w:val="BodyText"/>
      </w:pPr>
      <w:r>
        <w:rPr>
          <w:rFonts w:hint="eastAsia"/>
        </w:rPr>
        <w:t xml:space="preserve">政府債券(2)</w:t>
      </w:r>
    </w:p>
    <w:p>
      <w:pPr>
        <w:pStyle w:val="BodyText"/>
      </w:pPr>
      <w:r>
        <w:rPr>
          <w:rFonts w:hint="eastAsia"/>
        </w:rPr>
        <w:t xml:space="preserve">泰國</w:t>
      </w:r>
    </w:p>
    <w:p>
      <w:pPr>
        <w:pStyle w:val="BodyText"/>
      </w:pPr>
      <w:r>
        <w:rPr>
          <w:rFonts w:hint="eastAsia"/>
        </w:rPr>
        <w:t xml:space="preserve">中國內地</w:t>
      </w:r>
    </w:p>
    <w:p>
      <w:pPr>
        <w:pStyle w:val="BodyText"/>
      </w:pPr>
      <w:r>
        <w:rPr>
          <w:rFonts w:hint="eastAsia"/>
        </w:rPr>
        <w:t xml:space="preserve">南韓</w:t>
      </w:r>
    </w:p>
    <w:p>
      <w:pPr>
        <w:pStyle w:val="BodyText"/>
      </w:pPr>
      <w:r>
        <w:rPr>
          <w:rFonts w:hint="eastAsia"/>
        </w:rPr>
        <w:t xml:space="preserve">新加坡</w:t>
      </w:r>
    </w:p>
    <w:p>
      <w:pPr>
        <w:pStyle w:val="BodyText"/>
      </w:pPr>
      <w:r>
        <w:rPr>
          <w:rFonts w:hint="eastAsia"/>
        </w:rPr>
        <w:t xml:space="preserve">菲律賓</w:t>
      </w:r>
    </w:p>
    <w:p>
      <w:pPr>
        <w:pStyle w:val="BodyText"/>
      </w:pPr>
      <w:r>
        <w:rPr>
          <w:rFonts w:hint="eastAsia"/>
        </w:rPr>
        <w:t xml:space="preserve">馬來西亞</w:t>
      </w:r>
    </w:p>
    <w:p>
      <w:pPr>
        <w:pStyle w:val="BodyText"/>
      </w:pPr>
      <w:r>
        <w:rPr>
          <w:rFonts w:hint="eastAsia"/>
        </w:rPr>
        <w:t xml:space="preserve">印尼</w:t>
      </w:r>
    </w:p>
    <w:p>
      <w:pPr>
        <w:pStyle w:val="BodyText"/>
      </w:pPr>
      <w:r>
        <w:rPr>
          <w:rFonts w:hint="eastAsia"/>
        </w:rPr>
        <w:t xml:space="preserve">其他</w:t>
      </w:r>
    </w:p>
    <w:p>
      <w:pPr>
        <w:pStyle w:val="BodyText"/>
      </w:pPr>
      <w:r>
        <w:rPr>
          <w:rFonts w:hint="eastAsia"/>
        </w:rPr>
        <w:t xml:space="preserve">小計</w:t>
      </w:r>
    </w:p>
    <w:p>
      <w:pPr>
        <w:pStyle w:val="BodyText"/>
      </w:pPr>
      <w:r>
        <w:rPr>
          <w:rFonts w:hint="eastAsia"/>
        </w:rPr>
        <w:t xml:space="preserve">其他政府及政府機構債券(3)</w:t>
      </w:r>
    </w:p>
    <w:p>
      <w:pPr>
        <w:pStyle w:val="BodyText"/>
      </w:pPr>
      <w:r>
        <w:t xml:space="preserve">AAA</w:t>
      </w:r>
    </w:p>
    <w:p>
      <w:pPr>
        <w:pStyle w:val="BodyText"/>
      </w:pPr>
      <w:r>
        <w:t xml:space="preserve">AA</w:t>
      </w:r>
    </w:p>
    <w:p>
      <w:pPr>
        <w:pStyle w:val="BodyText"/>
      </w:pPr>
      <w:r>
        <w:t xml:space="preserve">A</w:t>
      </w:r>
    </w:p>
    <w:p>
      <w:pPr>
        <w:pStyle w:val="BodyText"/>
      </w:pPr>
      <w:r>
        <w:t xml:space="preserve">BBB</w:t>
      </w:r>
    </w:p>
    <w:p>
      <w:pPr>
        <w:pStyle w:val="BodyText"/>
      </w:pPr>
      <w:r>
        <w:rPr>
          <w:rFonts w:hint="eastAsia"/>
        </w:rPr>
        <w:t xml:space="preserve">投資級別以下</w:t>
      </w:r>
    </w:p>
    <w:p>
      <w:pPr>
        <w:pStyle w:val="BodyText"/>
      </w:pPr>
      <w:r>
        <w:rPr>
          <w:rFonts w:hint="eastAsia"/>
        </w:rPr>
        <w:t xml:space="preserve">未獲評級</w:t>
      </w:r>
    </w:p>
    <w:p>
      <w:pPr>
        <w:pStyle w:val="BodyText"/>
      </w:pPr>
      <w:r>
        <w:rPr>
          <w:rFonts w:hint="eastAsia"/>
        </w:rPr>
        <w:t xml:space="preserve">小計</w:t>
      </w:r>
    </w:p>
    <w:p>
      <w:pPr>
        <w:pStyle w:val="BodyText"/>
      </w:pPr>
      <w:r>
        <w:rPr>
          <w:rFonts w:hint="eastAsia"/>
        </w:rPr>
        <w:t xml:space="preserve">附註：</w:t>
      </w:r>
    </w:p>
    <w:p>
      <w:pPr>
        <w:pStyle w:val="BodyText"/>
      </w:pPr>
      <w:r>
        <w:t xml:space="preserve">–</w:t>
      </w:r>
    </w:p>
    <w:p>
      <w:pPr>
        <w:pStyle w:val="BodyText"/>
      </w:pPr>
      <w:r>
        <w:t xml:space="preserve">2,987</w:t>
      </w:r>
    </w:p>
    <w:p>
      <w:pPr>
        <w:pStyle w:val="BodyText"/>
      </w:pPr>
      <w:r>
        <w:t xml:space="preserve">–</w:t>
      </w:r>
    </w:p>
    <w:p>
      <w:pPr>
        <w:pStyle w:val="BodyText"/>
      </w:pPr>
      <w:r>
        <w:t xml:space="preserve">3,099</w:t>
      </w:r>
    </w:p>
    <w:p>
      <w:pPr>
        <w:pStyle w:val="BodyText"/>
      </w:pPr>
      <w:r>
        <w:t xml:space="preserve">–</w:t>
      </w:r>
    </w:p>
    <w:p>
      <w:pPr>
        <w:pStyle w:val="BodyText"/>
      </w:pPr>
      <w:r>
        <w:t xml:space="preserve">1,334</w:t>
      </w:r>
    </w:p>
    <w:p>
      <w:pPr>
        <w:pStyle w:val="BodyText"/>
      </w:pPr>
      <w:r>
        <w:t xml:space="preserve">–</w:t>
      </w:r>
    </w:p>
    <w:p>
      <w:pPr>
        <w:pStyle w:val="BodyText"/>
      </w:pPr>
      <w:r>
        <w:t xml:space="preserve">331</w:t>
      </w:r>
    </w:p>
    <w:p>
      <w:pPr>
        <w:pStyle w:val="BodyText"/>
      </w:pPr>
      <w:r>
        <w:t xml:space="preserve">7,751</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190</w:t>
      </w:r>
    </w:p>
    <w:p>
      <w:pPr>
        <w:pStyle w:val="BodyText"/>
      </w:pPr>
      <w:r>
        <w:t xml:space="preserve">1,207</w:t>
      </w:r>
    </w:p>
    <w:p>
      <w:pPr>
        <w:pStyle w:val="BodyText"/>
      </w:pPr>
      <w:r>
        <w:t xml:space="preserve">16,454</w:t>
      </w:r>
    </w:p>
    <w:p>
      <w:pPr>
        <w:pStyle w:val="BodyText"/>
      </w:pPr>
      <w:r>
        <w:t xml:space="preserve">16,454</w:t>
      </w:r>
    </w:p>
    <w:p>
      <w:pPr>
        <w:pStyle w:val="BodyText"/>
      </w:pPr>
      <w:r>
        <w:t xml:space="preserve">12,006</w:t>
      </w:r>
    </w:p>
    <w:p>
      <w:pPr>
        <w:pStyle w:val="BodyText"/>
      </w:pPr>
      <w:r>
        <w:t xml:space="preserve">14,993</w:t>
      </w:r>
    </w:p>
    <w:p>
      <w:pPr>
        <w:pStyle w:val="BodyText"/>
      </w:pPr>
      <w:r>
        <w:t xml:space="preserve">7,607</w:t>
      </w:r>
    </w:p>
    <w:p>
      <w:pPr>
        <w:pStyle w:val="BodyText"/>
      </w:pPr>
      <w:r>
        <w:t xml:space="preserve">1,276</w:t>
      </w:r>
    </w:p>
    <w:p>
      <w:pPr>
        <w:pStyle w:val="BodyText"/>
      </w:pPr>
      <w:r>
        <w:t xml:space="preserve">2,558</w:t>
      </w:r>
    </w:p>
    <w:p>
      <w:pPr>
        <w:pStyle w:val="BodyText"/>
      </w:pPr>
      <w:r>
        <w:t xml:space="preserve">564</w:t>
      </w:r>
    </w:p>
    <w:p>
      <w:pPr>
        <w:pStyle w:val="BodyText"/>
      </w:pPr>
      <w:r>
        <w:t xml:space="preserve">583</w:t>
      </w:r>
    </w:p>
    <w:p>
      <w:pPr>
        <w:pStyle w:val="BodyText"/>
      </w:pPr>
      <w:r>
        <w:t xml:space="preserve">900</w:t>
      </w:r>
    </w:p>
    <w:p>
      <w:pPr>
        <w:pStyle w:val="BodyText"/>
      </w:pPr>
      <w:r>
        <w:t xml:space="preserve">7,607</w:t>
      </w:r>
    </w:p>
    <w:p>
      <w:pPr>
        <w:pStyle w:val="BodyText"/>
      </w:pPr>
      <w:r>
        <w:t xml:space="preserve">4,375</w:t>
      </w:r>
    </w:p>
    <w:p>
      <w:pPr>
        <w:pStyle w:val="BodyText"/>
      </w:pPr>
      <w:r>
        <w:t xml:space="preserve">2,558</w:t>
      </w:r>
    </w:p>
    <w:p>
      <w:pPr>
        <w:pStyle w:val="BodyText"/>
      </w:pPr>
      <w:r>
        <w:t xml:space="preserve">1,898</w:t>
      </w:r>
    </w:p>
    <w:p>
      <w:pPr>
        <w:pStyle w:val="BodyText"/>
      </w:pPr>
      <w:r>
        <w:t xml:space="preserve">773</w:t>
      </w:r>
    </w:p>
    <w:p>
      <w:pPr>
        <w:pStyle w:val="BodyText"/>
      </w:pPr>
      <w:r>
        <w:t xml:space="preserve">2,438</w:t>
      </w:r>
    </w:p>
    <w:p>
      <w:pPr>
        <w:pStyle w:val="BodyText"/>
      </w:pPr>
      <w:r>
        <w:t xml:space="preserve">–</w:t>
      </w:r>
    </w:p>
    <w:p>
      <w:pPr>
        <w:pStyle w:val="BodyText"/>
      </w:pPr>
      <w:r>
        <w:t xml:space="preserve">74</w:t>
      </w:r>
    </w:p>
    <w:p>
      <w:pPr>
        <w:pStyle w:val="BodyText"/>
      </w:pPr>
      <w:r>
        <w:t xml:space="preserve">280</w:t>
      </w:r>
    </w:p>
    <w:p>
      <w:pPr>
        <w:pStyle w:val="BodyText"/>
      </w:pPr>
      <w:r>
        <w:t xml:space="preserve">578</w:t>
      </w:r>
    </w:p>
    <w:p>
      <w:pPr>
        <w:pStyle w:val="BodyText"/>
      </w:pPr>
      <w:r>
        <w:t xml:space="preserve">145</w:t>
      </w:r>
    </w:p>
    <w:p>
      <w:pPr>
        <w:pStyle w:val="BodyText"/>
      </w:pPr>
      <w:r>
        <w:t xml:space="preserve">69</w:t>
      </w:r>
    </w:p>
    <w:p>
      <w:pPr>
        <w:pStyle w:val="BodyText"/>
      </w:pPr>
      <w:r>
        <w:t xml:space="preserve">102</w:t>
      </w:r>
    </w:p>
    <w:p>
      <w:pPr>
        <w:pStyle w:val="BodyText"/>
      </w:pPr>
      <w:r>
        <w:t xml:space="preserve">352</w:t>
      </w:r>
    </w:p>
    <w:p>
      <w:pPr>
        <w:pStyle w:val="BodyText"/>
      </w:pPr>
      <w:r>
        <w:t xml:space="preserve">1,397</w:t>
      </w:r>
    </w:p>
    <w:p>
      <w:pPr>
        <w:pStyle w:val="BodyText"/>
      </w:pPr>
      <w:r>
        <w:t xml:space="preserve">41,948</w:t>
      </w:r>
    </w:p>
    <w:p>
      <w:pPr>
        <w:pStyle w:val="BodyText"/>
      </w:pPr>
      <w:r>
        <w:t xml:space="preserve">51,096</w:t>
      </w:r>
    </w:p>
    <w:p>
      <w:pPr>
        <w:pStyle w:val="BodyText"/>
      </w:pPr>
      <w:r>
        <w:t xml:space="preserve">1,600</w:t>
      </w:r>
    </w:p>
    <w:p>
      <w:pPr>
        <w:pStyle w:val="BodyText"/>
      </w:pPr>
      <w:r>
        <w:t xml:space="preserve">2,195</w:t>
      </w:r>
    </w:p>
    <w:p>
      <w:pPr>
        <w:pStyle w:val="BodyText"/>
      </w:pPr>
      <w:r>
        <w:t xml:space="preserve">1,511</w:t>
      </w:r>
    </w:p>
    <w:p>
      <w:pPr>
        <w:pStyle w:val="BodyText"/>
      </w:pPr>
      <w:r>
        <w:t xml:space="preserve">265</w:t>
      </w:r>
    </w:p>
    <w:p>
      <w:pPr>
        <w:pStyle w:val="BodyText"/>
      </w:pPr>
      <w:r>
        <w:t xml:space="preserve">2,950</w:t>
      </w:r>
    </w:p>
    <w:p>
      <w:pPr>
        <w:pStyle w:val="BodyText"/>
      </w:pPr>
      <w:r>
        <w:t xml:space="preserve">518</w:t>
      </w:r>
    </w:p>
    <w:p>
      <w:pPr>
        <w:pStyle w:val="BodyText"/>
      </w:pPr>
      <w:r>
        <w:t xml:space="preserve">46</w:t>
      </w:r>
    </w:p>
    <w:p>
      <w:pPr>
        <w:pStyle w:val="BodyText"/>
      </w:pPr>
      <w:r>
        <w:t xml:space="preserve">–</w:t>
      </w:r>
    </w:p>
    <w:p>
      <w:pPr>
        <w:pStyle w:val="BodyText"/>
      </w:pPr>
      <w:r>
        <w:t xml:space="preserve">733</w:t>
      </w:r>
    </w:p>
    <w:p>
      <w:pPr>
        <w:pStyle w:val="BodyText"/>
      </w:pPr>
      <w:r>
        <w:t xml:space="preserve">890</w:t>
      </w:r>
    </w:p>
    <w:p>
      <w:pPr>
        <w:pStyle w:val="BodyText"/>
      </w:pPr>
      <w:r>
        <w:t xml:space="preserve">864</w:t>
      </w:r>
    </w:p>
    <w:p>
      <w:pPr>
        <w:pStyle w:val="BodyText"/>
      </w:pPr>
      <w:r>
        <w:t xml:space="preserve">2</w:t>
      </w:r>
    </w:p>
    <w:p>
      <w:pPr>
        <w:pStyle w:val="BodyText"/>
      </w:pPr>
      <w:r>
        <w:t xml:space="preserve">–</w:t>
      </w:r>
    </w:p>
    <w:p>
      <w:pPr>
        <w:pStyle w:val="BodyText"/>
      </w:pPr>
      <w:r>
        <w:t xml:space="preserve">7</w:t>
      </w:r>
    </w:p>
    <w:p>
      <w:pPr>
        <w:pStyle w:val="BodyText"/>
      </w:pPr>
      <w:r>
        <w:t xml:space="preserve">4</w:t>
      </w:r>
    </w:p>
    <w:p>
      <w:pPr>
        <w:pStyle w:val="BodyText"/>
      </w:pPr>
      <w:r>
        <w:t xml:space="preserve">4</w:t>
      </w:r>
    </w:p>
    <w:p>
      <w:pPr>
        <w:pStyle w:val="BodyText"/>
      </w:pPr>
      <w:r>
        <w:t xml:space="preserve">54</w:t>
      </w:r>
    </w:p>
    <w:p>
      <w:pPr>
        <w:pStyle w:val="BodyText"/>
      </w:pPr>
      <w:r>
        <w:t xml:space="preserve">7</w:t>
      </w:r>
    </w:p>
    <w:p>
      <w:pPr>
        <w:pStyle w:val="BodyText"/>
      </w:pPr>
      <w:r>
        <w:t xml:space="preserve">–</w:t>
      </w:r>
    </w:p>
    <w:p>
      <w:pPr>
        <w:pStyle w:val="BodyText"/>
      </w:pPr>
      <w:r>
        <w:t xml:space="preserve">4,250</w:t>
      </w:r>
    </w:p>
    <w:p>
      <w:pPr>
        <w:pStyle w:val="BodyText"/>
      </w:pPr>
      <w:r>
        <w:t xml:space="preserve">4,128</w:t>
      </w:r>
    </w:p>
    <w:p>
      <w:pPr>
        <w:pStyle w:val="BodyText"/>
      </w:pPr>
      <w:r>
        <w:t xml:space="preserve">4,007</w:t>
      </w:r>
    </w:p>
    <w:p>
      <w:pPr>
        <w:pStyle w:val="BodyText"/>
      </w:pPr>
      <w:r>
        <w:t xml:space="preserve">4,082</w:t>
      </w:r>
    </w:p>
    <w:p>
      <w:pPr>
        <w:pStyle w:val="BodyText"/>
      </w:pPr>
      <w:r>
        <w:t xml:space="preserve">184</w:t>
      </w:r>
    </w:p>
    <w:p>
      <w:pPr>
        <w:pStyle w:val="BodyText"/>
      </w:pPr>
      <w:r>
        <w:t xml:space="preserve">–</w:t>
      </w:r>
    </w:p>
    <w:p>
      <w:pPr>
        <w:pStyle w:val="BodyText"/>
      </w:pPr>
      <w:r>
        <w:t xml:space="preserve">7,963</w:t>
      </w:r>
    </w:p>
    <w:p>
      <w:pPr>
        <w:pStyle w:val="BodyText"/>
      </w:pPr>
      <w:r>
        <w:t xml:space="preserve">5,130</w:t>
      </w:r>
    </w:p>
    <w:p>
      <w:pPr>
        <w:pStyle w:val="BodyText"/>
      </w:pPr>
      <w:r>
        <w:t xml:space="preserve">7,851</w:t>
      </w:r>
    </w:p>
    <w:p>
      <w:pPr>
        <w:pStyle w:val="BodyText"/>
      </w:pPr>
      <w:r>
        <w:t xml:space="preserve">5,518</w:t>
      </w:r>
    </w:p>
    <w:p>
      <w:pPr>
        <w:pStyle w:val="BodyText"/>
      </w:pPr>
      <w:r>
        <w:t xml:space="preserve">239</w:t>
      </w:r>
    </w:p>
    <w:p>
      <w:pPr>
        <w:pStyle w:val="BodyText"/>
      </w:pPr>
      <w:r>
        <w:t xml:space="preserve">–</w:t>
      </w:r>
    </w:p>
    <w:p>
      <w:pPr>
        <w:pStyle w:val="BodyText"/>
      </w:pPr>
      <w:r>
        <w:t xml:space="preserve">82</w:t>
      </w:r>
    </w:p>
    <w:p>
      <w:pPr>
        <w:pStyle w:val="BodyText"/>
      </w:pPr>
      <w:r>
        <w:t xml:space="preserve">53</w:t>
      </w:r>
    </w:p>
    <w:p>
      <w:pPr>
        <w:pStyle w:val="BodyText"/>
      </w:pPr>
      <w:r>
        <w:t xml:space="preserve">80</w:t>
      </w:r>
    </w:p>
    <w:p>
      <w:pPr>
        <w:pStyle w:val="BodyText"/>
      </w:pPr>
      <w:r>
        <w:t xml:space="preserve">31</w:t>
      </w:r>
    </w:p>
    <w:p>
      <w:pPr>
        <w:pStyle w:val="BodyText"/>
      </w:pPr>
      <w:r>
        <w:t xml:space="preserve">20</w:t>
      </w:r>
    </w:p>
    <w:p>
      <w:pPr>
        <w:pStyle w:val="BodyText"/>
      </w:pPr>
      <w:r>
        <w:t xml:space="preserve">4</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291</w:t>
      </w:r>
    </w:p>
    <w:p>
      <w:pPr>
        <w:pStyle w:val="BodyText"/>
      </w:pPr>
      <w:r>
        <w:t xml:space="preserve">56</w:t>
      </w:r>
    </w:p>
    <w:p>
      <w:pPr>
        <w:pStyle w:val="BodyText"/>
      </w:pPr>
      <w:r>
        <w:t xml:space="preserve">–</w:t>
      </w:r>
    </w:p>
    <w:p>
      <w:pPr>
        <w:pStyle w:val="BodyText"/>
      </w:pPr>
      <w:r>
        <w:t xml:space="preserve">–</w:t>
      </w:r>
    </w:p>
    <w:p>
      <w:pPr>
        <w:pStyle w:val="BodyText"/>
      </w:pPr>
      <w:r>
        <w:t xml:space="preserve">–</w:t>
      </w:r>
    </w:p>
    <w:p>
      <w:pPr>
        <w:pStyle w:val="BodyText"/>
      </w:pPr>
      <w:r>
        <w:t xml:space="preserve">16,454</w:t>
      </w:r>
    </w:p>
    <w:p>
      <w:pPr>
        <w:pStyle w:val="BodyText"/>
      </w:pPr>
      <w:r>
        <w:t xml:space="preserve">15,067</w:t>
      </w:r>
    </w:p>
    <w:p>
      <w:pPr>
        <w:pStyle w:val="BodyText"/>
      </w:pPr>
      <w:r>
        <w:t xml:space="preserve">7,887</w:t>
      </w:r>
    </w:p>
    <w:p>
      <w:pPr>
        <w:pStyle w:val="BodyText"/>
      </w:pPr>
      <w:r>
        <w:t xml:space="preserve">4,953</w:t>
      </w:r>
    </w:p>
    <w:p>
      <w:pPr>
        <w:pStyle w:val="BodyText"/>
      </w:pPr>
      <w:r>
        <w:t xml:space="preserve">2,703</w:t>
      </w:r>
    </w:p>
    <w:p>
      <w:pPr>
        <w:pStyle w:val="BodyText"/>
      </w:pPr>
      <w:r>
        <w:t xml:space="preserve">1,967</w:t>
      </w:r>
    </w:p>
    <w:p>
      <w:pPr>
        <w:pStyle w:val="BodyText"/>
      </w:pPr>
      <w:r>
        <w:t xml:space="preserve">875</w:t>
      </w:r>
    </w:p>
    <w:p>
      <w:pPr>
        <w:pStyle w:val="BodyText"/>
      </w:pPr>
      <w:r>
        <w:t xml:space="preserve">2,790</w:t>
      </w:r>
    </w:p>
    <w:p>
      <w:pPr>
        <w:pStyle w:val="BodyText"/>
      </w:pPr>
      <w:r>
        <w:t xml:space="preserve">52,696</w:t>
      </w:r>
    </w:p>
    <w:p>
      <w:pPr>
        <w:pStyle w:val="BodyText"/>
      </w:pPr>
      <w:r>
        <w:t xml:space="preserve">8,045</w:t>
      </w:r>
    </w:p>
    <w:p>
      <w:pPr>
        <w:pStyle w:val="BodyText"/>
      </w:pPr>
      <w:r>
        <w:t xml:space="preserve">5,474</w:t>
      </w:r>
    </w:p>
    <w:p>
      <w:pPr>
        <w:pStyle w:val="BodyText"/>
      </w:pPr>
      <w:r>
        <w:t xml:space="preserve">7,987</w:t>
      </w:r>
    </w:p>
    <w:p>
      <w:pPr>
        <w:pStyle w:val="BodyText"/>
      </w:pPr>
      <w:r>
        <w:t xml:space="preserve">5,549</w:t>
      </w:r>
    </w:p>
    <w:p>
      <w:pPr>
        <w:pStyle w:val="BodyText"/>
      </w:pPr>
      <w:r>
        <w:t xml:space="preserve">259</w:t>
      </w:r>
    </w:p>
    <w:p>
      <w:pPr>
        <w:pStyle w:val="BodyText"/>
      </w:pPr>
      <w:r>
        <w:t xml:space="preserve">4</w:t>
      </w:r>
    </w:p>
    <w:p>
      <w:pPr>
        <w:pStyle w:val="BodyText"/>
      </w:pPr>
      <w:r>
        <w:t xml:space="preserve">5,974</w:t>
      </w:r>
    </w:p>
    <w:p>
      <w:pPr>
        <w:pStyle w:val="BodyText"/>
      </w:pPr>
      <w:r>
        <w:t xml:space="preserve">4,000</w:t>
      </w:r>
    </w:p>
    <w:p>
      <w:pPr>
        <w:pStyle w:val="BodyText"/>
      </w:pPr>
      <w:r>
        <w:t xml:space="preserve">76</w:t>
      </w:r>
    </w:p>
    <w:p>
      <w:pPr>
        <w:pStyle w:val="BodyText"/>
      </w:pPr>
      <w:r>
        <w:t xml:space="preserve">16,651</w:t>
      </w:r>
    </w:p>
    <w:p>
      <w:pPr>
        <w:pStyle w:val="BodyText"/>
      </w:pPr>
      <w:r>
        <w:t xml:space="preserve">26,701</w:t>
      </w:r>
    </w:p>
    <w:p>
      <w:pPr>
        <w:pStyle w:val="BodyText"/>
      </w:pPr>
      <w:r>
        <w:t xml:space="preserve">270</w:t>
      </w:r>
    </w:p>
    <w:p>
      <w:pPr>
        <w:pStyle w:val="BodyText"/>
      </w:pPr>
      <w:r>
        <w:t xml:space="preserve">347</w:t>
      </w:r>
    </w:p>
    <w:p>
      <w:pPr>
        <w:pStyle w:val="BodyText"/>
      </w:pPr>
      <w:r>
        <w:t xml:space="preserve">27,318</w:t>
      </w:r>
    </w:p>
    <w:p>
      <w:pPr>
        <w:numPr>
          <w:ilvl w:val="0"/>
          <w:numId w:val="1385"/>
        </w:numPr>
      </w:pPr>
      <w:r>
        <w:rPr>
          <w:rFonts w:hint="eastAsia"/>
        </w:rPr>
        <w:t xml:space="preserve">合併投資基金反映100%該等基金所持有的資產及負債。</w:t>
      </w:r>
    </w:p>
    <w:p>
      <w:pPr>
        <w:numPr>
          <w:ilvl w:val="0"/>
          <w:numId w:val="1385"/>
        </w:numPr>
      </w:pPr>
      <w:r>
        <w:rPr>
          <w:rFonts w:hint="eastAsia"/>
        </w:rPr>
        <w:t xml:space="preserve">政府債券包括各業務單位經營所在國家的政府以當地貨幣或外幣發行的債券。本集團的信貸風險評估框架並未對該等政府債券設定信貸風險限</w:t>
      </w:r>
    </w:p>
    <w:p>
      <w:pPr>
        <w:pStyle w:val="FirstParagraph"/>
      </w:pPr>
      <w:r>
        <w:rPr>
          <w:rFonts w:hint="eastAsia"/>
        </w:rPr>
        <w:t xml:space="preserve">額，故並無於表中列示信貸評級。於2019年12月31日的結餘總額中，99%獲評為投資級別。</w:t>
      </w:r>
    </w:p>
    <w:p>
      <w:pPr>
        <w:pStyle w:val="Compact"/>
        <w:numPr>
          <w:ilvl w:val="0"/>
          <w:numId w:val="1386"/>
        </w:numPr>
      </w:pPr>
      <w:r>
        <w:rPr>
          <w:rFonts w:hint="eastAsia"/>
        </w:rPr>
        <w:t xml:space="preserve">其他政府及政府機構債券包括政府及政府資助機構如國家、省級和市級機關、政府相關實體、跨國發展銀行及跨國組織發行的其他債券。</w:t>
      </w:r>
    </w:p>
    <w:p>
      <w:pPr>
        <w:pStyle w:val="FirstParagraph"/>
      </w:pPr>
      <w:r>
        <w:t xml:space="preserve">200</w:t>
      </w:r>
    </w:p>
    <w:p>
      <w:pPr>
        <w:pStyle w:val="BodyText"/>
      </w:pPr>
      <w:r>
        <w:rPr>
          <w:rFonts w:hint="eastAsia"/>
        </w:rPr>
        <w:t xml:space="preserve">友邦保險控股有限公司</w:t>
      </w:r>
    </w:p>
    <w:p>
      <w:pPr>
        <w:pStyle w:val="Compact"/>
        <w:numPr>
          <w:ilvl w:val="0"/>
          <w:numId w:val="1387"/>
        </w:numPr>
      </w:pPr>
      <w:r>
        <w:rPr>
          <w:rFonts w:hint="eastAsia"/>
        </w:rPr>
        <w:t xml:space="preserve">金融投資（續）</w:t>
      </w:r>
    </w:p>
    <w:p>
      <w:pPr>
        <w:pStyle w:val="FirstParagraph"/>
      </w:pPr>
      <w:r>
        <w:rPr>
          <w:rFonts w:hint="eastAsia"/>
        </w:rPr>
        <w:t xml:space="preserve">債務證券（續）</w:t>
      </w:r>
    </w:p>
    <w:p>
      <w:pPr>
        <w:pStyle w:val="BodyText"/>
      </w:pPr>
      <w:r>
        <w:rPr>
          <w:rFonts w:hint="eastAsia"/>
        </w:rPr>
        <w:t xml:space="preserve">按種類劃分的債務證券如下：（續）</w:t>
      </w:r>
    </w:p>
    <w:p>
      <w:pPr>
        <w:pStyle w:val="BodyText"/>
      </w:pPr>
      <w:r>
        <w:rPr>
          <w:rFonts w:hint="eastAsia"/>
        </w:rPr>
        <w:t xml:space="preserve">保單持有人及股東</w:t>
      </w:r>
    </w:p>
    <w:p>
      <w:pPr>
        <w:pStyle w:val="BodyText"/>
      </w:pPr>
      <w:r>
        <w:rPr>
          <w:rFonts w:hint="eastAsia"/>
        </w:rPr>
        <w:t xml:space="preserve">分紅基金及</w:t>
      </w:r>
      <w:r>
        <w:br/>
      </w:r>
      <w:r>
        <w:rPr>
          <w:rFonts w:hint="eastAsia"/>
        </w:rPr>
        <w:t xml:space="preserve">具特定資產組合的</w:t>
      </w:r>
      <w:r>
        <w:br/>
      </w:r>
      <w:r>
        <w:rPr>
          <w:rFonts w:hint="eastAsia"/>
        </w:rPr>
        <w:t xml:space="preserve">其他分紅業務</w:t>
      </w:r>
    </w:p>
    <w:p>
      <w:pPr>
        <w:pStyle w:val="BodyText"/>
      </w:pPr>
      <w:r>
        <w:rPr>
          <w:rFonts w:hint="eastAsia"/>
        </w:rPr>
        <w:t xml:space="preserve">其他保單持有人</w:t>
      </w:r>
      <w:r>
        <w:br/>
      </w:r>
      <w:r>
        <w:rPr>
          <w:rFonts w:hint="eastAsia"/>
        </w:rPr>
        <w:t xml:space="preserve">及股東</w:t>
      </w:r>
    </w:p>
    <w:p>
      <w:pPr>
        <w:pStyle w:val="BodyText"/>
      </w:pPr>
      <w:r>
        <w:rPr>
          <w:rFonts w:hint="eastAsia"/>
        </w:rPr>
        <w:t xml:space="preserve">單位</w:t>
      </w:r>
      <w:r>
        <w:br/>
      </w:r>
      <w:r>
        <w:rPr>
          <w:rFonts w:hint="eastAsia"/>
        </w:rPr>
        <w:t xml:space="preserve">連結式</w:t>
      </w:r>
    </w:p>
    <w:p>
      <w:pPr>
        <w:pStyle w:val="BodyText"/>
      </w:pPr>
      <w:r>
        <w:rPr>
          <w:rFonts w:hint="eastAsia"/>
        </w:rPr>
        <w:t xml:space="preserve">合併</w:t>
      </w:r>
    </w:p>
    <w:p>
      <w:pPr>
        <w:pStyle w:val="BodyText"/>
      </w:pPr>
      <w:r>
        <w:rPr>
          <w:rFonts w:hint="eastAsia"/>
        </w:rPr>
        <w:t xml:space="preserve">投資基金(1)</w:t>
      </w:r>
    </w:p>
    <w:p>
      <w:pPr>
        <w:pStyle w:val="BodyText"/>
      </w:pPr>
      <w:r>
        <w:rPr>
          <w:rFonts w:hint="eastAsia"/>
        </w:rPr>
        <w:t xml:space="preserve">百萬美元</w:t>
      </w:r>
    </w:p>
    <w:p>
      <w:pPr>
        <w:pStyle w:val="BodyText"/>
      </w:pPr>
      <w:r>
        <w:t xml:space="preserve">FVTPL</w:t>
      </w:r>
    </w:p>
    <w:p>
      <w:pPr>
        <w:pStyle w:val="BodyText"/>
      </w:pPr>
      <w:r>
        <w:t xml:space="preserve">AFS</w:t>
      </w:r>
    </w:p>
    <w:p>
      <w:pPr>
        <w:pStyle w:val="BodyText"/>
      </w:pPr>
      <w:r>
        <w:t xml:space="preserve">FVTPL</w:t>
      </w:r>
    </w:p>
    <w:p>
      <w:pPr>
        <w:pStyle w:val="BodyText"/>
      </w:pPr>
      <w:r>
        <w:t xml:space="preserve">AFS</w:t>
      </w:r>
    </w:p>
    <w:p>
      <w:pPr>
        <w:pStyle w:val="BodyText"/>
      </w:pPr>
      <w:r>
        <w:rPr>
          <w:rFonts w:hint="eastAsia"/>
        </w:rPr>
        <w:t xml:space="preserve">小計</w:t>
      </w:r>
    </w:p>
    <w:p>
      <w:pPr>
        <w:pStyle w:val="BodyText"/>
      </w:pPr>
      <w:r>
        <w:t xml:space="preserve">FVTPL</w:t>
      </w:r>
    </w:p>
    <w:p>
      <w:pPr>
        <w:pStyle w:val="BodyText"/>
      </w:pPr>
      <w:r>
        <w:t xml:space="preserve">FVTPL</w:t>
      </w:r>
    </w:p>
    <w:p>
      <w:pPr>
        <w:pStyle w:val="BodyText"/>
      </w:pPr>
      <w:r>
        <w:rPr>
          <w:rFonts w:hint="eastAsia"/>
        </w:rPr>
        <w:t xml:space="preserve">總計</w:t>
      </w:r>
    </w:p>
    <w:p>
      <w:pPr>
        <w:pStyle w:val="BodyText"/>
      </w:pPr>
      <w:r>
        <w:rPr>
          <w:rFonts w:hint="eastAsia"/>
        </w:rPr>
        <w:t xml:space="preserve">2019年12月31日</w:t>
      </w:r>
    </w:p>
    <w:p>
      <w:pPr>
        <w:pStyle w:val="BodyText"/>
      </w:pPr>
      <w:r>
        <w:rPr>
          <w:rFonts w:hint="eastAsia"/>
        </w:rPr>
        <w:t xml:space="preserve">公司債券</w:t>
      </w:r>
    </w:p>
    <w:p>
      <w:pPr>
        <w:pStyle w:val="BodyText"/>
      </w:pPr>
      <w:r>
        <w:t xml:space="preserve">AAA</w:t>
      </w:r>
    </w:p>
    <w:p>
      <w:pPr>
        <w:pStyle w:val="BodyText"/>
      </w:pPr>
      <w:r>
        <w:t xml:space="preserve">AA</w:t>
      </w:r>
    </w:p>
    <w:p>
      <w:pPr>
        <w:pStyle w:val="BodyText"/>
      </w:pPr>
      <w:r>
        <w:t xml:space="preserve">A</w:t>
      </w:r>
    </w:p>
    <w:p>
      <w:pPr>
        <w:pStyle w:val="BodyText"/>
      </w:pPr>
      <w:r>
        <w:t xml:space="preserve">BBB</w:t>
      </w:r>
    </w:p>
    <w:p>
      <w:pPr>
        <w:pStyle w:val="BodyText"/>
      </w:pPr>
      <w:r>
        <w:rPr>
          <w:rFonts w:hint="eastAsia"/>
        </w:rPr>
        <w:t xml:space="preserve">投資級別以下</w:t>
      </w:r>
    </w:p>
    <w:p>
      <w:pPr>
        <w:pStyle w:val="BodyText"/>
      </w:pPr>
      <w:r>
        <w:rPr>
          <w:rFonts w:hint="eastAsia"/>
        </w:rPr>
        <w:t xml:space="preserve">未獲評級</w:t>
      </w:r>
    </w:p>
    <w:p>
      <w:pPr>
        <w:pStyle w:val="BodyText"/>
      </w:pPr>
      <w:r>
        <w:rPr>
          <w:rFonts w:hint="eastAsia"/>
        </w:rPr>
        <w:t xml:space="preserve">小計</w:t>
      </w:r>
    </w:p>
    <w:p>
      <w:pPr>
        <w:pStyle w:val="BodyText"/>
      </w:pPr>
      <w:r>
        <w:rPr>
          <w:rFonts w:hint="eastAsia"/>
        </w:rPr>
        <w:t xml:space="preserve">結構證券(4)</w:t>
      </w:r>
    </w:p>
    <w:p>
      <w:pPr>
        <w:pStyle w:val="BodyText"/>
      </w:pPr>
      <w:r>
        <w:t xml:space="preserve">AAA</w:t>
      </w:r>
    </w:p>
    <w:p>
      <w:pPr>
        <w:pStyle w:val="BodyText"/>
      </w:pPr>
      <w:r>
        <w:t xml:space="preserve">AA</w:t>
      </w:r>
    </w:p>
    <w:p>
      <w:pPr>
        <w:pStyle w:val="BodyText"/>
      </w:pPr>
      <w:r>
        <w:t xml:space="preserve">A</w:t>
      </w:r>
    </w:p>
    <w:p>
      <w:pPr>
        <w:pStyle w:val="BodyText"/>
      </w:pPr>
      <w:r>
        <w:t xml:space="preserve">BBB</w:t>
      </w:r>
    </w:p>
    <w:p>
      <w:pPr>
        <w:pStyle w:val="BodyText"/>
      </w:pPr>
      <w:r>
        <w:rPr>
          <w:rFonts w:hint="eastAsia"/>
        </w:rPr>
        <w:t xml:space="preserve">投資級別以下</w:t>
      </w:r>
    </w:p>
    <w:p>
      <w:pPr>
        <w:pStyle w:val="BodyText"/>
      </w:pPr>
      <w:r>
        <w:rPr>
          <w:rFonts w:hint="eastAsia"/>
        </w:rPr>
        <w:t xml:space="preserve">未獲評級</w:t>
      </w:r>
    </w:p>
    <w:p>
      <w:pPr>
        <w:pStyle w:val="BodyText"/>
      </w:pPr>
      <w:r>
        <w:rPr>
          <w:rFonts w:hint="eastAsia"/>
        </w:rPr>
        <w:t xml:space="preserve">小計</w:t>
      </w:r>
    </w:p>
    <w:p>
      <w:pPr>
        <w:pStyle w:val="BodyText"/>
      </w:pPr>
      <w:r>
        <w:rPr>
          <w:rFonts w:hint="eastAsia"/>
        </w:rPr>
        <w:t xml:space="preserve">總計(5)(6)</w:t>
      </w:r>
    </w:p>
    <w:p>
      <w:pPr>
        <w:pStyle w:val="BodyText"/>
      </w:pPr>
      <w:r>
        <w:rPr>
          <w:rFonts w:hint="eastAsia"/>
        </w:rPr>
        <w:t xml:space="preserve">附註：</w:t>
      </w:r>
    </w:p>
    <w:p>
      <w:pPr>
        <w:pStyle w:val="BodyText"/>
      </w:pPr>
      <w:r>
        <w:t xml:space="preserve">41</w:t>
      </w:r>
    </w:p>
    <w:p>
      <w:pPr>
        <w:pStyle w:val="BodyText"/>
      </w:pPr>
      <w:r>
        <w:t xml:space="preserve">381</w:t>
      </w:r>
    </w:p>
    <w:p>
      <w:pPr>
        <w:pStyle w:val="BodyText"/>
      </w:pPr>
      <w:r>
        <w:t xml:space="preserve">211</w:t>
      </w:r>
    </w:p>
    <w:p>
      <w:pPr>
        <w:pStyle w:val="BodyText"/>
      </w:pPr>
      <w:r>
        <w:t xml:space="preserve">1,399</w:t>
      </w:r>
    </w:p>
    <w:p>
      <w:pPr>
        <w:pStyle w:val="BodyText"/>
      </w:pPr>
      <w:r>
        <w:t xml:space="preserve">5,146</w:t>
      </w:r>
    </w:p>
    <w:p>
      <w:pPr>
        <w:pStyle w:val="BodyText"/>
      </w:pPr>
      <w:r>
        <w:t xml:space="preserve">13,389</w:t>
      </w:r>
    </w:p>
    <w:p>
      <w:pPr>
        <w:pStyle w:val="BodyText"/>
      </w:pPr>
      <w:r>
        <w:t xml:space="preserve">–</w:t>
      </w:r>
    </w:p>
    <w:p>
      <w:pPr>
        <w:pStyle w:val="BodyText"/>
      </w:pPr>
      <w:r>
        <w:t xml:space="preserve">22</w:t>
      </w:r>
    </w:p>
    <w:p>
      <w:pPr>
        <w:pStyle w:val="BodyText"/>
      </w:pPr>
      <w:r>
        <w:t xml:space="preserve">64</w:t>
      </w:r>
    </w:p>
    <w:p>
      <w:pPr>
        <w:pStyle w:val="BodyText"/>
      </w:pPr>
      <w:r>
        <w:t xml:space="preserve">424</w:t>
      </w:r>
    </w:p>
    <w:p>
      <w:pPr>
        <w:pStyle w:val="BodyText"/>
      </w:pPr>
      <w:r>
        <w:t xml:space="preserve">676</w:t>
      </w:r>
    </w:p>
    <w:p>
      <w:pPr>
        <w:pStyle w:val="BodyText"/>
      </w:pPr>
      <w:r>
        <w:t xml:space="preserve">2,512</w:t>
      </w:r>
    </w:p>
    <w:p>
      <w:pPr>
        <w:pStyle w:val="BodyText"/>
      </w:pPr>
      <w:r>
        <w:t xml:space="preserve">4,314</w:t>
      </w:r>
    </w:p>
    <w:p>
      <w:pPr>
        <w:pStyle w:val="BodyText"/>
      </w:pPr>
      <w:r>
        <w:t xml:space="preserve">20,086</w:t>
      </w:r>
    </w:p>
    <w:p>
      <w:pPr>
        <w:pStyle w:val="BodyText"/>
      </w:pPr>
      <w:r>
        <w:t xml:space="preserve">38,685</w:t>
      </w:r>
    </w:p>
    <w:p>
      <w:pPr>
        <w:pStyle w:val="BodyText"/>
      </w:pPr>
      <w:r>
        <w:t xml:space="preserve">5,006</w:t>
      </w:r>
    </w:p>
    <w:p>
      <w:pPr>
        <w:pStyle w:val="BodyText"/>
      </w:pPr>
      <w:r>
        <w:t xml:space="preserve">14,036</w:t>
      </w:r>
    </w:p>
    <w:p>
      <w:pPr>
        <w:pStyle w:val="BodyText"/>
      </w:pPr>
      <w:r>
        <w:t xml:space="preserve">186</w:t>
      </w:r>
    </w:p>
    <w:p>
      <w:pPr>
        <w:pStyle w:val="BodyText"/>
      </w:pPr>
      <w:r>
        <w:t xml:space="preserve">21,200</w:t>
      </w:r>
    </w:p>
    <w:p>
      <w:pPr>
        <w:pStyle w:val="BodyText"/>
      </w:pPr>
      <w:r>
        <w:t xml:space="preserve">40,428</w:t>
      </w:r>
    </w:p>
    <w:p>
      <w:pPr>
        <w:pStyle w:val="BodyText"/>
      </w:pPr>
      <w:r>
        <w:t xml:space="preserve">516</w:t>
      </w:r>
    </w:p>
    <w:p>
      <w:pPr>
        <w:pStyle w:val="BodyText"/>
      </w:pPr>
      <w:r>
        <w:t xml:space="preserve">6</w:t>
      </w:r>
    </w:p>
    <w:p>
      <w:pPr>
        <w:pStyle w:val="BodyText"/>
      </w:pPr>
      <w:r>
        <w:t xml:space="preserve">178</w:t>
      </w:r>
    </w:p>
    <w:p>
      <w:pPr>
        <w:pStyle w:val="BodyText"/>
      </w:pPr>
      <w:r>
        <w:t xml:space="preserve">–</w:t>
      </w:r>
    </w:p>
    <w:p>
      <w:pPr>
        <w:pStyle w:val="BodyText"/>
      </w:pPr>
      <w:r>
        <w:t xml:space="preserve">26</w:t>
      </w:r>
    </w:p>
    <w:p>
      <w:pPr>
        <w:pStyle w:val="BodyText"/>
      </w:pPr>
      <w:r>
        <w:t xml:space="preserve">5</w:t>
      </w:r>
    </w:p>
    <w:p>
      <w:pPr>
        <w:pStyle w:val="BodyText"/>
      </w:pPr>
      <w:r>
        <w:t xml:space="preserve">1,893</w:t>
      </w:r>
    </w:p>
    <w:p>
      <w:pPr>
        <w:pStyle w:val="BodyText"/>
      </w:pPr>
      <w:r>
        <w:t xml:space="preserve">2,613</w:t>
      </w:r>
    </w:p>
    <w:p>
      <w:pPr>
        <w:pStyle w:val="BodyText"/>
      </w:pPr>
      <w:r>
        <w:t xml:space="preserve">–</w:t>
      </w:r>
    </w:p>
    <w:p>
      <w:pPr>
        <w:pStyle w:val="BodyText"/>
      </w:pPr>
      <w:r>
        <w:t xml:space="preserve">11</w:t>
      </w:r>
    </w:p>
    <w:p>
      <w:pPr>
        <w:pStyle w:val="BodyText"/>
      </w:pPr>
      <w:r>
        <w:t xml:space="preserve">24</w:t>
      </w:r>
    </w:p>
    <w:p>
      <w:pPr>
        <w:pStyle w:val="BodyText"/>
      </w:pPr>
      <w:r>
        <w:t xml:space="preserve">28</w:t>
      </w:r>
    </w:p>
    <w:p>
      <w:pPr>
        <w:pStyle w:val="BodyText"/>
      </w:pPr>
      <w:r>
        <w:t xml:space="preserve">402</w:t>
      </w:r>
    </w:p>
    <w:p>
      <w:pPr>
        <w:pStyle w:val="BodyText"/>
      </w:pPr>
      <w:r>
        <w:t xml:space="preserve">908</w:t>
      </w:r>
    </w:p>
    <w:p>
      <w:pPr>
        <w:pStyle w:val="BodyText"/>
      </w:pPr>
      <w:r>
        <w:t xml:space="preserve">103</w:t>
      </w:r>
    </w:p>
    <w:p>
      <w:pPr>
        <w:pStyle w:val="BodyText"/>
      </w:pPr>
      <w:r>
        <w:t xml:space="preserve">150</w:t>
      </w:r>
    </w:p>
    <w:p>
      <w:pPr>
        <w:pStyle w:val="BodyText"/>
      </w:pPr>
      <w:r>
        <w:t xml:space="preserve">1</w:t>
      </w:r>
    </w:p>
    <w:p>
      <w:pPr>
        <w:pStyle w:val="BodyText"/>
      </w:pPr>
      <w:r>
        <w:t xml:space="preserve">701</w:t>
      </w:r>
    </w:p>
    <w:p>
      <w:pPr>
        <w:pStyle w:val="BodyText"/>
      </w:pPr>
      <w:r>
        <w:t xml:space="preserve">379</w:t>
      </w:r>
    </w:p>
    <w:p>
      <w:pPr>
        <w:pStyle w:val="BodyText"/>
      </w:pPr>
      <w:r>
        <w:t xml:space="preserve">4,721</w:t>
      </w:r>
    </w:p>
    <w:p>
      <w:pPr>
        <w:pStyle w:val="BodyText"/>
      </w:pPr>
      <w:r>
        <w:t xml:space="preserve">1,281</w:t>
      </w:r>
    </w:p>
    <w:p>
      <w:pPr>
        <w:pStyle w:val="BodyText"/>
      </w:pPr>
      <w:r>
        <w:t xml:space="preserve">40,368</w:t>
      </w:r>
    </w:p>
    <w:p>
      <w:pPr>
        <w:pStyle w:val="BodyText"/>
      </w:pPr>
      <w:r>
        <w:t xml:space="preserve">283</w:t>
      </w:r>
    </w:p>
    <w:p>
      <w:pPr>
        <w:pStyle w:val="BodyText"/>
      </w:pPr>
      <w:r>
        <w:t xml:space="preserve">41,619</w:t>
      </w:r>
    </w:p>
    <w:p>
      <w:pPr>
        <w:pStyle w:val="BodyText"/>
      </w:pPr>
      <w:r>
        <w:t xml:space="preserve">–</w:t>
      </w:r>
    </w:p>
    <w:p>
      <w:pPr>
        <w:pStyle w:val="BodyText"/>
      </w:pPr>
      <w:r>
        <w:t xml:space="preserve">2</w:t>
      </w:r>
    </w:p>
    <w:p>
      <w:pPr>
        <w:pStyle w:val="BodyText"/>
      </w:pPr>
      <w:r>
        <w:t xml:space="preserve">2,716</w:t>
      </w:r>
    </w:p>
    <w:p>
      <w:pPr>
        <w:pStyle w:val="BodyText"/>
      </w:pPr>
      <w:r>
        <w:t xml:space="preserve">163</w:t>
      </w:r>
    </w:p>
    <w:p>
      <w:pPr>
        <w:pStyle w:val="BodyText"/>
      </w:pPr>
      <w:r>
        <w:t xml:space="preserve">11,096</w:t>
      </w:r>
    </w:p>
    <w:p>
      <w:pPr>
        <w:pStyle w:val="BodyText"/>
      </w:pPr>
      <w:r>
        <w:t xml:space="preserve">29,213</w:t>
      </w:r>
    </w:p>
    <w:p>
      <w:pPr>
        <w:pStyle w:val="BodyText"/>
      </w:pPr>
      <w:r>
        <w:t xml:space="preserve">303</w:t>
      </w:r>
    </w:p>
    <w:p>
      <w:pPr>
        <w:pStyle w:val="BodyText"/>
      </w:pPr>
      <w:r>
        <w:t xml:space="preserve">46,115</w:t>
      </w:r>
    </w:p>
    <w:p>
      <w:pPr>
        <w:pStyle w:val="BodyText"/>
      </w:pPr>
      <w:r>
        <w:t xml:space="preserve">86,727</w:t>
      </w:r>
    </w:p>
    <w:p>
      <w:pPr>
        <w:pStyle w:val="BodyText"/>
      </w:pPr>
      <w:r>
        <w:t xml:space="preserve">1,615</w:t>
      </w:r>
    </w:p>
    <w:p>
      <w:pPr>
        <w:pStyle w:val="BodyText"/>
      </w:pPr>
      <w:r>
        <w:t xml:space="preserve">1,946</w:t>
      </w:r>
    </w:p>
    <w:p>
      <w:pPr>
        <w:pStyle w:val="BodyText"/>
      </w:pPr>
      <w:r>
        <w:t xml:space="preserve">90,288</w:t>
      </w:r>
    </w:p>
    <w:p>
      <w:pPr>
        <w:pStyle w:val="BodyText"/>
      </w:pPr>
      <w:r>
        <w:t xml:space="preserve">51</w:t>
      </w:r>
    </w:p>
    <w:p>
      <w:pPr>
        <w:pStyle w:val="BodyText"/>
      </w:pPr>
      <w:r>
        <w:t xml:space="preserve">30</w:t>
      </w:r>
    </w:p>
    <w:p>
      <w:pPr>
        <w:pStyle w:val="BodyText"/>
      </w:pPr>
      <w:r>
        <w:t xml:space="preserve">70</w:t>
      </w:r>
    </w:p>
    <w:p>
      <w:pPr>
        <w:pStyle w:val="BodyText"/>
      </w:pPr>
      <w:r>
        <w:t xml:space="preserve">120</w:t>
      </w:r>
    </w:p>
    <w:p>
      <w:pPr>
        <w:pStyle w:val="BodyText"/>
      </w:pPr>
      <w:r>
        <w:t xml:space="preserve">–</w:t>
      </w:r>
    </w:p>
    <w:p>
      <w:pPr>
        <w:pStyle w:val="BodyText"/>
      </w:pPr>
      <w:r>
        <w:t xml:space="preserve">20</w:t>
      </w:r>
    </w:p>
    <w:p>
      <w:pPr>
        <w:pStyle w:val="BodyText"/>
      </w:pPr>
      <w:r>
        <w:t xml:space="preserve">291</w:t>
      </w:r>
    </w:p>
    <w:p>
      <w:pPr>
        <w:pStyle w:val="BodyText"/>
      </w:pPr>
      <w:r>
        <w:t xml:space="preserve">–</w:t>
      </w:r>
    </w:p>
    <w:p>
      <w:pPr>
        <w:pStyle w:val="BodyText"/>
      </w:pPr>
      <w:r>
        <w:t xml:space="preserve">19</w:t>
      </w:r>
    </w:p>
    <w:p>
      <w:pPr>
        <w:pStyle w:val="BodyText"/>
      </w:pPr>
      <w:r>
        <w:t xml:space="preserve">99</w:t>
      </w:r>
    </w:p>
    <w:p>
      <w:pPr>
        <w:pStyle w:val="BodyText"/>
      </w:pPr>
      <w:r>
        <w:t xml:space="preserve">124</w:t>
      </w:r>
    </w:p>
    <w:p>
      <w:pPr>
        <w:pStyle w:val="BodyText"/>
      </w:pPr>
      <w:r>
        <w:t xml:space="preserve">–</w:t>
      </w:r>
    </w:p>
    <w:p>
      <w:pPr>
        <w:pStyle w:val="BodyText"/>
      </w:pPr>
      <w:r>
        <w:t xml:space="preserve">–</w:t>
      </w:r>
    </w:p>
    <w:p>
      <w:pPr>
        <w:pStyle w:val="BodyText"/>
      </w:pPr>
      <w:r>
        <w:t xml:space="preserve">242</w:t>
      </w:r>
    </w:p>
    <w:p>
      <w:pPr>
        <w:pStyle w:val="BodyText"/>
      </w:pPr>
      <w:r>
        <w:t xml:space="preserve">122</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256</w:t>
      </w:r>
    </w:p>
    <w:p>
      <w:pPr>
        <w:pStyle w:val="BodyText"/>
      </w:pPr>
      <w:r>
        <w:t xml:space="preserve">378</w:t>
      </w:r>
    </w:p>
    <w:p>
      <w:pPr>
        <w:pStyle w:val="BodyText"/>
      </w:pPr>
      <w:r>
        <w:t xml:space="preserve">12</w:t>
      </w:r>
    </w:p>
    <w:p>
      <w:pPr>
        <w:pStyle w:val="BodyText"/>
      </w:pPr>
      <w:r>
        <w:t xml:space="preserve">144</w:t>
      </w:r>
    </w:p>
    <w:p>
      <w:pPr>
        <w:pStyle w:val="BodyText"/>
      </w:pPr>
      <w:r>
        <w:t xml:space="preserve">338</w:t>
      </w:r>
    </w:p>
    <w:p>
      <w:pPr>
        <w:pStyle w:val="BodyText"/>
      </w:pPr>
      <w:r>
        <w:t xml:space="preserve">185</w:t>
      </w:r>
    </w:p>
    <w:p>
      <w:pPr>
        <w:pStyle w:val="BodyText"/>
      </w:pPr>
      <w:r>
        <w:t xml:space="preserve">3</w:t>
      </w:r>
    </w:p>
    <w:p>
      <w:pPr>
        <w:pStyle w:val="BodyText"/>
      </w:pPr>
      <w:r>
        <w:t xml:space="preserve">1</w:t>
      </w:r>
    </w:p>
    <w:p>
      <w:pPr>
        <w:pStyle w:val="BodyText"/>
      </w:pPr>
      <w:r>
        <w:t xml:space="preserve">185</w:t>
      </w:r>
    </w:p>
    <w:p>
      <w:pPr>
        <w:pStyle w:val="BodyText"/>
      </w:pPr>
      <w:r>
        <w:t xml:space="preserve">193</w:t>
      </w:r>
    </w:p>
    <w:p>
      <w:pPr>
        <w:pStyle w:val="BodyText"/>
      </w:pPr>
      <w:r>
        <w:t xml:space="preserve">507</w:t>
      </w:r>
    </w:p>
    <w:p>
      <w:pPr>
        <w:pStyle w:val="BodyText"/>
      </w:pPr>
      <w:r>
        <w:t xml:space="preserve">429</w:t>
      </w:r>
    </w:p>
    <w:p>
      <w:pPr>
        <w:pStyle w:val="BodyText"/>
      </w:pPr>
      <w:r>
        <w:t xml:space="preserve">3</w:t>
      </w:r>
    </w:p>
    <w:p>
      <w:pPr>
        <w:pStyle w:val="BodyText"/>
      </w:pPr>
      <w:r>
        <w:t xml:space="preserve">277</w:t>
      </w:r>
    </w:p>
    <w:p>
      <w:pPr>
        <w:pStyle w:val="BodyText"/>
      </w:pPr>
      <w:r>
        <w:t xml:space="preserve">683</w:t>
      </w:r>
    </w:p>
    <w:p>
      <w:pPr>
        <w:pStyle w:val="BodyText"/>
      </w:pPr>
      <w:r>
        <w:t xml:space="preserve">1,594</w:t>
      </w:r>
    </w:p>
    <w:p>
      <w:pPr>
        <w:pStyle w:val="BodyText"/>
      </w:pPr>
      <w:r>
        <w:t xml:space="preserve">60</w:t>
      </w:r>
    </w:p>
    <w:p>
      <w:pPr>
        <w:pStyle w:val="BodyText"/>
      </w:pPr>
      <w:r>
        <w:t xml:space="preserve">–</w:t>
      </w:r>
    </w:p>
    <w:p>
      <w:pPr>
        <w:pStyle w:val="BodyText"/>
      </w:pPr>
      <w:r>
        <w:t xml:space="preserve">25</w:t>
      </w:r>
    </w:p>
    <w:p>
      <w:pPr>
        <w:pStyle w:val="BodyText"/>
      </w:pPr>
      <w:r>
        <w:t xml:space="preserve">–</w:t>
      </w:r>
    </w:p>
    <w:p>
      <w:pPr>
        <w:pStyle w:val="BodyText"/>
      </w:pPr>
      <w:r>
        <w:t xml:space="preserve">–</w:t>
      </w:r>
    </w:p>
    <w:p>
      <w:pPr>
        <w:pStyle w:val="BodyText"/>
      </w:pPr>
      <w:r>
        <w:t xml:space="preserve">3</w:t>
      </w:r>
    </w:p>
    <w:p>
      <w:pPr>
        <w:pStyle w:val="BodyText"/>
      </w:pPr>
      <w:r>
        <w:t xml:space="preserve">88</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245</w:t>
      </w:r>
    </w:p>
    <w:p>
      <w:pPr>
        <w:pStyle w:val="BodyText"/>
      </w:pPr>
      <w:r>
        <w:t xml:space="preserve">193</w:t>
      </w:r>
    </w:p>
    <w:p>
      <w:pPr>
        <w:pStyle w:val="BodyText"/>
      </w:pPr>
      <w:r>
        <w:t xml:space="preserve">532</w:t>
      </w:r>
    </w:p>
    <w:p>
      <w:pPr>
        <w:pStyle w:val="BodyText"/>
      </w:pPr>
      <w:r>
        <w:t xml:space="preserve">429</w:t>
      </w:r>
    </w:p>
    <w:p>
      <w:pPr>
        <w:pStyle w:val="BodyText"/>
      </w:pPr>
      <w:r>
        <w:t xml:space="preserve">3</w:t>
      </w:r>
    </w:p>
    <w:p>
      <w:pPr>
        <w:pStyle w:val="BodyText"/>
      </w:pPr>
      <w:r>
        <w:t xml:space="preserve">280</w:t>
      </w:r>
    </w:p>
    <w:p>
      <w:pPr>
        <w:pStyle w:val="BodyText"/>
      </w:pPr>
      <w:r>
        <w:t xml:space="preserve">1,682</w:t>
      </w:r>
    </w:p>
    <w:p>
      <w:pPr>
        <w:pStyle w:val="BodyText"/>
      </w:pPr>
      <w:r>
        <w:t xml:space="preserve">25,112</w:t>
      </w:r>
    </w:p>
    <w:p>
      <w:pPr>
        <w:pStyle w:val="BodyText"/>
      </w:pPr>
      <w:r>
        <w:t xml:space="preserve">33,455</w:t>
      </w:r>
    </w:p>
    <w:p>
      <w:pPr>
        <w:pStyle w:val="BodyText"/>
      </w:pPr>
      <w:r>
        <w:t xml:space="preserve">2,154 105,397 166,118</w:t>
      </w:r>
    </w:p>
    <w:p>
      <w:pPr>
        <w:pStyle w:val="BodyText"/>
      </w:pPr>
      <w:r>
        <w:t xml:space="preserve">3,573</w:t>
      </w:r>
    </w:p>
    <w:p>
      <w:pPr>
        <w:pStyle w:val="BodyText"/>
      </w:pPr>
      <w:r>
        <w:t xml:space="preserve">2,293 171,984</w:t>
      </w:r>
    </w:p>
    <w:p>
      <w:pPr>
        <w:numPr>
          <w:ilvl w:val="0"/>
          <w:numId w:val="1388"/>
        </w:numPr>
      </w:pPr>
      <w:r>
        <w:rPr>
          <w:rFonts w:hint="eastAsia"/>
        </w:rPr>
        <w:t xml:space="preserve">合併投資基金反映100%該等基金所持有的資產及負債。</w:t>
      </w:r>
    </w:p>
    <w:p>
      <w:pPr>
        <w:numPr>
          <w:ilvl w:val="0"/>
          <w:numId w:val="1388"/>
        </w:numPr>
      </w:pPr>
      <w:r>
        <w:rPr>
          <w:rFonts w:hint="eastAsia"/>
        </w:rPr>
        <w:t xml:space="preserve">結構證券包括抵押債務證券、按揭抵押證券及其他資產抵押證券。</w:t>
      </w:r>
    </w:p>
    <w:p>
      <w:pPr>
        <w:numPr>
          <w:ilvl w:val="0"/>
          <w:numId w:val="1388"/>
        </w:numPr>
      </w:pPr>
      <w:r>
        <w:rPr>
          <w:rFonts w:hint="eastAsia"/>
        </w:rPr>
        <w:t xml:space="preserve">81.50億美元的債務證券因當地的法例要求而受規限。</w:t>
      </w:r>
    </w:p>
    <w:p>
      <w:pPr>
        <w:numPr>
          <w:ilvl w:val="0"/>
          <w:numId w:val="1388"/>
        </w:numPr>
      </w:pPr>
      <w:r>
        <w:rPr>
          <w:rFonts w:hint="eastAsia"/>
        </w:rPr>
        <w:t xml:space="preserve">根據國際財務報告準則第9號，具有可產生符合SPPI資格的現金流量合約條款的AFS債務證券，金額為1,383.07億美元，其中98%獲評為投資級</w:t>
      </w:r>
    </w:p>
    <w:p>
      <w:pPr>
        <w:pStyle w:val="FirstParagraph"/>
      </w:pPr>
      <w:r>
        <w:rPr>
          <w:rFonts w:hint="eastAsia"/>
        </w:rPr>
        <w:t xml:space="preserve">別。</w:t>
      </w:r>
    </w:p>
    <w:p>
      <w:pPr>
        <w:pStyle w:val="BodyText"/>
      </w:pPr>
      <w:r>
        <w:rPr>
          <w:rFonts w:hint="eastAsia"/>
        </w:rPr>
        <w:t xml:space="preserve">本集團分類為按公平值計入損益的債務證券乃全部按公平值計入損益。</w:t>
      </w:r>
    </w:p>
    <w:p>
      <w:pPr>
        <w:pStyle w:val="BodyText"/>
      </w:pPr>
      <w:r>
        <w:t xml:space="preserve">201</w:t>
      </w:r>
    </w:p>
    <w:p>
      <w:pPr>
        <w:pStyle w:val="BodyText"/>
      </w:pPr>
      <w:r>
        <w:rPr>
          <w:rFonts w:hint="eastAsia"/>
        </w:rPr>
        <w:t xml:space="preserve">概覽財務及營運回顧企業管治其他資料財務報表2020年報</w:t>
      </w:r>
    </w:p>
    <w:p>
      <w:pPr>
        <w:pStyle w:val="Compact"/>
        <w:numPr>
          <w:ilvl w:val="0"/>
          <w:numId w:val="1389"/>
        </w:numPr>
      </w:pPr>
      <w:r>
        <w:rPr>
          <w:rFonts w:hint="eastAsia"/>
        </w:rPr>
        <w:t xml:space="preserve">金融投資（續）</w:t>
      </w:r>
    </w:p>
    <w:p>
      <w:pPr>
        <w:pStyle w:val="FirstParagraph"/>
      </w:pPr>
      <w:r>
        <w:rPr>
          <w:rFonts w:hint="eastAsia"/>
        </w:rPr>
        <w:t xml:space="preserve">股本證券</w:t>
      </w:r>
    </w:p>
    <w:p>
      <w:pPr>
        <w:pStyle w:val="BodyText"/>
      </w:pPr>
      <w:r>
        <w:rPr>
          <w:rFonts w:hint="eastAsia"/>
        </w:rPr>
        <w:t xml:space="preserve">按種類劃分的股本證券如下：</w:t>
      </w:r>
    </w:p>
    <w:p>
      <w:pPr>
        <w:pStyle w:val="BodyText"/>
      </w:pPr>
      <w:r>
        <w:rPr>
          <w:rFonts w:hint="eastAsia"/>
        </w:rPr>
        <w:t xml:space="preserve">保單持有人及股東</w:t>
      </w:r>
    </w:p>
    <w:p>
      <w:pPr>
        <w:pStyle w:val="BodyText"/>
      </w:pPr>
      <w:r>
        <w:rPr>
          <w:rFonts w:hint="eastAsia"/>
        </w:rPr>
        <w:t xml:space="preserve">分紅基金及</w:t>
      </w:r>
      <w:r>
        <w:br/>
      </w:r>
      <w:r>
        <w:rPr>
          <w:rFonts w:hint="eastAsia"/>
        </w:rPr>
        <w:t xml:space="preserve">具特定資產組合</w:t>
      </w:r>
      <w:r>
        <w:br/>
      </w:r>
      <w:r>
        <w:rPr>
          <w:rFonts w:hint="eastAsia"/>
        </w:rPr>
        <w:t xml:space="preserve">的其他分紅業務</w:t>
      </w:r>
    </w:p>
    <w:p>
      <w:pPr>
        <w:pStyle w:val="BodyText"/>
      </w:pPr>
      <w:r>
        <w:rPr>
          <w:rFonts w:hint="eastAsia"/>
        </w:rPr>
        <w:t xml:space="preserve">其他保單</w:t>
      </w:r>
      <w:r>
        <w:br/>
      </w:r>
      <w:r>
        <w:rPr>
          <w:rFonts w:hint="eastAsia"/>
        </w:rPr>
        <w:t xml:space="preserve">持有人及股東</w:t>
      </w:r>
    </w:p>
    <w:p>
      <w:pPr>
        <w:pStyle w:val="BodyText"/>
      </w:pPr>
      <w:r>
        <w:rPr>
          <w:rFonts w:hint="eastAsia"/>
        </w:rPr>
        <w:t xml:space="preserve">單位連結式</w:t>
      </w:r>
    </w:p>
    <w:p>
      <w:pPr>
        <w:pStyle w:val="BodyText"/>
      </w:pPr>
      <w:r>
        <w:rPr>
          <w:rFonts w:hint="eastAsia"/>
        </w:rPr>
        <w:t xml:space="preserve">合併投資基金(1)</w:t>
      </w:r>
    </w:p>
    <w:p>
      <w:pPr>
        <w:pStyle w:val="BodyText"/>
      </w:pPr>
      <w:r>
        <w:rPr>
          <w:rFonts w:hint="eastAsia"/>
        </w:rPr>
        <w:t xml:space="preserve">百萬美元</w:t>
      </w:r>
    </w:p>
    <w:p>
      <w:pPr>
        <w:pStyle w:val="BodyText"/>
      </w:pPr>
      <w:r>
        <w:t xml:space="preserve">FVTPL</w:t>
      </w:r>
    </w:p>
    <w:p>
      <w:pPr>
        <w:pStyle w:val="BodyText"/>
      </w:pPr>
      <w:r>
        <w:t xml:space="preserve">FVTPL</w:t>
      </w:r>
    </w:p>
    <w:p>
      <w:pPr>
        <w:pStyle w:val="BodyText"/>
      </w:pPr>
      <w:r>
        <w:rPr>
          <w:rFonts w:hint="eastAsia"/>
        </w:rPr>
        <w:t xml:space="preserve">小計</w:t>
      </w:r>
    </w:p>
    <w:p>
      <w:pPr>
        <w:pStyle w:val="BodyText"/>
      </w:pPr>
      <w:r>
        <w:t xml:space="preserve">FVTPL</w:t>
      </w:r>
    </w:p>
    <w:p>
      <w:pPr>
        <w:pStyle w:val="BodyText"/>
      </w:pPr>
      <w:r>
        <w:t xml:space="preserve">FVTPL</w:t>
      </w:r>
    </w:p>
    <w:p>
      <w:pPr>
        <w:pStyle w:val="BodyText"/>
      </w:pPr>
      <w:r>
        <w:rPr>
          <w:rFonts w:hint="eastAsia"/>
        </w:rPr>
        <w:t xml:space="preserve">總計</w:t>
      </w:r>
    </w:p>
    <w:p>
      <w:pPr>
        <w:pStyle w:val="BodyText"/>
      </w:pPr>
      <w:r>
        <w:rPr>
          <w:rFonts w:hint="eastAsia"/>
        </w:rPr>
        <w:t xml:space="preserve">2020年12月31日</w:t>
      </w:r>
    </w:p>
    <w:p>
      <w:pPr>
        <w:pStyle w:val="BodyText"/>
      </w:pPr>
      <w:r>
        <w:rPr>
          <w:rFonts w:hint="eastAsia"/>
        </w:rPr>
        <w:t xml:space="preserve">股權</w:t>
      </w:r>
    </w:p>
    <w:p>
      <w:pPr>
        <w:pStyle w:val="BodyText"/>
      </w:pPr>
      <w:r>
        <w:rPr>
          <w:rFonts w:hint="eastAsia"/>
        </w:rPr>
        <w:t xml:space="preserve">投資基金的權益</w:t>
      </w:r>
    </w:p>
    <w:p>
      <w:pPr>
        <w:pStyle w:val="BodyText"/>
      </w:pPr>
      <w:r>
        <w:rPr>
          <w:rFonts w:hint="eastAsia"/>
        </w:rPr>
        <w:t xml:space="preserve">總計</w:t>
      </w:r>
    </w:p>
    <w:p>
      <w:pPr>
        <w:pStyle w:val="BodyText"/>
      </w:pPr>
      <w:r>
        <w:t xml:space="preserve">15,596</w:t>
      </w:r>
    </w:p>
    <w:p>
      <w:pPr>
        <w:pStyle w:val="BodyText"/>
      </w:pPr>
      <w:r>
        <w:t xml:space="preserve">8,296</w:t>
      </w:r>
    </w:p>
    <w:p>
      <w:pPr>
        <w:pStyle w:val="BodyText"/>
      </w:pPr>
      <w:r>
        <w:t xml:space="preserve">23,892</w:t>
      </w:r>
    </w:p>
    <w:p>
      <w:pPr>
        <w:pStyle w:val="BodyText"/>
      </w:pPr>
      <w:r>
        <w:t xml:space="preserve">6,302</w:t>
      </w:r>
    </w:p>
    <w:p>
      <w:pPr>
        <w:pStyle w:val="BodyText"/>
      </w:pPr>
      <w:r>
        <w:t xml:space="preserve">756</w:t>
      </w:r>
    </w:p>
    <w:p>
      <w:pPr>
        <w:pStyle w:val="BodyText"/>
      </w:pPr>
      <w:r>
        <w:t xml:space="preserve">7,058</w:t>
      </w:r>
    </w:p>
    <w:p>
      <w:pPr>
        <w:pStyle w:val="BodyText"/>
      </w:pPr>
      <w:r>
        <w:t xml:space="preserve">21,898</w:t>
      </w:r>
    </w:p>
    <w:p>
      <w:pPr>
        <w:pStyle w:val="BodyText"/>
      </w:pPr>
      <w:r>
        <w:t xml:space="preserve">9,052</w:t>
      </w:r>
    </w:p>
    <w:p>
      <w:pPr>
        <w:pStyle w:val="BodyText"/>
      </w:pPr>
      <w:r>
        <w:t xml:space="preserve">30,950</w:t>
      </w:r>
    </w:p>
    <w:p>
      <w:pPr>
        <w:pStyle w:val="BodyText"/>
      </w:pPr>
      <w:r>
        <w:t xml:space="preserve">7,185</w:t>
      </w:r>
    </w:p>
    <w:p>
      <w:pPr>
        <w:pStyle w:val="BodyText"/>
      </w:pPr>
      <w:r>
        <w:t xml:space="preserve">19,974</w:t>
      </w:r>
    </w:p>
    <w:p>
      <w:pPr>
        <w:pStyle w:val="BodyText"/>
      </w:pPr>
      <w:r>
        <w:t xml:space="preserve">27,159</w:t>
      </w:r>
    </w:p>
    <w:p>
      <w:pPr>
        <w:pStyle w:val="BodyText"/>
      </w:pPr>
      <w:r>
        <w:t xml:space="preserve">1,073</w:t>
      </w:r>
    </w:p>
    <w:p>
      <w:pPr>
        <w:pStyle w:val="BodyText"/>
      </w:pPr>
      <w:r>
        <w:t xml:space="preserve">–</w:t>
      </w:r>
    </w:p>
    <w:p>
      <w:pPr>
        <w:pStyle w:val="BodyText"/>
      </w:pPr>
      <w:r>
        <w:t xml:space="preserve">1,073</w:t>
      </w:r>
    </w:p>
    <w:p>
      <w:pPr>
        <w:pStyle w:val="BodyText"/>
      </w:pPr>
      <w:r>
        <w:t xml:space="preserve">30,156</w:t>
      </w:r>
    </w:p>
    <w:p>
      <w:pPr>
        <w:pStyle w:val="BodyText"/>
      </w:pPr>
      <w:r>
        <w:t xml:space="preserve">29,026</w:t>
      </w:r>
    </w:p>
    <w:p>
      <w:pPr>
        <w:pStyle w:val="BodyText"/>
      </w:pPr>
      <w:r>
        <w:t xml:space="preserve">59,182</w:t>
      </w:r>
    </w:p>
    <w:p>
      <w:pPr>
        <w:pStyle w:val="BodyText"/>
      </w:pPr>
      <w:r>
        <w:rPr>
          <w:rFonts w:hint="eastAsia"/>
        </w:rPr>
        <w:t xml:space="preserve">保單持有人及股東</w:t>
      </w:r>
    </w:p>
    <w:p>
      <w:pPr>
        <w:pStyle w:val="BodyText"/>
      </w:pPr>
      <w:r>
        <w:rPr>
          <w:rFonts w:hint="eastAsia"/>
        </w:rPr>
        <w:t xml:space="preserve">分紅基金及</w:t>
      </w:r>
      <w:r>
        <w:br/>
      </w:r>
      <w:r>
        <w:rPr>
          <w:rFonts w:hint="eastAsia"/>
        </w:rPr>
        <w:t xml:space="preserve">具特定資產組合</w:t>
      </w:r>
      <w:r>
        <w:br/>
      </w:r>
      <w:r>
        <w:rPr>
          <w:rFonts w:hint="eastAsia"/>
        </w:rPr>
        <w:t xml:space="preserve">的其他分紅業務</w:t>
      </w:r>
    </w:p>
    <w:p>
      <w:pPr>
        <w:pStyle w:val="BodyText"/>
      </w:pPr>
      <w:r>
        <w:rPr>
          <w:rFonts w:hint="eastAsia"/>
        </w:rPr>
        <w:t xml:space="preserve">其他保單</w:t>
      </w:r>
      <w:r>
        <w:br/>
      </w:r>
      <w:r>
        <w:rPr>
          <w:rFonts w:hint="eastAsia"/>
        </w:rPr>
        <w:t xml:space="preserve">持有人及股東</w:t>
      </w:r>
    </w:p>
    <w:p>
      <w:pPr>
        <w:pStyle w:val="BodyText"/>
      </w:pPr>
      <w:r>
        <w:rPr>
          <w:rFonts w:hint="eastAsia"/>
        </w:rPr>
        <w:t xml:space="preserve">單位連結式</w:t>
      </w:r>
    </w:p>
    <w:p>
      <w:pPr>
        <w:pStyle w:val="BodyText"/>
      </w:pPr>
      <w:r>
        <w:rPr>
          <w:rFonts w:hint="eastAsia"/>
        </w:rPr>
        <w:t xml:space="preserve">合併投資基金(1)</w:t>
      </w:r>
    </w:p>
    <w:p>
      <w:pPr>
        <w:pStyle w:val="BodyText"/>
      </w:pPr>
      <w:r>
        <w:rPr>
          <w:rFonts w:hint="eastAsia"/>
        </w:rPr>
        <w:t xml:space="preserve">百萬美元</w:t>
      </w:r>
    </w:p>
    <w:p>
      <w:pPr>
        <w:pStyle w:val="BodyText"/>
      </w:pPr>
      <w:r>
        <w:t xml:space="preserve">FVTPL</w:t>
      </w:r>
    </w:p>
    <w:p>
      <w:pPr>
        <w:pStyle w:val="BodyText"/>
      </w:pPr>
      <w:r>
        <w:t xml:space="preserve">FVTPL</w:t>
      </w:r>
    </w:p>
    <w:p>
      <w:pPr>
        <w:pStyle w:val="BodyText"/>
      </w:pPr>
      <w:r>
        <w:rPr>
          <w:rFonts w:hint="eastAsia"/>
        </w:rPr>
        <w:t xml:space="preserve">小計</w:t>
      </w:r>
    </w:p>
    <w:p>
      <w:pPr>
        <w:pStyle w:val="BodyText"/>
      </w:pPr>
      <w:r>
        <w:t xml:space="preserve">FVTPL</w:t>
      </w:r>
    </w:p>
    <w:p>
      <w:pPr>
        <w:pStyle w:val="BodyText"/>
      </w:pPr>
      <w:r>
        <w:t xml:space="preserve">FVTPL</w:t>
      </w:r>
    </w:p>
    <w:p>
      <w:pPr>
        <w:pStyle w:val="BodyText"/>
      </w:pPr>
      <w:r>
        <w:rPr>
          <w:rFonts w:hint="eastAsia"/>
        </w:rPr>
        <w:t xml:space="preserve">總計</w:t>
      </w:r>
    </w:p>
    <w:p>
      <w:pPr>
        <w:pStyle w:val="BodyText"/>
      </w:pPr>
      <w:r>
        <w:rPr>
          <w:rFonts w:hint="eastAsia"/>
        </w:rPr>
        <w:t xml:space="preserve">2019年12月31日</w:t>
      </w:r>
    </w:p>
    <w:p>
      <w:pPr>
        <w:pStyle w:val="BodyText"/>
      </w:pPr>
      <w:r>
        <w:rPr>
          <w:rFonts w:hint="eastAsia"/>
        </w:rPr>
        <w:t xml:space="preserve">股權</w:t>
      </w:r>
    </w:p>
    <w:p>
      <w:pPr>
        <w:pStyle w:val="BodyText"/>
      </w:pPr>
      <w:r>
        <w:rPr>
          <w:rFonts w:hint="eastAsia"/>
        </w:rPr>
        <w:t xml:space="preserve">投資基金的權益</w:t>
      </w:r>
    </w:p>
    <w:p>
      <w:pPr>
        <w:pStyle w:val="BodyText"/>
      </w:pPr>
      <w:r>
        <w:rPr>
          <w:rFonts w:hint="eastAsia"/>
        </w:rPr>
        <w:t xml:space="preserve">總計</w:t>
      </w:r>
    </w:p>
    <w:p>
      <w:pPr>
        <w:pStyle w:val="BodyText"/>
      </w:pPr>
      <w:r>
        <w:rPr>
          <w:rFonts w:hint="eastAsia"/>
        </w:rPr>
        <w:t xml:space="preserve">附註：</w:t>
      </w:r>
    </w:p>
    <w:p>
      <w:pPr>
        <w:pStyle w:val="BodyText"/>
      </w:pPr>
      <w:r>
        <w:t xml:space="preserve">12,114</w:t>
      </w:r>
    </w:p>
    <w:p>
      <w:pPr>
        <w:pStyle w:val="BodyText"/>
      </w:pPr>
      <w:r>
        <w:t xml:space="preserve">6,625</w:t>
      </w:r>
    </w:p>
    <w:p>
      <w:pPr>
        <w:pStyle w:val="BodyText"/>
      </w:pPr>
      <w:r>
        <w:t xml:space="preserve">18,739</w:t>
      </w:r>
    </w:p>
    <w:p>
      <w:pPr>
        <w:pStyle w:val="BodyText"/>
      </w:pPr>
      <w:r>
        <w:t xml:space="preserve">6,613</w:t>
      </w:r>
    </w:p>
    <w:p>
      <w:pPr>
        <w:pStyle w:val="BodyText"/>
      </w:pPr>
      <w:r>
        <w:t xml:space="preserve">869</w:t>
      </w:r>
    </w:p>
    <w:p>
      <w:pPr>
        <w:pStyle w:val="BodyText"/>
      </w:pPr>
      <w:r>
        <w:t xml:space="preserve">7,482</w:t>
      </w:r>
    </w:p>
    <w:p>
      <w:pPr>
        <w:pStyle w:val="BodyText"/>
      </w:pPr>
      <w:r>
        <w:t xml:space="preserve">18,727</w:t>
      </w:r>
    </w:p>
    <w:p>
      <w:pPr>
        <w:pStyle w:val="BodyText"/>
      </w:pPr>
      <w:r>
        <w:t xml:space="preserve">7,494</w:t>
      </w:r>
    </w:p>
    <w:p>
      <w:pPr>
        <w:pStyle w:val="BodyText"/>
      </w:pPr>
      <w:r>
        <w:t xml:space="preserve">26,221</w:t>
      </w:r>
    </w:p>
    <w:p>
      <w:pPr>
        <w:pStyle w:val="BodyText"/>
      </w:pPr>
      <w:r>
        <w:t xml:space="preserve">6,302</w:t>
      </w:r>
    </w:p>
    <w:p>
      <w:pPr>
        <w:pStyle w:val="BodyText"/>
      </w:pPr>
      <w:r>
        <w:t xml:space="preserve">17,468</w:t>
      </w:r>
    </w:p>
    <w:p>
      <w:pPr>
        <w:pStyle w:val="BodyText"/>
      </w:pPr>
      <w:r>
        <w:t xml:space="preserve">23,770</w:t>
      </w:r>
    </w:p>
    <w:p>
      <w:pPr>
        <w:pStyle w:val="BodyText"/>
      </w:pPr>
      <w:r>
        <w:t xml:space="preserve">331</w:t>
      </w:r>
    </w:p>
    <w:p>
      <w:pPr>
        <w:pStyle w:val="BodyText"/>
      </w:pPr>
      <w:r>
        <w:t xml:space="preserve">–</w:t>
      </w:r>
    </w:p>
    <w:p>
      <w:pPr>
        <w:pStyle w:val="BodyText"/>
      </w:pPr>
      <w:r>
        <w:t xml:space="preserve">331</w:t>
      </w:r>
    </w:p>
    <w:p>
      <w:pPr>
        <w:pStyle w:val="BodyText"/>
      </w:pPr>
      <w:r>
        <w:t xml:space="preserve">25,360</w:t>
      </w:r>
    </w:p>
    <w:p>
      <w:pPr>
        <w:pStyle w:val="BodyText"/>
      </w:pPr>
      <w:r>
        <w:t xml:space="preserve">24,962</w:t>
      </w:r>
    </w:p>
    <w:p>
      <w:pPr>
        <w:pStyle w:val="BodyText"/>
      </w:pPr>
      <w:r>
        <w:t xml:space="preserve">50,322</w:t>
      </w:r>
    </w:p>
    <w:p>
      <w:pPr>
        <w:pStyle w:val="Compact"/>
        <w:numPr>
          <w:ilvl w:val="0"/>
          <w:numId w:val="1390"/>
        </w:numPr>
      </w:pPr>
      <w:r>
        <w:rPr>
          <w:rFonts w:hint="eastAsia"/>
        </w:rPr>
        <w:t xml:space="preserve">合併投資基金反映100%該等基金所持有的資產及負債。</w:t>
      </w:r>
    </w:p>
    <w:p>
      <w:pPr>
        <w:pStyle w:val="FirstParagraph"/>
      </w:pPr>
      <w:r>
        <w:rPr>
          <w:rFonts w:hint="eastAsia"/>
        </w:rPr>
        <w:t xml:space="preserve">債務及股本證券</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160,062</w:t>
      </w:r>
    </w:p>
    <w:p>
      <w:pPr>
        <w:pStyle w:val="BodyText"/>
      </w:pPr>
      <w:r>
        <w:t xml:space="preserve">41,819</w:t>
      </w:r>
    </w:p>
    <w:p>
      <w:pPr>
        <w:pStyle w:val="BodyText"/>
      </w:pPr>
      <w:r>
        <w:t xml:space="preserve">201,881</w:t>
      </w:r>
    </w:p>
    <w:p>
      <w:pPr>
        <w:pStyle w:val="BodyText"/>
      </w:pPr>
      <w:r>
        <w:t xml:space="preserve">31,050</w:t>
      </w:r>
    </w:p>
    <w:p>
      <w:pPr>
        <w:pStyle w:val="BodyText"/>
      </w:pPr>
      <w:r>
        <w:t xml:space="preserve">28,132</w:t>
      </w:r>
    </w:p>
    <w:p>
      <w:pPr>
        <w:pStyle w:val="BodyText"/>
      </w:pPr>
      <w:r>
        <w:t xml:space="preserve">59,182</w:t>
      </w:r>
    </w:p>
    <w:p>
      <w:pPr>
        <w:pStyle w:val="BodyText"/>
      </w:pPr>
      <w:r>
        <w:t xml:space="preserve">137,014</w:t>
      </w:r>
    </w:p>
    <w:p>
      <w:pPr>
        <w:pStyle w:val="BodyText"/>
      </w:pPr>
      <w:r>
        <w:t xml:space="preserve">34,970</w:t>
      </w:r>
    </w:p>
    <w:p>
      <w:pPr>
        <w:pStyle w:val="BodyText"/>
      </w:pPr>
      <w:r>
        <w:t xml:space="preserve">171,984</w:t>
      </w:r>
    </w:p>
    <w:p>
      <w:pPr>
        <w:pStyle w:val="BodyText"/>
      </w:pPr>
      <w:r>
        <w:t xml:space="preserve">26,743</w:t>
      </w:r>
    </w:p>
    <w:p>
      <w:pPr>
        <w:pStyle w:val="BodyText"/>
      </w:pPr>
      <w:r>
        <w:t xml:space="preserve">23,579</w:t>
      </w:r>
    </w:p>
    <w:p>
      <w:pPr>
        <w:pStyle w:val="BodyText"/>
      </w:pPr>
      <w:r>
        <w:t xml:space="preserve">50,322</w:t>
      </w:r>
    </w:p>
    <w:p>
      <w:pPr>
        <w:pStyle w:val="BodyText"/>
      </w:pPr>
      <w:r>
        <w:rPr>
          <w:rFonts w:hint="eastAsia"/>
        </w:rPr>
        <w:t xml:space="preserve">百萬美元</w:t>
      </w:r>
    </w:p>
    <w:p>
      <w:pPr>
        <w:pStyle w:val="BodyText"/>
      </w:pPr>
      <w:r>
        <w:rPr>
          <w:rFonts w:hint="eastAsia"/>
        </w:rPr>
        <w:t xml:space="preserve">債務證券</w:t>
      </w:r>
    </w:p>
    <w:p>
      <w:pPr>
        <w:pStyle w:val="BodyText"/>
      </w:pPr>
      <w:r>
        <w:rPr>
          <w:rFonts w:hint="eastAsia"/>
        </w:rPr>
        <w:t xml:space="preserve">上市</w:t>
      </w:r>
    </w:p>
    <w:p>
      <w:pPr>
        <w:pStyle w:val="BodyText"/>
      </w:pPr>
      <w:r>
        <w:rPr>
          <w:rFonts w:hint="eastAsia"/>
        </w:rPr>
        <w:t xml:space="preserve">非上市</w:t>
      </w:r>
    </w:p>
    <w:p>
      <w:pPr>
        <w:pStyle w:val="BodyText"/>
      </w:pPr>
      <w:r>
        <w:rPr>
          <w:rFonts w:hint="eastAsia"/>
        </w:rPr>
        <w:t xml:space="preserve">總計</w:t>
      </w:r>
    </w:p>
    <w:p>
      <w:pPr>
        <w:pStyle w:val="BodyText"/>
      </w:pPr>
      <w:r>
        <w:rPr>
          <w:rFonts w:hint="eastAsia"/>
        </w:rPr>
        <w:t xml:space="preserve">股本證券</w:t>
      </w:r>
    </w:p>
    <w:p>
      <w:pPr>
        <w:pStyle w:val="BodyText"/>
      </w:pPr>
      <w:r>
        <w:rPr>
          <w:rFonts w:hint="eastAsia"/>
        </w:rPr>
        <w:t xml:space="preserve">上市</w:t>
      </w:r>
    </w:p>
    <w:p>
      <w:pPr>
        <w:pStyle w:val="BodyText"/>
      </w:pPr>
      <w:r>
        <w:rPr>
          <w:rFonts w:hint="eastAsia"/>
        </w:rPr>
        <w:t xml:space="preserve">非上市(1)</w:t>
      </w:r>
    </w:p>
    <w:p>
      <w:pPr>
        <w:pStyle w:val="BodyText"/>
      </w:pPr>
      <w:r>
        <w:rPr>
          <w:rFonts w:hint="eastAsia"/>
        </w:rPr>
        <w:t xml:space="preserve">總計</w:t>
      </w:r>
    </w:p>
    <w:p>
      <w:pPr>
        <w:pStyle w:val="BodyText"/>
      </w:pPr>
      <w:r>
        <w:rPr>
          <w:rFonts w:hint="eastAsia"/>
        </w:rPr>
        <w:t xml:space="preserve">附註：</w:t>
      </w:r>
    </w:p>
    <w:p>
      <w:pPr>
        <w:pStyle w:val="Compact"/>
        <w:numPr>
          <w:ilvl w:val="0"/>
          <w:numId w:val="1391"/>
        </w:numPr>
      </w:pPr>
      <w:r>
        <w:rPr>
          <w:rFonts w:hint="eastAsia"/>
        </w:rPr>
        <w:t xml:space="preserve">包括258.06億美元（2019年：213.33億美元）每日可贖回投資基金。</w:t>
      </w:r>
    </w:p>
    <w:p>
      <w:pPr>
        <w:pStyle w:val="FirstParagraph"/>
      </w:pPr>
      <w:r>
        <w:t xml:space="preserve">202</w:t>
      </w:r>
    </w:p>
    <w:p>
      <w:pPr>
        <w:pStyle w:val="BodyText"/>
      </w:pPr>
      <w:r>
        <w:rPr>
          <w:rFonts w:hint="eastAsia"/>
        </w:rPr>
        <w:t xml:space="preserve">友邦保險控股有限公司</w:t>
      </w:r>
    </w:p>
    <w:p>
      <w:pPr>
        <w:pStyle w:val="Compact"/>
        <w:numPr>
          <w:ilvl w:val="0"/>
          <w:numId w:val="1392"/>
        </w:numPr>
      </w:pPr>
      <w:r>
        <w:rPr>
          <w:rFonts w:hint="eastAsia"/>
        </w:rPr>
        <w:t xml:space="preserve">金融投資（續）</w:t>
      </w:r>
    </w:p>
    <w:p>
      <w:pPr>
        <w:pStyle w:val="FirstParagraph"/>
      </w:pPr>
      <w:r>
        <w:rPr>
          <w:rFonts w:hint="eastAsia"/>
        </w:rPr>
        <w:t xml:space="preserve">結構實體的權益</w:t>
      </w:r>
    </w:p>
    <w:p>
      <w:pPr>
        <w:pStyle w:val="BodyText"/>
      </w:pPr>
      <w:r>
        <w:rPr>
          <w:rFonts w:hint="eastAsia"/>
        </w:rPr>
        <w:t xml:space="preserve">本集團已釐定投資基金及結構證券（如本集團擁有權益的抵押債務證券、按揭抵押證券及其他資產抵押證券）為結構實體。</w:t>
      </w:r>
    </w:p>
    <w:p>
      <w:pPr>
        <w:pStyle w:val="BodyText"/>
      </w:pPr>
      <w:r>
        <w:rPr>
          <w:rFonts w:hint="eastAsia"/>
        </w:rPr>
        <w:t xml:space="preserve">本集團已合併若干投資基金，並就有關基金向投資者提供資本保證或保證回報率，該等基金根據國際財務報告準則第10號</w:t>
      </w:r>
    </w:p>
    <w:p>
      <w:pPr>
        <w:pStyle w:val="BodyText"/>
      </w:pPr>
      <w:r>
        <w:rPr>
          <w:rFonts w:hint="eastAsia"/>
        </w:rPr>
        <w:t xml:space="preserve">指引的分析被視為擁有有關基金的控制權。就該等投資基金而言，本集團能夠降低保證回報率，惟須取得有關監管機關的批</w:t>
      </w:r>
    </w:p>
    <w:p>
      <w:pPr>
        <w:pStyle w:val="BodyText"/>
      </w:pPr>
      <w:r>
        <w:rPr>
          <w:rFonts w:hint="eastAsia"/>
        </w:rPr>
        <w:t xml:space="preserve">准。倘該等基金的回報無法涵蓋提供予投資者的資本保證或保證回報率，則本集團有責任承擔虧損。</w:t>
      </w:r>
    </w:p>
    <w:p>
      <w:pPr>
        <w:pStyle w:val="BodyText"/>
      </w:pPr>
      <w:r>
        <w:rPr>
          <w:rFonts w:hint="eastAsia"/>
        </w:rPr>
        <w:t xml:space="preserve">下表概述本集團的非合併結構實體權益：</w:t>
      </w:r>
    </w:p>
    <w:p>
      <w:pPr>
        <w:pStyle w:val="BodyText"/>
      </w:pPr>
      <w:r>
        <w:rPr>
          <w:rFonts w:hint="eastAsia"/>
        </w:rPr>
        <w:t xml:space="preserve">百萬美元</w:t>
      </w:r>
    </w:p>
    <w:p>
      <w:pPr>
        <w:pStyle w:val="BodyText"/>
      </w:pPr>
      <w:r>
        <w:rPr>
          <w:rFonts w:hint="eastAsia"/>
        </w:rPr>
        <w:t xml:space="preserve">投資基金</w:t>
      </w:r>
    </w:p>
    <w:p>
      <w:pPr>
        <w:pStyle w:val="BodyText"/>
      </w:pPr>
      <w:r>
        <w:rPr>
          <w:rFonts w:hint="eastAsia"/>
        </w:rPr>
        <w:t xml:space="preserve">結構證券(1)</w:t>
      </w:r>
    </w:p>
    <w:p>
      <w:pPr>
        <w:pStyle w:val="BodyText"/>
      </w:pPr>
      <w:r>
        <w:rPr>
          <w:rFonts w:hint="eastAsia"/>
        </w:rPr>
        <w:t xml:space="preserve">投資基金</w:t>
      </w:r>
    </w:p>
    <w:p>
      <w:pPr>
        <w:pStyle w:val="BodyText"/>
      </w:pPr>
      <w:r>
        <w:rPr>
          <w:rFonts w:hint="eastAsia"/>
        </w:rPr>
        <w:t xml:space="preserve">結構證券(1)</w:t>
      </w:r>
    </w:p>
    <w:p>
      <w:pPr>
        <w:pStyle w:val="BodyText"/>
      </w:pPr>
      <w:r>
        <w:rPr>
          <w:rFonts w:hint="eastAsia"/>
        </w:rPr>
        <w:t xml:space="preserve">於2020年12月31日</w:t>
      </w:r>
    </w:p>
    <w:p>
      <w:pPr>
        <w:pStyle w:val="BodyText"/>
      </w:pPr>
      <w:r>
        <w:rPr>
          <w:rFonts w:hint="eastAsia"/>
        </w:rPr>
        <w:t xml:space="preserve">於2019年12月31日</w:t>
      </w:r>
    </w:p>
    <w:p>
      <w:pPr>
        <w:pStyle w:val="BodyText"/>
      </w:pPr>
      <w:r>
        <w:rPr>
          <w:rFonts w:hint="eastAsia"/>
        </w:rPr>
        <w:t xml:space="preserve">可供出售債務證券</w:t>
      </w:r>
    </w:p>
    <w:p>
      <w:pPr>
        <w:pStyle w:val="BodyText"/>
      </w:pPr>
      <w:r>
        <w:rPr>
          <w:rFonts w:hint="eastAsia"/>
        </w:rPr>
        <w:t xml:space="preserve">按公平值計入損益的債務證券</w:t>
      </w:r>
    </w:p>
    <w:p>
      <w:pPr>
        <w:pStyle w:val="BodyText"/>
      </w:pPr>
      <w:r>
        <w:rPr>
          <w:rFonts w:hint="eastAsia"/>
        </w:rPr>
        <w:t xml:space="preserve">按公平值計入損益的股本證券</w:t>
      </w:r>
    </w:p>
    <w:p>
      <w:pPr>
        <w:pStyle w:val="BodyText"/>
      </w:pPr>
      <w:r>
        <w:rPr>
          <w:rFonts w:hint="eastAsia"/>
        </w:rPr>
        <w:t xml:space="preserve">總計</w:t>
      </w:r>
    </w:p>
    <w:p>
      <w:pPr>
        <w:pStyle w:val="BodyText"/>
      </w:pPr>
      <w:r>
        <w:rPr>
          <w:rFonts w:hint="eastAsia"/>
        </w:rPr>
        <w:t xml:space="preserve">附註：</w:t>
      </w:r>
    </w:p>
    <w:p>
      <w:pPr>
        <w:numPr>
          <w:ilvl w:val="0"/>
          <w:numId w:val="1393"/>
        </w:numPr>
      </w:pPr>
      <w:r>
        <w:rPr>
          <w:rFonts w:hint="eastAsia"/>
        </w:rPr>
        <w:t xml:space="preserve">結構證券包括抵押債務證券、按揭抵押證券及其他資產抵押證券。</w:t>
      </w:r>
    </w:p>
    <w:p>
      <w:pPr>
        <w:numPr>
          <w:ilvl w:val="0"/>
          <w:numId w:val="1393"/>
        </w:numPr>
      </w:pPr>
      <w:r>
        <w:rPr>
          <w:rFonts w:hint="eastAsia"/>
        </w:rPr>
        <w:t xml:space="preserve">結餘指本集團於房地產投資信託發行的債務證券的權益。</w:t>
      </w:r>
    </w:p>
    <w:p>
      <w:pPr>
        <w:pStyle w:val="FirstParagraph"/>
      </w:pPr>
      <w:r>
        <w:t xml:space="preserve">2,984(2)</w:t>
      </w:r>
    </w:p>
    <w:p>
      <w:pPr>
        <w:pStyle w:val="BodyText"/>
      </w:pPr>
      <w:r>
        <w:t xml:space="preserve">811(2)</w:t>
      </w:r>
    </w:p>
    <w:p>
      <w:pPr>
        <w:pStyle w:val="BodyText"/>
      </w:pPr>
      <w:r>
        <w:t xml:space="preserve">29,026</w:t>
      </w:r>
    </w:p>
    <w:p>
      <w:pPr>
        <w:pStyle w:val="BodyText"/>
      </w:pPr>
      <w:r>
        <w:t xml:space="preserve">32,821</w:t>
      </w:r>
    </w:p>
    <w:p>
      <w:pPr>
        <w:pStyle w:val="BodyText"/>
      </w:pPr>
      <w:r>
        <w:t xml:space="preserve">936</w:t>
      </w:r>
    </w:p>
    <w:p>
      <w:pPr>
        <w:pStyle w:val="BodyText"/>
      </w:pPr>
      <w:r>
        <w:t xml:space="preserve">1,026</w:t>
      </w:r>
    </w:p>
    <w:p>
      <w:pPr>
        <w:pStyle w:val="BodyText"/>
      </w:pPr>
      <w:r>
        <w:t xml:space="preserve">–</w:t>
      </w:r>
    </w:p>
    <w:p>
      <w:pPr>
        <w:pStyle w:val="BodyText"/>
      </w:pPr>
      <w:r>
        <w:t xml:space="preserve">1,962</w:t>
      </w:r>
    </w:p>
    <w:p>
      <w:pPr>
        <w:pStyle w:val="BodyText"/>
      </w:pPr>
      <w:r>
        <w:t xml:space="preserve">2,158(2)</w:t>
      </w:r>
    </w:p>
    <w:p>
      <w:pPr>
        <w:pStyle w:val="BodyText"/>
      </w:pPr>
      <w:r>
        <w:t xml:space="preserve">721(2)</w:t>
      </w:r>
    </w:p>
    <w:p>
      <w:pPr>
        <w:pStyle w:val="BodyText"/>
      </w:pPr>
      <w:r>
        <w:t xml:space="preserve">24,962</w:t>
      </w:r>
    </w:p>
    <w:p>
      <w:pPr>
        <w:pStyle w:val="BodyText"/>
      </w:pPr>
      <w:r>
        <w:t xml:space="preserve">27,841</w:t>
      </w:r>
    </w:p>
    <w:p>
      <w:pPr>
        <w:pStyle w:val="BodyText"/>
      </w:pPr>
      <w:r>
        <w:t xml:space="preserve">925</w:t>
      </w:r>
    </w:p>
    <w:p>
      <w:pPr>
        <w:pStyle w:val="BodyText"/>
      </w:pPr>
      <w:r>
        <w:t xml:space="preserve">757</w:t>
      </w:r>
    </w:p>
    <w:p>
      <w:pPr>
        <w:pStyle w:val="BodyText"/>
      </w:pPr>
      <w:r>
        <w:t xml:space="preserve">–</w:t>
      </w:r>
    </w:p>
    <w:p>
      <w:pPr>
        <w:pStyle w:val="BodyText"/>
      </w:pPr>
      <w:r>
        <w:t xml:space="preserve">1,682</w:t>
      </w:r>
    </w:p>
    <w:p>
      <w:pPr>
        <w:pStyle w:val="BodyText"/>
      </w:pPr>
      <w:r>
        <w:rPr>
          <w:rFonts w:hint="eastAsia"/>
        </w:rPr>
        <w:t xml:space="preserve">本集團於該等非合併結構實體的權益產生的最大虧損風險乃受資產賬面值所限。報告期間的股息收入及利息收入來自該等非</w:t>
      </w:r>
    </w:p>
    <w:p>
      <w:pPr>
        <w:pStyle w:val="BodyText"/>
      </w:pPr>
      <w:r>
        <w:rPr>
          <w:rFonts w:hint="eastAsia"/>
        </w:rPr>
        <w:t xml:space="preserve">合併結構實體的權益。</w:t>
      </w:r>
    </w:p>
    <w:p>
      <w:pPr>
        <w:pStyle w:val="BodyText"/>
      </w:pPr>
      <w:r>
        <w:rPr>
          <w:rFonts w:hint="eastAsia"/>
        </w:rPr>
        <w:t xml:space="preserve">此外，本集團就若干退休計劃基金及投資基金提供的信託、管理及行政服務收取管理費及信託費。由於本集團並無持有該等</w:t>
      </w:r>
    </w:p>
    <w:p>
      <w:pPr>
        <w:pStyle w:val="BodyText"/>
      </w:pPr>
      <w:r>
        <w:rPr>
          <w:rFonts w:hint="eastAsia"/>
        </w:rPr>
        <w:t xml:space="preserve">基金且不承擔相關投資風險，故本集團並無該等基金虧損的風險。</w:t>
      </w:r>
    </w:p>
    <w:p>
      <w:pPr>
        <w:pStyle w:val="BodyText"/>
      </w:pPr>
      <w:r>
        <w:t xml:space="preserve">203</w:t>
      </w:r>
    </w:p>
    <w:p>
      <w:pPr>
        <w:pStyle w:val="BodyText"/>
      </w:pPr>
      <w:r>
        <w:rPr>
          <w:rFonts w:hint="eastAsia"/>
        </w:rPr>
        <w:t xml:space="preserve">概覽財務及營運回顧企業管治其他資料財務報表2020年報</w:t>
      </w:r>
    </w:p>
    <w:p>
      <w:pPr>
        <w:pStyle w:val="Compact"/>
        <w:numPr>
          <w:ilvl w:val="0"/>
          <w:numId w:val="1394"/>
        </w:numPr>
      </w:pPr>
      <w:r>
        <w:rPr>
          <w:rFonts w:hint="eastAsia"/>
        </w:rPr>
        <w:t xml:space="preserve">金融投資（續）</w:t>
      </w:r>
    </w:p>
    <w:p>
      <w:pPr>
        <w:pStyle w:val="FirstParagraph"/>
      </w:pPr>
      <w:r>
        <w:rPr>
          <w:rFonts w:hint="eastAsia"/>
        </w:rPr>
        <w:t xml:space="preserve">貸款及存款</w:t>
      </w:r>
    </w:p>
    <w:p>
      <w:pPr>
        <w:pStyle w:val="BodyText"/>
      </w:pPr>
      <w:r>
        <w:rPr>
          <w:rFonts w:hint="eastAsia"/>
        </w:rPr>
        <w:t xml:space="preserve">百萬美元</w:t>
      </w:r>
    </w:p>
    <w:p>
      <w:pPr>
        <w:pStyle w:val="BodyText"/>
      </w:pPr>
      <w:r>
        <w:rPr>
          <w:rFonts w:hint="eastAsia"/>
        </w:rPr>
        <w:t xml:space="preserve">保單貸款</w:t>
      </w:r>
    </w:p>
    <w:p>
      <w:pPr>
        <w:pStyle w:val="BodyText"/>
      </w:pPr>
      <w:r>
        <w:rPr>
          <w:rFonts w:hint="eastAsia"/>
        </w:rPr>
        <w:t xml:space="preserve">住宅物業按揭貸款</w:t>
      </w:r>
    </w:p>
    <w:p>
      <w:pPr>
        <w:pStyle w:val="BodyText"/>
      </w:pPr>
      <w:r>
        <w:rPr>
          <w:rFonts w:hint="eastAsia"/>
        </w:rPr>
        <w:t xml:space="preserve">商用物業按揭貸款</w:t>
      </w:r>
    </w:p>
    <w:p>
      <w:pPr>
        <w:pStyle w:val="BodyText"/>
      </w:pPr>
      <w:r>
        <w:rPr>
          <w:rFonts w:hint="eastAsia"/>
        </w:rPr>
        <w:t xml:space="preserve">其他貸款</w:t>
      </w:r>
    </w:p>
    <w:p>
      <w:pPr>
        <w:pStyle w:val="BodyText"/>
      </w:pPr>
      <w:r>
        <w:rPr>
          <w:rFonts w:hint="eastAsia"/>
        </w:rPr>
        <w:t xml:space="preserve">貸款虧損撥備</w:t>
      </w:r>
    </w:p>
    <w:p>
      <w:pPr>
        <w:pStyle w:val="BodyText"/>
      </w:pPr>
      <w:r>
        <w:rPr>
          <w:rFonts w:hint="eastAsia"/>
        </w:rPr>
        <w:t xml:space="preserve">貸款</w:t>
      </w:r>
    </w:p>
    <w:p>
      <w:pPr>
        <w:pStyle w:val="BodyText"/>
      </w:pPr>
      <w:r>
        <w:rPr>
          <w:rFonts w:hint="eastAsia"/>
        </w:rPr>
        <w:t xml:space="preserve">定期存款</w:t>
      </w:r>
    </w:p>
    <w:p>
      <w:pPr>
        <w:pStyle w:val="BodyText"/>
      </w:pPr>
      <w:r>
        <w:rPr>
          <w:rFonts w:hint="eastAsia"/>
        </w:rPr>
        <w:t xml:space="preserve">承兌票據(1)</w:t>
      </w:r>
    </w:p>
    <w:p>
      <w:pPr>
        <w:pStyle w:val="BodyText"/>
      </w:pPr>
      <w:r>
        <w:rPr>
          <w:rFonts w:hint="eastAsia"/>
        </w:rPr>
        <w:t xml:space="preserve">總計</w:t>
      </w:r>
    </w:p>
    <w:p>
      <w:pPr>
        <w:pStyle w:val="BodyText"/>
      </w:pPr>
      <w:r>
        <w:rPr>
          <w:rFonts w:hint="eastAsia"/>
        </w:rPr>
        <w:t xml:space="preserve">附註：</w:t>
      </w:r>
    </w:p>
    <w:p>
      <w:pPr>
        <w:pStyle w:val="Compact"/>
        <w:numPr>
          <w:ilvl w:val="0"/>
          <w:numId w:val="1395"/>
        </w:numPr>
      </w:pPr>
      <w:r>
        <w:rPr>
          <w:rFonts w:hint="eastAsia"/>
        </w:rPr>
        <w:t xml:space="preserve">承兌票據由政府發行。</w:t>
      </w:r>
    </w:p>
    <w:p>
      <w:pPr>
        <w:pStyle w:val="FirstParagraph"/>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3,547</w:t>
      </w:r>
    </w:p>
    <w:p>
      <w:pPr>
        <w:pStyle w:val="BodyText"/>
      </w:pPr>
      <w:r>
        <w:t xml:space="preserve">3,246</w:t>
      </w:r>
    </w:p>
    <w:p>
      <w:pPr>
        <w:pStyle w:val="BodyText"/>
      </w:pPr>
      <w:r>
        <w:t xml:space="preserve">590</w:t>
      </w:r>
    </w:p>
    <w:p>
      <w:pPr>
        <w:pStyle w:val="BodyText"/>
      </w:pPr>
      <w:r>
        <w:t xml:space="preserve">49</w:t>
      </w:r>
    </w:p>
    <w:p>
      <w:pPr>
        <w:pStyle w:val="BodyText"/>
      </w:pPr>
      <w:r>
        <w:t xml:space="preserve">760</w:t>
      </w:r>
    </w:p>
    <w:p>
      <w:pPr>
        <w:pStyle w:val="FirstParagraph"/>
      </w:pPr>
      <w:r>
        <w:t xml:space="preserve">4,932</w:t>
      </w:r>
    </w:p>
    <w:p>
      <w:pPr>
        <w:pStyle w:val="BodyText"/>
      </w:pPr>
      <w:r>
        <w:t xml:space="preserve">2,683</w:t>
      </w:r>
    </w:p>
    <w:p>
      <w:pPr>
        <w:pStyle w:val="BodyText"/>
      </w:pPr>
      <w:r>
        <w:t xml:space="preserve">1,720</w:t>
      </w:r>
    </w:p>
    <w:p>
      <w:pPr>
        <w:pStyle w:val="BodyText"/>
      </w:pPr>
      <w:r>
        <w:t xml:space="preserve">9,335</w:t>
      </w:r>
    </w:p>
    <w:p>
      <w:pPr>
        <w:pStyle w:val="BodyText"/>
      </w:pPr>
      <w:r>
        <w:t xml:space="preserve">606</w:t>
      </w:r>
    </w:p>
    <w:p>
      <w:pPr>
        <w:pStyle w:val="BodyText"/>
      </w:pPr>
      <w:r>
        <w:t xml:space="preserve">49</w:t>
      </w:r>
    </w:p>
    <w:p>
      <w:pPr>
        <w:pStyle w:val="BodyText"/>
      </w:pPr>
      <w:r>
        <w:t xml:space="preserve">776</w:t>
      </w:r>
    </w:p>
    <w:p>
      <w:pPr>
        <w:pStyle w:val="FirstParagraph"/>
      </w:pPr>
      <w:r>
        <w:t xml:space="preserve">4,664</w:t>
      </w:r>
    </w:p>
    <w:p>
      <w:pPr>
        <w:pStyle w:val="BodyText"/>
      </w:pPr>
      <w:r>
        <w:t xml:space="preserve">3,696</w:t>
      </w:r>
    </w:p>
    <w:p>
      <w:pPr>
        <w:pStyle w:val="BodyText"/>
      </w:pPr>
      <w:r>
        <w:t xml:space="preserve">1,726</w:t>
      </w:r>
    </w:p>
    <w:p>
      <w:pPr>
        <w:pStyle w:val="BodyText"/>
      </w:pPr>
      <w:r>
        <w:t xml:space="preserve">10,086</w:t>
      </w:r>
    </w:p>
    <w:p>
      <w:pPr>
        <w:pStyle w:val="BodyText"/>
      </w:pPr>
      <w:r>
        <w:rPr>
          <w:rFonts w:hint="eastAsia"/>
        </w:rPr>
        <w:t xml:space="preserve">若干存於金融機構的定期存款及承兌票據因當地的法例要求或其他抵押限制而受規限。於定期存款及承兌票據中持有的受限</w:t>
      </w:r>
    </w:p>
    <w:p>
      <w:pPr>
        <w:pStyle w:val="BodyText"/>
      </w:pPr>
      <w:r>
        <w:rPr>
          <w:rFonts w:hint="eastAsia"/>
        </w:rPr>
        <w:t xml:space="preserve">制金額為20.57億美元（2019年：19.51億美元）。</w:t>
      </w:r>
    </w:p>
    <w:p>
      <w:pPr>
        <w:pStyle w:val="BodyText"/>
      </w:pPr>
      <w:r>
        <w:rPr>
          <w:rFonts w:hint="eastAsia"/>
        </w:rPr>
        <w:t xml:space="preserve">其他貸款包括來自逆向回購協議的應收款項，而本集團並無實質擁有根據此等協議購買的證券。當貸款尚未需要償還時，相</w:t>
      </w:r>
    </w:p>
    <w:p>
      <w:pPr>
        <w:pStyle w:val="BodyText"/>
      </w:pPr>
      <w:r>
        <w:rPr>
          <w:rFonts w:hint="eastAsia"/>
        </w:rPr>
        <w:t xml:space="preserve">關結算所不容許銷售或轉讓已註冊的證券。若交易對手未能償還貸款，本集團擁有結算所持有的相關證券的權利。於2020年</w:t>
      </w:r>
    </w:p>
    <w:p>
      <w:pPr>
        <w:pStyle w:val="BodyText"/>
      </w:pPr>
      <w:r>
        <w:rPr>
          <w:rFonts w:hint="eastAsia"/>
        </w:rPr>
        <w:t xml:space="preserve">12月31日，此等應收款項的賬面值為2.71億美元（2019年：2.65億美元）。</w:t>
      </w:r>
    </w:p>
    <w:p>
      <w:pPr>
        <w:pStyle w:val="BodyText"/>
      </w:pPr>
      <w:r>
        <w:t xml:space="preserve">204</w:t>
      </w:r>
    </w:p>
    <w:p>
      <w:pPr>
        <w:pStyle w:val="BodyText"/>
      </w:pPr>
      <w:r>
        <w:rPr>
          <w:rFonts w:hint="eastAsia"/>
        </w:rPr>
        <w:t xml:space="preserve">友邦保險控股有限公司</w:t>
      </w:r>
    </w:p>
    <w:p>
      <w:pPr>
        <w:pStyle w:val="Compact"/>
        <w:numPr>
          <w:ilvl w:val="0"/>
          <w:numId w:val="1398"/>
        </w:numPr>
      </w:pPr>
      <w:r>
        <w:rPr>
          <w:rFonts w:hint="eastAsia"/>
        </w:rPr>
        <w:t xml:space="preserve">衍生金融工具</w:t>
      </w:r>
    </w:p>
    <w:p>
      <w:pPr>
        <w:pStyle w:val="FirstParagraph"/>
      </w:pPr>
      <w:r>
        <w:rPr>
          <w:rFonts w:hint="eastAsia"/>
        </w:rPr>
        <w:t xml:space="preserve">本集團的衍生工具之風險如下：</w:t>
      </w:r>
    </w:p>
    <w:p>
      <w:pPr>
        <w:pStyle w:val="BodyText"/>
      </w:pPr>
      <w:r>
        <w:rPr>
          <w:rFonts w:hint="eastAsia"/>
        </w:rPr>
        <w:t xml:space="preserve">百萬美元</w:t>
      </w:r>
    </w:p>
    <w:p>
      <w:pPr>
        <w:pStyle w:val="BodyText"/>
      </w:pPr>
      <w:r>
        <w:rPr>
          <w:rFonts w:hint="eastAsia"/>
        </w:rPr>
        <w:t xml:space="preserve">2020年12月31日</w:t>
      </w:r>
    </w:p>
    <w:p>
      <w:pPr>
        <w:pStyle w:val="BodyText"/>
      </w:pPr>
      <w:r>
        <w:rPr>
          <w:rFonts w:hint="eastAsia"/>
        </w:rPr>
        <w:t xml:space="preserve">外匯合約</w:t>
      </w:r>
    </w:p>
    <w:p>
      <w:pPr>
        <w:pStyle w:val="BodyText"/>
      </w:pPr>
      <w:r>
        <w:rPr>
          <w:rFonts w:hint="eastAsia"/>
        </w:rPr>
        <w:t xml:space="preserve">交叉貨幣掉期</w:t>
      </w:r>
    </w:p>
    <w:p>
      <w:pPr>
        <w:pStyle w:val="BodyText"/>
      </w:pPr>
      <w:r>
        <w:rPr>
          <w:rFonts w:hint="eastAsia"/>
        </w:rPr>
        <w:t xml:space="preserve">遠期</w:t>
      </w:r>
    </w:p>
    <w:p>
      <w:pPr>
        <w:pStyle w:val="BodyText"/>
      </w:pPr>
      <w:r>
        <w:rPr>
          <w:rFonts w:hint="eastAsia"/>
        </w:rPr>
        <w:t xml:space="preserve">外匯期貨</w:t>
      </w:r>
    </w:p>
    <w:p>
      <w:pPr>
        <w:pStyle w:val="BodyText"/>
      </w:pPr>
      <w:r>
        <w:rPr>
          <w:rFonts w:hint="eastAsia"/>
        </w:rPr>
        <w:t xml:space="preserve">外匯合約總計</w:t>
      </w:r>
    </w:p>
    <w:p>
      <w:pPr>
        <w:pStyle w:val="BodyText"/>
      </w:pPr>
      <w:r>
        <w:rPr>
          <w:rFonts w:hint="eastAsia"/>
        </w:rPr>
        <w:t xml:space="preserve">利率合約</w:t>
      </w:r>
    </w:p>
    <w:p>
      <w:pPr>
        <w:pStyle w:val="BodyText"/>
      </w:pPr>
      <w:r>
        <w:rPr>
          <w:rFonts w:hint="eastAsia"/>
        </w:rPr>
        <w:t xml:space="preserve">利率掉期</w:t>
      </w:r>
    </w:p>
    <w:p>
      <w:pPr>
        <w:pStyle w:val="BodyText"/>
      </w:pPr>
      <w:r>
        <w:rPr>
          <w:rFonts w:hint="eastAsia"/>
        </w:rPr>
        <w:t xml:space="preserve">其他</w:t>
      </w:r>
    </w:p>
    <w:p>
      <w:pPr>
        <w:pStyle w:val="BodyText"/>
      </w:pPr>
      <w:r>
        <w:rPr>
          <w:rFonts w:hint="eastAsia"/>
        </w:rPr>
        <w:t xml:space="preserve">認股權證及認購期權</w:t>
      </w:r>
    </w:p>
    <w:p>
      <w:pPr>
        <w:pStyle w:val="BodyText"/>
      </w:pPr>
      <w:r>
        <w:rPr>
          <w:rFonts w:hint="eastAsia"/>
        </w:rPr>
        <w:t xml:space="preserve">遠期合約</w:t>
      </w:r>
    </w:p>
    <w:p>
      <w:pPr>
        <w:pStyle w:val="BodyText"/>
      </w:pPr>
      <w:r>
        <w:rPr>
          <w:rFonts w:hint="eastAsia"/>
        </w:rPr>
        <w:t xml:space="preserve">掉期</w:t>
      </w:r>
    </w:p>
    <w:p>
      <w:pPr>
        <w:pStyle w:val="BodyText"/>
      </w:pPr>
      <w:r>
        <w:rPr>
          <w:rFonts w:hint="eastAsia"/>
        </w:rPr>
        <w:t xml:space="preserve">對銷</w:t>
      </w:r>
    </w:p>
    <w:p>
      <w:pPr>
        <w:pStyle w:val="BodyText"/>
      </w:pPr>
      <w:r>
        <w:rPr>
          <w:rFonts w:hint="eastAsia"/>
        </w:rPr>
        <w:t xml:space="preserve">總計</w:t>
      </w:r>
    </w:p>
    <w:p>
      <w:pPr>
        <w:pStyle w:val="BodyText"/>
      </w:pPr>
      <w:r>
        <w:rPr>
          <w:rFonts w:hint="eastAsia"/>
        </w:rPr>
        <w:t xml:space="preserve">2019年12月31日</w:t>
      </w:r>
    </w:p>
    <w:p>
      <w:pPr>
        <w:pStyle w:val="BodyText"/>
      </w:pPr>
      <w:r>
        <w:rPr>
          <w:rFonts w:hint="eastAsia"/>
        </w:rPr>
        <w:t xml:space="preserve">外匯合約</w:t>
      </w:r>
    </w:p>
    <w:p>
      <w:pPr>
        <w:pStyle w:val="BodyText"/>
      </w:pPr>
      <w:r>
        <w:rPr>
          <w:rFonts w:hint="eastAsia"/>
        </w:rPr>
        <w:t xml:space="preserve">交叉貨幣掉期</w:t>
      </w:r>
    </w:p>
    <w:p>
      <w:pPr>
        <w:pStyle w:val="BodyText"/>
      </w:pPr>
      <w:r>
        <w:rPr>
          <w:rFonts w:hint="eastAsia"/>
        </w:rPr>
        <w:t xml:space="preserve">遠期</w:t>
      </w:r>
    </w:p>
    <w:p>
      <w:pPr>
        <w:pStyle w:val="BodyText"/>
      </w:pPr>
      <w:r>
        <w:rPr>
          <w:rFonts w:hint="eastAsia"/>
        </w:rPr>
        <w:t xml:space="preserve">外匯期貨</w:t>
      </w:r>
    </w:p>
    <w:p>
      <w:pPr>
        <w:pStyle w:val="BodyText"/>
      </w:pPr>
      <w:r>
        <w:rPr>
          <w:rFonts w:hint="eastAsia"/>
        </w:rPr>
        <w:t xml:space="preserve">貨幣期權</w:t>
      </w:r>
    </w:p>
    <w:p>
      <w:pPr>
        <w:pStyle w:val="BodyText"/>
      </w:pPr>
      <w:r>
        <w:rPr>
          <w:rFonts w:hint="eastAsia"/>
        </w:rPr>
        <w:t xml:space="preserve">外匯合約總計</w:t>
      </w:r>
    </w:p>
    <w:p>
      <w:pPr>
        <w:pStyle w:val="BodyText"/>
      </w:pPr>
      <w:r>
        <w:rPr>
          <w:rFonts w:hint="eastAsia"/>
        </w:rPr>
        <w:t xml:space="preserve">利率合約</w:t>
      </w:r>
    </w:p>
    <w:p>
      <w:pPr>
        <w:pStyle w:val="BodyText"/>
      </w:pPr>
      <w:r>
        <w:rPr>
          <w:rFonts w:hint="eastAsia"/>
        </w:rPr>
        <w:t xml:space="preserve">利率掉期</w:t>
      </w:r>
    </w:p>
    <w:p>
      <w:pPr>
        <w:pStyle w:val="BodyText"/>
      </w:pPr>
      <w:r>
        <w:rPr>
          <w:rFonts w:hint="eastAsia"/>
        </w:rPr>
        <w:t xml:space="preserve">其他</w:t>
      </w:r>
    </w:p>
    <w:p>
      <w:pPr>
        <w:pStyle w:val="BodyText"/>
      </w:pPr>
      <w:r>
        <w:rPr>
          <w:rFonts w:hint="eastAsia"/>
        </w:rPr>
        <w:t xml:space="preserve">認股權證及認購期權</w:t>
      </w:r>
    </w:p>
    <w:p>
      <w:pPr>
        <w:pStyle w:val="BodyText"/>
      </w:pPr>
      <w:r>
        <w:rPr>
          <w:rFonts w:hint="eastAsia"/>
        </w:rPr>
        <w:t xml:space="preserve">遠期合約</w:t>
      </w:r>
    </w:p>
    <w:p>
      <w:pPr>
        <w:pStyle w:val="BodyText"/>
      </w:pPr>
      <w:r>
        <w:rPr>
          <w:rFonts w:hint="eastAsia"/>
        </w:rPr>
        <w:t xml:space="preserve">掉期</w:t>
      </w:r>
    </w:p>
    <w:p>
      <w:pPr>
        <w:pStyle w:val="BodyText"/>
      </w:pPr>
      <w:r>
        <w:rPr>
          <w:rFonts w:hint="eastAsia"/>
        </w:rPr>
        <w:t xml:space="preserve">對銷</w:t>
      </w:r>
    </w:p>
    <w:p>
      <w:pPr>
        <w:pStyle w:val="BodyText"/>
      </w:pPr>
      <w:r>
        <w:rPr>
          <w:rFonts w:hint="eastAsia"/>
        </w:rPr>
        <w:t xml:space="preserve">總計</w:t>
      </w:r>
    </w:p>
    <w:p>
      <w:pPr>
        <w:pStyle w:val="BodyText"/>
      </w:pPr>
      <w:r>
        <w:rPr>
          <w:rFonts w:hint="eastAsia"/>
        </w:rPr>
        <w:t xml:space="preserve">公平值</w:t>
      </w:r>
    </w:p>
    <w:p>
      <w:pPr>
        <w:pStyle w:val="BodyText"/>
      </w:pPr>
      <w:r>
        <w:rPr>
          <w:rFonts w:hint="eastAsia"/>
        </w:rPr>
        <w:t xml:space="preserve">名義金額</w:t>
      </w:r>
    </w:p>
    <w:p>
      <w:pPr>
        <w:pStyle w:val="BodyText"/>
      </w:pPr>
      <w:r>
        <w:rPr>
          <w:rFonts w:hint="eastAsia"/>
        </w:rPr>
        <w:t xml:space="preserve">資產</w:t>
      </w:r>
    </w:p>
    <w:p>
      <w:pPr>
        <w:pStyle w:val="BodyText"/>
      </w:pPr>
      <w:r>
        <w:rPr>
          <w:rFonts w:hint="eastAsia"/>
        </w:rPr>
        <w:t xml:space="preserve">負債</w:t>
      </w:r>
    </w:p>
    <w:p>
      <w:pPr>
        <w:pStyle w:val="BodyText"/>
      </w:pPr>
      <w:r>
        <w:t xml:space="preserve">8,172</w:t>
      </w:r>
    </w:p>
    <w:p>
      <w:pPr>
        <w:pStyle w:val="BodyText"/>
      </w:pPr>
      <w:r>
        <w:t xml:space="preserve">2,694</w:t>
      </w:r>
    </w:p>
    <w:p>
      <w:pPr>
        <w:pStyle w:val="BodyText"/>
      </w:pPr>
      <w:r>
        <w:t xml:space="preserve">100</w:t>
      </w:r>
    </w:p>
    <w:p>
      <w:pPr>
        <w:pStyle w:val="BodyText"/>
      </w:pPr>
      <w:r>
        <w:t xml:space="preserve">10,966</w:t>
      </w:r>
    </w:p>
    <w:p>
      <w:pPr>
        <w:pStyle w:val="BodyText"/>
      </w:pPr>
      <w:r>
        <w:t xml:space="preserve">8,510</w:t>
      </w:r>
    </w:p>
    <w:p>
      <w:pPr>
        <w:pStyle w:val="BodyText"/>
      </w:pPr>
      <w:r>
        <w:t xml:space="preserve">1,342</w:t>
      </w:r>
    </w:p>
    <w:p>
      <w:pPr>
        <w:pStyle w:val="BodyText"/>
      </w:pPr>
      <w:r>
        <w:t xml:space="preserve">10,658</w:t>
      </w:r>
    </w:p>
    <w:p>
      <w:pPr>
        <w:pStyle w:val="BodyText"/>
      </w:pPr>
      <w:r>
        <w:t xml:space="preserve">1,267</w:t>
      </w:r>
    </w:p>
    <w:p>
      <w:pPr>
        <w:pStyle w:val="FirstParagraph"/>
      </w:pPr>
      <w:r>
        <w:t xml:space="preserve">32,643</w:t>
      </w:r>
    </w:p>
    <w:p>
      <w:pPr>
        <w:pStyle w:val="BodyText"/>
      </w:pPr>
      <w:r>
        <w:t xml:space="preserve">8,338</w:t>
      </w:r>
    </w:p>
    <w:p>
      <w:pPr>
        <w:pStyle w:val="BodyText"/>
      </w:pPr>
      <w:r>
        <w:t xml:space="preserve">4,973</w:t>
      </w:r>
    </w:p>
    <w:p>
      <w:pPr>
        <w:pStyle w:val="BodyText"/>
      </w:pPr>
      <w:r>
        <w:t xml:space="preserve">98</w:t>
      </w:r>
    </w:p>
    <w:p>
      <w:pPr>
        <w:pStyle w:val="BodyText"/>
      </w:pPr>
      <w:r>
        <w:t xml:space="preserve">3</w:t>
      </w:r>
    </w:p>
    <w:p>
      <w:pPr>
        <w:pStyle w:val="BodyText"/>
      </w:pPr>
      <w:r>
        <w:t xml:space="preserve">13,412</w:t>
      </w:r>
    </w:p>
    <w:p>
      <w:pPr>
        <w:pStyle w:val="BodyText"/>
      </w:pPr>
      <w:r>
        <w:t xml:space="preserve">8,740</w:t>
      </w:r>
    </w:p>
    <w:p>
      <w:pPr>
        <w:pStyle w:val="BodyText"/>
      </w:pPr>
      <w:r>
        <w:t xml:space="preserve">147</w:t>
      </w:r>
    </w:p>
    <w:p>
      <w:pPr>
        <w:pStyle w:val="BodyText"/>
      </w:pPr>
      <w:r>
        <w:t xml:space="preserve">1,843</w:t>
      </w:r>
    </w:p>
    <w:p>
      <w:pPr>
        <w:pStyle w:val="BodyText"/>
      </w:pPr>
      <w:r>
        <w:t xml:space="preserve">1,333</w:t>
      </w:r>
    </w:p>
    <w:p>
      <w:pPr>
        <w:pStyle w:val="FirstParagraph"/>
      </w:pPr>
      <w:r>
        <w:t xml:space="preserve">25,377</w:t>
      </w:r>
    </w:p>
    <w:p>
      <w:pPr>
        <w:pStyle w:val="BodyText"/>
      </w:pPr>
      <w:r>
        <w:t xml:space="preserve">313</w:t>
      </w:r>
    </w:p>
    <w:p>
      <w:pPr>
        <w:pStyle w:val="BodyText"/>
      </w:pPr>
      <w:r>
        <w:t xml:space="preserve">121</w:t>
      </w:r>
    </w:p>
    <w:p>
      <w:pPr>
        <w:pStyle w:val="BodyText"/>
      </w:pPr>
      <w:r>
        <w:t xml:space="preserve">–</w:t>
      </w:r>
    </w:p>
    <w:p>
      <w:pPr>
        <w:pStyle w:val="BodyText"/>
      </w:pPr>
      <w:r>
        <w:t xml:space="preserve">434</w:t>
      </w:r>
    </w:p>
    <w:p>
      <w:pPr>
        <w:pStyle w:val="BodyText"/>
      </w:pPr>
      <w:r>
        <w:t xml:space="preserve">561</w:t>
      </w:r>
    </w:p>
    <w:p>
      <w:pPr>
        <w:pStyle w:val="BodyText"/>
      </w:pPr>
      <w:r>
        <w:t xml:space="preserve">51</w:t>
      </w:r>
    </w:p>
    <w:p>
      <w:pPr>
        <w:pStyle w:val="BodyText"/>
      </w:pPr>
      <w:r>
        <w:t xml:space="preserve">18</w:t>
      </w:r>
    </w:p>
    <w:p>
      <w:pPr>
        <w:pStyle w:val="BodyText"/>
      </w:pPr>
      <w:r>
        <w:t xml:space="preserve">5</w:t>
      </w:r>
    </w:p>
    <w:p>
      <w:pPr>
        <w:pStyle w:val="BodyText"/>
      </w:pPr>
      <w:r>
        <w:t xml:space="preserve">–</w:t>
      </w:r>
    </w:p>
    <w:p>
      <w:pPr>
        <w:pStyle w:val="FirstParagraph"/>
      </w:pPr>
      <w:r>
        <w:t xml:space="preserve">–</w:t>
      </w:r>
    </w:p>
    <w:p>
      <w:pPr>
        <w:pStyle w:val="FirstParagraph"/>
      </w:pPr>
      <w:r>
        <w:t xml:space="preserve">–</w:t>
      </w:r>
    </w:p>
    <w:p>
      <w:pPr>
        <w:pStyle w:val="BodyText"/>
      </w:pPr>
      <w:r>
        <w:t xml:space="preserve">1,069</w:t>
      </w:r>
    </w:p>
    <w:p>
      <w:pPr>
        <w:pStyle w:val="BodyText"/>
      </w:pPr>
      <w:r>
        <w:t xml:space="preserve">(1,003)</w:t>
      </w:r>
    </w:p>
    <w:p>
      <w:pPr>
        <w:pStyle w:val="BodyText"/>
      </w:pPr>
      <w:r>
        <w:t xml:space="preserve">396</w:t>
      </w:r>
    </w:p>
    <w:p>
      <w:pPr>
        <w:pStyle w:val="BodyText"/>
      </w:pPr>
      <w:r>
        <w:t xml:space="preserve">62</w:t>
      </w:r>
    </w:p>
    <w:p>
      <w:pPr>
        <w:pStyle w:val="BodyText"/>
      </w:pPr>
      <w:r>
        <w:t xml:space="preserve">–</w:t>
      </w:r>
    </w:p>
    <w:p>
      <w:pPr>
        <w:pStyle w:val="BodyText"/>
      </w:pPr>
      <w:r>
        <w:t xml:space="preserve">–</w:t>
      </w:r>
    </w:p>
    <w:p>
      <w:pPr>
        <w:pStyle w:val="BodyText"/>
      </w:pPr>
      <w:r>
        <w:t xml:space="preserve">458</w:t>
      </w:r>
    </w:p>
    <w:p>
      <w:pPr>
        <w:pStyle w:val="BodyText"/>
      </w:pPr>
      <w:r>
        <w:t xml:space="preserve">487</w:t>
      </w:r>
    </w:p>
    <w:p>
      <w:pPr>
        <w:pStyle w:val="BodyText"/>
      </w:pPr>
      <w:r>
        <w:t xml:space="preserve">3</w:t>
      </w:r>
    </w:p>
    <w:p>
      <w:pPr>
        <w:pStyle w:val="BodyText"/>
      </w:pPr>
      <w:r>
        <w:t xml:space="preserve">14</w:t>
      </w:r>
    </w:p>
    <w:p>
      <w:pPr>
        <w:pStyle w:val="BodyText"/>
      </w:pPr>
      <w:r>
        <w:t xml:space="preserve">9</w:t>
      </w:r>
    </w:p>
    <w:p>
      <w:pPr>
        <w:pStyle w:val="BodyText"/>
      </w:pPr>
      <w:r>
        <w:t xml:space="preserve">–</w:t>
      </w:r>
    </w:p>
    <w:p>
      <w:pPr>
        <w:pStyle w:val="BodyText"/>
      </w:pPr>
      <w:r>
        <w:t xml:space="preserve">971</w:t>
      </w:r>
    </w:p>
    <w:p>
      <w:pPr>
        <w:pStyle w:val="FirstParagraph"/>
      </w:pPr>
      <w:r>
        <w:t xml:space="preserve">–</w:t>
      </w:r>
    </w:p>
    <w:p>
      <w:pPr>
        <w:pStyle w:val="BodyText"/>
      </w:pPr>
      <w:r>
        <w:t xml:space="preserve">–</w:t>
      </w:r>
    </w:p>
    <w:p>
      <w:pPr>
        <w:pStyle w:val="FirstParagraph"/>
      </w:pPr>
      <w:r>
        <w:t xml:space="preserve">–</w:t>
      </w:r>
    </w:p>
    <w:p>
      <w:pPr>
        <w:pStyle w:val="FirstParagraph"/>
      </w:pPr>
      <w:r>
        <w:t xml:space="preserve">–</w:t>
      </w:r>
    </w:p>
    <w:p>
      <w:pPr>
        <w:pStyle w:val="FirstParagraph"/>
      </w:pPr>
      <w:r>
        <w:rPr>
          <w:rFonts w:hint="eastAsia"/>
        </w:rPr>
        <w:t xml:space="preserve">上表「名義金額」一欄代表衍生工具交易（股票指數期權除外）的支付工具。就為對沖相關股票的下跌風險而以固定波幅策略</w:t>
      </w:r>
    </w:p>
    <w:p>
      <w:pPr>
        <w:pStyle w:val="BodyText"/>
      </w:pPr>
      <w:r>
        <w:rPr>
          <w:rFonts w:hint="eastAsia"/>
        </w:rPr>
        <w:t xml:space="preserve">購買的名義金額相若的若干股票指數認購及認沽期權而言，名義金額指對沖股票的風險。</w:t>
      </w:r>
    </w:p>
    <w:p>
      <w:pPr>
        <w:pStyle w:val="BodyText"/>
      </w:pPr>
      <w:r>
        <w:rPr>
          <w:rFonts w:hint="eastAsia"/>
        </w:rPr>
        <w:t xml:space="preserve">在全部衍生工具當中，有2,500萬美元（2019年：1,200萬美元）於交易所或經紀市場上市，而餘下部分為場外衍生工具。場</w:t>
      </w:r>
    </w:p>
    <w:p>
      <w:pPr>
        <w:pStyle w:val="BodyText"/>
      </w:pPr>
      <w:r>
        <w:rPr>
          <w:rFonts w:hint="eastAsia"/>
        </w:rPr>
        <w:t xml:space="preserve">外衍生工具合約由訂約各方獨立磋商及並非透過交易所結算。場外衍生工具包括遠期、掉期及期權。衍生工具涉及的各種風</w:t>
      </w:r>
    </w:p>
    <w:p>
      <w:pPr>
        <w:pStyle w:val="BodyText"/>
      </w:pPr>
      <w:r>
        <w:rPr>
          <w:rFonts w:hint="eastAsia"/>
        </w:rPr>
        <w:t xml:space="preserve">險包括市場、流動性及信貸風險，與其相關金融工具的風險相若。</w:t>
      </w:r>
    </w:p>
    <w:p>
      <w:pPr>
        <w:pStyle w:val="BodyText"/>
      </w:pPr>
      <w:r>
        <w:t xml:space="preserve">205</w:t>
      </w:r>
    </w:p>
    <w:p>
      <w:pPr>
        <w:pStyle w:val="BodyText"/>
      </w:pPr>
      <w:r>
        <w:rPr>
          <w:rFonts w:hint="eastAsia"/>
        </w:rPr>
        <w:t xml:space="preserve">概覽財務及營運回顧企業管治其他資料財務報表2020年報</w:t>
      </w:r>
    </w:p>
    <w:p>
      <w:pPr>
        <w:pStyle w:val="Compact"/>
        <w:numPr>
          <w:ilvl w:val="0"/>
          <w:numId w:val="1407"/>
        </w:numPr>
      </w:pPr>
      <w:r>
        <w:rPr>
          <w:rFonts w:hint="eastAsia"/>
        </w:rPr>
        <w:t xml:space="preserve">衍生金融工具（續）</w:t>
      </w:r>
    </w:p>
    <w:p>
      <w:pPr>
        <w:pStyle w:val="FirstParagraph"/>
      </w:pPr>
      <w:r>
        <w:rPr>
          <w:rFonts w:hint="eastAsia"/>
        </w:rPr>
        <w:t xml:space="preserve">衍生工具資產及衍生工具負債於合併財務狀況表中分別確認為按公平值計入損益的金融資產及衍生金融負債。本集團訂立衍</w:t>
      </w:r>
    </w:p>
    <w:p>
      <w:pPr>
        <w:pStyle w:val="BodyText"/>
      </w:pPr>
      <w:r>
        <w:rPr>
          <w:rFonts w:hint="eastAsia"/>
        </w:rPr>
        <w:t xml:space="preserve">生工具合約以為金融風險提供經濟對沖。本集團在少數特定情況下採用對沖會計法。與衍生金融工具相關的名義或合約金額</w:t>
      </w:r>
    </w:p>
    <w:p>
      <w:pPr>
        <w:pStyle w:val="BodyText"/>
      </w:pPr>
      <w:r>
        <w:rPr>
          <w:rFonts w:hint="eastAsia"/>
        </w:rPr>
        <w:t xml:space="preserve">並不代表此等交易的公平值，故並未於合併財務狀況表中入賬為資產或負債。上表所示的名義金額反映按總基準計算的個別</w:t>
      </w:r>
    </w:p>
    <w:p>
      <w:pPr>
        <w:pStyle w:val="BodyText"/>
      </w:pPr>
      <w:r>
        <w:rPr>
          <w:rFonts w:hint="eastAsia"/>
        </w:rPr>
        <w:t xml:space="preserve">衍生工具合計持倉，並因此顯示出衍生工具交易的整體規模。</w:t>
      </w:r>
    </w:p>
    <w:p>
      <w:pPr>
        <w:pStyle w:val="BodyText"/>
      </w:pPr>
      <w:r>
        <w:rPr>
          <w:rFonts w:hint="eastAsia"/>
        </w:rPr>
        <w:t xml:space="preserve">外匯合約</w:t>
      </w:r>
    </w:p>
    <w:p>
      <w:pPr>
        <w:pStyle w:val="BodyText"/>
      </w:pPr>
      <w:r>
        <w:rPr>
          <w:rFonts w:hint="eastAsia"/>
        </w:rPr>
        <w:t xml:space="preserve">外匯遠期及期貨合約指按協定價格於結算日期以一個國家的貨幣換取另一個國家的貨幣的協議。貨幣期權指賦予買方權利按</w:t>
      </w:r>
    </w:p>
    <w:p>
      <w:pPr>
        <w:pStyle w:val="BodyText"/>
      </w:pPr>
      <w:r>
        <w:rPr>
          <w:rFonts w:hint="eastAsia"/>
        </w:rPr>
        <w:t xml:space="preserve">協定價格及結算日期將一國的貨幣兌換為另一國的貨幣的協議。貨幣掉期為涉及交換兩種不同貨幣的定期及期終金額的合約</w:t>
      </w:r>
    </w:p>
    <w:p>
      <w:pPr>
        <w:pStyle w:val="BodyText"/>
      </w:pPr>
      <w:r>
        <w:rPr>
          <w:rFonts w:hint="eastAsia"/>
        </w:rPr>
        <w:t xml:space="preserve">協議。外匯合約的損益風險在此等合約各自的年期內會根據到期日、利率及匯率、相關指數的引伸波幅，以及付款時間增加</w:t>
      </w:r>
    </w:p>
    <w:p>
      <w:pPr>
        <w:pStyle w:val="BodyText"/>
      </w:pPr>
      <w:r>
        <w:rPr>
          <w:rFonts w:hint="eastAsia"/>
        </w:rPr>
        <w:t xml:space="preserve">或減少。</w:t>
      </w:r>
    </w:p>
    <w:p>
      <w:pPr>
        <w:pStyle w:val="BodyText"/>
      </w:pPr>
      <w:r>
        <w:rPr>
          <w:rFonts w:hint="eastAsia"/>
        </w:rPr>
        <w:t xml:space="preserve">利率掉期</w:t>
      </w:r>
    </w:p>
    <w:p>
      <w:pPr>
        <w:pStyle w:val="BodyText"/>
      </w:pPr>
      <w:r>
        <w:rPr>
          <w:rFonts w:hint="eastAsia"/>
        </w:rPr>
        <w:t xml:space="preserve">利率掉期指雙方為交換同種貨幣的定期付款（各自按不同利率以特定名義金額計算）而訂立的合約協議。大部分利率掉期涉</w:t>
      </w:r>
    </w:p>
    <w:p>
      <w:pPr>
        <w:pStyle w:val="BodyText"/>
      </w:pPr>
      <w:r>
        <w:rPr>
          <w:rFonts w:hint="eastAsia"/>
        </w:rPr>
        <w:t xml:space="preserve">及按定息及浮息款項差額計算的淨款項交換。</w:t>
      </w:r>
    </w:p>
    <w:p>
      <w:pPr>
        <w:pStyle w:val="BodyText"/>
      </w:pPr>
      <w:r>
        <w:rPr>
          <w:rFonts w:hint="eastAsia"/>
        </w:rPr>
        <w:t xml:space="preserve">其他衍生工具</w:t>
      </w:r>
    </w:p>
    <w:p>
      <w:pPr>
        <w:pStyle w:val="BodyText"/>
      </w:pPr>
      <w:r>
        <w:rPr>
          <w:rFonts w:hint="eastAsia"/>
        </w:rPr>
        <w:t xml:space="preserve">認股權證及認購期權指擁有人有權按協定價格於結算日期購買或出售證券的期權協議。遠期合約為按訂明價格於預先確定的</w:t>
      </w:r>
    </w:p>
    <w:p>
      <w:pPr>
        <w:pStyle w:val="BodyText"/>
      </w:pPr>
      <w:r>
        <w:rPr>
          <w:rFonts w:hint="eastAsia"/>
        </w:rPr>
        <w:t xml:space="preserve">未來日期購買或出售金融工具的合約責任。掉期為本集團與第三方為兌換一系列基於指數、利率或適用於名義金額的其他變</w:t>
      </w:r>
    </w:p>
    <w:p>
      <w:pPr>
        <w:pStyle w:val="BodyText"/>
      </w:pPr>
      <w:r>
        <w:rPr>
          <w:rFonts w:hint="eastAsia"/>
        </w:rPr>
        <w:t xml:space="preserve">量的現金流量而訂立的場外交易合約協議。</w:t>
      </w:r>
    </w:p>
    <w:p>
      <w:pPr>
        <w:pStyle w:val="BodyText"/>
      </w:pPr>
      <w:r>
        <w:rPr>
          <w:rFonts w:hint="eastAsia"/>
        </w:rPr>
        <w:t xml:space="preserve">對銷調整</w:t>
      </w:r>
    </w:p>
    <w:p>
      <w:pPr>
        <w:pStyle w:val="BodyText"/>
      </w:pPr>
      <w:r>
        <w:rPr>
          <w:rFonts w:hint="eastAsia"/>
        </w:rPr>
        <w:t xml:space="preserve">對銷調整是通過結算所訂立的期貨合約的對銷結算安排，而此等結算安排符合國際財務報告準則對銷標準。</w:t>
      </w:r>
    </w:p>
    <w:p>
      <w:pPr>
        <w:pStyle w:val="BodyText"/>
      </w:pPr>
      <w:r>
        <w:rPr>
          <w:rFonts w:hint="eastAsia"/>
        </w:rPr>
        <w:t xml:space="preserve">衍生工具交易下的抵押品</w:t>
      </w:r>
    </w:p>
    <w:p>
      <w:pPr>
        <w:pStyle w:val="BodyText"/>
      </w:pPr>
      <w:r>
        <w:rPr>
          <w:rFonts w:hint="eastAsia"/>
        </w:rPr>
        <w:t xml:space="preserve">於2020年12月31日，本集團就衍生工具交易的負債錄得8,600萬美元的現金抵押品（2019年：3,700萬美元）及抵押賬面值為</w:t>
      </w:r>
    </w:p>
    <w:p>
      <w:pPr>
        <w:pStyle w:val="BodyText"/>
      </w:pPr>
      <w:r>
        <w:rPr>
          <w:rFonts w:hint="eastAsia"/>
        </w:rPr>
        <w:t xml:space="preserve">6.96億美元的債務證券（2019年：2.66億美元），並就衍生工具交易的資產持有5.00億美元的現金抵押品（2019年：5.81億美</w:t>
      </w:r>
    </w:p>
    <w:p>
      <w:pPr>
        <w:pStyle w:val="BodyText"/>
      </w:pPr>
      <w:r>
        <w:rPr>
          <w:rFonts w:hint="eastAsia"/>
        </w:rPr>
        <w:t xml:space="preserve">元）及賬面值為1,700萬美元的債務證券抵押品（2019年：700萬美元）。本集團並未出售或重新質押已收取的抵押品。此等交</w:t>
      </w:r>
    </w:p>
    <w:p>
      <w:pPr>
        <w:pStyle w:val="BodyText"/>
      </w:pPr>
      <w:r>
        <w:rPr>
          <w:rFonts w:hint="eastAsia"/>
        </w:rPr>
        <w:t xml:space="preserve">易乃根據抵押交易（包括（如相關）標準回購協議）一般及慣常採納的條款進行。</w:t>
      </w:r>
    </w:p>
    <w:p>
      <w:pPr>
        <w:pStyle w:val="BodyText"/>
      </w:pPr>
      <w:r>
        <w:t xml:space="preserve">206</w:t>
      </w:r>
    </w:p>
    <w:p>
      <w:pPr>
        <w:pStyle w:val="BodyText"/>
      </w:pPr>
      <w:r>
        <w:rPr>
          <w:rFonts w:hint="eastAsia"/>
        </w:rPr>
        <w:t xml:space="preserve">友邦保險控股有限公司</w:t>
      </w:r>
    </w:p>
    <w:p>
      <w:pPr>
        <w:pStyle w:val="Compact"/>
        <w:numPr>
          <w:ilvl w:val="0"/>
          <w:numId w:val="1408"/>
        </w:numPr>
      </w:pPr>
      <w:r>
        <w:rPr>
          <w:rFonts w:hint="eastAsia"/>
        </w:rPr>
        <w:t xml:space="preserve">公平值計量</w:t>
      </w:r>
    </w:p>
    <w:p>
      <w:pPr>
        <w:pStyle w:val="FirstParagraph"/>
      </w:pPr>
      <w:r>
        <w:rPr>
          <w:rFonts w:hint="eastAsia"/>
        </w:rPr>
        <w:t xml:space="preserve">金融工具的公平值</w:t>
      </w:r>
    </w:p>
    <w:p>
      <w:pPr>
        <w:pStyle w:val="BodyText"/>
      </w:pPr>
      <w:r>
        <w:rPr>
          <w:rFonts w:hint="eastAsia"/>
        </w:rPr>
        <w:t xml:space="preserve">本集團將所有金融資產分類為按公平值計入損益或可供出售（按公平值列賬）或貸款及應收款項（按攤銷成本列賬）。金融負</w:t>
      </w:r>
    </w:p>
    <w:p>
      <w:pPr>
        <w:pStyle w:val="BodyText"/>
      </w:pPr>
      <w:r>
        <w:rPr>
          <w:rFonts w:hint="eastAsia"/>
        </w:rPr>
        <w:t xml:space="preserve">債被分類為按公平值計入損益或按攤銷成本列賬，惟具有酌情分紅特點的投資合約，則根據國際財務報告準則第4號入賬。</w:t>
      </w:r>
    </w:p>
    <w:p>
      <w:pPr>
        <w:pStyle w:val="BodyText"/>
      </w:pPr>
      <w:r>
        <w:rPr>
          <w:rFonts w:hint="eastAsia"/>
        </w:rPr>
        <w:t xml:space="preserve">以下各表呈列本集團的金融資產及金融負債的公平值：</w:t>
      </w:r>
    </w:p>
    <w:p>
      <w:pPr>
        <w:pStyle w:val="BodyText"/>
      </w:pPr>
      <w:r>
        <w:rPr>
          <w:rFonts w:hint="eastAsia"/>
        </w:rPr>
        <w:t xml:space="preserve">百萬美元</w:t>
      </w:r>
    </w:p>
    <w:p>
      <w:pPr>
        <w:pStyle w:val="BodyText"/>
      </w:pPr>
      <w:r>
        <w:rPr>
          <w:rFonts w:hint="eastAsia"/>
        </w:rPr>
        <w:t xml:space="preserve">2020年12月31日</w:t>
      </w:r>
    </w:p>
    <w:p>
      <w:pPr>
        <w:pStyle w:val="BodyText"/>
      </w:pPr>
      <w:r>
        <w:rPr>
          <w:rFonts w:hint="eastAsia"/>
        </w:rPr>
        <w:t xml:space="preserve">金融投資</w:t>
      </w:r>
    </w:p>
    <w:p>
      <w:pPr>
        <w:pStyle w:val="BodyText"/>
      </w:pPr>
      <w:r>
        <w:rPr>
          <w:rFonts w:hint="eastAsia"/>
        </w:rPr>
        <w:t xml:space="preserve">貸款及存款</w:t>
      </w:r>
    </w:p>
    <w:p>
      <w:pPr>
        <w:pStyle w:val="BodyText"/>
      </w:pPr>
      <w:r>
        <w:rPr>
          <w:rFonts w:hint="eastAsia"/>
        </w:rPr>
        <w:t xml:space="preserve">債務證券</w:t>
      </w:r>
    </w:p>
    <w:p>
      <w:pPr>
        <w:pStyle w:val="BodyText"/>
      </w:pPr>
      <w:r>
        <w:rPr>
          <w:rFonts w:hint="eastAsia"/>
        </w:rPr>
        <w:t xml:space="preserve">股本證券</w:t>
      </w:r>
    </w:p>
    <w:p>
      <w:pPr>
        <w:pStyle w:val="BodyText"/>
      </w:pPr>
      <w:r>
        <w:rPr>
          <w:rFonts w:hint="eastAsia"/>
        </w:rPr>
        <w:t xml:space="preserve">衍生金融工具</w:t>
      </w:r>
    </w:p>
    <w:p>
      <w:pPr>
        <w:pStyle w:val="BodyText"/>
      </w:pPr>
      <w:r>
        <w:rPr>
          <w:rFonts w:hint="eastAsia"/>
        </w:rPr>
        <w:t xml:space="preserve">再保險應收款項</w:t>
      </w:r>
    </w:p>
    <w:p>
      <w:pPr>
        <w:pStyle w:val="BodyText"/>
      </w:pPr>
      <w:r>
        <w:rPr>
          <w:rFonts w:hint="eastAsia"/>
        </w:rPr>
        <w:t xml:space="preserve">其他應收款項</w:t>
      </w:r>
    </w:p>
    <w:p>
      <w:pPr>
        <w:pStyle w:val="BodyText"/>
      </w:pPr>
      <w:r>
        <w:rPr>
          <w:rFonts w:hint="eastAsia"/>
        </w:rPr>
        <w:t xml:space="preserve">應計投資收入</w:t>
      </w:r>
    </w:p>
    <w:p>
      <w:pPr>
        <w:pStyle w:val="BodyText"/>
      </w:pPr>
      <w:r>
        <w:rPr>
          <w:rFonts w:hint="eastAsia"/>
        </w:rPr>
        <w:t xml:space="preserve">現金及現金等價物</w:t>
      </w:r>
    </w:p>
    <w:p>
      <w:pPr>
        <w:pStyle w:val="BodyText"/>
      </w:pPr>
      <w:r>
        <w:rPr>
          <w:rFonts w:hint="eastAsia"/>
        </w:rPr>
        <w:t xml:space="preserve">金融資產</w:t>
      </w:r>
    </w:p>
    <w:p>
      <w:pPr>
        <w:pStyle w:val="BodyText"/>
      </w:pPr>
      <w:r>
        <w:rPr>
          <w:rFonts w:hint="eastAsia"/>
        </w:rPr>
        <w:t xml:space="preserve">金融負債</w:t>
      </w:r>
    </w:p>
    <w:p>
      <w:pPr>
        <w:pStyle w:val="BodyText"/>
      </w:pPr>
      <w:r>
        <w:rPr>
          <w:rFonts w:hint="eastAsia"/>
        </w:rPr>
        <w:t xml:space="preserve">投資合約負債</w:t>
      </w:r>
    </w:p>
    <w:p>
      <w:pPr>
        <w:pStyle w:val="BodyText"/>
      </w:pPr>
      <w:r>
        <w:rPr>
          <w:rFonts w:hint="eastAsia"/>
        </w:rPr>
        <w:t xml:space="preserve">借貸</w:t>
      </w:r>
    </w:p>
    <w:p>
      <w:pPr>
        <w:pStyle w:val="BodyText"/>
      </w:pPr>
      <w:r>
        <w:rPr>
          <w:rFonts w:hint="eastAsia"/>
        </w:rPr>
        <w:t xml:space="preserve">回購協議的債項</w:t>
      </w:r>
    </w:p>
    <w:p>
      <w:pPr>
        <w:pStyle w:val="BodyText"/>
      </w:pPr>
      <w:r>
        <w:rPr>
          <w:rFonts w:hint="eastAsia"/>
        </w:rPr>
        <w:t xml:space="preserve">衍生金融工具</w:t>
      </w:r>
    </w:p>
    <w:p>
      <w:pPr>
        <w:pStyle w:val="BodyText"/>
      </w:pPr>
      <w:r>
        <w:rPr>
          <w:rFonts w:hint="eastAsia"/>
        </w:rPr>
        <w:t xml:space="preserve">其他負債</w:t>
      </w:r>
    </w:p>
    <w:p>
      <w:pPr>
        <w:pStyle w:val="BodyText"/>
      </w:pPr>
      <w:r>
        <w:rPr>
          <w:rFonts w:hint="eastAsia"/>
        </w:rPr>
        <w:t xml:space="preserve">金融負債</w:t>
      </w:r>
    </w:p>
    <w:p>
      <w:pPr>
        <w:pStyle w:val="BodyText"/>
      </w:pPr>
      <w:r>
        <w:rPr>
          <w:rFonts w:hint="eastAsia"/>
        </w:rPr>
        <w:t xml:space="preserve">公平值</w:t>
      </w:r>
    </w:p>
    <w:p>
      <w:pPr>
        <w:pStyle w:val="BodyText"/>
      </w:pPr>
      <w:r>
        <w:rPr>
          <w:rFonts w:hint="eastAsia"/>
        </w:rPr>
        <w:t xml:space="preserve">附註</w:t>
      </w:r>
    </w:p>
    <w:p>
      <w:pPr>
        <w:pStyle w:val="BodyText"/>
      </w:pPr>
      <w:r>
        <w:rPr>
          <w:rFonts w:hint="eastAsia"/>
        </w:rPr>
        <w:t xml:space="preserve">按公平值</w:t>
      </w:r>
      <w:r>
        <w:br/>
      </w:r>
      <w:r>
        <w:rPr>
          <w:rFonts w:hint="eastAsia"/>
        </w:rPr>
        <w:t xml:space="preserve">計入損益</w:t>
      </w:r>
    </w:p>
    <w:p>
      <w:pPr>
        <w:pStyle w:val="BodyText"/>
      </w:pPr>
      <w:r>
        <w:rPr>
          <w:rFonts w:hint="eastAsia"/>
        </w:rPr>
        <w:t xml:space="preserve">可供出售</w:t>
      </w:r>
    </w:p>
    <w:p>
      <w:pPr>
        <w:pStyle w:val="BodyText"/>
      </w:pPr>
      <w:r>
        <w:rPr>
          <w:rFonts w:hint="eastAsia"/>
        </w:rPr>
        <w:t xml:space="preserve">成本</w:t>
      </w:r>
      <w:r>
        <w:t xml:space="preserve"> ∕</w:t>
      </w:r>
      <w:r>
        <w:br/>
      </w:r>
      <w:r>
        <w:rPr>
          <w:rFonts w:hint="eastAsia"/>
        </w:rPr>
        <w:t xml:space="preserve">攤銷成本</w:t>
      </w:r>
    </w:p>
    <w:p>
      <w:pPr>
        <w:pStyle w:val="BodyText"/>
      </w:pPr>
      <w:r>
        <w:rPr>
          <w:rFonts w:hint="eastAsia"/>
        </w:rPr>
        <w:t xml:space="preserve">總賬面值</w:t>
      </w:r>
    </w:p>
    <w:p>
      <w:pPr>
        <w:pStyle w:val="BodyText"/>
      </w:pPr>
      <w:r>
        <w:rPr>
          <w:rFonts w:hint="eastAsia"/>
        </w:rPr>
        <w:t xml:space="preserve">總公平值</w:t>
      </w:r>
    </w:p>
    <w:p>
      <w:pPr>
        <w:pStyle w:val="BodyText"/>
      </w:pPr>
      <w:r>
        <w:t xml:space="preserve">21</w:t>
      </w:r>
    </w:p>
    <w:p>
      <w:pPr>
        <w:pStyle w:val="BodyText"/>
      </w:pPr>
      <w:r>
        <w:t xml:space="preserve">22</w:t>
      </w:r>
    </w:p>
    <w:p>
      <w:pPr>
        <w:pStyle w:val="BodyText"/>
      </w:pPr>
      <w:r>
        <w:t xml:space="preserve">19</w:t>
      </w:r>
    </w:p>
    <w:p>
      <w:pPr>
        <w:pStyle w:val="BodyText"/>
      </w:pPr>
      <w:r>
        <w:t xml:space="preserve">24</w:t>
      </w:r>
    </w:p>
    <w:p>
      <w:pPr>
        <w:pStyle w:val="BodyText"/>
      </w:pPr>
      <w:r>
        <w:t xml:space="preserve">24</w:t>
      </w:r>
    </w:p>
    <w:p>
      <w:pPr>
        <w:pStyle w:val="BodyText"/>
      </w:pPr>
      <w:r>
        <w:t xml:space="preserve">26</w:t>
      </w:r>
    </w:p>
    <w:p>
      <w:pPr>
        <w:pStyle w:val="BodyText"/>
      </w:pPr>
      <w:r>
        <w:t xml:space="preserve">–</w:t>
      </w:r>
    </w:p>
    <w:p>
      <w:pPr>
        <w:pStyle w:val="BodyText"/>
      </w:pPr>
      <w:r>
        <w:t xml:space="preserve">–</w:t>
      </w:r>
    </w:p>
    <w:p>
      <w:pPr>
        <w:pStyle w:val="BodyText"/>
      </w:pPr>
      <w:r>
        <w:t xml:space="preserve">9,335</w:t>
      </w:r>
    </w:p>
    <w:p>
      <w:pPr>
        <w:pStyle w:val="BodyText"/>
      </w:pPr>
      <w:r>
        <w:t xml:space="preserve">9,335</w:t>
      </w:r>
    </w:p>
    <w:p>
      <w:pPr>
        <w:pStyle w:val="BodyText"/>
      </w:pPr>
      <w:r>
        <w:t xml:space="preserve">9,333</w:t>
      </w:r>
    </w:p>
    <w:p>
      <w:pPr>
        <w:pStyle w:val="BodyText"/>
      </w:pPr>
      <w:r>
        <w:t xml:space="preserve">36,775</w:t>
      </w:r>
    </w:p>
    <w:p>
      <w:pPr>
        <w:pStyle w:val="BodyText"/>
      </w:pPr>
      <w:r>
        <w:t xml:space="preserve">165,106</w:t>
      </w:r>
    </w:p>
    <w:p>
      <w:pPr>
        <w:pStyle w:val="BodyText"/>
      </w:pPr>
      <w:r>
        <w:t xml:space="preserve">59,182</w:t>
      </w:r>
    </w:p>
    <w:p>
      <w:pPr>
        <w:pStyle w:val="BodyText"/>
      </w:pPr>
      <w:r>
        <w:t xml:space="preserve">1,069</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671</w:t>
      </w:r>
    </w:p>
    <w:p>
      <w:pPr>
        <w:pStyle w:val="BodyText"/>
      </w:pPr>
      <w:r>
        <w:t xml:space="preserve">3,053</w:t>
      </w:r>
    </w:p>
    <w:p>
      <w:pPr>
        <w:pStyle w:val="BodyText"/>
      </w:pPr>
      <w:r>
        <w:t xml:space="preserve">1,822</w:t>
      </w:r>
    </w:p>
    <w:p>
      <w:pPr>
        <w:pStyle w:val="BodyText"/>
      </w:pPr>
      <w:r>
        <w:t xml:space="preserve">5,619</w:t>
      </w:r>
    </w:p>
    <w:p>
      <w:pPr>
        <w:pStyle w:val="BodyText"/>
      </w:pPr>
      <w:r>
        <w:t xml:space="preserve">201,881</w:t>
      </w:r>
    </w:p>
    <w:p>
      <w:pPr>
        <w:pStyle w:val="BodyText"/>
      </w:pPr>
      <w:r>
        <w:t xml:space="preserve">201,881</w:t>
      </w:r>
    </w:p>
    <w:p>
      <w:pPr>
        <w:pStyle w:val="BodyText"/>
      </w:pPr>
      <w:r>
        <w:t xml:space="preserve">59,182</w:t>
      </w:r>
    </w:p>
    <w:p>
      <w:pPr>
        <w:pStyle w:val="BodyText"/>
      </w:pPr>
      <w:r>
        <w:t xml:space="preserve">59,182</w:t>
      </w:r>
    </w:p>
    <w:p>
      <w:pPr>
        <w:pStyle w:val="BodyText"/>
      </w:pPr>
      <w:r>
        <w:t xml:space="preserve">1,069</w:t>
      </w:r>
    </w:p>
    <w:p>
      <w:pPr>
        <w:pStyle w:val="BodyText"/>
      </w:pPr>
      <w:r>
        <w:t xml:space="preserve">671</w:t>
      </w:r>
    </w:p>
    <w:p>
      <w:pPr>
        <w:pStyle w:val="BodyText"/>
      </w:pPr>
      <w:r>
        <w:t xml:space="preserve">3,053</w:t>
      </w:r>
    </w:p>
    <w:p>
      <w:pPr>
        <w:pStyle w:val="BodyText"/>
      </w:pPr>
      <w:r>
        <w:t xml:space="preserve">1,822</w:t>
      </w:r>
    </w:p>
    <w:p>
      <w:pPr>
        <w:pStyle w:val="BodyText"/>
      </w:pPr>
      <w:r>
        <w:t xml:space="preserve">5,619</w:t>
      </w:r>
    </w:p>
    <w:p>
      <w:pPr>
        <w:pStyle w:val="BodyText"/>
      </w:pPr>
      <w:r>
        <w:t xml:space="preserve">1,069</w:t>
      </w:r>
    </w:p>
    <w:p>
      <w:pPr>
        <w:pStyle w:val="BodyText"/>
      </w:pPr>
      <w:r>
        <w:t xml:space="preserve">671</w:t>
      </w:r>
    </w:p>
    <w:p>
      <w:pPr>
        <w:pStyle w:val="BodyText"/>
      </w:pPr>
      <w:r>
        <w:t xml:space="preserve">3,053</w:t>
      </w:r>
    </w:p>
    <w:p>
      <w:pPr>
        <w:pStyle w:val="BodyText"/>
      </w:pPr>
      <w:r>
        <w:t xml:space="preserve">1,822</w:t>
      </w:r>
    </w:p>
    <w:p>
      <w:pPr>
        <w:pStyle w:val="BodyText"/>
      </w:pPr>
      <w:r>
        <w:t xml:space="preserve">5,619</w:t>
      </w:r>
    </w:p>
    <w:p>
      <w:pPr>
        <w:pStyle w:val="BodyText"/>
      </w:pPr>
      <w:r>
        <w:t xml:space="preserve">97,026</w:t>
      </w:r>
    </w:p>
    <w:p>
      <w:pPr>
        <w:pStyle w:val="BodyText"/>
      </w:pPr>
      <w:r>
        <w:t xml:space="preserve">165,106</w:t>
      </w:r>
    </w:p>
    <w:p>
      <w:pPr>
        <w:pStyle w:val="BodyText"/>
      </w:pPr>
      <w:r>
        <w:t xml:space="preserve">20,500</w:t>
      </w:r>
    </w:p>
    <w:p>
      <w:pPr>
        <w:pStyle w:val="BodyText"/>
      </w:pPr>
      <w:r>
        <w:t xml:space="preserve">282,632</w:t>
      </w:r>
    </w:p>
    <w:p>
      <w:pPr>
        <w:pStyle w:val="BodyText"/>
      </w:pPr>
      <w:r>
        <w:t xml:space="preserve">282,630</w:t>
      </w:r>
    </w:p>
    <w:p>
      <w:pPr>
        <w:pStyle w:val="BodyText"/>
      </w:pPr>
      <w:r>
        <w:rPr>
          <w:rFonts w:hint="eastAsia"/>
        </w:rPr>
        <w:t xml:space="preserve">附註</w:t>
      </w:r>
    </w:p>
    <w:p>
      <w:pPr>
        <w:pStyle w:val="BodyText"/>
      </w:pPr>
      <w:r>
        <w:rPr>
          <w:rFonts w:hint="eastAsia"/>
        </w:rPr>
        <w:t xml:space="preserve">按公平值</w:t>
      </w:r>
      <w:r>
        <w:br/>
      </w:r>
      <w:r>
        <w:rPr>
          <w:rFonts w:hint="eastAsia"/>
        </w:rPr>
        <w:t xml:space="preserve">計入損益</w:t>
      </w:r>
    </w:p>
    <w:p>
      <w:pPr>
        <w:pStyle w:val="BodyText"/>
      </w:pPr>
      <w:r>
        <w:rPr>
          <w:rFonts w:hint="eastAsia"/>
        </w:rPr>
        <w:t xml:space="preserve">成本</w:t>
      </w:r>
      <w:r>
        <w:t xml:space="preserve"> ∕</w:t>
      </w:r>
      <w:r>
        <w:br/>
      </w:r>
      <w:r>
        <w:rPr>
          <w:rFonts w:hint="eastAsia"/>
        </w:rPr>
        <w:t xml:space="preserve">攤銷成本</w:t>
      </w:r>
    </w:p>
    <w:p>
      <w:pPr>
        <w:pStyle w:val="BodyText"/>
      </w:pPr>
      <w:r>
        <w:rPr>
          <w:rFonts w:hint="eastAsia"/>
        </w:rPr>
        <w:t xml:space="preserve">總賬面值</w:t>
      </w:r>
    </w:p>
    <w:p>
      <w:pPr>
        <w:pStyle w:val="BodyText"/>
      </w:pPr>
      <w:r>
        <w:rPr>
          <w:rFonts w:hint="eastAsia"/>
        </w:rPr>
        <w:t xml:space="preserve">總公平值</w:t>
      </w:r>
    </w:p>
    <w:p>
      <w:pPr>
        <w:pStyle w:val="BodyText"/>
      </w:pPr>
      <w:r>
        <w:t xml:space="preserve">28</w:t>
      </w:r>
    </w:p>
    <w:p>
      <w:pPr>
        <w:pStyle w:val="BodyText"/>
      </w:pPr>
      <w:r>
        <w:t xml:space="preserve">30</w:t>
      </w:r>
    </w:p>
    <w:p>
      <w:pPr>
        <w:pStyle w:val="BodyText"/>
      </w:pPr>
      <w:r>
        <w:t xml:space="preserve">31</w:t>
      </w:r>
    </w:p>
    <w:p>
      <w:pPr>
        <w:pStyle w:val="BodyText"/>
      </w:pPr>
      <w:r>
        <w:t xml:space="preserve">22</w:t>
      </w:r>
    </w:p>
    <w:p>
      <w:pPr>
        <w:pStyle w:val="BodyText"/>
      </w:pPr>
      <w:r>
        <w:t xml:space="preserve">34</w:t>
      </w:r>
    </w:p>
    <w:p>
      <w:pPr>
        <w:pStyle w:val="BodyText"/>
      </w:pPr>
      <w:r>
        <w:t xml:space="preserve">12,026</w:t>
      </w:r>
    </w:p>
    <w:p>
      <w:pPr>
        <w:pStyle w:val="BodyText"/>
      </w:pPr>
      <w:r>
        <w:t xml:space="preserve">543</w:t>
      </w:r>
    </w:p>
    <w:p>
      <w:pPr>
        <w:pStyle w:val="BodyText"/>
      </w:pPr>
      <w:r>
        <w:t xml:space="preserve">12,569</w:t>
      </w:r>
    </w:p>
    <w:p>
      <w:pPr>
        <w:pStyle w:val="BodyText"/>
      </w:pPr>
      <w:r>
        <w:t xml:space="preserve">12,569</w:t>
      </w:r>
    </w:p>
    <w:p>
      <w:pPr>
        <w:pStyle w:val="BodyText"/>
      </w:pPr>
      <w:r>
        <w:t xml:space="preserve">–</w:t>
      </w:r>
    </w:p>
    <w:p>
      <w:pPr>
        <w:pStyle w:val="BodyText"/>
      </w:pPr>
      <w:r>
        <w:t xml:space="preserve">–</w:t>
      </w:r>
    </w:p>
    <w:p>
      <w:pPr>
        <w:pStyle w:val="BodyText"/>
      </w:pPr>
      <w:r>
        <w:t xml:space="preserve">1,003</w:t>
      </w:r>
    </w:p>
    <w:p>
      <w:pPr>
        <w:pStyle w:val="BodyText"/>
      </w:pPr>
      <w:r>
        <w:t xml:space="preserve">1,025</w:t>
      </w:r>
    </w:p>
    <w:p>
      <w:pPr>
        <w:pStyle w:val="BodyText"/>
      </w:pPr>
      <w:r>
        <w:t xml:space="preserve">8,559</w:t>
      </w:r>
    </w:p>
    <w:p>
      <w:pPr>
        <w:pStyle w:val="BodyText"/>
      </w:pPr>
      <w:r>
        <w:t xml:space="preserve">1,664</w:t>
      </w:r>
    </w:p>
    <w:p>
      <w:pPr>
        <w:pStyle w:val="BodyText"/>
      </w:pPr>
      <w:r>
        <w:t xml:space="preserve">–</w:t>
      </w:r>
    </w:p>
    <w:p>
      <w:pPr>
        <w:pStyle w:val="BodyText"/>
      </w:pPr>
      <w:r>
        <w:t xml:space="preserve">6,772</w:t>
      </w:r>
    </w:p>
    <w:p>
      <w:pPr>
        <w:pStyle w:val="BodyText"/>
      </w:pPr>
      <w:r>
        <w:t xml:space="preserve">8,559</w:t>
      </w:r>
    </w:p>
    <w:p>
      <w:pPr>
        <w:pStyle w:val="BodyText"/>
      </w:pPr>
      <w:r>
        <w:t xml:space="preserve">1,664</w:t>
      </w:r>
    </w:p>
    <w:p>
      <w:pPr>
        <w:pStyle w:val="BodyText"/>
      </w:pPr>
      <w:r>
        <w:t xml:space="preserve">1,003</w:t>
      </w:r>
    </w:p>
    <w:p>
      <w:pPr>
        <w:pStyle w:val="BodyText"/>
      </w:pPr>
      <w:r>
        <w:t xml:space="preserve">7,797</w:t>
      </w:r>
    </w:p>
    <w:p>
      <w:pPr>
        <w:pStyle w:val="BodyText"/>
      </w:pPr>
      <w:r>
        <w:t xml:space="preserve">9,555</w:t>
      </w:r>
    </w:p>
    <w:p>
      <w:pPr>
        <w:pStyle w:val="BodyText"/>
      </w:pPr>
      <w:r>
        <w:t xml:space="preserve">1,664</w:t>
      </w:r>
    </w:p>
    <w:p>
      <w:pPr>
        <w:pStyle w:val="BodyText"/>
      </w:pPr>
      <w:r>
        <w:t xml:space="preserve">1,003</w:t>
      </w:r>
    </w:p>
    <w:p>
      <w:pPr>
        <w:pStyle w:val="BodyText"/>
      </w:pPr>
      <w:r>
        <w:t xml:space="preserve">7,797</w:t>
      </w:r>
    </w:p>
    <w:p>
      <w:pPr>
        <w:pStyle w:val="BodyText"/>
      </w:pPr>
      <w:r>
        <w:t xml:space="preserve">14,054</w:t>
      </w:r>
    </w:p>
    <w:p>
      <w:pPr>
        <w:pStyle w:val="BodyText"/>
      </w:pPr>
      <w:r>
        <w:t xml:space="preserve">17,538</w:t>
      </w:r>
    </w:p>
    <w:p>
      <w:pPr>
        <w:pStyle w:val="BodyText"/>
      </w:pPr>
      <w:r>
        <w:t xml:space="preserve">31,592</w:t>
      </w:r>
    </w:p>
    <w:p>
      <w:pPr>
        <w:pStyle w:val="BodyText"/>
      </w:pPr>
      <w:r>
        <w:t xml:space="preserve">32,588</w:t>
      </w:r>
    </w:p>
    <w:p>
      <w:pPr>
        <w:pStyle w:val="BodyText"/>
      </w:pPr>
      <w:r>
        <w:t xml:space="preserve">207</w:t>
      </w:r>
    </w:p>
    <w:p>
      <w:pPr>
        <w:pStyle w:val="BodyText"/>
      </w:pPr>
      <w:r>
        <w:rPr>
          <w:rFonts w:hint="eastAsia"/>
        </w:rPr>
        <w:t xml:space="preserve">概覽財務及營運回顧企業管治其他資料財務報表2020年報</w:t>
      </w:r>
    </w:p>
    <w:p>
      <w:pPr>
        <w:pStyle w:val="Compact"/>
        <w:numPr>
          <w:ilvl w:val="0"/>
          <w:numId w:val="1409"/>
        </w:numPr>
      </w:pPr>
      <w:r>
        <w:rPr>
          <w:rFonts w:hint="eastAsia"/>
        </w:rPr>
        <w:t xml:space="preserve">公平值計量（續）</w:t>
      </w:r>
    </w:p>
    <w:p>
      <w:pPr>
        <w:pStyle w:val="FirstParagraph"/>
      </w:pPr>
      <w:r>
        <w:rPr>
          <w:rFonts w:hint="eastAsia"/>
        </w:rPr>
        <w:t xml:space="preserve">金融工具的公平值（續）</w:t>
      </w:r>
    </w:p>
    <w:p>
      <w:pPr>
        <w:pStyle w:val="BodyText"/>
      </w:pPr>
      <w:r>
        <w:rPr>
          <w:rFonts w:hint="eastAsia"/>
        </w:rPr>
        <w:t xml:space="preserve">百萬美元</w:t>
      </w:r>
    </w:p>
    <w:p>
      <w:pPr>
        <w:pStyle w:val="BodyText"/>
      </w:pPr>
      <w:r>
        <w:rPr>
          <w:rFonts w:hint="eastAsia"/>
        </w:rPr>
        <w:t xml:space="preserve">2019年12月31日</w:t>
      </w:r>
    </w:p>
    <w:p>
      <w:pPr>
        <w:pStyle w:val="BodyText"/>
      </w:pPr>
      <w:r>
        <w:rPr>
          <w:rFonts w:hint="eastAsia"/>
        </w:rPr>
        <w:t xml:space="preserve">金融投資</w:t>
      </w:r>
    </w:p>
    <w:p>
      <w:pPr>
        <w:pStyle w:val="BodyText"/>
      </w:pPr>
      <w:r>
        <w:rPr>
          <w:rFonts w:hint="eastAsia"/>
        </w:rPr>
        <w:t xml:space="preserve">貸款及存款</w:t>
      </w:r>
    </w:p>
    <w:p>
      <w:pPr>
        <w:pStyle w:val="BodyText"/>
      </w:pPr>
      <w:r>
        <w:rPr>
          <w:rFonts w:hint="eastAsia"/>
        </w:rPr>
        <w:t xml:space="preserve">債務證券</w:t>
      </w:r>
    </w:p>
    <w:p>
      <w:pPr>
        <w:pStyle w:val="BodyText"/>
      </w:pPr>
      <w:r>
        <w:rPr>
          <w:rFonts w:hint="eastAsia"/>
        </w:rPr>
        <w:t xml:space="preserve">股本證券</w:t>
      </w:r>
    </w:p>
    <w:p>
      <w:pPr>
        <w:pStyle w:val="BodyText"/>
      </w:pPr>
      <w:r>
        <w:rPr>
          <w:rFonts w:hint="eastAsia"/>
        </w:rPr>
        <w:t xml:space="preserve">衍生金融工具</w:t>
      </w:r>
    </w:p>
    <w:p>
      <w:pPr>
        <w:pStyle w:val="BodyText"/>
      </w:pPr>
      <w:r>
        <w:rPr>
          <w:rFonts w:hint="eastAsia"/>
        </w:rPr>
        <w:t xml:space="preserve">再保險應收款項</w:t>
      </w:r>
    </w:p>
    <w:p>
      <w:pPr>
        <w:pStyle w:val="BodyText"/>
      </w:pPr>
      <w:r>
        <w:rPr>
          <w:rFonts w:hint="eastAsia"/>
        </w:rPr>
        <w:t xml:space="preserve">其他應收款項</w:t>
      </w:r>
    </w:p>
    <w:p>
      <w:pPr>
        <w:pStyle w:val="BodyText"/>
      </w:pPr>
      <w:r>
        <w:rPr>
          <w:rFonts w:hint="eastAsia"/>
        </w:rPr>
        <w:t xml:space="preserve">應計投資收入</w:t>
      </w:r>
    </w:p>
    <w:p>
      <w:pPr>
        <w:pStyle w:val="BodyText"/>
      </w:pPr>
      <w:r>
        <w:rPr>
          <w:rFonts w:hint="eastAsia"/>
        </w:rPr>
        <w:t xml:space="preserve">現金及現金等價物</w:t>
      </w:r>
    </w:p>
    <w:p>
      <w:pPr>
        <w:pStyle w:val="BodyText"/>
      </w:pPr>
      <w:r>
        <w:rPr>
          <w:rFonts w:hint="eastAsia"/>
        </w:rPr>
        <w:t xml:space="preserve">金融資產</w:t>
      </w:r>
    </w:p>
    <w:p>
      <w:pPr>
        <w:pStyle w:val="BodyText"/>
      </w:pPr>
      <w:r>
        <w:rPr>
          <w:rFonts w:hint="eastAsia"/>
        </w:rPr>
        <w:t xml:space="preserve">金融負債</w:t>
      </w:r>
    </w:p>
    <w:p>
      <w:pPr>
        <w:pStyle w:val="BodyText"/>
      </w:pPr>
      <w:r>
        <w:rPr>
          <w:rFonts w:hint="eastAsia"/>
        </w:rPr>
        <w:t xml:space="preserve">投資合約負債</w:t>
      </w:r>
    </w:p>
    <w:p>
      <w:pPr>
        <w:pStyle w:val="BodyText"/>
      </w:pPr>
      <w:r>
        <w:rPr>
          <w:rFonts w:hint="eastAsia"/>
        </w:rPr>
        <w:t xml:space="preserve">借貸</w:t>
      </w:r>
    </w:p>
    <w:p>
      <w:pPr>
        <w:pStyle w:val="BodyText"/>
      </w:pPr>
      <w:r>
        <w:rPr>
          <w:rFonts w:hint="eastAsia"/>
        </w:rPr>
        <w:t xml:space="preserve">回購協議的債項</w:t>
      </w:r>
    </w:p>
    <w:p>
      <w:pPr>
        <w:pStyle w:val="BodyText"/>
      </w:pPr>
      <w:r>
        <w:rPr>
          <w:rFonts w:hint="eastAsia"/>
        </w:rPr>
        <w:t xml:space="preserve">衍生金融工具</w:t>
      </w:r>
    </w:p>
    <w:p>
      <w:pPr>
        <w:pStyle w:val="BodyText"/>
      </w:pPr>
      <w:r>
        <w:rPr>
          <w:rFonts w:hint="eastAsia"/>
        </w:rPr>
        <w:t xml:space="preserve">其他負債</w:t>
      </w:r>
    </w:p>
    <w:p>
      <w:pPr>
        <w:pStyle w:val="BodyText"/>
      </w:pPr>
      <w:r>
        <w:rPr>
          <w:rFonts w:hint="eastAsia"/>
        </w:rPr>
        <w:t xml:space="preserve">金融負債</w:t>
      </w:r>
    </w:p>
    <w:p>
      <w:pPr>
        <w:pStyle w:val="BodyText"/>
      </w:pPr>
      <w:r>
        <w:rPr>
          <w:rFonts w:hint="eastAsia"/>
        </w:rPr>
        <w:t xml:space="preserve">公平值</w:t>
      </w:r>
    </w:p>
    <w:p>
      <w:pPr>
        <w:pStyle w:val="BodyText"/>
      </w:pPr>
      <w:r>
        <w:rPr>
          <w:rFonts w:hint="eastAsia"/>
        </w:rPr>
        <w:t xml:space="preserve">附註</w:t>
      </w:r>
    </w:p>
    <w:p>
      <w:pPr>
        <w:pStyle w:val="BodyText"/>
      </w:pPr>
      <w:r>
        <w:rPr>
          <w:rFonts w:hint="eastAsia"/>
        </w:rPr>
        <w:t xml:space="preserve">按公平值</w:t>
      </w:r>
      <w:r>
        <w:br/>
      </w:r>
      <w:r>
        <w:rPr>
          <w:rFonts w:hint="eastAsia"/>
        </w:rPr>
        <w:t xml:space="preserve">計入損益</w:t>
      </w:r>
    </w:p>
    <w:p>
      <w:pPr>
        <w:pStyle w:val="BodyText"/>
      </w:pPr>
      <w:r>
        <w:rPr>
          <w:rFonts w:hint="eastAsia"/>
        </w:rPr>
        <w:t xml:space="preserve">可供出售</w:t>
      </w:r>
    </w:p>
    <w:p>
      <w:pPr>
        <w:pStyle w:val="BodyText"/>
      </w:pPr>
      <w:r>
        <w:rPr>
          <w:rFonts w:hint="eastAsia"/>
        </w:rPr>
        <w:t xml:space="preserve">成本</w:t>
      </w:r>
      <w:r>
        <w:t xml:space="preserve"> ∕</w:t>
      </w:r>
      <w:r>
        <w:br/>
      </w:r>
      <w:r>
        <w:rPr>
          <w:rFonts w:hint="eastAsia"/>
        </w:rPr>
        <w:t xml:space="preserve">攤銷成本</w:t>
      </w:r>
    </w:p>
    <w:p>
      <w:pPr>
        <w:pStyle w:val="BodyText"/>
      </w:pPr>
      <w:r>
        <w:rPr>
          <w:rFonts w:hint="eastAsia"/>
        </w:rPr>
        <w:t xml:space="preserve">總賬面值</w:t>
      </w:r>
    </w:p>
    <w:p>
      <w:pPr>
        <w:pStyle w:val="BodyText"/>
      </w:pPr>
      <w:r>
        <w:rPr>
          <w:rFonts w:hint="eastAsia"/>
        </w:rPr>
        <w:t xml:space="preserve">總公平值</w:t>
      </w:r>
    </w:p>
    <w:p>
      <w:pPr>
        <w:pStyle w:val="BodyText"/>
      </w:pPr>
      <w:r>
        <w:t xml:space="preserve">21</w:t>
      </w:r>
    </w:p>
    <w:p>
      <w:pPr>
        <w:pStyle w:val="BodyText"/>
      </w:pPr>
      <w:r>
        <w:t xml:space="preserve">22</w:t>
      </w:r>
    </w:p>
    <w:p>
      <w:pPr>
        <w:pStyle w:val="BodyText"/>
      </w:pPr>
      <w:r>
        <w:t xml:space="preserve">19</w:t>
      </w:r>
    </w:p>
    <w:p>
      <w:pPr>
        <w:pStyle w:val="BodyText"/>
      </w:pPr>
      <w:r>
        <w:t xml:space="preserve">24</w:t>
      </w:r>
    </w:p>
    <w:p>
      <w:pPr>
        <w:pStyle w:val="BodyText"/>
      </w:pPr>
      <w:r>
        <w:t xml:space="preserve">24</w:t>
      </w:r>
    </w:p>
    <w:p>
      <w:pPr>
        <w:pStyle w:val="BodyText"/>
      </w:pPr>
      <w:r>
        <w:t xml:space="preserve">26</w:t>
      </w:r>
    </w:p>
    <w:p>
      <w:pPr>
        <w:pStyle w:val="BodyText"/>
      </w:pPr>
      <w:r>
        <w:t xml:space="preserve">–</w:t>
      </w:r>
    </w:p>
    <w:p>
      <w:pPr>
        <w:pStyle w:val="BodyText"/>
      </w:pPr>
      <w:r>
        <w:t xml:space="preserve">33,132</w:t>
      </w:r>
    </w:p>
    <w:p>
      <w:pPr>
        <w:pStyle w:val="BodyText"/>
      </w:pPr>
      <w:r>
        <w:t xml:space="preserve">50,322</w:t>
      </w:r>
    </w:p>
    <w:p>
      <w:pPr>
        <w:pStyle w:val="BodyText"/>
      </w:pPr>
      <w:r>
        <w:t xml:space="preserve">971</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10,086</w:t>
      </w:r>
    </w:p>
    <w:p>
      <w:pPr>
        <w:pStyle w:val="BodyText"/>
      </w:pPr>
      <w:r>
        <w:t xml:space="preserve">10,086</w:t>
      </w:r>
    </w:p>
    <w:p>
      <w:pPr>
        <w:pStyle w:val="BodyText"/>
      </w:pPr>
      <w:r>
        <w:t xml:space="preserve">10,086</w:t>
      </w:r>
    </w:p>
    <w:p>
      <w:pPr>
        <w:pStyle w:val="BodyText"/>
      </w:pPr>
      <w:r>
        <w:t xml:space="preserve">138,852</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683</w:t>
      </w:r>
    </w:p>
    <w:p>
      <w:pPr>
        <w:pStyle w:val="BodyText"/>
      </w:pPr>
      <w:r>
        <w:t xml:space="preserve">2,983</w:t>
      </w:r>
    </w:p>
    <w:p>
      <w:pPr>
        <w:pStyle w:val="BodyText"/>
      </w:pPr>
      <w:r>
        <w:t xml:space="preserve">1,710</w:t>
      </w:r>
    </w:p>
    <w:p>
      <w:pPr>
        <w:pStyle w:val="BodyText"/>
      </w:pPr>
      <w:r>
        <w:t xml:space="preserve">3,941</w:t>
      </w:r>
    </w:p>
    <w:p>
      <w:pPr>
        <w:pStyle w:val="BodyText"/>
      </w:pPr>
      <w:r>
        <w:t xml:space="preserve">171,984</w:t>
      </w:r>
    </w:p>
    <w:p>
      <w:pPr>
        <w:pStyle w:val="BodyText"/>
      </w:pPr>
      <w:r>
        <w:t xml:space="preserve">171,984</w:t>
      </w:r>
    </w:p>
    <w:p>
      <w:pPr>
        <w:pStyle w:val="BodyText"/>
      </w:pPr>
      <w:r>
        <w:t xml:space="preserve">50,322</w:t>
      </w:r>
    </w:p>
    <w:p>
      <w:pPr>
        <w:pStyle w:val="BodyText"/>
      </w:pPr>
      <w:r>
        <w:t xml:space="preserve">50,322</w:t>
      </w:r>
    </w:p>
    <w:p>
      <w:pPr>
        <w:pStyle w:val="BodyText"/>
      </w:pPr>
      <w:r>
        <w:t xml:space="preserve">971</w:t>
      </w:r>
    </w:p>
    <w:p>
      <w:pPr>
        <w:pStyle w:val="BodyText"/>
      </w:pPr>
      <w:r>
        <w:t xml:space="preserve">683</w:t>
      </w:r>
    </w:p>
    <w:p>
      <w:pPr>
        <w:pStyle w:val="BodyText"/>
      </w:pPr>
      <w:r>
        <w:t xml:space="preserve">2,983</w:t>
      </w:r>
    </w:p>
    <w:p>
      <w:pPr>
        <w:pStyle w:val="BodyText"/>
      </w:pPr>
      <w:r>
        <w:t xml:space="preserve">1,710</w:t>
      </w:r>
    </w:p>
    <w:p>
      <w:pPr>
        <w:pStyle w:val="BodyText"/>
      </w:pPr>
      <w:r>
        <w:t xml:space="preserve">3,941</w:t>
      </w:r>
    </w:p>
    <w:p>
      <w:pPr>
        <w:pStyle w:val="BodyText"/>
      </w:pPr>
      <w:r>
        <w:t xml:space="preserve">971</w:t>
      </w:r>
    </w:p>
    <w:p>
      <w:pPr>
        <w:pStyle w:val="BodyText"/>
      </w:pPr>
      <w:r>
        <w:t xml:space="preserve">683</w:t>
      </w:r>
    </w:p>
    <w:p>
      <w:pPr>
        <w:pStyle w:val="BodyText"/>
      </w:pPr>
      <w:r>
        <w:t xml:space="preserve">2,983</w:t>
      </w:r>
    </w:p>
    <w:p>
      <w:pPr>
        <w:pStyle w:val="BodyText"/>
      </w:pPr>
      <w:r>
        <w:t xml:space="preserve">1,710</w:t>
      </w:r>
    </w:p>
    <w:p>
      <w:pPr>
        <w:pStyle w:val="BodyText"/>
      </w:pPr>
      <w:r>
        <w:t xml:space="preserve">3,941</w:t>
      </w:r>
    </w:p>
    <w:p>
      <w:pPr>
        <w:pStyle w:val="BodyText"/>
      </w:pPr>
      <w:r>
        <w:t xml:space="preserve">84,425</w:t>
      </w:r>
    </w:p>
    <w:p>
      <w:pPr>
        <w:pStyle w:val="BodyText"/>
      </w:pPr>
      <w:r>
        <w:t xml:space="preserve">138,852</w:t>
      </w:r>
    </w:p>
    <w:p>
      <w:pPr>
        <w:pStyle w:val="BodyText"/>
      </w:pPr>
      <w:r>
        <w:t xml:space="preserve">19,403</w:t>
      </w:r>
    </w:p>
    <w:p>
      <w:pPr>
        <w:pStyle w:val="BodyText"/>
      </w:pPr>
      <w:r>
        <w:t xml:space="preserve">242,680</w:t>
      </w:r>
    </w:p>
    <w:p>
      <w:pPr>
        <w:pStyle w:val="BodyText"/>
      </w:pPr>
      <w:r>
        <w:t xml:space="preserve">242,680</w:t>
      </w:r>
    </w:p>
    <w:p>
      <w:pPr>
        <w:pStyle w:val="BodyText"/>
      </w:pPr>
      <w:r>
        <w:rPr>
          <w:rFonts w:hint="eastAsia"/>
        </w:rPr>
        <w:t xml:space="preserve">附註</w:t>
      </w:r>
    </w:p>
    <w:p>
      <w:pPr>
        <w:pStyle w:val="BodyText"/>
      </w:pPr>
      <w:r>
        <w:rPr>
          <w:rFonts w:hint="eastAsia"/>
        </w:rPr>
        <w:t xml:space="preserve">按公平值</w:t>
      </w:r>
      <w:r>
        <w:br/>
      </w:r>
      <w:r>
        <w:rPr>
          <w:rFonts w:hint="eastAsia"/>
        </w:rPr>
        <w:t xml:space="preserve">計入損益</w:t>
      </w:r>
    </w:p>
    <w:p>
      <w:pPr>
        <w:pStyle w:val="BodyText"/>
      </w:pPr>
      <w:r>
        <w:rPr>
          <w:rFonts w:hint="eastAsia"/>
        </w:rPr>
        <w:t xml:space="preserve">成本</w:t>
      </w:r>
      <w:r>
        <w:t xml:space="preserve"> ∕</w:t>
      </w:r>
      <w:r>
        <w:br/>
      </w:r>
      <w:r>
        <w:rPr>
          <w:rFonts w:hint="eastAsia"/>
        </w:rPr>
        <w:t xml:space="preserve">攤銷成本</w:t>
      </w:r>
    </w:p>
    <w:p>
      <w:pPr>
        <w:pStyle w:val="BodyText"/>
      </w:pPr>
      <w:r>
        <w:rPr>
          <w:rFonts w:hint="eastAsia"/>
        </w:rPr>
        <w:t xml:space="preserve">總賬面值</w:t>
      </w:r>
    </w:p>
    <w:p>
      <w:pPr>
        <w:pStyle w:val="BodyText"/>
      </w:pPr>
      <w:r>
        <w:rPr>
          <w:rFonts w:hint="eastAsia"/>
        </w:rPr>
        <w:t xml:space="preserve">總公平值</w:t>
      </w:r>
    </w:p>
    <w:p>
      <w:pPr>
        <w:pStyle w:val="BodyText"/>
      </w:pPr>
      <w:r>
        <w:t xml:space="preserve">28</w:t>
      </w:r>
    </w:p>
    <w:p>
      <w:pPr>
        <w:pStyle w:val="BodyText"/>
      </w:pPr>
      <w:r>
        <w:t xml:space="preserve">30</w:t>
      </w:r>
    </w:p>
    <w:p>
      <w:pPr>
        <w:pStyle w:val="BodyText"/>
      </w:pPr>
      <w:r>
        <w:t xml:space="preserve">31</w:t>
      </w:r>
    </w:p>
    <w:p>
      <w:pPr>
        <w:pStyle w:val="BodyText"/>
      </w:pPr>
      <w:r>
        <w:t xml:space="preserve">22</w:t>
      </w:r>
    </w:p>
    <w:p>
      <w:pPr>
        <w:pStyle w:val="BodyText"/>
      </w:pPr>
      <w:r>
        <w:t xml:space="preserve">34</w:t>
      </w:r>
    </w:p>
    <w:p>
      <w:pPr>
        <w:pStyle w:val="BodyText"/>
      </w:pPr>
      <w:r>
        <w:t xml:space="preserve">11,391</w:t>
      </w:r>
    </w:p>
    <w:p>
      <w:pPr>
        <w:pStyle w:val="BodyText"/>
      </w:pPr>
      <w:r>
        <w:t xml:space="preserve">–</w:t>
      </w:r>
    </w:p>
    <w:p>
      <w:pPr>
        <w:pStyle w:val="BodyText"/>
      </w:pPr>
      <w:r>
        <w:t xml:space="preserve">–</w:t>
      </w:r>
    </w:p>
    <w:p>
      <w:pPr>
        <w:pStyle w:val="BodyText"/>
      </w:pPr>
      <w:r>
        <w:t xml:space="preserve">412</w:t>
      </w:r>
    </w:p>
    <w:p>
      <w:pPr>
        <w:pStyle w:val="BodyText"/>
      </w:pPr>
      <w:r>
        <w:t xml:space="preserve">1,116</w:t>
      </w:r>
    </w:p>
    <w:p>
      <w:pPr>
        <w:pStyle w:val="BodyText"/>
      </w:pPr>
      <w:r>
        <w:t xml:space="preserve">12,919</w:t>
      </w:r>
    </w:p>
    <w:p>
      <w:pPr>
        <w:pStyle w:val="BodyText"/>
      </w:pPr>
      <w:r>
        <w:t xml:space="preserve">515</w:t>
      </w:r>
    </w:p>
    <w:p>
      <w:pPr>
        <w:pStyle w:val="BodyText"/>
      </w:pPr>
      <w:r>
        <w:t xml:space="preserve">5,757</w:t>
      </w:r>
    </w:p>
    <w:p>
      <w:pPr>
        <w:pStyle w:val="BodyText"/>
      </w:pPr>
      <w:r>
        <w:t xml:space="preserve">1,826</w:t>
      </w:r>
    </w:p>
    <w:p>
      <w:pPr>
        <w:pStyle w:val="BodyText"/>
      </w:pPr>
      <w:r>
        <w:t xml:space="preserve">–</w:t>
      </w:r>
    </w:p>
    <w:p>
      <w:pPr>
        <w:pStyle w:val="BodyText"/>
      </w:pPr>
      <w:r>
        <w:t xml:space="preserve">8,301</w:t>
      </w:r>
    </w:p>
    <w:p>
      <w:pPr>
        <w:pStyle w:val="BodyText"/>
      </w:pPr>
      <w:r>
        <w:t xml:space="preserve">16,399</w:t>
      </w:r>
    </w:p>
    <w:p>
      <w:pPr>
        <w:pStyle w:val="BodyText"/>
      </w:pPr>
      <w:r>
        <w:t xml:space="preserve">11,906</w:t>
      </w:r>
    </w:p>
    <w:p>
      <w:pPr>
        <w:pStyle w:val="BodyText"/>
      </w:pPr>
      <w:r>
        <w:t xml:space="preserve">11,906</w:t>
      </w:r>
    </w:p>
    <w:p>
      <w:pPr>
        <w:pStyle w:val="BodyText"/>
      </w:pPr>
      <w:r>
        <w:t xml:space="preserve">5,757</w:t>
      </w:r>
    </w:p>
    <w:p>
      <w:pPr>
        <w:pStyle w:val="BodyText"/>
      </w:pPr>
      <w:r>
        <w:t xml:space="preserve">1,826</w:t>
      </w:r>
    </w:p>
    <w:p>
      <w:pPr>
        <w:pStyle w:val="BodyText"/>
      </w:pPr>
      <w:r>
        <w:t xml:space="preserve">412</w:t>
      </w:r>
    </w:p>
    <w:p>
      <w:pPr>
        <w:pStyle w:val="BodyText"/>
      </w:pPr>
      <w:r>
        <w:t xml:space="preserve">9,417</w:t>
      </w:r>
    </w:p>
    <w:p>
      <w:pPr>
        <w:pStyle w:val="BodyText"/>
      </w:pPr>
      <w:r>
        <w:t xml:space="preserve">6,169</w:t>
      </w:r>
    </w:p>
    <w:p>
      <w:pPr>
        <w:pStyle w:val="BodyText"/>
      </w:pPr>
      <w:r>
        <w:t xml:space="preserve">1,826</w:t>
      </w:r>
    </w:p>
    <w:p>
      <w:pPr>
        <w:pStyle w:val="BodyText"/>
      </w:pPr>
      <w:r>
        <w:t xml:space="preserve">412</w:t>
      </w:r>
    </w:p>
    <w:p>
      <w:pPr>
        <w:pStyle w:val="BodyText"/>
      </w:pPr>
      <w:r>
        <w:t xml:space="preserve">9,417</w:t>
      </w:r>
    </w:p>
    <w:p>
      <w:pPr>
        <w:pStyle w:val="BodyText"/>
      </w:pPr>
      <w:r>
        <w:t xml:space="preserve">29,318</w:t>
      </w:r>
    </w:p>
    <w:p>
      <w:pPr>
        <w:pStyle w:val="BodyText"/>
      </w:pPr>
      <w:r>
        <w:t xml:space="preserve">29,730</w:t>
      </w:r>
    </w:p>
    <w:p>
      <w:pPr>
        <w:pStyle w:val="BodyText"/>
      </w:pPr>
      <w:r>
        <w:rPr>
          <w:rFonts w:hint="eastAsia"/>
        </w:rPr>
        <w:t xml:space="preserve">以上各表載列的資產賬面值代表最高信貸風險。</w:t>
      </w:r>
    </w:p>
    <w:p>
      <w:pPr>
        <w:pStyle w:val="BodyText"/>
      </w:pPr>
      <w:r>
        <w:rPr>
          <w:rFonts w:hint="eastAsia"/>
        </w:rPr>
        <w:t xml:space="preserve">外幣風險（包括外幣衍生工具持倉的淨額）載列於關於本集團主要外匯風險的附註38。</w:t>
      </w:r>
    </w:p>
    <w:p>
      <w:pPr>
        <w:pStyle w:val="BodyText"/>
      </w:pPr>
      <w:r>
        <w:rPr>
          <w:rFonts w:hint="eastAsia"/>
        </w:rPr>
        <w:t xml:space="preserve">按攤銷成本計量的投資合約負債公平值不被視為與攤銷成本賬面值有重大差異。</w:t>
      </w:r>
    </w:p>
    <w:p>
      <w:pPr>
        <w:pStyle w:val="BodyText"/>
      </w:pPr>
      <w:r>
        <w:rPr>
          <w:rFonts w:hint="eastAsia"/>
        </w:rPr>
        <w:t xml:space="preserve">預期於12個月內清償的金融工具賬面值（經估值撥備（倘適用））不被視為與公平值有重大差異。</w:t>
      </w:r>
    </w:p>
    <w:p>
      <w:pPr>
        <w:pStyle w:val="BodyText"/>
      </w:pPr>
      <w:r>
        <w:t xml:space="preserve">208</w:t>
      </w:r>
    </w:p>
    <w:p>
      <w:pPr>
        <w:pStyle w:val="BodyText"/>
      </w:pPr>
      <w:r>
        <w:rPr>
          <w:rFonts w:hint="eastAsia"/>
        </w:rPr>
        <w:t xml:space="preserve">友邦保險控股有限公司</w:t>
      </w:r>
    </w:p>
    <w:p>
      <w:pPr>
        <w:pStyle w:val="Compact"/>
        <w:numPr>
          <w:ilvl w:val="0"/>
          <w:numId w:val="1410"/>
        </w:numPr>
      </w:pPr>
      <w:r>
        <w:rPr>
          <w:rFonts w:hint="eastAsia"/>
        </w:rPr>
        <w:t xml:space="preserve">公平值計量（續）</w:t>
      </w:r>
    </w:p>
    <w:p>
      <w:pPr>
        <w:pStyle w:val="FirstParagraph"/>
      </w:pPr>
      <w:r>
        <w:rPr>
          <w:rFonts w:hint="eastAsia"/>
        </w:rPr>
        <w:t xml:space="preserve">經常進行的公平值計量</w:t>
      </w:r>
    </w:p>
    <w:p>
      <w:pPr>
        <w:pStyle w:val="BodyText"/>
      </w:pPr>
      <w:r>
        <w:rPr>
          <w:rFonts w:hint="eastAsia"/>
        </w:rPr>
        <w:t xml:space="preserve">本集團經常按公平值計量持作自用物業、投資物業、指定按公平值計入損益的金融工具、可供出售證券組合、衍生工具資產</w:t>
      </w:r>
    </w:p>
    <w:p>
      <w:pPr>
        <w:pStyle w:val="BodyText"/>
      </w:pPr>
      <w:r>
        <w:rPr>
          <w:rFonts w:hint="eastAsia"/>
        </w:rPr>
        <w:t xml:space="preserve">及負債、投資基金持有的合併投資、於非合併投資基金的投資及若干投資合約負債。</w:t>
      </w:r>
    </w:p>
    <w:p>
      <w:pPr>
        <w:pStyle w:val="BodyText"/>
      </w:pPr>
      <w:r>
        <w:rPr>
          <w:rFonts w:hint="eastAsia"/>
        </w:rPr>
        <w:t xml:space="preserve">金融工具的公平值為市場參與者於計量日期在有秩序的交易中就銷售資產所收取或轉讓負債所支付的金額。</w:t>
      </w:r>
    </w:p>
    <w:p>
      <w:pPr>
        <w:pStyle w:val="BodyText"/>
      </w:pPr>
      <w:r>
        <w:rPr>
          <w:rFonts w:hint="eastAsia"/>
        </w:rPr>
        <w:t xml:space="preserve">計量金融工具公平值所涉及的判斷程度通常與價格可觀察性有關。於活躍市場獲得報價的金融工具於計量公平值時，一般具</w:t>
      </w:r>
    </w:p>
    <w:p>
      <w:pPr>
        <w:pStyle w:val="BodyText"/>
      </w:pPr>
      <w:r>
        <w:rPr>
          <w:rFonts w:hint="eastAsia"/>
        </w:rPr>
        <w:t xml:space="preserve">有較高的價格可觀察性及較少使用判斷。相反，於不活躍市場買賣或並無報價的金融工具具有較低的可觀察性，需使用估值</w:t>
      </w:r>
    </w:p>
    <w:p>
      <w:pPr>
        <w:pStyle w:val="BodyText"/>
      </w:pPr>
      <w:r>
        <w:rPr>
          <w:rFonts w:hint="eastAsia"/>
        </w:rPr>
        <w:t xml:space="preserve">模型或其他需要更多判斷的定價方法以進行公平值計量。活躍市場指就被估值的資產或負債進行交易的頻率及數量足以持續</w:t>
      </w:r>
    </w:p>
    <w:p>
      <w:pPr>
        <w:pStyle w:val="BodyText"/>
      </w:pPr>
      <w:r>
        <w:rPr>
          <w:rFonts w:hint="eastAsia"/>
        </w:rPr>
        <w:t xml:space="preserve">提供定價資料的市場。</w:t>
      </w:r>
    </w:p>
    <w:p>
      <w:pPr>
        <w:pStyle w:val="BodyText"/>
      </w:pPr>
      <w:r>
        <w:rPr>
          <w:rFonts w:hint="eastAsia"/>
        </w:rPr>
        <w:t xml:space="preserve">不活躍市場為交易數目極少、價格並不及時、不同時間的報價或不同市場莊家提供的報價有重大差別，或極少量被估值的資</w:t>
      </w:r>
    </w:p>
    <w:p>
      <w:pPr>
        <w:pStyle w:val="BodyText"/>
      </w:pPr>
      <w:r>
        <w:rPr>
          <w:rFonts w:hint="eastAsia"/>
        </w:rPr>
        <w:t xml:space="preserve">產或負債的資料獲公開發佈的市場。價格可觀察性受若干因素影響，包括金融工具的種類、金融工具是否市場上的新產品及</w:t>
      </w:r>
    </w:p>
    <w:p>
      <w:pPr>
        <w:pStyle w:val="BodyText"/>
      </w:pPr>
      <w:r>
        <w:rPr>
          <w:rFonts w:hint="eastAsia"/>
        </w:rPr>
        <w:t xml:space="preserve">尚未建立及獨有於一般市況的交易特色。</w:t>
      </w:r>
    </w:p>
    <w:p>
      <w:pPr>
        <w:pStyle w:val="BodyText"/>
      </w:pPr>
      <w:r>
        <w:rPr>
          <w:rFonts w:hint="eastAsia"/>
        </w:rPr>
        <w:t xml:space="preserve">物業的公平值乃根據獨立專業估值師作出的估值計算。</w:t>
      </w:r>
    </w:p>
    <w:p>
      <w:pPr>
        <w:pStyle w:val="BodyText"/>
      </w:pPr>
      <w:r>
        <w:rPr>
          <w:rFonts w:hint="eastAsia"/>
        </w:rPr>
        <w:t xml:space="preserve">截至2020年12月31日止年度，本集團並無非經常性按公平值計量的資產或負債。</w:t>
      </w:r>
    </w:p>
    <w:p>
      <w:pPr>
        <w:pStyle w:val="BodyText"/>
      </w:pPr>
      <w:r>
        <w:rPr>
          <w:rFonts w:hint="eastAsia"/>
        </w:rPr>
        <w:t xml:space="preserve">本集團採用以下方法及假設估計金融工具及物業的公平值。</w:t>
      </w:r>
    </w:p>
    <w:p>
      <w:pPr>
        <w:pStyle w:val="BodyText"/>
      </w:pPr>
      <w:r>
        <w:rPr>
          <w:rFonts w:hint="eastAsia"/>
        </w:rPr>
        <w:t xml:space="preserve">釐定公平值</w:t>
      </w:r>
    </w:p>
    <w:p>
      <w:pPr>
        <w:pStyle w:val="BodyText"/>
      </w:pPr>
      <w:r>
        <w:rPr>
          <w:rFonts w:hint="eastAsia"/>
        </w:rPr>
        <w:t xml:space="preserve">貸款及應收款項</w:t>
      </w:r>
    </w:p>
    <w:p>
      <w:pPr>
        <w:pStyle w:val="BodyText"/>
      </w:pPr>
      <w:r>
        <w:rPr>
          <w:rFonts w:hint="eastAsia"/>
        </w:rPr>
        <w:t xml:space="preserve">就反覆重新定價及無任何重大信貸風險變動的貸款及墊款而言，賬面值被視為合理估計的公平值。其他貸款的公平值透過使</w:t>
      </w:r>
    </w:p>
    <w:p>
      <w:pPr>
        <w:pStyle w:val="BodyText"/>
      </w:pPr>
      <w:r>
        <w:rPr>
          <w:rFonts w:hint="eastAsia"/>
        </w:rPr>
        <w:t xml:space="preserve">用向具相若信貸評級的借貸人提供相若貸款的利率貼現預期未來現金流量而估計。</w:t>
      </w:r>
    </w:p>
    <w:p>
      <w:pPr>
        <w:pStyle w:val="BodyText"/>
      </w:pPr>
      <w:r>
        <w:rPr>
          <w:rFonts w:hint="eastAsia"/>
        </w:rPr>
        <w:t xml:space="preserve">按揭貸款的公平值透過使用向具相若信貸評級的借貸人提供相若貸款的現行利率貼現未來現金流量而估計。定息保單貸款的</w:t>
      </w:r>
    </w:p>
    <w:p>
      <w:pPr>
        <w:pStyle w:val="BodyText"/>
      </w:pPr>
      <w:r>
        <w:rPr>
          <w:rFonts w:hint="eastAsia"/>
        </w:rPr>
        <w:t xml:space="preserve">公平值透過按目前發出的相若保單的保單貸款所收取的利率貼現現金流量而估計。為方便計算，具類似特徵的貸款予以合</w:t>
      </w:r>
    </w:p>
    <w:p>
      <w:pPr>
        <w:pStyle w:val="BodyText"/>
      </w:pPr>
      <w:r>
        <w:rPr>
          <w:rFonts w:hint="eastAsia"/>
        </w:rPr>
        <w:t xml:space="preserve">併。浮息保單貸款的賬面值與其公平值相若。</w:t>
      </w:r>
    </w:p>
    <w:p>
      <w:pPr>
        <w:pStyle w:val="BodyText"/>
      </w:pPr>
      <w:r>
        <w:rPr>
          <w:rFonts w:hint="eastAsia"/>
        </w:rPr>
        <w:t xml:space="preserve">債務證券及股本證券</w:t>
      </w:r>
    </w:p>
    <w:p>
      <w:pPr>
        <w:pStyle w:val="BodyText"/>
      </w:pPr>
      <w:r>
        <w:rPr>
          <w:rFonts w:hint="eastAsia"/>
        </w:rPr>
        <w:t xml:space="preserve">股本證券的公平值乃按市場報價計算，倘未獲報價，則一般按類似證券的報價為基準的估計市值計算。固定收入證券的公平</w:t>
      </w:r>
    </w:p>
    <w:p>
      <w:pPr>
        <w:pStyle w:val="BodyText"/>
      </w:pPr>
      <w:r>
        <w:rPr>
          <w:rFonts w:hint="eastAsia"/>
        </w:rPr>
        <w:t xml:space="preserve">值乃按市場報價（如有）計算。就此等買賣並不活躍的證券而言，公平值乃採用取自經紀、私人定價服務的價值或透過按適</w:t>
      </w:r>
    </w:p>
    <w:p>
      <w:pPr>
        <w:pStyle w:val="BodyText"/>
      </w:pPr>
      <w:r>
        <w:rPr>
          <w:rFonts w:hint="eastAsia"/>
        </w:rPr>
        <w:t xml:space="preserve">用於投資的收益率、信貸質素及到期日的現行市場利率貼現預期未來現金流量而估計。獨立來源（如有）的估值將獲優先考</w:t>
      </w:r>
    </w:p>
    <w:p>
      <w:pPr>
        <w:pStyle w:val="BodyText"/>
      </w:pPr>
      <w:r>
        <w:rPr>
          <w:rFonts w:hint="eastAsia"/>
        </w:rPr>
        <w:t xml:space="preserve">慮，但整體而言，選取定價來源及</w:t>
      </w:r>
      <w:r>
        <w:t xml:space="preserve"> </w:t>
      </w:r>
      <w:r>
        <w:rPr>
          <w:rFonts w:hint="eastAsia"/>
        </w:rPr>
        <w:t xml:space="preserve">∕或估值技術的目標為達致可使市場參與者之間於計量日期發生有序交易的價格。釐定與</w:t>
      </w:r>
    </w:p>
    <w:p>
      <w:pPr>
        <w:pStyle w:val="BodyText"/>
      </w:pPr>
      <w:r>
        <w:rPr>
          <w:rFonts w:hint="eastAsia"/>
        </w:rPr>
        <w:t xml:space="preserve">固定收入證券相關的公平值的因素包括但不限於無風險利率、責任人的信用利差、匯率及信貸違約率。就於對沖基金及有限</w:t>
      </w:r>
    </w:p>
    <w:p>
      <w:pPr>
        <w:pStyle w:val="BodyText"/>
      </w:pPr>
      <w:r>
        <w:rPr>
          <w:rFonts w:hint="eastAsia"/>
        </w:rPr>
        <w:t xml:space="preserve">合夥公司的股權而言，公平值乃按各項投資的一般合夥人或經理提供的資產淨值釐定，而投資的帳戶一般會每年進行審核。</w:t>
      </w:r>
    </w:p>
    <w:p>
      <w:pPr>
        <w:pStyle w:val="BodyText"/>
      </w:pPr>
      <w:r>
        <w:rPr>
          <w:rFonts w:hint="eastAsia"/>
        </w:rPr>
        <w:t xml:space="preserve">交易價格用作購入時最佳估計的公平值。</w:t>
      </w:r>
    </w:p>
    <w:p>
      <w:pPr>
        <w:pStyle w:val="BodyText"/>
      </w:pPr>
      <w:r>
        <w:t xml:space="preserve">209</w:t>
      </w:r>
    </w:p>
    <w:p>
      <w:pPr>
        <w:pStyle w:val="BodyText"/>
      </w:pPr>
      <w:r>
        <w:rPr>
          <w:rFonts w:hint="eastAsia"/>
        </w:rPr>
        <w:t xml:space="preserve">概覽財務及營運回顧企業管治其他資料財務報表2020年報</w:t>
      </w:r>
    </w:p>
    <w:p>
      <w:pPr>
        <w:pStyle w:val="Compact"/>
        <w:numPr>
          <w:ilvl w:val="0"/>
          <w:numId w:val="1411"/>
        </w:numPr>
      </w:pPr>
      <w:r>
        <w:rPr>
          <w:rFonts w:hint="eastAsia"/>
        </w:rPr>
        <w:t xml:space="preserve">公平值計量（續）</w:t>
      </w:r>
    </w:p>
    <w:p>
      <w:pPr>
        <w:pStyle w:val="FirstParagraph"/>
      </w:pPr>
      <w:r>
        <w:rPr>
          <w:rFonts w:hint="eastAsia"/>
        </w:rPr>
        <w:t xml:space="preserve">釐定公平值（續）</w:t>
      </w:r>
    </w:p>
    <w:p>
      <w:pPr>
        <w:pStyle w:val="BodyText"/>
      </w:pPr>
      <w:r>
        <w:rPr>
          <w:rFonts w:hint="eastAsia"/>
        </w:rPr>
        <w:t xml:space="preserve">衍生金融工具</w:t>
      </w:r>
    </w:p>
    <w:p>
      <w:pPr>
        <w:pStyle w:val="BodyText"/>
      </w:pPr>
      <w:r>
        <w:rPr>
          <w:rFonts w:hint="eastAsia"/>
        </w:rPr>
        <w:t xml:space="preserve">本集團在可能情況下採用市場交易及其他市場憑證（包括向估值模型輸入市場資料、對市場結算交易進行模型校準、經紀或</w:t>
      </w:r>
    </w:p>
    <w:p>
      <w:pPr>
        <w:pStyle w:val="BodyText"/>
      </w:pPr>
      <w:r>
        <w:rPr>
          <w:rFonts w:hint="eastAsia"/>
        </w:rPr>
        <w:t xml:space="preserve">交易商報價或其他具合理價格透明度的定價來源）對衍生金融資產及負債進行估值。於採用模型時，特定衍生工具估值模型</w:t>
      </w:r>
    </w:p>
    <w:p>
      <w:pPr>
        <w:pStyle w:val="BodyText"/>
      </w:pPr>
      <w:r>
        <w:rPr>
          <w:rFonts w:hint="eastAsia"/>
        </w:rPr>
        <w:t xml:space="preserve">的選取視乎工具合約條款、工具固有特定風險以及市場是否有定價資料。本集團一般以類似模型為類似工具估值。估值模型</w:t>
      </w:r>
    </w:p>
    <w:p>
      <w:pPr>
        <w:pStyle w:val="BodyText"/>
      </w:pPr>
      <w:r>
        <w:rPr>
          <w:rFonts w:hint="eastAsia"/>
        </w:rPr>
        <w:t xml:space="preserve">需要多個參數，包括合約條款、市場價格及利率、收益率曲線、信貸曲線、波幅計算、預付比率及此等參數的相互關係。至</w:t>
      </w:r>
    </w:p>
    <w:p>
      <w:pPr>
        <w:pStyle w:val="BodyText"/>
      </w:pPr>
      <w:r>
        <w:rPr>
          <w:rFonts w:hint="eastAsia"/>
        </w:rPr>
        <w:t xml:space="preserve">於在流動市場買賣的衍生工具，例如普通遠期、掉期及期權等，模型參數一般均可核實，而模型選擇並不涉及重大管理層判</w:t>
      </w:r>
    </w:p>
    <w:p>
      <w:pPr>
        <w:pStyle w:val="BodyText"/>
      </w:pPr>
      <w:r>
        <w:rPr>
          <w:rFonts w:hint="eastAsia"/>
        </w:rPr>
        <w:t xml:space="preserve">斷。一般可觀察參數的例子包括現貨及遠期匯率、基準利率曲線及慣常買賣期權產品的波幅。不可觀察參數的例子包括非慣</w:t>
      </w:r>
    </w:p>
    <w:p>
      <w:pPr>
        <w:pStyle w:val="BodyText"/>
      </w:pPr>
      <w:r>
        <w:rPr>
          <w:rFonts w:hint="eastAsia"/>
        </w:rPr>
        <w:t xml:space="preserve">常買賣的期權產品的波幅及各種市場因素之間的相互關係。</w:t>
      </w:r>
    </w:p>
    <w:p>
      <w:pPr>
        <w:pStyle w:val="BodyText"/>
      </w:pPr>
      <w:r>
        <w:rPr>
          <w:rFonts w:hint="eastAsia"/>
        </w:rPr>
        <w:t xml:space="preserve">當本集團持有與特定交易對手訂立的一組衍生工具資產及衍生工具負債時，會考慮於違約情況時可降低信貸風險的有關安排</w:t>
      </w:r>
    </w:p>
    <w:p>
      <w:pPr>
        <w:pStyle w:val="BodyText"/>
      </w:pPr>
      <w:r>
        <w:rPr>
          <w:rFonts w:hint="eastAsia"/>
        </w:rPr>
        <w:t xml:space="preserve">（例如國際掉期及衍生工具協會主協議（International</w:t>
      </w:r>
      <w:r>
        <w:t xml:space="preserve"> Swap and Derivatives Association (ISDA) Master </w:t>
      </w:r>
      <w:r>
        <w:rPr>
          <w:rFonts w:hint="eastAsia"/>
        </w:rPr>
        <w:t xml:space="preserve">Agreements）及信用</w:t>
      </w:r>
    </w:p>
    <w:p>
      <w:pPr>
        <w:pStyle w:val="BodyText"/>
      </w:pPr>
      <w:r>
        <w:rPr>
          <w:rFonts w:hint="eastAsia"/>
        </w:rPr>
        <w:t xml:space="preserve">擔保附件（Credit</w:t>
      </w:r>
      <w:r>
        <w:t xml:space="preserve"> Support Annex </w:t>
      </w:r>
      <w:r>
        <w:rPr>
          <w:rFonts w:hint="eastAsia"/>
        </w:rPr>
        <w:t xml:space="preserve">(CSA)）規定抵押品交易須根據各方所承擔信貸風險淨額進行）。本集團根據其所承擔的交易</w:t>
      </w:r>
    </w:p>
    <w:p>
      <w:pPr>
        <w:pStyle w:val="BodyText"/>
      </w:pPr>
      <w:r>
        <w:rPr>
          <w:rFonts w:hint="eastAsia"/>
        </w:rPr>
        <w:t xml:space="preserve">對手信貸風險淨額或交易對手對本集團所承擔的信貸風險淨額計量此組金融資產及金融負債的公平值，有關信貸風險淨額反</w:t>
      </w:r>
    </w:p>
    <w:p>
      <w:pPr>
        <w:pStyle w:val="BodyText"/>
      </w:pPr>
      <w:r>
        <w:rPr>
          <w:rFonts w:hint="eastAsia"/>
        </w:rPr>
        <w:t xml:space="preserve">映了市場參與者預期於違約情況下有關安排可依法強制執行的可能性。</w:t>
      </w:r>
    </w:p>
    <w:p>
      <w:pPr>
        <w:pStyle w:val="BodyText"/>
      </w:pPr>
      <w:r>
        <w:rPr>
          <w:rFonts w:hint="eastAsia"/>
        </w:rPr>
        <w:t xml:space="preserve">持作自用物業及投資物業</w:t>
      </w:r>
    </w:p>
    <w:p>
      <w:pPr>
        <w:pStyle w:val="BodyText"/>
      </w:pPr>
      <w:r>
        <w:rPr>
          <w:rFonts w:hint="eastAsia"/>
        </w:rPr>
        <w:t xml:space="preserve">本集團至少每年委聘外部的獨立合資格估值師釐定物業公平值。該獨立專業估值師按公開市值的估值基準，參考租約屆滿時</w:t>
      </w:r>
    </w:p>
    <w:p>
      <w:pPr>
        <w:pStyle w:val="BodyText"/>
      </w:pPr>
      <w:r>
        <w:rPr>
          <w:rFonts w:hint="eastAsia"/>
        </w:rPr>
        <w:t xml:space="preserve">可能增加的租金收入淨額對若干投資物業進行估值。若干其他物業的公平值乃使用市場數據法計量。就此方法而言，估值乃</w:t>
      </w:r>
    </w:p>
    <w:p>
      <w:pPr>
        <w:pStyle w:val="BodyText"/>
      </w:pPr>
      <w:r>
        <w:rPr>
          <w:rFonts w:hint="eastAsia"/>
        </w:rPr>
        <w:t xml:space="preserve">基於鄰近登記的可比較物業的銷售及上市情況進行。若干其他物業使用該等兩種方法組合進行估值。</w:t>
      </w:r>
    </w:p>
    <w:p>
      <w:pPr>
        <w:pStyle w:val="BodyText"/>
      </w:pPr>
      <w:r>
        <w:rPr>
          <w:rFonts w:hint="eastAsia"/>
        </w:rPr>
        <w:t xml:space="preserve">持作自用物業及投資物業在大多數情況下乃按最高效及最佳使用物業的基準估值，此使用為實際上可能、法律上允許及經濟</w:t>
      </w:r>
    </w:p>
    <w:p>
      <w:pPr>
        <w:pStyle w:val="BodyText"/>
      </w:pPr>
      <w:r>
        <w:rPr>
          <w:rFonts w:hint="eastAsia"/>
        </w:rPr>
        <w:t xml:space="preserve">上可行。物業的現行用途被視為得到最高效及最佳使用；分析類似物業的近期出售及放盤紀錄並比較規模、位置、質量及預</w:t>
      </w:r>
    </w:p>
    <w:p>
      <w:pPr>
        <w:pStyle w:val="BodyText"/>
      </w:pPr>
      <w:r>
        <w:rPr>
          <w:rFonts w:hint="eastAsia"/>
        </w:rPr>
        <w:t xml:space="preserve">期用途等因素。在少數情況下，會考慮使用物業的重新發展潛力（均可最大限度地增加物業的公平值），本集團現正佔用該</w:t>
      </w:r>
    </w:p>
    <w:p>
      <w:pPr>
        <w:pStyle w:val="BodyText"/>
      </w:pPr>
      <w:r>
        <w:rPr>
          <w:rFonts w:hint="eastAsia"/>
        </w:rPr>
        <w:t xml:space="preserve">等物業作營運用途。</w:t>
      </w:r>
    </w:p>
    <w:p>
      <w:pPr>
        <w:pStyle w:val="BodyText"/>
      </w:pPr>
      <w:r>
        <w:rPr>
          <w:rFonts w:hint="eastAsia"/>
        </w:rPr>
        <w:t xml:space="preserve">現金及現金等價物</w:t>
      </w:r>
    </w:p>
    <w:p>
      <w:pPr>
        <w:pStyle w:val="BodyText"/>
      </w:pPr>
      <w:r>
        <w:rPr>
          <w:rFonts w:hint="eastAsia"/>
        </w:rPr>
        <w:t xml:space="preserve">現金的賬面值與其公平值相若。</w:t>
      </w:r>
    </w:p>
    <w:p>
      <w:pPr>
        <w:pStyle w:val="BodyText"/>
      </w:pPr>
      <w:r>
        <w:rPr>
          <w:rFonts w:hint="eastAsia"/>
        </w:rPr>
        <w:t xml:space="preserve">再保險應收款項</w:t>
      </w:r>
    </w:p>
    <w:p>
      <w:pPr>
        <w:pStyle w:val="BodyText"/>
      </w:pPr>
      <w:r>
        <w:rPr>
          <w:rFonts w:hint="eastAsia"/>
        </w:rPr>
        <w:t xml:space="preserve">可從再保險公司應收款項的賬面值不視為與其公平值有重大差異。</w:t>
      </w:r>
    </w:p>
    <w:p>
      <w:pPr>
        <w:pStyle w:val="BodyText"/>
      </w:pPr>
      <w:r>
        <w:rPr>
          <w:rFonts w:hint="eastAsia"/>
        </w:rPr>
        <w:t xml:space="preserve">根據回購協議所出售證券的相關應付款項的公平值</w:t>
      </w:r>
    </w:p>
    <w:p>
      <w:pPr>
        <w:pStyle w:val="BodyText"/>
      </w:pPr>
      <w:r>
        <w:rPr>
          <w:rFonts w:hint="eastAsia"/>
        </w:rPr>
        <w:t xml:space="preserve">回購協議的相關應付款項的合約價值與其公平值相若，此乃由於此等債務屬短期性質。</w:t>
      </w:r>
    </w:p>
    <w:p>
      <w:pPr>
        <w:pStyle w:val="BodyText"/>
      </w:pPr>
      <w:r>
        <w:rPr>
          <w:rFonts w:hint="eastAsia"/>
        </w:rPr>
        <w:t xml:space="preserve">其他資產</w:t>
      </w:r>
    </w:p>
    <w:p>
      <w:pPr>
        <w:pStyle w:val="BodyText"/>
      </w:pPr>
      <w:r>
        <w:rPr>
          <w:rFonts w:hint="eastAsia"/>
        </w:rPr>
        <w:t xml:space="preserve">其他金融資產的賬面值與其公平值並無重大差異。銀行存款的公平值一般按市場報價計算，倘未獲報價，則採用具類似特徵</w:t>
      </w:r>
    </w:p>
    <w:p>
      <w:pPr>
        <w:pStyle w:val="BodyText"/>
      </w:pPr>
      <w:r>
        <w:rPr>
          <w:rFonts w:hint="eastAsia"/>
        </w:rPr>
        <w:t xml:space="preserve">應收款項的可獲得市場利率貼現未來現金流量作出的估計計算。</w:t>
      </w:r>
    </w:p>
    <w:p>
      <w:pPr>
        <w:pStyle w:val="BodyText"/>
      </w:pPr>
      <w:r>
        <w:t xml:space="preserve">210</w:t>
      </w:r>
    </w:p>
    <w:p>
      <w:pPr>
        <w:pStyle w:val="BodyText"/>
      </w:pPr>
      <w:r>
        <w:rPr>
          <w:rFonts w:hint="eastAsia"/>
        </w:rPr>
        <w:t xml:space="preserve">友邦保險控股有限公司</w:t>
      </w:r>
    </w:p>
    <w:p>
      <w:pPr>
        <w:pStyle w:val="Compact"/>
        <w:numPr>
          <w:ilvl w:val="0"/>
          <w:numId w:val="1412"/>
        </w:numPr>
      </w:pPr>
      <w:r>
        <w:rPr>
          <w:rFonts w:hint="eastAsia"/>
        </w:rPr>
        <w:t xml:space="preserve">公平值計量（續）</w:t>
      </w:r>
    </w:p>
    <w:p>
      <w:pPr>
        <w:pStyle w:val="FirstParagraph"/>
      </w:pPr>
      <w:r>
        <w:rPr>
          <w:rFonts w:hint="eastAsia"/>
        </w:rPr>
        <w:t xml:space="preserve">釐定公平值（續）</w:t>
      </w:r>
    </w:p>
    <w:p>
      <w:pPr>
        <w:pStyle w:val="BodyText"/>
      </w:pPr>
      <w:r>
        <w:rPr>
          <w:rFonts w:hint="eastAsia"/>
        </w:rPr>
        <w:t xml:space="preserve">投資合約負債</w:t>
      </w:r>
    </w:p>
    <w:p>
      <w:pPr>
        <w:pStyle w:val="BodyText"/>
      </w:pPr>
      <w:r>
        <w:rPr>
          <w:rFonts w:hint="eastAsia"/>
        </w:rPr>
        <w:t xml:space="preserve">就投資合約負債而言，公平值乃按目前提供予到期日與被估值合約餘下的到期日相同的類似合約的利率採用貼現現金流量估</w:t>
      </w:r>
    </w:p>
    <w:p>
      <w:pPr>
        <w:pStyle w:val="BodyText"/>
      </w:pPr>
      <w:r>
        <w:rPr>
          <w:rFonts w:hint="eastAsia"/>
        </w:rPr>
        <w:t xml:space="preserve">算。就由保單持有人承擔投資風險的投資合約而言，公平值一般與相關資產的公平值相若。</w:t>
      </w:r>
    </w:p>
    <w:p>
      <w:pPr>
        <w:pStyle w:val="BodyText"/>
      </w:pPr>
      <w:r>
        <w:rPr>
          <w:rFonts w:hint="eastAsia"/>
        </w:rPr>
        <w:t xml:space="preserve">具酌情分紅特點的投資合約令合約持有人能夠獲取額外給付，作為保證給付的附加利益。此等合約稱為分紅業務，乃根據本</w:t>
      </w:r>
    </w:p>
    <w:p>
      <w:pPr>
        <w:pStyle w:val="BodyText"/>
      </w:pPr>
      <w:r>
        <w:rPr>
          <w:rFonts w:hint="eastAsia"/>
        </w:rPr>
        <w:t xml:space="preserve">集團的保險合約負債常規計量及分類，並於附註27內披露。此等合約不會按公平值計量。</w:t>
      </w:r>
    </w:p>
    <w:p>
      <w:pPr>
        <w:pStyle w:val="BodyText"/>
      </w:pPr>
      <w:r>
        <w:rPr>
          <w:rFonts w:hint="eastAsia"/>
        </w:rPr>
        <w:t xml:space="preserve">借貸</w:t>
      </w:r>
    </w:p>
    <w:p>
      <w:pPr>
        <w:pStyle w:val="BodyText"/>
      </w:pPr>
      <w:r>
        <w:rPr>
          <w:rFonts w:hint="eastAsia"/>
        </w:rPr>
        <w:t xml:space="preserve">具指定到期日的借貸公平值乃透過採用目前適用於到期日相近的存款的利率貼現未來現金流量或自經紀獲得的價格估計。</w:t>
      </w:r>
    </w:p>
    <w:p>
      <w:pPr>
        <w:pStyle w:val="BodyText"/>
      </w:pPr>
      <w:r>
        <w:rPr>
          <w:rFonts w:hint="eastAsia"/>
        </w:rPr>
        <w:t xml:space="preserve">其他負債</w:t>
      </w:r>
    </w:p>
    <w:p>
      <w:pPr>
        <w:pStyle w:val="BodyText"/>
      </w:pPr>
      <w:r>
        <w:rPr>
          <w:rFonts w:hint="eastAsia"/>
        </w:rPr>
        <w:t xml:space="preserve">其他未獲報價的金融負債公平值乃採用適用於其收益率、信貸質素及到期日的現行市場利率貼現預期未來現金流量估計，惟</w:t>
      </w:r>
    </w:p>
    <w:p>
      <w:pPr>
        <w:pStyle w:val="BodyText"/>
      </w:pPr>
      <w:r>
        <w:rPr>
          <w:rFonts w:hint="eastAsia"/>
        </w:rPr>
        <w:t xml:space="preserve">並無指定到期日的負債除外。此等負債的賬面值與其公平值相若。</w:t>
      </w:r>
    </w:p>
    <w:p>
      <w:pPr>
        <w:pStyle w:val="BodyText"/>
      </w:pPr>
      <w:r>
        <w:rPr>
          <w:rFonts w:hint="eastAsia"/>
        </w:rPr>
        <w:t xml:space="preserve">經常性按公平值計量的公平值等級</w:t>
      </w:r>
    </w:p>
    <w:p>
      <w:pPr>
        <w:pStyle w:val="BodyText"/>
      </w:pPr>
      <w:r>
        <w:rPr>
          <w:rFonts w:hint="eastAsia"/>
        </w:rPr>
        <w:t xml:space="preserve">按公平值於合併財務狀況表入賬的資產及負債按等級計量及分類，以作披露用途，此等級包括根據可於市場獲得用作計量公</w:t>
      </w:r>
    </w:p>
    <w:p>
      <w:pPr>
        <w:pStyle w:val="BodyText"/>
      </w:pPr>
      <w:r>
        <w:rPr>
          <w:rFonts w:hint="eastAsia"/>
        </w:rPr>
        <w:t xml:space="preserve">平值的參數的可觀察性而劃分的三個「級別」，該三個級別論述如下：</w:t>
      </w:r>
    </w:p>
    <w:p>
      <w:pPr>
        <w:pStyle w:val="BodyText"/>
      </w:pPr>
      <w:r>
        <w:t xml:space="preserve">• </w:t>
      </w:r>
      <w:r>
        <w:rPr>
          <w:rFonts w:hint="eastAsia"/>
        </w:rPr>
        <w:t xml:space="preserve">第一級別：公平值計量為本集團截至計量日期有能力取得的相同資產或負債的活躍市場報價（未經調整）。市價數據一般</w:t>
      </w:r>
    </w:p>
    <w:p>
      <w:pPr>
        <w:pStyle w:val="BodyText"/>
      </w:pPr>
      <w:r>
        <w:rPr>
          <w:rFonts w:hint="eastAsia"/>
        </w:rPr>
        <w:t xml:space="preserve">來自交易所或經紀市場。本集團並無就此等工具調整報價。經常按公平值計量及分類為第一級別的資產為交投活躍的股</w:t>
      </w:r>
    </w:p>
    <w:p>
      <w:pPr>
        <w:pStyle w:val="BodyText"/>
      </w:pPr>
      <w:r>
        <w:rPr>
          <w:rFonts w:hint="eastAsia"/>
        </w:rPr>
        <w:t xml:space="preserve">份。本集團視七大工業國國家（美國、加拿大、法國、德國、意大利、日本、英國）發行及於經紀市場買賣的政府債務證</w:t>
      </w:r>
    </w:p>
    <w:p>
      <w:pPr>
        <w:pStyle w:val="BodyText"/>
      </w:pPr>
      <w:r>
        <w:rPr>
          <w:rFonts w:hint="eastAsia"/>
        </w:rPr>
        <w:t xml:space="preserve">券為第一級別，直至其交易頻率及數量不再足以被視為交投活躍為止。</w:t>
      </w:r>
    </w:p>
    <w:p>
      <w:pPr>
        <w:pStyle w:val="BodyText"/>
      </w:pPr>
      <w:r>
        <w:t xml:space="preserve">• </w:t>
      </w:r>
      <w:r>
        <w:rPr>
          <w:rFonts w:hint="eastAsia"/>
        </w:rPr>
        <w:t xml:space="preserve">第二級別：公平值計量根據就資產或負債而言包含於第一級別的直接（作為價格）或間接（來自價格）可觀察報價以外的</w:t>
      </w:r>
    </w:p>
    <w:p>
      <w:pPr>
        <w:pStyle w:val="BodyText"/>
      </w:pPr>
      <w:r>
        <w:rPr>
          <w:rFonts w:hint="eastAsia"/>
        </w:rPr>
        <w:t xml:space="preserve">參數進行。第二級別參數包括有關類似資產及負債的活躍市場報價、有關相同或類似資產或負債在不活躍市場的報價及</w:t>
      </w:r>
    </w:p>
    <w:p>
      <w:pPr>
        <w:pStyle w:val="BodyText"/>
      </w:pPr>
      <w:r>
        <w:rPr>
          <w:rFonts w:hint="eastAsia"/>
        </w:rPr>
        <w:t xml:space="preserve">除報價外有關資產及負債的可觀察參數，例如可於常見報價區間觀察得到的利率及收益率曲線。經常按公平值計量及分</w:t>
      </w:r>
    </w:p>
    <w:p>
      <w:pPr>
        <w:pStyle w:val="BodyText"/>
      </w:pPr>
      <w:r>
        <w:rPr>
          <w:rFonts w:hint="eastAsia"/>
        </w:rPr>
        <w:t xml:space="preserve">類為第二級別的資產及負債一般包括非七大工業國國家發行的政府證券、大部分投資級別公司債券、對沖基金投資及衍</w:t>
      </w:r>
    </w:p>
    <w:p>
      <w:pPr>
        <w:pStyle w:val="BodyText"/>
      </w:pPr>
      <w:r>
        <w:rPr>
          <w:rFonts w:hint="eastAsia"/>
        </w:rPr>
        <w:t xml:space="preserve">生工具合約。</w:t>
      </w:r>
    </w:p>
    <w:p>
      <w:pPr>
        <w:pStyle w:val="BodyText"/>
      </w:pPr>
      <w:r>
        <w:t xml:space="preserve">• </w:t>
      </w:r>
      <w:r>
        <w:rPr>
          <w:rFonts w:hint="eastAsia"/>
        </w:rPr>
        <w:t xml:space="preserve">第三級別：公平值計量以採用不可觀察的重大參數的估值方法進行。不可觀察參數僅用作在未能取得相關可觀察參數的</w:t>
      </w:r>
    </w:p>
    <w:p>
      <w:pPr>
        <w:pStyle w:val="BodyText"/>
      </w:pPr>
      <w:r>
        <w:rPr>
          <w:rFonts w:hint="eastAsia"/>
        </w:rPr>
        <w:t xml:space="preserve">情況下計量公平值，包括只有極少量（如有）資產或負債的市場活動的情況。經常按公平值計量及分類為第三級別的資產</w:t>
      </w:r>
    </w:p>
    <w:p>
      <w:pPr>
        <w:pStyle w:val="BodyText"/>
      </w:pPr>
      <w:r>
        <w:rPr>
          <w:rFonts w:hint="eastAsia"/>
        </w:rPr>
        <w:t xml:space="preserve">及負債包括持作自用物業、投資物業、若干類別的結構性證券、若干衍生工具合約、私人股本及房地產基金投資以及直</w:t>
      </w:r>
    </w:p>
    <w:p>
      <w:pPr>
        <w:pStyle w:val="BodyText"/>
      </w:pPr>
      <w:r>
        <w:rPr>
          <w:rFonts w:hint="eastAsia"/>
        </w:rPr>
        <w:t xml:space="preserve">接私人股本投資。</w:t>
      </w:r>
    </w:p>
    <w:p>
      <w:pPr>
        <w:pStyle w:val="BodyText"/>
      </w:pPr>
      <w:r>
        <w:rPr>
          <w:rFonts w:hint="eastAsia"/>
        </w:rPr>
        <w:t xml:space="preserve">在若干情況下，用作計量公平值的參數可能屬於不同的公平值等級級別。在此等情況下，全部公平值計量所屬的公平值等級</w:t>
      </w:r>
    </w:p>
    <w:p>
      <w:pPr>
        <w:pStyle w:val="BodyText"/>
      </w:pPr>
      <w:r>
        <w:rPr>
          <w:rFonts w:hint="eastAsia"/>
        </w:rPr>
        <w:t xml:space="preserve">級別乃根據對全部公平值計量而言屬重大的最低級別參數釐定。本集團於評估全部公平值計量的特定參數的重要性時需作出</w:t>
      </w:r>
    </w:p>
    <w:p>
      <w:pPr>
        <w:pStyle w:val="BodyText"/>
      </w:pPr>
      <w:r>
        <w:rPr>
          <w:rFonts w:hint="eastAsia"/>
        </w:rPr>
        <w:t xml:space="preserve">判斷。於評估時，本集團會考慮該等資產或負債獨有的因素。</w:t>
      </w:r>
    </w:p>
    <w:p>
      <w:pPr>
        <w:pStyle w:val="BodyText"/>
      </w:pPr>
      <w:r>
        <w:t xml:space="preserve">211</w:t>
      </w:r>
    </w:p>
    <w:p>
      <w:pPr>
        <w:pStyle w:val="BodyText"/>
      </w:pPr>
      <w:r>
        <w:rPr>
          <w:rFonts w:hint="eastAsia"/>
        </w:rPr>
        <w:t xml:space="preserve">概覽財務及營運回顧企業管治其他資料財務報表2020年報</w:t>
      </w:r>
    </w:p>
    <w:p>
      <w:pPr>
        <w:pStyle w:val="Compact"/>
        <w:numPr>
          <w:ilvl w:val="0"/>
          <w:numId w:val="1413"/>
        </w:numPr>
      </w:pPr>
      <w:r>
        <w:rPr>
          <w:rFonts w:hint="eastAsia"/>
        </w:rPr>
        <w:t xml:space="preserve">公平值計量（續）</w:t>
      </w:r>
    </w:p>
    <w:p>
      <w:pPr>
        <w:pStyle w:val="FirstParagraph"/>
      </w:pPr>
      <w:r>
        <w:rPr>
          <w:rFonts w:hint="eastAsia"/>
        </w:rPr>
        <w:t xml:space="preserve">經常性按公平值計量的公平值等級（續）</w:t>
      </w:r>
    </w:p>
    <w:p>
      <w:pPr>
        <w:pStyle w:val="BodyText"/>
      </w:pPr>
      <w:r>
        <w:rPr>
          <w:rFonts w:hint="eastAsia"/>
        </w:rPr>
        <w:t xml:space="preserve">根據公平值等級經常性按公平值列賬的資產及負債概要載列如下：</w:t>
      </w:r>
    </w:p>
    <w:p>
      <w:pPr>
        <w:pStyle w:val="BodyText"/>
      </w:pPr>
      <w:r>
        <w:rPr>
          <w:rFonts w:hint="eastAsia"/>
        </w:rPr>
        <w:t xml:space="preserve">百萬美元</w:t>
      </w:r>
    </w:p>
    <w:p>
      <w:pPr>
        <w:pStyle w:val="BodyText"/>
      </w:pPr>
      <w:r>
        <w:rPr>
          <w:rFonts w:hint="eastAsia"/>
        </w:rPr>
        <w:t xml:space="preserve">2020年12月31日</w:t>
      </w:r>
    </w:p>
    <w:p>
      <w:pPr>
        <w:pStyle w:val="BodyText"/>
      </w:pPr>
      <w:r>
        <w:rPr>
          <w:rFonts w:hint="eastAsia"/>
        </w:rPr>
        <w:t xml:space="preserve">經常性按公平值計量</w:t>
      </w:r>
    </w:p>
    <w:p>
      <w:pPr>
        <w:pStyle w:val="BodyText"/>
      </w:pPr>
      <w:r>
        <w:rPr>
          <w:rFonts w:hint="eastAsia"/>
        </w:rPr>
        <w:t xml:space="preserve">非金融資產</w:t>
      </w:r>
    </w:p>
    <w:p>
      <w:pPr>
        <w:pStyle w:val="BodyText"/>
      </w:pPr>
      <w:r>
        <w:rPr>
          <w:rFonts w:hint="eastAsia"/>
        </w:rPr>
        <w:t xml:space="preserve">持作自用物業</w:t>
      </w:r>
    </w:p>
    <w:p>
      <w:pPr>
        <w:pStyle w:val="BodyText"/>
      </w:pPr>
      <w:r>
        <w:rPr>
          <w:rFonts w:hint="eastAsia"/>
        </w:rPr>
        <w:t xml:space="preserve">投資物業</w:t>
      </w:r>
    </w:p>
    <w:p>
      <w:pPr>
        <w:pStyle w:val="BodyText"/>
      </w:pPr>
      <w:r>
        <w:rPr>
          <w:rFonts w:hint="eastAsia"/>
        </w:rPr>
        <w:t xml:space="preserve">金融資產</w:t>
      </w:r>
    </w:p>
    <w:p>
      <w:pPr>
        <w:pStyle w:val="BodyText"/>
      </w:pPr>
      <w:r>
        <w:rPr>
          <w:rFonts w:hint="eastAsia"/>
        </w:rPr>
        <w:t xml:space="preserve">可供出售</w:t>
      </w:r>
    </w:p>
    <w:p>
      <w:pPr>
        <w:pStyle w:val="BodyText"/>
      </w:pPr>
      <w:r>
        <w:rPr>
          <w:rFonts w:hint="eastAsia"/>
        </w:rPr>
        <w:t xml:space="preserve">債務證券</w:t>
      </w:r>
    </w:p>
    <w:p>
      <w:pPr>
        <w:pStyle w:val="BodyText"/>
      </w:pPr>
      <w:r>
        <w:rPr>
          <w:rFonts w:hint="eastAsia"/>
        </w:rPr>
        <w:t xml:space="preserve">分紅基金及具特定資產組合的其他分紅業務</w:t>
      </w:r>
    </w:p>
    <w:p>
      <w:pPr>
        <w:pStyle w:val="BodyText"/>
      </w:pPr>
      <w:r>
        <w:rPr>
          <w:rFonts w:hint="eastAsia"/>
        </w:rPr>
        <w:t xml:space="preserve">其他保單持有人及股東</w:t>
      </w:r>
    </w:p>
    <w:p>
      <w:pPr>
        <w:pStyle w:val="BodyText"/>
      </w:pPr>
      <w:r>
        <w:rPr>
          <w:rFonts w:hint="eastAsia"/>
        </w:rPr>
        <w:t xml:space="preserve">按公平值計入損益</w:t>
      </w:r>
    </w:p>
    <w:p>
      <w:pPr>
        <w:pStyle w:val="BodyText"/>
      </w:pPr>
      <w:r>
        <w:rPr>
          <w:rFonts w:hint="eastAsia"/>
        </w:rPr>
        <w:t xml:space="preserve">債務證券</w:t>
      </w:r>
    </w:p>
    <w:p>
      <w:pPr>
        <w:pStyle w:val="BodyText"/>
      </w:pPr>
      <w:r>
        <w:rPr>
          <w:rFonts w:hint="eastAsia"/>
        </w:rPr>
        <w:t xml:space="preserve">分紅基金及具特定資產組合的其他分紅業務</w:t>
      </w:r>
    </w:p>
    <w:p>
      <w:pPr>
        <w:pStyle w:val="BodyText"/>
      </w:pPr>
      <w:r>
        <w:rPr>
          <w:rFonts w:hint="eastAsia"/>
        </w:rPr>
        <w:t xml:space="preserve">單位連結式及合併投資基金</w:t>
      </w:r>
    </w:p>
    <w:p>
      <w:pPr>
        <w:pStyle w:val="BodyText"/>
      </w:pPr>
      <w:r>
        <w:rPr>
          <w:rFonts w:hint="eastAsia"/>
        </w:rPr>
        <w:t xml:space="preserve">其他保單持有人及股東</w:t>
      </w:r>
    </w:p>
    <w:p>
      <w:pPr>
        <w:pStyle w:val="BodyText"/>
      </w:pPr>
      <w:r>
        <w:rPr>
          <w:rFonts w:hint="eastAsia"/>
        </w:rPr>
        <w:t xml:space="preserve">股本證券</w:t>
      </w:r>
    </w:p>
    <w:p>
      <w:pPr>
        <w:pStyle w:val="BodyText"/>
      </w:pPr>
      <w:r>
        <w:rPr>
          <w:rFonts w:hint="eastAsia"/>
        </w:rPr>
        <w:t xml:space="preserve">分紅基金及具特定資產組合的其他分紅業務</w:t>
      </w:r>
    </w:p>
    <w:p>
      <w:pPr>
        <w:pStyle w:val="BodyText"/>
      </w:pPr>
      <w:r>
        <w:rPr>
          <w:rFonts w:hint="eastAsia"/>
        </w:rPr>
        <w:t xml:space="preserve">單位連結式及合併投資基金</w:t>
      </w:r>
    </w:p>
    <w:p>
      <w:pPr>
        <w:pStyle w:val="BodyText"/>
      </w:pPr>
      <w:r>
        <w:rPr>
          <w:rFonts w:hint="eastAsia"/>
        </w:rPr>
        <w:t xml:space="preserve">其他保單持有人及股東</w:t>
      </w:r>
    </w:p>
    <w:p>
      <w:pPr>
        <w:pStyle w:val="BodyText"/>
      </w:pPr>
      <w:r>
        <w:rPr>
          <w:rFonts w:hint="eastAsia"/>
        </w:rPr>
        <w:t xml:space="preserve">衍生金融工具</w:t>
      </w:r>
    </w:p>
    <w:p>
      <w:pPr>
        <w:pStyle w:val="BodyText"/>
      </w:pPr>
      <w:r>
        <w:rPr>
          <w:rFonts w:hint="eastAsia"/>
        </w:rPr>
        <w:t xml:space="preserve">外匯合約</w:t>
      </w:r>
    </w:p>
    <w:p>
      <w:pPr>
        <w:pStyle w:val="BodyText"/>
      </w:pPr>
      <w:r>
        <w:rPr>
          <w:rFonts w:hint="eastAsia"/>
        </w:rPr>
        <w:t xml:space="preserve">利率合約</w:t>
      </w:r>
    </w:p>
    <w:p>
      <w:pPr>
        <w:pStyle w:val="BodyText"/>
      </w:pPr>
      <w:r>
        <w:rPr>
          <w:rFonts w:hint="eastAsia"/>
        </w:rPr>
        <w:t xml:space="preserve">其他合約</w:t>
      </w:r>
    </w:p>
    <w:p>
      <w:pPr>
        <w:pStyle w:val="BodyText"/>
      </w:pPr>
      <w:r>
        <w:rPr>
          <w:rFonts w:hint="eastAsia"/>
        </w:rPr>
        <w:t xml:space="preserve">經常性按公平值計量的總資產</w:t>
      </w:r>
    </w:p>
    <w:p>
      <w:pPr>
        <w:pStyle w:val="BodyText"/>
      </w:pPr>
      <w:r>
        <w:rPr>
          <w:rFonts w:hint="eastAsia"/>
        </w:rPr>
        <w:t xml:space="preserve">總百分比</w:t>
      </w:r>
    </w:p>
    <w:p>
      <w:pPr>
        <w:pStyle w:val="BodyText"/>
      </w:pPr>
      <w:r>
        <w:rPr>
          <w:rFonts w:hint="eastAsia"/>
        </w:rPr>
        <w:t xml:space="preserve">金融負債</w:t>
      </w:r>
    </w:p>
    <w:p>
      <w:pPr>
        <w:pStyle w:val="BodyText"/>
      </w:pPr>
      <w:r>
        <w:rPr>
          <w:rFonts w:hint="eastAsia"/>
        </w:rPr>
        <w:t xml:space="preserve">投資合約負債</w:t>
      </w:r>
    </w:p>
    <w:p>
      <w:pPr>
        <w:pStyle w:val="BodyText"/>
      </w:pPr>
      <w:r>
        <w:rPr>
          <w:rFonts w:hint="eastAsia"/>
        </w:rPr>
        <w:t xml:space="preserve">衍生金融工具</w:t>
      </w:r>
    </w:p>
    <w:p>
      <w:pPr>
        <w:pStyle w:val="BodyText"/>
      </w:pPr>
      <w:r>
        <w:rPr>
          <w:rFonts w:hint="eastAsia"/>
        </w:rPr>
        <w:t xml:space="preserve">外匯合約</w:t>
      </w:r>
    </w:p>
    <w:p>
      <w:pPr>
        <w:pStyle w:val="BodyText"/>
      </w:pPr>
      <w:r>
        <w:rPr>
          <w:rFonts w:hint="eastAsia"/>
        </w:rPr>
        <w:t xml:space="preserve">利率合約</w:t>
      </w:r>
    </w:p>
    <w:p>
      <w:pPr>
        <w:pStyle w:val="BodyText"/>
      </w:pPr>
      <w:r>
        <w:rPr>
          <w:rFonts w:hint="eastAsia"/>
        </w:rPr>
        <w:t xml:space="preserve">其他合約</w:t>
      </w:r>
    </w:p>
    <w:p>
      <w:pPr>
        <w:pStyle w:val="BodyText"/>
      </w:pPr>
      <w:r>
        <w:rPr>
          <w:rFonts w:hint="eastAsia"/>
        </w:rPr>
        <w:t xml:space="preserve">其他負債</w:t>
      </w:r>
    </w:p>
    <w:p>
      <w:pPr>
        <w:pStyle w:val="BodyText"/>
      </w:pPr>
      <w:r>
        <w:rPr>
          <w:rFonts w:hint="eastAsia"/>
        </w:rPr>
        <w:t xml:space="preserve">經常性按公平值計量的總負債</w:t>
      </w:r>
    </w:p>
    <w:p>
      <w:pPr>
        <w:pStyle w:val="BodyText"/>
      </w:pPr>
      <w:r>
        <w:rPr>
          <w:rFonts w:hint="eastAsia"/>
        </w:rPr>
        <w:t xml:space="preserve">總百分比</w:t>
      </w:r>
    </w:p>
    <w:p>
      <w:pPr>
        <w:pStyle w:val="BodyText"/>
      </w:pPr>
      <w:r>
        <w:t xml:space="preserve">212</w:t>
      </w:r>
    </w:p>
    <w:p>
      <w:pPr>
        <w:pStyle w:val="BodyText"/>
      </w:pPr>
      <w:r>
        <w:rPr>
          <w:rFonts w:hint="eastAsia"/>
        </w:rPr>
        <w:t xml:space="preserve">公平值等級</w:t>
      </w:r>
    </w:p>
    <w:p>
      <w:pPr>
        <w:pStyle w:val="BodyText"/>
      </w:pPr>
      <w:r>
        <w:rPr>
          <w:rFonts w:hint="eastAsia"/>
        </w:rPr>
        <w:t xml:space="preserve">第一級別</w:t>
      </w:r>
    </w:p>
    <w:p>
      <w:pPr>
        <w:pStyle w:val="BodyText"/>
      </w:pPr>
      <w:r>
        <w:rPr>
          <w:rFonts w:hint="eastAsia"/>
        </w:rPr>
        <w:t xml:space="preserve">第二級別</w:t>
      </w:r>
    </w:p>
    <w:p>
      <w:pPr>
        <w:pStyle w:val="BodyText"/>
      </w:pPr>
      <w:r>
        <w:rPr>
          <w:rFonts w:hint="eastAsia"/>
        </w:rPr>
        <w:t xml:space="preserve">第三級別</w:t>
      </w:r>
    </w:p>
    <w:p>
      <w:pPr>
        <w:pStyle w:val="BodyText"/>
      </w:pPr>
      <w:r>
        <w:rPr>
          <w:rFonts w:hint="eastAsia"/>
        </w:rPr>
        <w:t xml:space="preserve">總計</w:t>
      </w:r>
    </w:p>
    <w:p>
      <w:pPr>
        <w:pStyle w:val="BodyText"/>
      </w:pPr>
      <w:r>
        <w:t xml:space="preserve">–</w:t>
      </w:r>
    </w:p>
    <w:p>
      <w:pPr>
        <w:pStyle w:val="BodyText"/>
      </w:pPr>
      <w:r>
        <w:t xml:space="preserve">–</w:t>
      </w:r>
    </w:p>
    <w:p>
      <w:pPr>
        <w:pStyle w:val="BodyText"/>
      </w:pPr>
      <w:r>
        <w:t xml:space="preserve">–</w:t>
      </w:r>
    </w:p>
    <w:p>
      <w:pPr>
        <w:pStyle w:val="BodyText"/>
      </w:pPr>
      <w:r>
        <w:t xml:space="preserve">69</w:t>
      </w:r>
    </w:p>
    <w:p>
      <w:pPr>
        <w:pStyle w:val="BodyText"/>
      </w:pPr>
      <w:r>
        <w:t xml:space="preserve">14</w:t>
      </w:r>
    </w:p>
    <w:p>
      <w:pPr>
        <w:pStyle w:val="BodyText"/>
      </w:pPr>
      <w:r>
        <w:t xml:space="preserve">14</w:t>
      </w:r>
    </w:p>
    <w:p>
      <w:pPr>
        <w:pStyle w:val="BodyText"/>
      </w:pPr>
      <w:r>
        <w:t xml:space="preserve">1</w:t>
      </w:r>
    </w:p>
    <w:p>
      <w:pPr>
        <w:pStyle w:val="BodyText"/>
      </w:pPr>
      <w:r>
        <w:t xml:space="preserve">20,272</w:t>
      </w:r>
    </w:p>
    <w:p>
      <w:pPr>
        <w:pStyle w:val="BodyText"/>
      </w:pPr>
      <w:r>
        <w:t xml:space="preserve">27,640</w:t>
      </w:r>
    </w:p>
    <w:p>
      <w:pPr>
        <w:pStyle w:val="BodyText"/>
      </w:pPr>
      <w:r>
        <w:t xml:space="preserve">5,481</w:t>
      </w:r>
    </w:p>
    <w:p>
      <w:pPr>
        <w:pStyle w:val="BodyText"/>
      </w:pPr>
      <w:r>
        <w:t xml:space="preserve">–</w:t>
      </w:r>
    </w:p>
    <w:p>
      <w:pPr>
        <w:pStyle w:val="BodyText"/>
      </w:pPr>
      <w:r>
        <w:t xml:space="preserve">–</w:t>
      </w:r>
    </w:p>
    <w:p>
      <w:pPr>
        <w:pStyle w:val="BodyText"/>
      </w:pPr>
      <w:r>
        <w:t xml:space="preserve">13</w:t>
      </w:r>
    </w:p>
    <w:p>
      <w:pPr>
        <w:pStyle w:val="BodyText"/>
      </w:pPr>
      <w:r>
        <w:t xml:space="preserve">–</w:t>
      </w:r>
    </w:p>
    <w:p>
      <w:pPr>
        <w:pStyle w:val="BodyText"/>
      </w:pPr>
      <w:r>
        <w:t xml:space="preserve">–</w:t>
      </w:r>
    </w:p>
    <w:p>
      <w:pPr>
        <w:pStyle w:val="BodyText"/>
      </w:pPr>
      <w:r>
        <w:t xml:space="preserve">1,025</w:t>
      </w:r>
    </w:p>
    <w:p>
      <w:pPr>
        <w:pStyle w:val="BodyText"/>
      </w:pPr>
      <w:r>
        <w:t xml:space="preserve">4,639</w:t>
      </w:r>
    </w:p>
    <w:p>
      <w:pPr>
        <w:pStyle w:val="BodyText"/>
      </w:pPr>
      <w:r>
        <w:t xml:space="preserve">1,025</w:t>
      </w:r>
    </w:p>
    <w:p>
      <w:pPr>
        <w:pStyle w:val="BodyText"/>
      </w:pPr>
      <w:r>
        <w:t xml:space="preserve">4,639</w:t>
      </w:r>
    </w:p>
    <w:p>
      <w:pPr>
        <w:pStyle w:val="BodyText"/>
      </w:pPr>
      <w:r>
        <w:t xml:space="preserve">47,594</w:t>
      </w:r>
    </w:p>
    <w:p>
      <w:pPr>
        <w:pStyle w:val="BodyText"/>
      </w:pPr>
      <w:r>
        <w:t xml:space="preserve">116,178</w:t>
      </w:r>
    </w:p>
    <w:p>
      <w:pPr>
        <w:pStyle w:val="BodyText"/>
      </w:pPr>
      <w:r>
        <w:t xml:space="preserve">8</w:t>
      </w:r>
    </w:p>
    <w:p>
      <w:pPr>
        <w:pStyle w:val="BodyText"/>
      </w:pPr>
      <w:r>
        <w:t xml:space="preserve">1,257</w:t>
      </w:r>
    </w:p>
    <w:p>
      <w:pPr>
        <w:pStyle w:val="BodyText"/>
      </w:pPr>
      <w:r>
        <w:t xml:space="preserve">47,602</w:t>
      </w:r>
    </w:p>
    <w:p>
      <w:pPr>
        <w:pStyle w:val="BodyText"/>
      </w:pPr>
      <w:r>
        <w:t xml:space="preserve">117,504</w:t>
      </w:r>
    </w:p>
    <w:p>
      <w:pPr>
        <w:pStyle w:val="BodyText"/>
      </w:pPr>
      <w:r>
        <w:t xml:space="preserve">27,426</w:t>
      </w:r>
    </w:p>
    <w:p>
      <w:pPr>
        <w:pStyle w:val="BodyText"/>
      </w:pPr>
      <w:r>
        <w:t xml:space="preserve">6,386</w:t>
      </w:r>
    </w:p>
    <w:p>
      <w:pPr>
        <w:pStyle w:val="BodyText"/>
      </w:pPr>
      <w:r>
        <w:t xml:space="preserve">1,697</w:t>
      </w:r>
    </w:p>
    <w:p>
      <w:pPr>
        <w:pStyle w:val="BodyText"/>
      </w:pPr>
      <w:r>
        <w:t xml:space="preserve">877</w:t>
      </w:r>
    </w:p>
    <w:p>
      <w:pPr>
        <w:pStyle w:val="BodyText"/>
      </w:pPr>
      <w:r>
        <w:t xml:space="preserve">285</w:t>
      </w:r>
    </w:p>
    <w:p>
      <w:pPr>
        <w:pStyle w:val="BodyText"/>
      </w:pPr>
      <w:r>
        <w:t xml:space="preserve">1,077</w:t>
      </w:r>
    </w:p>
    <w:p>
      <w:pPr>
        <w:pStyle w:val="BodyText"/>
      </w:pPr>
      <w:r>
        <w:t xml:space="preserve">434</w:t>
      </w:r>
    </w:p>
    <w:p>
      <w:pPr>
        <w:pStyle w:val="BodyText"/>
      </w:pPr>
      <w:r>
        <w:t xml:space="preserve">561</w:t>
      </w:r>
    </w:p>
    <w:p>
      <w:pPr>
        <w:pStyle w:val="BodyText"/>
      </w:pPr>
      <w:r>
        <w:t xml:space="preserve">61</w:t>
      </w:r>
    </w:p>
    <w:p>
      <w:pPr>
        <w:pStyle w:val="BodyText"/>
      </w:pPr>
      <w:r>
        <w:t xml:space="preserve">930</w:t>
      </w:r>
    </w:p>
    <w:p>
      <w:pPr>
        <w:pStyle w:val="BodyText"/>
      </w:pPr>
      <w:r>
        <w:t xml:space="preserve">3</w:t>
      </w:r>
    </w:p>
    <w:p>
      <w:pPr>
        <w:pStyle w:val="BodyText"/>
      </w:pPr>
      <w:r>
        <w:t xml:space="preserve">304</w:t>
      </w:r>
    </w:p>
    <w:p>
      <w:pPr>
        <w:pStyle w:val="BodyText"/>
      </w:pPr>
      <w:r>
        <w:t xml:space="preserve">2,743</w:t>
      </w:r>
    </w:p>
    <w:p>
      <w:pPr>
        <w:pStyle w:val="BodyText"/>
      </w:pPr>
      <w:r>
        <w:t xml:space="preserve">307</w:t>
      </w:r>
    </w:p>
    <w:p>
      <w:pPr>
        <w:pStyle w:val="BodyText"/>
      </w:pPr>
      <w:r>
        <w:t xml:space="preserve">500</w:t>
      </w:r>
    </w:p>
    <w:p>
      <w:pPr>
        <w:pStyle w:val="BodyText"/>
      </w:pPr>
      <w:r>
        <w:t xml:space="preserve">–</w:t>
      </w:r>
    </w:p>
    <w:p>
      <w:pPr>
        <w:pStyle w:val="BodyText"/>
      </w:pPr>
      <w:r>
        <w:t xml:space="preserve">–</w:t>
      </w:r>
    </w:p>
    <w:p>
      <w:pPr>
        <w:pStyle w:val="BodyText"/>
      </w:pPr>
      <w:r>
        <w:t xml:space="preserve">–</w:t>
      </w:r>
    </w:p>
    <w:p>
      <w:pPr>
        <w:pStyle w:val="BodyText"/>
      </w:pPr>
      <w:r>
        <w:t xml:space="preserve">28,370</w:t>
      </w:r>
    </w:p>
    <w:p>
      <w:pPr>
        <w:pStyle w:val="BodyText"/>
      </w:pPr>
      <w:r>
        <w:t xml:space="preserve">6,403</w:t>
      </w:r>
    </w:p>
    <w:p>
      <w:pPr>
        <w:pStyle w:val="BodyText"/>
      </w:pPr>
      <w:r>
        <w:t xml:space="preserve">2,002</w:t>
      </w:r>
    </w:p>
    <w:p>
      <w:pPr>
        <w:pStyle w:val="BodyText"/>
      </w:pPr>
      <w:r>
        <w:t xml:space="preserve">23,892</w:t>
      </w:r>
    </w:p>
    <w:p>
      <w:pPr>
        <w:pStyle w:val="BodyText"/>
      </w:pPr>
      <w:r>
        <w:t xml:space="preserve">28,232</w:t>
      </w:r>
    </w:p>
    <w:p>
      <w:pPr>
        <w:pStyle w:val="BodyText"/>
      </w:pPr>
      <w:r>
        <w:t xml:space="preserve">7,058</w:t>
      </w:r>
    </w:p>
    <w:p>
      <w:pPr>
        <w:pStyle w:val="BodyText"/>
      </w:pPr>
      <w:r>
        <w:t xml:space="preserve">434</w:t>
      </w:r>
    </w:p>
    <w:p>
      <w:pPr>
        <w:pStyle w:val="BodyText"/>
      </w:pPr>
      <w:r>
        <w:t xml:space="preserve">561</w:t>
      </w:r>
    </w:p>
    <w:p>
      <w:pPr>
        <w:pStyle w:val="BodyText"/>
      </w:pPr>
      <w:r>
        <w:t xml:space="preserve">74</w:t>
      </w:r>
    </w:p>
    <w:p>
      <w:pPr>
        <w:pStyle w:val="BodyText"/>
      </w:pPr>
      <w:r>
        <w:t xml:space="preserve">53,504</w:t>
      </w:r>
    </w:p>
    <w:p>
      <w:pPr>
        <w:pStyle w:val="BodyText"/>
      </w:pPr>
      <w:r>
        <w:t xml:space="preserve">202,576</w:t>
      </w:r>
    </w:p>
    <w:p>
      <w:pPr>
        <w:pStyle w:val="BodyText"/>
      </w:pPr>
      <w:r>
        <w:t xml:space="preserve">11,716</w:t>
      </w:r>
    </w:p>
    <w:p>
      <w:pPr>
        <w:pStyle w:val="BodyText"/>
      </w:pPr>
      <w:r>
        <w:t xml:space="preserve">267,796</w:t>
      </w:r>
    </w:p>
    <w:p>
      <w:pPr>
        <w:pStyle w:val="BodyText"/>
      </w:pPr>
      <w:r>
        <w:t xml:space="preserve">20.0</w:t>
      </w:r>
    </w:p>
    <w:p>
      <w:pPr>
        <w:pStyle w:val="BodyText"/>
      </w:pPr>
      <w:r>
        <w:t xml:space="preserve">75.6</w:t>
      </w:r>
    </w:p>
    <w:p>
      <w:pPr>
        <w:pStyle w:val="BodyText"/>
      </w:pPr>
      <w:r>
        <w:t xml:space="preserve">4.4</w:t>
      </w:r>
    </w:p>
    <w:p>
      <w:pPr>
        <w:pStyle w:val="BodyText"/>
      </w:pPr>
      <w:r>
        <w:t xml:space="preserve">100.0</w:t>
      </w:r>
    </w:p>
    <w:p>
      <w:pPr>
        <w:pStyle w:val="BodyText"/>
      </w:pPr>
      <w:r>
        <w:t xml:space="preserve">–</w:t>
      </w:r>
    </w:p>
    <w:p>
      <w:pPr>
        <w:pStyle w:val="BodyText"/>
      </w:pPr>
      <w:r>
        <w:t xml:space="preserve">–</w:t>
      </w:r>
    </w:p>
    <w:p>
      <w:pPr>
        <w:pStyle w:val="BodyText"/>
      </w:pPr>
      <w:r>
        <w:t xml:space="preserve">–</w:t>
      </w:r>
    </w:p>
    <w:p>
      <w:pPr>
        <w:pStyle w:val="BodyText"/>
      </w:pPr>
      <w:r>
        <w:t xml:space="preserve">12</w:t>
      </w:r>
    </w:p>
    <w:p>
      <w:pPr>
        <w:pStyle w:val="BodyText"/>
      </w:pPr>
      <w:r>
        <w:t xml:space="preserve">–</w:t>
      </w:r>
    </w:p>
    <w:p>
      <w:pPr>
        <w:pStyle w:val="BodyText"/>
      </w:pPr>
      <w:r>
        <w:t xml:space="preserve">12</w:t>
      </w:r>
    </w:p>
    <w:p>
      <w:pPr>
        <w:pStyle w:val="BodyText"/>
      </w:pPr>
      <w:r>
        <w:t xml:space="preserve">0.1</w:t>
      </w:r>
    </w:p>
    <w:p>
      <w:pPr>
        <w:pStyle w:val="BodyText"/>
      </w:pPr>
      <w:r>
        <w:t xml:space="preserve">–</w:t>
      </w:r>
    </w:p>
    <w:p>
      <w:pPr>
        <w:pStyle w:val="BodyText"/>
      </w:pPr>
      <w:r>
        <w:t xml:space="preserve">12,026</w:t>
      </w:r>
    </w:p>
    <w:p>
      <w:pPr>
        <w:pStyle w:val="BodyText"/>
      </w:pPr>
      <w:r>
        <w:t xml:space="preserve">12,026</w:t>
      </w:r>
    </w:p>
    <w:p>
      <w:pPr>
        <w:pStyle w:val="BodyText"/>
      </w:pPr>
      <w:r>
        <w:t xml:space="preserve">175</w:t>
      </w:r>
    </w:p>
    <w:p>
      <w:pPr>
        <w:pStyle w:val="BodyText"/>
      </w:pPr>
      <w:r>
        <w:t xml:space="preserve">308</w:t>
      </w:r>
    </w:p>
    <w:p>
      <w:pPr>
        <w:pStyle w:val="BodyText"/>
      </w:pPr>
      <w:r>
        <w:t xml:space="preserve">508</w:t>
      </w:r>
    </w:p>
    <w:p>
      <w:pPr>
        <w:pStyle w:val="BodyText"/>
      </w:pPr>
      <w:r>
        <w:t xml:space="preserve">1,025</w:t>
      </w:r>
    </w:p>
    <w:p>
      <w:pPr>
        <w:pStyle w:val="BodyText"/>
      </w:pPr>
      <w:r>
        <w:t xml:space="preserve">2,016</w:t>
      </w:r>
    </w:p>
    <w:p>
      <w:pPr>
        <w:pStyle w:val="BodyText"/>
      </w:pPr>
      <w:r>
        <w:t xml:space="preserve">14.3</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12,026</w:t>
      </w:r>
    </w:p>
    <w:p>
      <w:pPr>
        <w:pStyle w:val="BodyText"/>
      </w:pPr>
      <w:r>
        <w:t xml:space="preserve">85.6</w:t>
      </w:r>
    </w:p>
    <w:p>
      <w:pPr>
        <w:pStyle w:val="BodyText"/>
      </w:pPr>
      <w:r>
        <w:t xml:space="preserve">175</w:t>
      </w:r>
    </w:p>
    <w:p>
      <w:pPr>
        <w:pStyle w:val="BodyText"/>
      </w:pPr>
      <w:r>
        <w:t xml:space="preserve">308</w:t>
      </w:r>
    </w:p>
    <w:p>
      <w:pPr>
        <w:pStyle w:val="BodyText"/>
      </w:pPr>
      <w:r>
        <w:t xml:space="preserve">520</w:t>
      </w:r>
    </w:p>
    <w:p>
      <w:pPr>
        <w:pStyle w:val="BodyText"/>
      </w:pPr>
      <w:r>
        <w:t xml:space="preserve">1,025</w:t>
      </w:r>
    </w:p>
    <w:p>
      <w:pPr>
        <w:pStyle w:val="BodyText"/>
      </w:pPr>
      <w:r>
        <w:t xml:space="preserve">14,054</w:t>
      </w:r>
    </w:p>
    <w:p>
      <w:pPr>
        <w:pStyle w:val="BodyText"/>
      </w:pPr>
      <w:r>
        <w:t xml:space="preserve">100.0</w:t>
      </w:r>
    </w:p>
    <w:p>
      <w:pPr>
        <w:pStyle w:val="BodyText"/>
      </w:pPr>
      <w:r>
        <w:rPr>
          <w:rFonts w:hint="eastAsia"/>
        </w:rPr>
        <w:t xml:space="preserve">友邦保險控股有限公司</w:t>
      </w:r>
    </w:p>
    <w:p>
      <w:pPr>
        <w:pStyle w:val="Compact"/>
        <w:numPr>
          <w:ilvl w:val="0"/>
          <w:numId w:val="1414"/>
        </w:numPr>
      </w:pPr>
      <w:r>
        <w:rPr>
          <w:rFonts w:hint="eastAsia"/>
        </w:rPr>
        <w:t xml:space="preserve">公平值計量（續）</w:t>
      </w:r>
    </w:p>
    <w:p>
      <w:pPr>
        <w:pStyle w:val="FirstParagraph"/>
      </w:pPr>
      <w:r>
        <w:rPr>
          <w:rFonts w:hint="eastAsia"/>
        </w:rPr>
        <w:t xml:space="preserve">經常性按公平值計量的公平值等級（續）</w:t>
      </w:r>
    </w:p>
    <w:p>
      <w:pPr>
        <w:pStyle w:val="BodyText"/>
      </w:pPr>
      <w:r>
        <w:rPr>
          <w:rFonts w:hint="eastAsia"/>
        </w:rPr>
        <w:t xml:space="preserve">百萬美元</w:t>
      </w:r>
    </w:p>
    <w:p>
      <w:pPr>
        <w:pStyle w:val="BodyText"/>
      </w:pPr>
      <w:r>
        <w:rPr>
          <w:rFonts w:hint="eastAsia"/>
        </w:rPr>
        <w:t xml:space="preserve">2019年12月31日</w:t>
      </w:r>
    </w:p>
    <w:p>
      <w:pPr>
        <w:pStyle w:val="BodyText"/>
      </w:pPr>
      <w:r>
        <w:rPr>
          <w:rFonts w:hint="eastAsia"/>
        </w:rPr>
        <w:t xml:space="preserve">經常性按公平值計量</w:t>
      </w:r>
    </w:p>
    <w:p>
      <w:pPr>
        <w:pStyle w:val="BodyText"/>
      </w:pPr>
      <w:r>
        <w:rPr>
          <w:rFonts w:hint="eastAsia"/>
        </w:rPr>
        <w:t xml:space="preserve">非金融資產</w:t>
      </w:r>
    </w:p>
    <w:p>
      <w:pPr>
        <w:pStyle w:val="BodyText"/>
      </w:pPr>
      <w:r>
        <w:rPr>
          <w:rFonts w:hint="eastAsia"/>
        </w:rPr>
        <w:t xml:space="preserve">持作自用物業</w:t>
      </w:r>
    </w:p>
    <w:p>
      <w:pPr>
        <w:pStyle w:val="BodyText"/>
      </w:pPr>
      <w:r>
        <w:rPr>
          <w:rFonts w:hint="eastAsia"/>
        </w:rPr>
        <w:t xml:space="preserve">投資物業</w:t>
      </w:r>
    </w:p>
    <w:p>
      <w:pPr>
        <w:pStyle w:val="BodyText"/>
      </w:pPr>
      <w:r>
        <w:rPr>
          <w:rFonts w:hint="eastAsia"/>
        </w:rPr>
        <w:t xml:space="preserve">金融資產</w:t>
      </w:r>
    </w:p>
    <w:p>
      <w:pPr>
        <w:pStyle w:val="BodyText"/>
      </w:pPr>
      <w:r>
        <w:rPr>
          <w:rFonts w:hint="eastAsia"/>
        </w:rPr>
        <w:t xml:space="preserve">可供出售</w:t>
      </w:r>
    </w:p>
    <w:p>
      <w:pPr>
        <w:pStyle w:val="BodyText"/>
      </w:pPr>
      <w:r>
        <w:rPr>
          <w:rFonts w:hint="eastAsia"/>
        </w:rPr>
        <w:t xml:space="preserve">債務證券</w:t>
      </w:r>
    </w:p>
    <w:p>
      <w:pPr>
        <w:pStyle w:val="BodyText"/>
      </w:pPr>
      <w:r>
        <w:rPr>
          <w:rFonts w:hint="eastAsia"/>
        </w:rPr>
        <w:t xml:space="preserve">分紅基金及具特定資產組合的其他分紅業務</w:t>
      </w:r>
    </w:p>
    <w:p>
      <w:pPr>
        <w:pStyle w:val="BodyText"/>
      </w:pPr>
      <w:r>
        <w:rPr>
          <w:rFonts w:hint="eastAsia"/>
        </w:rPr>
        <w:t xml:space="preserve">其他保單持有人及股東</w:t>
      </w:r>
    </w:p>
    <w:p>
      <w:pPr>
        <w:pStyle w:val="BodyText"/>
      </w:pPr>
      <w:r>
        <w:rPr>
          <w:rFonts w:hint="eastAsia"/>
        </w:rPr>
        <w:t xml:space="preserve">按公平值計入損益</w:t>
      </w:r>
    </w:p>
    <w:p>
      <w:pPr>
        <w:pStyle w:val="BodyText"/>
      </w:pPr>
      <w:r>
        <w:rPr>
          <w:rFonts w:hint="eastAsia"/>
        </w:rPr>
        <w:t xml:space="preserve">債務證券</w:t>
      </w:r>
    </w:p>
    <w:p>
      <w:pPr>
        <w:pStyle w:val="BodyText"/>
      </w:pPr>
      <w:r>
        <w:rPr>
          <w:rFonts w:hint="eastAsia"/>
        </w:rPr>
        <w:t xml:space="preserve">分紅基金及具特定資產組合的其他分紅業務</w:t>
      </w:r>
    </w:p>
    <w:p>
      <w:pPr>
        <w:pStyle w:val="BodyText"/>
      </w:pPr>
      <w:r>
        <w:rPr>
          <w:rFonts w:hint="eastAsia"/>
        </w:rPr>
        <w:t xml:space="preserve">單位連結式及合併投資基金</w:t>
      </w:r>
    </w:p>
    <w:p>
      <w:pPr>
        <w:pStyle w:val="BodyText"/>
      </w:pPr>
      <w:r>
        <w:rPr>
          <w:rFonts w:hint="eastAsia"/>
        </w:rPr>
        <w:t xml:space="preserve">其他保單持有人及股東</w:t>
      </w:r>
    </w:p>
    <w:p>
      <w:pPr>
        <w:pStyle w:val="BodyText"/>
      </w:pPr>
      <w:r>
        <w:rPr>
          <w:rFonts w:hint="eastAsia"/>
        </w:rPr>
        <w:t xml:space="preserve">股本證券</w:t>
      </w:r>
    </w:p>
    <w:p>
      <w:pPr>
        <w:pStyle w:val="BodyText"/>
      </w:pPr>
      <w:r>
        <w:rPr>
          <w:rFonts w:hint="eastAsia"/>
        </w:rPr>
        <w:t xml:space="preserve">分紅基金及具特定資產組合的其他分紅業務</w:t>
      </w:r>
    </w:p>
    <w:p>
      <w:pPr>
        <w:pStyle w:val="BodyText"/>
      </w:pPr>
      <w:r>
        <w:rPr>
          <w:rFonts w:hint="eastAsia"/>
        </w:rPr>
        <w:t xml:space="preserve">單位連結式及合併投資基金</w:t>
      </w:r>
    </w:p>
    <w:p>
      <w:pPr>
        <w:pStyle w:val="BodyText"/>
      </w:pPr>
      <w:r>
        <w:rPr>
          <w:rFonts w:hint="eastAsia"/>
        </w:rPr>
        <w:t xml:space="preserve">其他保單持有人及股東</w:t>
      </w:r>
    </w:p>
    <w:p>
      <w:pPr>
        <w:pStyle w:val="BodyText"/>
      </w:pPr>
      <w:r>
        <w:rPr>
          <w:rFonts w:hint="eastAsia"/>
        </w:rPr>
        <w:t xml:space="preserve">衍生金融工具</w:t>
      </w:r>
    </w:p>
    <w:p>
      <w:pPr>
        <w:pStyle w:val="BodyText"/>
      </w:pPr>
      <w:r>
        <w:rPr>
          <w:rFonts w:hint="eastAsia"/>
        </w:rPr>
        <w:t xml:space="preserve">外匯合約</w:t>
      </w:r>
    </w:p>
    <w:p>
      <w:pPr>
        <w:pStyle w:val="BodyText"/>
      </w:pPr>
      <w:r>
        <w:rPr>
          <w:rFonts w:hint="eastAsia"/>
        </w:rPr>
        <w:t xml:space="preserve">利率合約</w:t>
      </w:r>
    </w:p>
    <w:p>
      <w:pPr>
        <w:pStyle w:val="BodyText"/>
      </w:pPr>
      <w:r>
        <w:rPr>
          <w:rFonts w:hint="eastAsia"/>
        </w:rPr>
        <w:t xml:space="preserve">其他合約</w:t>
      </w:r>
    </w:p>
    <w:p>
      <w:pPr>
        <w:pStyle w:val="BodyText"/>
      </w:pPr>
      <w:r>
        <w:rPr>
          <w:rFonts w:hint="eastAsia"/>
        </w:rPr>
        <w:t xml:space="preserve">經常性按公平值計量的總資產</w:t>
      </w:r>
    </w:p>
    <w:p>
      <w:pPr>
        <w:pStyle w:val="BodyText"/>
      </w:pPr>
      <w:r>
        <w:rPr>
          <w:rFonts w:hint="eastAsia"/>
        </w:rPr>
        <w:t xml:space="preserve">總百分比</w:t>
      </w:r>
    </w:p>
    <w:p>
      <w:pPr>
        <w:pStyle w:val="BodyText"/>
      </w:pPr>
      <w:r>
        <w:rPr>
          <w:rFonts w:hint="eastAsia"/>
        </w:rPr>
        <w:t xml:space="preserve">金融負債</w:t>
      </w:r>
    </w:p>
    <w:p>
      <w:pPr>
        <w:pStyle w:val="BodyText"/>
      </w:pPr>
      <w:r>
        <w:rPr>
          <w:rFonts w:hint="eastAsia"/>
        </w:rPr>
        <w:t xml:space="preserve">投資合約負債</w:t>
      </w:r>
    </w:p>
    <w:p>
      <w:pPr>
        <w:pStyle w:val="BodyText"/>
      </w:pPr>
      <w:r>
        <w:rPr>
          <w:rFonts w:hint="eastAsia"/>
        </w:rPr>
        <w:t xml:space="preserve">衍生金融工具</w:t>
      </w:r>
    </w:p>
    <w:p>
      <w:pPr>
        <w:pStyle w:val="BodyText"/>
      </w:pPr>
      <w:r>
        <w:rPr>
          <w:rFonts w:hint="eastAsia"/>
        </w:rPr>
        <w:t xml:space="preserve">外匯合約</w:t>
      </w:r>
    </w:p>
    <w:p>
      <w:pPr>
        <w:pStyle w:val="BodyText"/>
      </w:pPr>
      <w:r>
        <w:rPr>
          <w:rFonts w:hint="eastAsia"/>
        </w:rPr>
        <w:t xml:space="preserve">利率合約</w:t>
      </w:r>
    </w:p>
    <w:p>
      <w:pPr>
        <w:pStyle w:val="BodyText"/>
      </w:pPr>
      <w:r>
        <w:rPr>
          <w:rFonts w:hint="eastAsia"/>
        </w:rPr>
        <w:t xml:space="preserve">其他合約</w:t>
      </w:r>
    </w:p>
    <w:p>
      <w:pPr>
        <w:pStyle w:val="BodyText"/>
      </w:pPr>
      <w:r>
        <w:rPr>
          <w:rFonts w:hint="eastAsia"/>
        </w:rPr>
        <w:t xml:space="preserve">其他負債</w:t>
      </w:r>
    </w:p>
    <w:p>
      <w:pPr>
        <w:pStyle w:val="BodyText"/>
      </w:pPr>
      <w:r>
        <w:rPr>
          <w:rFonts w:hint="eastAsia"/>
        </w:rPr>
        <w:t xml:space="preserve">經常性按公平值計量的總負債</w:t>
      </w:r>
    </w:p>
    <w:p>
      <w:pPr>
        <w:pStyle w:val="BodyText"/>
      </w:pPr>
      <w:r>
        <w:rPr>
          <w:rFonts w:hint="eastAsia"/>
        </w:rPr>
        <w:t xml:space="preserve">總百分比</w:t>
      </w:r>
    </w:p>
    <w:p>
      <w:pPr>
        <w:pStyle w:val="BodyText"/>
      </w:pPr>
      <w:r>
        <w:rPr>
          <w:rFonts w:hint="eastAsia"/>
        </w:rPr>
        <w:t xml:space="preserve">公平值等級</w:t>
      </w:r>
    </w:p>
    <w:p>
      <w:pPr>
        <w:pStyle w:val="BodyText"/>
      </w:pPr>
      <w:r>
        <w:rPr>
          <w:rFonts w:hint="eastAsia"/>
        </w:rPr>
        <w:t xml:space="preserve">第一級別</w:t>
      </w:r>
    </w:p>
    <w:p>
      <w:pPr>
        <w:pStyle w:val="BodyText"/>
      </w:pPr>
      <w:r>
        <w:rPr>
          <w:rFonts w:hint="eastAsia"/>
        </w:rPr>
        <w:t xml:space="preserve">第二級別</w:t>
      </w:r>
    </w:p>
    <w:p>
      <w:pPr>
        <w:pStyle w:val="BodyText"/>
      </w:pPr>
      <w:r>
        <w:rPr>
          <w:rFonts w:hint="eastAsia"/>
        </w:rPr>
        <w:t xml:space="preserve">第三級別</w:t>
      </w:r>
    </w:p>
    <w:p>
      <w:pPr>
        <w:pStyle w:val="BodyText"/>
      </w:pPr>
      <w:r>
        <w:rPr>
          <w:rFonts w:hint="eastAsia"/>
        </w:rPr>
        <w:t xml:space="preserve">總計</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1,019</w:t>
      </w:r>
    </w:p>
    <w:p>
      <w:pPr>
        <w:pStyle w:val="BodyText"/>
      </w:pPr>
      <w:r>
        <w:t xml:space="preserve">4,834</w:t>
      </w:r>
    </w:p>
    <w:p>
      <w:pPr>
        <w:pStyle w:val="BodyText"/>
      </w:pPr>
      <w:r>
        <w:t xml:space="preserve">1,019</w:t>
      </w:r>
    </w:p>
    <w:p>
      <w:pPr>
        <w:pStyle w:val="BodyText"/>
      </w:pPr>
      <w:r>
        <w:t xml:space="preserve">4,834</w:t>
      </w:r>
    </w:p>
    <w:p>
      <w:pPr>
        <w:pStyle w:val="BodyText"/>
      </w:pPr>
      <w:r>
        <w:t xml:space="preserve">72</w:t>
      </w:r>
    </w:p>
    <w:p>
      <w:pPr>
        <w:pStyle w:val="BodyText"/>
      </w:pPr>
      <w:r>
        <w:t xml:space="preserve">133</w:t>
      </w:r>
    </w:p>
    <w:p>
      <w:pPr>
        <w:pStyle w:val="BodyText"/>
      </w:pPr>
      <w:r>
        <w:t xml:space="preserve">33,153</w:t>
      </w:r>
    </w:p>
    <w:p>
      <w:pPr>
        <w:pStyle w:val="BodyText"/>
      </w:pPr>
      <w:r>
        <w:t xml:space="preserve">104,220</w:t>
      </w:r>
    </w:p>
    <w:p>
      <w:pPr>
        <w:pStyle w:val="BodyText"/>
      </w:pPr>
      <w:r>
        <w:t xml:space="preserve">230</w:t>
      </w:r>
    </w:p>
    <w:p>
      <w:pPr>
        <w:pStyle w:val="BodyText"/>
      </w:pPr>
      <w:r>
        <w:t xml:space="preserve">1,044</w:t>
      </w:r>
    </w:p>
    <w:p>
      <w:pPr>
        <w:pStyle w:val="BodyText"/>
      </w:pPr>
      <w:r>
        <w:t xml:space="preserve">33,455</w:t>
      </w:r>
    </w:p>
    <w:p>
      <w:pPr>
        <w:pStyle w:val="BodyText"/>
      </w:pPr>
      <w:r>
        <w:t xml:space="preserve">105,397</w:t>
      </w:r>
    </w:p>
    <w:p>
      <w:pPr>
        <w:pStyle w:val="BodyText"/>
      </w:pPr>
      <w:r>
        <w:t xml:space="preserve">8</w:t>
      </w:r>
    </w:p>
    <w:p>
      <w:pPr>
        <w:pStyle w:val="BodyText"/>
      </w:pPr>
      <w:r>
        <w:t xml:space="preserve">–</w:t>
      </w:r>
    </w:p>
    <w:p>
      <w:pPr>
        <w:pStyle w:val="BodyText"/>
      </w:pPr>
      <w:r>
        <w:t xml:space="preserve">1</w:t>
      </w:r>
    </w:p>
    <w:p>
      <w:pPr>
        <w:pStyle w:val="BodyText"/>
      </w:pPr>
      <w:r>
        <w:t xml:space="preserve">24,529</w:t>
      </w:r>
    </w:p>
    <w:p>
      <w:pPr>
        <w:pStyle w:val="BodyText"/>
      </w:pPr>
      <w:r>
        <w:t xml:space="preserve">5,848</w:t>
      </w:r>
    </w:p>
    <w:p>
      <w:pPr>
        <w:pStyle w:val="BodyText"/>
      </w:pPr>
      <w:r>
        <w:t xml:space="preserve">1,886</w:t>
      </w:r>
    </w:p>
    <w:p>
      <w:pPr>
        <w:pStyle w:val="BodyText"/>
      </w:pPr>
      <w:r>
        <w:t xml:space="preserve">16,108</w:t>
      </w:r>
    </w:p>
    <w:p>
      <w:pPr>
        <w:pStyle w:val="BodyText"/>
      </w:pPr>
      <w:r>
        <w:t xml:space="preserve">23,559</w:t>
      </w:r>
    </w:p>
    <w:p>
      <w:pPr>
        <w:pStyle w:val="BodyText"/>
      </w:pPr>
      <w:r>
        <w:t xml:space="preserve">6,348</w:t>
      </w:r>
    </w:p>
    <w:p>
      <w:pPr>
        <w:pStyle w:val="BodyText"/>
      </w:pPr>
      <w:r>
        <w:t xml:space="preserve">–</w:t>
      </w:r>
    </w:p>
    <w:p>
      <w:pPr>
        <w:pStyle w:val="BodyText"/>
      </w:pPr>
      <w:r>
        <w:t xml:space="preserve">–</w:t>
      </w:r>
    </w:p>
    <w:p>
      <w:pPr>
        <w:pStyle w:val="BodyText"/>
      </w:pPr>
      <w:r>
        <w:t xml:space="preserve">14</w:t>
      </w:r>
    </w:p>
    <w:p>
      <w:pPr>
        <w:pStyle w:val="BodyText"/>
      </w:pPr>
      <w:r>
        <w:t xml:space="preserve">896</w:t>
      </w:r>
    </w:p>
    <w:p>
      <w:pPr>
        <w:pStyle w:val="BodyText"/>
      </w:pPr>
      <w:r>
        <w:t xml:space="preserve">244</w:t>
      </w:r>
    </w:p>
    <w:p>
      <w:pPr>
        <w:pStyle w:val="BodyText"/>
      </w:pPr>
      <w:r>
        <w:t xml:space="preserve">755</w:t>
      </w:r>
    </w:p>
    <w:p>
      <w:pPr>
        <w:pStyle w:val="BodyText"/>
      </w:pPr>
      <w:r>
        <w:t xml:space="preserve">458</w:t>
      </w:r>
    </w:p>
    <w:p>
      <w:pPr>
        <w:pStyle w:val="BodyText"/>
      </w:pPr>
      <w:r>
        <w:t xml:space="preserve">487</w:t>
      </w:r>
    </w:p>
    <w:p>
      <w:pPr>
        <w:pStyle w:val="BodyText"/>
      </w:pPr>
      <w:r>
        <w:t xml:space="preserve">12</w:t>
      </w:r>
    </w:p>
    <w:p>
      <w:pPr>
        <w:pStyle w:val="BodyText"/>
      </w:pPr>
      <w:r>
        <w:t xml:space="preserve">575</w:t>
      </w:r>
    </w:p>
    <w:p>
      <w:pPr>
        <w:pStyle w:val="BodyText"/>
      </w:pPr>
      <w:r>
        <w:t xml:space="preserve">18</w:t>
      </w:r>
    </w:p>
    <w:p>
      <w:pPr>
        <w:pStyle w:val="BodyText"/>
      </w:pPr>
      <w:r>
        <w:t xml:space="preserve">267</w:t>
      </w:r>
    </w:p>
    <w:p>
      <w:pPr>
        <w:pStyle w:val="BodyText"/>
      </w:pPr>
      <w:r>
        <w:t xml:space="preserve">1,735</w:t>
      </w:r>
    </w:p>
    <w:p>
      <w:pPr>
        <w:pStyle w:val="BodyText"/>
      </w:pPr>
      <w:r>
        <w:t xml:space="preserve">298</w:t>
      </w:r>
    </w:p>
    <w:p>
      <w:pPr>
        <w:pStyle w:val="BodyText"/>
      </w:pPr>
      <w:r>
        <w:t xml:space="preserve">379</w:t>
      </w:r>
    </w:p>
    <w:p>
      <w:pPr>
        <w:pStyle w:val="BodyText"/>
      </w:pPr>
      <w:r>
        <w:t xml:space="preserve">–</w:t>
      </w:r>
    </w:p>
    <w:p>
      <w:pPr>
        <w:pStyle w:val="BodyText"/>
      </w:pPr>
      <w:r>
        <w:t xml:space="preserve">–</w:t>
      </w:r>
    </w:p>
    <w:p>
      <w:pPr>
        <w:pStyle w:val="BodyText"/>
      </w:pPr>
      <w:r>
        <w:t xml:space="preserve">–</w:t>
      </w:r>
    </w:p>
    <w:p>
      <w:pPr>
        <w:pStyle w:val="BodyText"/>
      </w:pPr>
      <w:r>
        <w:t xml:space="preserve">25,112</w:t>
      </w:r>
    </w:p>
    <w:p>
      <w:pPr>
        <w:pStyle w:val="BodyText"/>
      </w:pPr>
      <w:r>
        <w:t xml:space="preserve">5,866</w:t>
      </w:r>
    </w:p>
    <w:p>
      <w:pPr>
        <w:pStyle w:val="BodyText"/>
      </w:pPr>
      <w:r>
        <w:t xml:space="preserve">2,154</w:t>
      </w:r>
    </w:p>
    <w:p>
      <w:pPr>
        <w:pStyle w:val="BodyText"/>
      </w:pPr>
      <w:r>
        <w:t xml:space="preserve">18,739</w:t>
      </w:r>
    </w:p>
    <w:p>
      <w:pPr>
        <w:pStyle w:val="BodyText"/>
      </w:pPr>
      <w:r>
        <w:t xml:space="preserve">24,101</w:t>
      </w:r>
    </w:p>
    <w:p>
      <w:pPr>
        <w:pStyle w:val="BodyText"/>
      </w:pPr>
      <w:r>
        <w:t xml:space="preserve">7,482</w:t>
      </w:r>
    </w:p>
    <w:p>
      <w:pPr>
        <w:pStyle w:val="BodyText"/>
      </w:pPr>
      <w:r>
        <w:t xml:space="preserve">458</w:t>
      </w:r>
    </w:p>
    <w:p>
      <w:pPr>
        <w:pStyle w:val="BodyText"/>
      </w:pPr>
      <w:r>
        <w:t xml:space="preserve">487</w:t>
      </w:r>
    </w:p>
    <w:p>
      <w:pPr>
        <w:pStyle w:val="BodyText"/>
      </w:pPr>
      <w:r>
        <w:t xml:space="preserve">26</w:t>
      </w:r>
    </w:p>
    <w:p>
      <w:pPr>
        <w:pStyle w:val="BodyText"/>
      </w:pPr>
      <w:r>
        <w:t xml:space="preserve">46,243</w:t>
      </w:r>
    </w:p>
    <w:p>
      <w:pPr>
        <w:pStyle w:val="BodyText"/>
      </w:pPr>
      <w:r>
        <w:t xml:space="preserve">172,488</w:t>
      </w:r>
    </w:p>
    <w:p>
      <w:pPr>
        <w:pStyle w:val="BodyText"/>
      </w:pPr>
      <w:r>
        <w:t xml:space="preserve">10,399</w:t>
      </w:r>
    </w:p>
    <w:p>
      <w:pPr>
        <w:pStyle w:val="BodyText"/>
      </w:pPr>
      <w:r>
        <w:t xml:space="preserve">229,130</w:t>
      </w:r>
    </w:p>
    <w:p>
      <w:pPr>
        <w:pStyle w:val="BodyText"/>
      </w:pPr>
      <w:r>
        <w:t xml:space="preserve">20.2</w:t>
      </w:r>
    </w:p>
    <w:p>
      <w:pPr>
        <w:pStyle w:val="BodyText"/>
      </w:pPr>
      <w:r>
        <w:t xml:space="preserve">75.3</w:t>
      </w:r>
    </w:p>
    <w:p>
      <w:pPr>
        <w:pStyle w:val="BodyText"/>
      </w:pPr>
      <w:r>
        <w:t xml:space="preserve">4.5</w:t>
      </w:r>
    </w:p>
    <w:p>
      <w:pPr>
        <w:pStyle w:val="BodyText"/>
      </w:pPr>
      <w:r>
        <w:t xml:space="preserve">100.0</w:t>
      </w:r>
    </w:p>
    <w:p>
      <w:pPr>
        <w:pStyle w:val="BodyText"/>
      </w:pPr>
      <w:r>
        <w:t xml:space="preserve">–</w:t>
      </w:r>
    </w:p>
    <w:p>
      <w:pPr>
        <w:pStyle w:val="BodyText"/>
      </w:pPr>
      <w:r>
        <w:t xml:space="preserve">–</w:t>
      </w:r>
    </w:p>
    <w:p>
      <w:pPr>
        <w:pStyle w:val="BodyText"/>
      </w:pPr>
      <w:r>
        <w:t xml:space="preserve">–</w:t>
      </w:r>
    </w:p>
    <w:p>
      <w:pPr>
        <w:pStyle w:val="BodyText"/>
      </w:pPr>
      <w:r>
        <w:t xml:space="preserve">12</w:t>
      </w:r>
    </w:p>
    <w:p>
      <w:pPr>
        <w:pStyle w:val="BodyText"/>
      </w:pPr>
      <w:r>
        <w:t xml:space="preserve">–</w:t>
      </w:r>
    </w:p>
    <w:p>
      <w:pPr>
        <w:pStyle w:val="BodyText"/>
      </w:pPr>
      <w:r>
        <w:t xml:space="preserve">12</w:t>
      </w:r>
    </w:p>
    <w:p>
      <w:pPr>
        <w:pStyle w:val="BodyText"/>
      </w:pPr>
      <w:r>
        <w:t xml:space="preserve">0.1</w:t>
      </w:r>
    </w:p>
    <w:p>
      <w:pPr>
        <w:pStyle w:val="BodyText"/>
      </w:pPr>
      <w:r>
        <w:t xml:space="preserve">–</w:t>
      </w:r>
    </w:p>
    <w:p>
      <w:pPr>
        <w:pStyle w:val="BodyText"/>
      </w:pPr>
      <w:r>
        <w:t xml:space="preserve">11,391</w:t>
      </w:r>
    </w:p>
    <w:p>
      <w:pPr>
        <w:pStyle w:val="BodyText"/>
      </w:pPr>
      <w:r>
        <w:t xml:space="preserve">11,391</w:t>
      </w:r>
    </w:p>
    <w:p>
      <w:pPr>
        <w:pStyle w:val="BodyText"/>
      </w:pPr>
      <w:r>
        <w:t xml:space="preserve">228</w:t>
      </w:r>
    </w:p>
    <w:p>
      <w:pPr>
        <w:pStyle w:val="BodyText"/>
      </w:pPr>
      <w:r>
        <w:t xml:space="preserve">161</w:t>
      </w:r>
    </w:p>
    <w:p>
      <w:pPr>
        <w:pStyle w:val="BodyText"/>
      </w:pPr>
      <w:r>
        <w:t xml:space="preserve">11</w:t>
      </w:r>
    </w:p>
    <w:p>
      <w:pPr>
        <w:pStyle w:val="BodyText"/>
      </w:pPr>
      <w:r>
        <w:t xml:space="preserve">1,116</w:t>
      </w:r>
    </w:p>
    <w:p>
      <w:pPr>
        <w:pStyle w:val="BodyText"/>
      </w:pPr>
      <w:r>
        <w:t xml:space="preserve">1,516</w:t>
      </w:r>
    </w:p>
    <w:p>
      <w:pPr>
        <w:pStyle w:val="BodyText"/>
      </w:pPr>
      <w:r>
        <w:t xml:space="preserve">11.7</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11,391</w:t>
      </w:r>
    </w:p>
    <w:p>
      <w:pPr>
        <w:pStyle w:val="BodyText"/>
      </w:pPr>
      <w:r>
        <w:t xml:space="preserve">88.2</w:t>
      </w:r>
    </w:p>
    <w:p>
      <w:pPr>
        <w:pStyle w:val="BodyText"/>
      </w:pPr>
      <w:r>
        <w:t xml:space="preserve">228</w:t>
      </w:r>
    </w:p>
    <w:p>
      <w:pPr>
        <w:pStyle w:val="BodyText"/>
      </w:pPr>
      <w:r>
        <w:t xml:space="preserve">161</w:t>
      </w:r>
    </w:p>
    <w:p>
      <w:pPr>
        <w:pStyle w:val="BodyText"/>
      </w:pPr>
      <w:r>
        <w:t xml:space="preserve">23</w:t>
      </w:r>
    </w:p>
    <w:p>
      <w:pPr>
        <w:pStyle w:val="BodyText"/>
      </w:pPr>
      <w:r>
        <w:t xml:space="preserve">1,116</w:t>
      </w:r>
    </w:p>
    <w:p>
      <w:pPr>
        <w:pStyle w:val="BodyText"/>
      </w:pPr>
      <w:r>
        <w:t xml:space="preserve">12,919</w:t>
      </w:r>
    </w:p>
    <w:p>
      <w:pPr>
        <w:pStyle w:val="BodyText"/>
      </w:pPr>
      <w:r>
        <w:t xml:space="preserve">100.0</w:t>
      </w:r>
    </w:p>
    <w:p>
      <w:pPr>
        <w:pStyle w:val="BodyText"/>
      </w:pPr>
      <w:r>
        <w:t xml:space="preserve">213</w:t>
      </w:r>
    </w:p>
    <w:p>
      <w:pPr>
        <w:pStyle w:val="BodyText"/>
      </w:pPr>
      <w:r>
        <w:rPr>
          <w:rFonts w:hint="eastAsia"/>
        </w:rPr>
        <w:t xml:space="preserve">概覽財務及營運回顧企業管治其他資料財務報表2020年報</w:t>
      </w:r>
    </w:p>
    <w:p>
      <w:pPr>
        <w:pStyle w:val="Compact"/>
        <w:numPr>
          <w:ilvl w:val="0"/>
          <w:numId w:val="1415"/>
        </w:numPr>
      </w:pPr>
      <w:r>
        <w:rPr>
          <w:rFonts w:hint="eastAsia"/>
        </w:rPr>
        <w:t xml:space="preserve">公平值計量（續）</w:t>
      </w:r>
    </w:p>
    <w:p>
      <w:pPr>
        <w:pStyle w:val="FirstParagraph"/>
      </w:pPr>
      <w:r>
        <w:rPr>
          <w:rFonts w:hint="eastAsia"/>
        </w:rPr>
        <w:t xml:space="preserve">經常性按公平值計量的公平值等級（續）</w:t>
      </w:r>
    </w:p>
    <w:p>
      <w:pPr>
        <w:pStyle w:val="BodyText"/>
      </w:pPr>
      <w:r>
        <w:rPr>
          <w:rFonts w:hint="eastAsia"/>
        </w:rPr>
        <w:t xml:space="preserve">本集團的政策旨在於各報告期末（與公平值釐定日期一致）確認資產及負債按公平值於第一級別與第二級別之間轉撥。當資</w:t>
      </w:r>
    </w:p>
    <w:p>
      <w:pPr>
        <w:pStyle w:val="BodyText"/>
      </w:pPr>
      <w:r>
        <w:rPr>
          <w:rFonts w:hint="eastAsia"/>
        </w:rPr>
        <w:t xml:space="preserve">產的交易頻率及數量不再足以被視為交投活躍時，</w:t>
      </w:r>
      <w:r>
        <w:t xml:space="preserve"> </w:t>
      </w:r>
      <w:r>
        <w:rPr>
          <w:rFonts w:hint="eastAsia"/>
        </w:rPr>
        <w:t xml:space="preserve">該等資產會從第一級別轉出。於截至2020年12月31日止年度，本集團將</w:t>
      </w:r>
    </w:p>
    <w:p>
      <w:pPr>
        <w:pStyle w:val="BodyText"/>
      </w:pPr>
      <w:r>
        <w:rPr>
          <w:rFonts w:hint="eastAsia"/>
        </w:rPr>
        <w:t xml:space="preserve">按公平值計量的1.27億美元（2019年：3.79億美元）資產自第一級別轉撥至第二級別。相反，當資產的交易數量及頻率顯示出</w:t>
      </w:r>
    </w:p>
    <w:p>
      <w:pPr>
        <w:pStyle w:val="BodyText"/>
      </w:pPr>
      <w:r>
        <w:rPr>
          <w:rFonts w:hint="eastAsia"/>
        </w:rPr>
        <w:t xml:space="preserve">市場交投活躍時，則從第二級別轉撥至第一級別。於截至2020年12月31日止年度，本集團將900萬美元（2019年：3,600萬美</w:t>
      </w:r>
    </w:p>
    <w:p>
      <w:pPr>
        <w:pStyle w:val="BodyText"/>
      </w:pPr>
      <w:r>
        <w:rPr>
          <w:rFonts w:hint="eastAsia"/>
        </w:rPr>
        <w:t xml:space="preserve">元）資產自第二級別轉撥至第一級別。</w:t>
      </w:r>
    </w:p>
    <w:p>
      <w:pPr>
        <w:pStyle w:val="BodyText"/>
      </w:pPr>
      <w:r>
        <w:rPr>
          <w:rFonts w:hint="eastAsia"/>
        </w:rPr>
        <w:t xml:space="preserve">本集團的第二級別金融工具包括債務證券、股本證券、衍生工具及其他負債。第二級別金融工具的公平值乃來自私人定價服</w:t>
      </w:r>
    </w:p>
    <w:p>
      <w:pPr>
        <w:pStyle w:val="BodyText"/>
      </w:pPr>
      <w:r>
        <w:rPr>
          <w:rFonts w:hint="eastAsia"/>
        </w:rPr>
        <w:t xml:space="preserve">務及經紀並經內部評估確證（如必要）而估算得出。倘無法取得私人定價服務及經紀所報價值，有關金融工具的公平值將利</w:t>
      </w:r>
    </w:p>
    <w:p>
      <w:pPr>
        <w:pStyle w:val="BodyText"/>
      </w:pPr>
      <w:r>
        <w:rPr>
          <w:rFonts w:hint="eastAsia"/>
        </w:rPr>
        <w:t xml:space="preserve">用內部估值技術及參數計算得出。</w:t>
      </w:r>
    </w:p>
    <w:p>
      <w:pPr>
        <w:pStyle w:val="BodyText"/>
      </w:pPr>
      <w:r>
        <w:rPr>
          <w:rFonts w:hint="eastAsia"/>
        </w:rPr>
        <w:t xml:space="preserve">下表載列截至2020年及2019年12月31日止年度，本集團經常性按公平值計量的第三級別資產及負債的變動概要。下表反映的</w:t>
      </w:r>
    </w:p>
    <w:p>
      <w:pPr>
        <w:pStyle w:val="BodyText"/>
      </w:pPr>
      <w:r>
        <w:rPr>
          <w:rFonts w:hint="eastAsia"/>
        </w:rPr>
        <w:t xml:space="preserve">收益及虧損，包括於2020年及2019年12月31日分類為第三級別的資產及負債的收益及虧損。</w:t>
      </w:r>
    </w:p>
    <w:p>
      <w:pPr>
        <w:pStyle w:val="BodyText"/>
      </w:pPr>
      <w:r>
        <w:rPr>
          <w:rFonts w:hint="eastAsia"/>
        </w:rPr>
        <w:t xml:space="preserve">第三級別資產及負債</w:t>
      </w:r>
    </w:p>
    <w:p>
      <w:pPr>
        <w:pStyle w:val="BodyText"/>
      </w:pPr>
      <w:r>
        <w:rPr>
          <w:rFonts w:hint="eastAsia"/>
        </w:rPr>
        <w:t xml:space="preserve">百萬美元</w:t>
      </w:r>
    </w:p>
    <w:p>
      <w:pPr>
        <w:pStyle w:val="BodyText"/>
      </w:pPr>
      <w:r>
        <w:rPr>
          <w:rFonts w:hint="eastAsia"/>
        </w:rPr>
        <w:t xml:space="preserve">於2020年1月1日</w:t>
      </w:r>
    </w:p>
    <w:p>
      <w:pPr>
        <w:pStyle w:val="BodyText"/>
      </w:pPr>
      <w:r>
        <w:rPr>
          <w:rFonts w:hint="eastAsia"/>
        </w:rPr>
        <w:t xml:space="preserve">投資合約負債的變動淨額</w:t>
      </w:r>
    </w:p>
    <w:p>
      <w:pPr>
        <w:pStyle w:val="BodyText"/>
      </w:pPr>
      <w:r>
        <w:rPr>
          <w:rFonts w:hint="eastAsia"/>
        </w:rPr>
        <w:t xml:space="preserve">總收益</w:t>
      </w:r>
      <w:r>
        <w:t xml:space="preserve"> </w:t>
      </w:r>
      <w:r>
        <w:rPr>
          <w:rFonts w:hint="eastAsia"/>
        </w:rPr>
        <w:t xml:space="preserve">∕（虧損）</w:t>
      </w:r>
    </w:p>
    <w:p>
      <w:pPr>
        <w:pStyle w:val="BodyText"/>
      </w:pPr>
      <w:r>
        <w:rPr>
          <w:rFonts w:hint="eastAsia"/>
        </w:rPr>
        <w:t xml:space="preserve">於合併收入表內投資回報及其他開支項下</w:t>
      </w:r>
    </w:p>
    <w:p>
      <w:pPr>
        <w:pStyle w:val="BodyText"/>
      </w:pPr>
      <w:r>
        <w:rPr>
          <w:rFonts w:hint="eastAsia"/>
        </w:rPr>
        <w:t xml:space="preserve">呈報</w:t>
      </w:r>
    </w:p>
    <w:p>
      <w:pPr>
        <w:pStyle w:val="BodyText"/>
      </w:pPr>
      <w:r>
        <w:rPr>
          <w:rFonts w:hint="eastAsia"/>
        </w:rPr>
        <w:t xml:space="preserve">於合併全面收入表內公平值準備金、外幣</w:t>
      </w:r>
      <w:r>
        <w:br/>
      </w:r>
      <w:r>
        <w:rPr>
          <w:rFonts w:hint="eastAsia"/>
        </w:rPr>
        <w:t xml:space="preserve">換算準備金及物業重估準備金項下呈報</w:t>
      </w:r>
    </w:p>
    <w:p>
      <w:pPr>
        <w:pStyle w:val="BodyText"/>
      </w:pPr>
      <w:r>
        <w:rPr>
          <w:rFonts w:hint="eastAsia"/>
        </w:rPr>
        <w:t xml:space="preserve">購買</w:t>
      </w:r>
    </w:p>
    <w:p>
      <w:pPr>
        <w:pStyle w:val="BodyText"/>
      </w:pPr>
      <w:r>
        <w:rPr>
          <w:rFonts w:hint="eastAsia"/>
        </w:rPr>
        <w:t xml:space="preserve">銷售</w:t>
      </w:r>
    </w:p>
    <w:p>
      <w:pPr>
        <w:pStyle w:val="BodyText"/>
      </w:pPr>
      <w:r>
        <w:rPr>
          <w:rFonts w:hint="eastAsia"/>
        </w:rPr>
        <w:t xml:space="preserve">結算</w:t>
      </w:r>
    </w:p>
    <w:p>
      <w:pPr>
        <w:pStyle w:val="BodyText"/>
      </w:pPr>
      <w:r>
        <w:rPr>
          <w:rFonts w:hint="eastAsia"/>
        </w:rPr>
        <w:t xml:space="preserve">轉入第三級別</w:t>
      </w:r>
    </w:p>
    <w:p>
      <w:pPr>
        <w:pStyle w:val="BodyText"/>
      </w:pPr>
      <w:r>
        <w:rPr>
          <w:rFonts w:hint="eastAsia"/>
        </w:rPr>
        <w:t xml:space="preserve">於2020年12月31日</w:t>
      </w:r>
    </w:p>
    <w:p>
      <w:pPr>
        <w:pStyle w:val="BodyText"/>
      </w:pPr>
      <w:r>
        <w:rPr>
          <w:rFonts w:hint="eastAsia"/>
        </w:rPr>
        <w:t xml:space="preserve">報告期末所持資產及負債於合併收入表投資</w:t>
      </w:r>
      <w:r>
        <w:br/>
      </w:r>
      <w:r>
        <w:rPr>
          <w:rFonts w:hint="eastAsia"/>
        </w:rPr>
        <w:t xml:space="preserve">回報及其他開支項下之未變現收益或虧損</w:t>
      </w:r>
      <w:r>
        <w:br/>
      </w:r>
      <w:r>
        <w:rPr>
          <w:rFonts w:hint="eastAsia"/>
        </w:rPr>
        <w:t xml:space="preserve">之變動</w:t>
      </w:r>
    </w:p>
    <w:p>
      <w:pPr>
        <w:pStyle w:val="BodyText"/>
      </w:pPr>
      <w:r>
        <w:rPr>
          <w:rFonts w:hint="eastAsia"/>
        </w:rPr>
        <w:t xml:space="preserve">持作</w:t>
      </w:r>
      <w:r>
        <w:br/>
      </w:r>
      <w:r>
        <w:rPr>
          <w:rFonts w:hint="eastAsia"/>
        </w:rPr>
        <w:t xml:space="preserve">自用物業</w:t>
      </w:r>
    </w:p>
    <w:p>
      <w:pPr>
        <w:pStyle w:val="BodyText"/>
      </w:pPr>
      <w:r>
        <w:rPr>
          <w:rFonts w:hint="eastAsia"/>
        </w:rPr>
        <w:t xml:space="preserve">投資物業</w:t>
      </w:r>
    </w:p>
    <w:p>
      <w:pPr>
        <w:pStyle w:val="BodyText"/>
      </w:pPr>
      <w:r>
        <w:rPr>
          <w:rFonts w:hint="eastAsia"/>
        </w:rPr>
        <w:t xml:space="preserve">債務證券</w:t>
      </w:r>
    </w:p>
    <w:p>
      <w:pPr>
        <w:pStyle w:val="BodyText"/>
      </w:pPr>
      <w:r>
        <w:rPr>
          <w:rFonts w:hint="eastAsia"/>
        </w:rPr>
        <w:t xml:space="preserve">股本證券</w:t>
      </w:r>
    </w:p>
    <w:p>
      <w:pPr>
        <w:pStyle w:val="BodyText"/>
      </w:pPr>
      <w:r>
        <w:rPr>
          <w:rFonts w:hint="eastAsia"/>
        </w:rPr>
        <w:t xml:space="preserve">衍生金融</w:t>
      </w:r>
      <w:r>
        <w:br/>
      </w:r>
      <w:r>
        <w:rPr>
          <w:rFonts w:hint="eastAsia"/>
        </w:rPr>
        <w:t xml:space="preserve">資產</w:t>
      </w:r>
      <w:r>
        <w:t xml:space="preserve"> </w:t>
      </w:r>
      <w:r>
        <w:rPr>
          <w:rFonts w:hint="eastAsia"/>
        </w:rPr>
        <w:t xml:space="preserve">∕（負債）</w:t>
      </w:r>
    </w:p>
    <w:p>
      <w:pPr>
        <w:pStyle w:val="BodyText"/>
      </w:pPr>
      <w:r>
        <w:rPr>
          <w:rFonts w:hint="eastAsia"/>
        </w:rPr>
        <w:t xml:space="preserve">投資合約</w:t>
      </w:r>
    </w:p>
    <w:p>
      <w:pPr>
        <w:pStyle w:val="BodyText"/>
      </w:pPr>
      <w:r>
        <w:t xml:space="preserve">1,019</w:t>
      </w:r>
    </w:p>
    <w:p>
      <w:pPr>
        <w:pStyle w:val="BodyText"/>
      </w:pPr>
      <w:r>
        <w:t xml:space="preserve">4,834</w:t>
      </w:r>
    </w:p>
    <w:p>
      <w:pPr>
        <w:pStyle w:val="BodyText"/>
      </w:pPr>
      <w:r>
        <w:t xml:space="preserve">2,134</w:t>
      </w:r>
    </w:p>
    <w:p>
      <w:pPr>
        <w:pStyle w:val="BodyText"/>
      </w:pPr>
      <w:r>
        <w:t xml:space="preserve">2,412</w:t>
      </w:r>
    </w:p>
    <w:p>
      <w:pPr>
        <w:pStyle w:val="BodyText"/>
      </w:pPr>
      <w:r>
        <w:t xml:space="preserve">–</w:t>
      </w:r>
    </w:p>
    <w:p>
      <w:pPr>
        <w:pStyle w:val="BodyText"/>
      </w:pPr>
      <w:r>
        <w:t xml:space="preserve">–</w:t>
      </w:r>
    </w:p>
    <w:p>
      <w:pPr>
        <w:pStyle w:val="BodyText"/>
      </w:pPr>
      <w:r>
        <w:t xml:space="preserve">–</w:t>
      </w:r>
    </w:p>
    <w:p>
      <w:pPr>
        <w:pStyle w:val="FirstParagraph"/>
      </w:pPr>
      <w:r>
        <w:t xml:space="preserve">3</w:t>
      </w:r>
    </w:p>
    <w:p>
      <w:pPr>
        <w:pStyle w:val="BodyText"/>
      </w:pPr>
      <w:r>
        <w:t xml:space="preserve">18</w:t>
      </w:r>
    </w:p>
    <w:p>
      <w:pPr>
        <w:pStyle w:val="BodyText"/>
      </w:pPr>
      <w:r>
        <w:t xml:space="preserve">–</w:t>
      </w:r>
    </w:p>
    <w:p>
      <w:pPr>
        <w:pStyle w:val="BodyText"/>
      </w:pPr>
      <w:r>
        <w:t xml:space="preserve">–</w:t>
      </w:r>
    </w:p>
    <w:p>
      <w:pPr>
        <w:pStyle w:val="BodyText"/>
      </w:pPr>
      <w:r>
        <w:t xml:space="preserve">–</w:t>
      </w:r>
    </w:p>
    <w:p>
      <w:pPr>
        <w:pStyle w:val="BodyText"/>
      </w:pPr>
      <w:r>
        <w:t xml:space="preserve">69</w:t>
      </w:r>
    </w:p>
    <w:p>
      <w:pPr>
        <w:pStyle w:val="BodyText"/>
      </w:pPr>
      <w:r>
        <w:t xml:space="preserve">29</w:t>
      </w:r>
    </w:p>
    <w:p>
      <w:pPr>
        <w:pStyle w:val="FirstParagraph"/>
      </w:pPr>
      <w:r>
        <w:t xml:space="preserve">–</w:t>
      </w:r>
    </w:p>
    <w:p>
      <w:pPr>
        <w:pStyle w:val="BodyText"/>
      </w:pPr>
      <w:r>
        <w:t xml:space="preserve">–</w:t>
      </w:r>
    </w:p>
    <w:p>
      <w:pPr>
        <w:pStyle w:val="BodyText"/>
      </w:pPr>
      <w:r>
        <w:t xml:space="preserve">99</w:t>
      </w:r>
    </w:p>
    <w:p>
      <w:pPr>
        <w:pStyle w:val="BodyText"/>
      </w:pPr>
      <w:r>
        <w:t xml:space="preserve">798</w:t>
      </w:r>
    </w:p>
    <w:p>
      <w:pPr>
        <w:pStyle w:val="FirstParagraph"/>
      </w:pPr>
      <w:r>
        <w:t xml:space="preserve">43</w:t>
      </w:r>
    </w:p>
    <w:p>
      <w:pPr>
        <w:pStyle w:val="BodyText"/>
      </w:pPr>
      <w:r>
        <w:t xml:space="preserve">–</w:t>
      </w:r>
    </w:p>
    <w:p>
      <w:pPr>
        <w:pStyle w:val="BodyText"/>
      </w:pPr>
      <w:r>
        <w:t xml:space="preserve">75</w:t>
      </w:r>
    </w:p>
    <w:p>
      <w:pPr>
        <w:pStyle w:val="BodyText"/>
      </w:pPr>
      <w:r>
        <w:t xml:space="preserve">80</w:t>
      </w:r>
    </w:p>
    <w:p>
      <w:pPr>
        <w:pStyle w:val="BodyText"/>
      </w:pPr>
      <w:r>
        <w:t xml:space="preserve">1,141</w:t>
      </w:r>
    </w:p>
    <w:p>
      <w:pPr>
        <w:pStyle w:val="FirstParagraph"/>
      </w:pPr>
      <w:r>
        <w:t xml:space="preserve">–</w:t>
      </w:r>
    </w:p>
    <w:p>
      <w:pPr>
        <w:pStyle w:val="BodyText"/>
      </w:pPr>
      <w:r>
        <w:t xml:space="preserve">100</w:t>
      </w:r>
    </w:p>
    <w:p>
      <w:pPr>
        <w:pStyle w:val="BodyText"/>
      </w:pPr>
      <w:r>
        <w:t xml:space="preserve">1,025</w:t>
      </w:r>
    </w:p>
    <w:p>
      <w:pPr>
        <w:pStyle w:val="BodyText"/>
      </w:pPr>
      <w:r>
        <w:t xml:space="preserve">4,639</w:t>
      </w:r>
    </w:p>
    <w:p>
      <w:pPr>
        <w:pStyle w:val="BodyText"/>
      </w:pPr>
      <w:r>
        <w:t xml:space="preserve">2,502</w:t>
      </w:r>
    </w:p>
    <w:p>
      <w:pPr>
        <w:pStyle w:val="BodyText"/>
      </w:pPr>
      <w:r>
        <w:t xml:space="preserve">3,550</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(11,391)</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(12,026)</w:t>
      </w:r>
    </w:p>
    <w:p>
      <w:pPr>
        <w:pStyle w:val="BodyText"/>
      </w:pPr>
      <w:r>
        <w:t xml:space="preserve">–</w:t>
      </w:r>
    </w:p>
    <w:p>
      <w:pPr>
        <w:pStyle w:val="BodyText"/>
      </w:pPr>
      <w:r>
        <w:t xml:space="preserve">214</w:t>
      </w:r>
    </w:p>
    <w:p>
      <w:pPr>
        <w:pStyle w:val="BodyText"/>
      </w:pPr>
      <w:r>
        <w:rPr>
          <w:rFonts w:hint="eastAsia"/>
        </w:rPr>
        <w:t xml:space="preserve">友邦保險控股有限公司</w:t>
      </w:r>
    </w:p>
    <w:p>
      <w:pPr>
        <w:pStyle w:val="Compact"/>
        <w:numPr>
          <w:ilvl w:val="0"/>
          <w:numId w:val="1422"/>
        </w:numPr>
      </w:pPr>
      <w:r>
        <w:rPr>
          <w:rFonts w:hint="eastAsia"/>
        </w:rPr>
        <w:t xml:space="preserve">公平值計量（續）</w:t>
      </w:r>
    </w:p>
    <w:p>
      <w:pPr>
        <w:pStyle w:val="FirstParagraph"/>
      </w:pPr>
      <w:r>
        <w:rPr>
          <w:rFonts w:hint="eastAsia"/>
        </w:rPr>
        <w:t xml:space="preserve">經常性按公平值計量的公平值等級（續）</w:t>
      </w:r>
    </w:p>
    <w:p>
      <w:pPr>
        <w:pStyle w:val="BodyText"/>
      </w:pPr>
      <w:r>
        <w:rPr>
          <w:rFonts w:hint="eastAsia"/>
        </w:rPr>
        <w:t xml:space="preserve">第三級別資產及負債（續）</w:t>
      </w:r>
    </w:p>
    <w:p>
      <w:pPr>
        <w:pStyle w:val="BodyText"/>
      </w:pPr>
      <w:r>
        <w:rPr>
          <w:rFonts w:hint="eastAsia"/>
        </w:rPr>
        <w:t xml:space="preserve">百萬美元</w:t>
      </w:r>
    </w:p>
    <w:p>
      <w:pPr>
        <w:pStyle w:val="BodyText"/>
      </w:pPr>
      <w:r>
        <w:rPr>
          <w:rFonts w:hint="eastAsia"/>
        </w:rPr>
        <w:t xml:space="preserve">於2019年1月1日</w:t>
      </w:r>
    </w:p>
    <w:p>
      <w:pPr>
        <w:pStyle w:val="BodyText"/>
      </w:pPr>
      <w:r>
        <w:rPr>
          <w:rFonts w:hint="eastAsia"/>
        </w:rPr>
        <w:t xml:space="preserve">投資合約負債的變動淨額</w:t>
      </w:r>
    </w:p>
    <w:p>
      <w:pPr>
        <w:pStyle w:val="BodyText"/>
      </w:pPr>
      <w:r>
        <w:rPr>
          <w:rFonts w:hint="eastAsia"/>
        </w:rPr>
        <w:t xml:space="preserve">總收益</w:t>
      </w:r>
      <w:r>
        <w:t xml:space="preserve"> </w:t>
      </w:r>
      <w:r>
        <w:rPr>
          <w:rFonts w:hint="eastAsia"/>
        </w:rPr>
        <w:t xml:space="preserve">∕（虧損）</w:t>
      </w:r>
    </w:p>
    <w:p>
      <w:pPr>
        <w:pStyle w:val="BodyText"/>
      </w:pPr>
      <w:r>
        <w:rPr>
          <w:rFonts w:hint="eastAsia"/>
        </w:rPr>
        <w:t xml:space="preserve">於合併收入表內投資回報及其他開支項下</w:t>
      </w:r>
    </w:p>
    <w:p>
      <w:pPr>
        <w:pStyle w:val="BodyText"/>
      </w:pPr>
      <w:r>
        <w:rPr>
          <w:rFonts w:hint="eastAsia"/>
        </w:rPr>
        <w:t xml:space="preserve">呈報</w:t>
      </w:r>
    </w:p>
    <w:p>
      <w:pPr>
        <w:pStyle w:val="BodyText"/>
      </w:pPr>
      <w:r>
        <w:rPr>
          <w:rFonts w:hint="eastAsia"/>
        </w:rPr>
        <w:t xml:space="preserve">於合併全面收入表內公平值準備金、外幣</w:t>
      </w:r>
      <w:r>
        <w:br/>
      </w:r>
      <w:r>
        <w:rPr>
          <w:rFonts w:hint="eastAsia"/>
        </w:rPr>
        <w:t xml:space="preserve">換算準備金及物業重估準備金項下呈報</w:t>
      </w:r>
    </w:p>
    <w:p>
      <w:pPr>
        <w:pStyle w:val="BodyText"/>
      </w:pPr>
      <w:r>
        <w:rPr>
          <w:rFonts w:hint="eastAsia"/>
        </w:rPr>
        <w:t xml:space="preserve">收購附屬公司</w:t>
      </w:r>
    </w:p>
    <w:p>
      <w:pPr>
        <w:pStyle w:val="BodyText"/>
      </w:pPr>
      <w:r>
        <w:rPr>
          <w:rFonts w:hint="eastAsia"/>
        </w:rPr>
        <w:t xml:space="preserve">轉撥自投資物業</w:t>
      </w:r>
    </w:p>
    <w:p>
      <w:pPr>
        <w:pStyle w:val="BodyText"/>
      </w:pPr>
      <w:r>
        <w:rPr>
          <w:rFonts w:hint="eastAsia"/>
        </w:rPr>
        <w:t xml:space="preserve">購買</w:t>
      </w:r>
    </w:p>
    <w:p>
      <w:pPr>
        <w:pStyle w:val="BodyText"/>
      </w:pPr>
      <w:r>
        <w:rPr>
          <w:rFonts w:hint="eastAsia"/>
        </w:rPr>
        <w:t xml:space="preserve">銷售</w:t>
      </w:r>
    </w:p>
    <w:p>
      <w:pPr>
        <w:pStyle w:val="BodyText"/>
      </w:pPr>
      <w:r>
        <w:rPr>
          <w:rFonts w:hint="eastAsia"/>
        </w:rPr>
        <w:t xml:space="preserve">結算</w:t>
      </w:r>
    </w:p>
    <w:p>
      <w:pPr>
        <w:pStyle w:val="BodyText"/>
      </w:pPr>
      <w:r>
        <w:rPr>
          <w:rFonts w:hint="eastAsia"/>
        </w:rPr>
        <w:t xml:space="preserve">轉出第三級別</w:t>
      </w:r>
    </w:p>
    <w:p>
      <w:pPr>
        <w:pStyle w:val="BodyText"/>
      </w:pPr>
      <w:r>
        <w:rPr>
          <w:rFonts w:hint="eastAsia"/>
        </w:rPr>
        <w:t xml:space="preserve">於2019年12月31日</w:t>
      </w:r>
    </w:p>
    <w:p>
      <w:pPr>
        <w:pStyle w:val="BodyText"/>
      </w:pPr>
      <w:r>
        <w:rPr>
          <w:rFonts w:hint="eastAsia"/>
        </w:rPr>
        <w:t xml:space="preserve">報告期末所持資產及負債於合併收入表投資</w:t>
      </w:r>
      <w:r>
        <w:br/>
      </w:r>
      <w:r>
        <w:rPr>
          <w:rFonts w:hint="eastAsia"/>
        </w:rPr>
        <w:t xml:space="preserve">回報及其他開支項下之未變現收益或虧損</w:t>
      </w:r>
      <w:r>
        <w:br/>
      </w:r>
      <w:r>
        <w:rPr>
          <w:rFonts w:hint="eastAsia"/>
        </w:rPr>
        <w:t xml:space="preserve">之變動</w:t>
      </w:r>
    </w:p>
    <w:p>
      <w:pPr>
        <w:pStyle w:val="BodyText"/>
      </w:pPr>
      <w:r>
        <w:rPr>
          <w:rFonts w:hint="eastAsia"/>
        </w:rPr>
        <w:t xml:space="preserve">投資物業</w:t>
      </w:r>
    </w:p>
    <w:p>
      <w:pPr>
        <w:pStyle w:val="BodyText"/>
      </w:pPr>
      <w:r>
        <w:rPr>
          <w:rFonts w:hint="eastAsia"/>
        </w:rPr>
        <w:t xml:space="preserve">債務證券</w:t>
      </w:r>
    </w:p>
    <w:p>
      <w:pPr>
        <w:pStyle w:val="BodyText"/>
      </w:pPr>
      <w:r>
        <w:rPr>
          <w:rFonts w:hint="eastAsia"/>
        </w:rPr>
        <w:t xml:space="preserve">股本證券</w:t>
      </w:r>
    </w:p>
    <w:p>
      <w:pPr>
        <w:pStyle w:val="BodyText"/>
      </w:pPr>
      <w:r>
        <w:rPr>
          <w:rFonts w:hint="eastAsia"/>
        </w:rPr>
        <w:t xml:space="preserve">衍生金融</w:t>
      </w:r>
      <w:r>
        <w:br/>
      </w:r>
      <w:r>
        <w:rPr>
          <w:rFonts w:hint="eastAsia"/>
        </w:rPr>
        <w:t xml:space="preserve">資產</w:t>
      </w:r>
      <w:r>
        <w:t xml:space="preserve"> </w:t>
      </w:r>
      <w:r>
        <w:rPr>
          <w:rFonts w:hint="eastAsia"/>
        </w:rPr>
        <w:t xml:space="preserve">∕（負債）</w:t>
      </w:r>
    </w:p>
    <w:p>
      <w:pPr>
        <w:pStyle w:val="BodyText"/>
      </w:pPr>
      <w:r>
        <w:rPr>
          <w:rFonts w:hint="eastAsia"/>
        </w:rPr>
        <w:t xml:space="preserve">投資合約</w:t>
      </w:r>
    </w:p>
    <w:p>
      <w:pPr>
        <w:pStyle w:val="BodyText"/>
      </w:pPr>
      <w:r>
        <w:rPr>
          <w:rFonts w:hint="eastAsia"/>
        </w:rPr>
        <w:t xml:space="preserve">持作</w:t>
      </w:r>
      <w:r>
        <w:br/>
      </w:r>
      <w:r>
        <w:rPr>
          <w:rFonts w:hint="eastAsia"/>
        </w:rPr>
        <w:t xml:space="preserve">自用物業</w:t>
      </w:r>
    </w:p>
    <w:p>
      <w:pPr>
        <w:pStyle w:val="BodyText"/>
      </w:pPr>
      <w:r>
        <w:t xml:space="preserve">982</w:t>
      </w:r>
    </w:p>
    <w:p>
      <w:pPr>
        <w:pStyle w:val="BodyText"/>
      </w:pPr>
      <w:r>
        <w:t xml:space="preserve">–</w:t>
      </w:r>
    </w:p>
    <w:p>
      <w:pPr>
        <w:pStyle w:val="BodyText"/>
      </w:pPr>
      <w:r>
        <w:t xml:space="preserve">4,794</w:t>
      </w:r>
    </w:p>
    <w:p>
      <w:pPr>
        <w:pStyle w:val="BodyText"/>
      </w:pPr>
      <w:r>
        <w:t xml:space="preserve">1,850</w:t>
      </w:r>
    </w:p>
    <w:p>
      <w:pPr>
        <w:pStyle w:val="BodyText"/>
      </w:pPr>
      <w:r>
        <w:t xml:space="preserve">1,333</w:t>
      </w:r>
    </w:p>
    <w:p>
      <w:pPr>
        <w:pStyle w:val="BodyText"/>
      </w:pPr>
      <w:r>
        <w:t xml:space="preserve">–</w:t>
      </w:r>
    </w:p>
    <w:p>
      <w:pPr>
        <w:pStyle w:val="BodyText"/>
      </w:pPr>
      <w:r>
        <w:t xml:space="preserve">–</w:t>
      </w:r>
    </w:p>
    <w:p>
      <w:pPr>
        <w:pStyle w:val="BodyText"/>
      </w:pPr>
      <w:r>
        <w:t xml:space="preserve">–</w:t>
      </w:r>
    </w:p>
    <w:p>
      <w:pPr>
        <w:pStyle w:val="FirstParagraph"/>
      </w:pPr>
      <w:r>
        <w:t xml:space="preserve">103</w:t>
      </w:r>
    </w:p>
    <w:p>
      <w:pPr>
        <w:pStyle w:val="FirstParagraph"/>
      </w:pPr>
      <w:r>
        <w:t xml:space="preserve">44</w:t>
      </w:r>
    </w:p>
    <w:p>
      <w:pPr>
        <w:pStyle w:val="BodyText"/>
      </w:pPr>
      <w:r>
        <w:t xml:space="preserve">–</w:t>
      </w:r>
    </w:p>
    <w:p>
      <w:pPr>
        <w:pStyle w:val="BodyText"/>
      </w:pPr>
      <w:r>
        <w:t xml:space="preserve">9</w:t>
      </w:r>
    </w:p>
    <w:p>
      <w:pPr>
        <w:pStyle w:val="BodyText"/>
      </w:pPr>
      <w:r>
        <w:t xml:space="preserve">10</w:t>
      </w:r>
    </w:p>
    <w:p>
      <w:pPr>
        <w:pStyle w:val="BodyText"/>
      </w:pPr>
      <w:r>
        <w:t xml:space="preserve">–</w:t>
      </w:r>
    </w:p>
    <w:p>
      <w:pPr>
        <w:pStyle w:val="BodyText"/>
      </w:pPr>
      <w:r>
        <w:t xml:space="preserve">–</w:t>
      </w:r>
    </w:p>
    <w:p>
      <w:pPr>
        <w:pStyle w:val="BodyText"/>
      </w:pPr>
      <w:r>
        <w:t xml:space="preserve">–</w:t>
      </w:r>
    </w:p>
    <w:p>
      <w:pPr>
        <w:pStyle w:val="BodyText"/>
      </w:pPr>
      <w:r>
        <w:t xml:space="preserve">60</w:t>
      </w:r>
    </w:p>
    <w:p>
      <w:pPr>
        <w:pStyle w:val="BodyText"/>
      </w:pPr>
      <w:r>
        <w:t xml:space="preserve">–</w:t>
      </w:r>
    </w:p>
    <w:p>
      <w:pPr>
        <w:pStyle w:val="FirstParagraph"/>
      </w:pPr>
      <w:r>
        <w:t xml:space="preserve">9</w:t>
      </w:r>
    </w:p>
    <w:p>
      <w:pPr>
        <w:pStyle w:val="FirstParagraph"/>
      </w:pPr>
      <w:r>
        <w:t xml:space="preserve">–</w:t>
      </w:r>
    </w:p>
    <w:p>
      <w:pPr>
        <w:pStyle w:val="FirstParagraph"/>
      </w:pPr>
      <w:r>
        <w:t xml:space="preserve">247</w:t>
      </w:r>
    </w:p>
    <w:p>
      <w:pPr>
        <w:pStyle w:val="BodyText"/>
      </w:pPr>
      <w:r>
        <w:t xml:space="preserve">–</w:t>
      </w:r>
    </w:p>
    <w:p>
      <w:pPr>
        <w:pStyle w:val="BodyText"/>
      </w:pPr>
      <w:r>
        <w:t xml:space="preserve">559</w:t>
      </w:r>
    </w:p>
    <w:p>
      <w:pPr>
        <w:pStyle w:val="FirstParagraph"/>
      </w:pPr>
      <w:r>
        <w:t xml:space="preserve">–</w:t>
      </w:r>
    </w:p>
    <w:p>
      <w:pPr>
        <w:pStyle w:val="FirstParagraph"/>
      </w:pPr>
      <w:r>
        <w:t xml:space="preserve">24</w:t>
      </w:r>
    </w:p>
    <w:p>
      <w:pPr>
        <w:pStyle w:val="BodyText"/>
      </w:pPr>
      <w:r>
        <w:t xml:space="preserve">448</w:t>
      </w:r>
    </w:p>
    <w:p>
      <w:pPr>
        <w:pStyle w:val="BodyText"/>
      </w:pPr>
      <w:r>
        <w:t xml:space="preserve">–</w:t>
      </w:r>
    </w:p>
    <w:p>
      <w:pPr>
        <w:pStyle w:val="BodyText"/>
      </w:pPr>
      <w:r>
        <w:t xml:space="preserve">706</w:t>
      </w:r>
    </w:p>
    <w:p>
      <w:pPr>
        <w:pStyle w:val="FirstParagraph"/>
      </w:pPr>
      <w:r>
        <w:t xml:space="preserve">–</w:t>
      </w:r>
    </w:p>
    <w:p>
      <w:pPr>
        <w:pStyle w:val="FirstParagraph"/>
      </w:pPr>
      <w:r>
        <w:t xml:space="preserve">1,019</w:t>
      </w:r>
    </w:p>
    <w:p>
      <w:pPr>
        <w:pStyle w:val="BodyText"/>
      </w:pPr>
      <w:r>
        <w:t xml:space="preserve">4,834</w:t>
      </w:r>
    </w:p>
    <w:p>
      <w:pPr>
        <w:pStyle w:val="BodyText"/>
      </w:pPr>
      <w:r>
        <w:t xml:space="preserve">2,134</w:t>
      </w:r>
    </w:p>
    <w:p>
      <w:pPr>
        <w:pStyle w:val="BodyText"/>
      </w:pPr>
      <w:r>
        <w:t xml:space="preserve">2,412</w:t>
      </w:r>
    </w:p>
    <w:p>
      <w:pPr>
        <w:pStyle w:val="FirstParagraph"/>
      </w:pPr>
      <w:r>
        <w:t xml:space="preserve">103</w:t>
      </w:r>
    </w:p>
    <w:p>
      <w:pPr>
        <w:pStyle w:val="FirstParagraph"/>
      </w:pPr>
      <w:r>
        <w:t xml:space="preserve">19</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(6,907)</w:t>
      </w:r>
    </w:p>
    <w:p>
      <w:pPr>
        <w:pStyle w:val="FirstParagraph"/>
      </w:pPr>
      <w:r>
        <w:t xml:space="preserve">–</w:t>
      </w:r>
    </w:p>
    <w:p>
      <w:pPr>
        <w:pStyle w:val="BodyText"/>
      </w:pPr>
      <w:r>
        <w:t xml:space="preserve">–</w:t>
      </w:r>
    </w:p>
    <w:p>
      <w:pPr>
        <w:pStyle w:val="BodyText"/>
      </w:pPr>
      <w:r>
        <w:t xml:space="preserve">(4,004)</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(11,391)</w:t>
      </w:r>
    </w:p>
    <w:p>
      <w:pPr>
        <w:pStyle w:val="BodyText"/>
      </w:pPr>
      <w:r>
        <w:t xml:space="preserve">–</w:t>
      </w:r>
    </w:p>
    <w:p>
      <w:pPr>
        <w:pStyle w:val="BodyText"/>
      </w:pPr>
      <w:r>
        <w:rPr>
          <w:rFonts w:hint="eastAsia"/>
        </w:rPr>
        <w:t xml:space="preserve">按公平值計算的投資合約負債變動被相關對銷資產組合的變動抵銷。有關投資合約負債的變動詳情載於附註28。</w:t>
      </w:r>
    </w:p>
    <w:p>
      <w:pPr>
        <w:pStyle w:val="BodyText"/>
      </w:pPr>
      <w:r>
        <w:rPr>
          <w:rFonts w:hint="eastAsia"/>
        </w:rPr>
        <w:t xml:space="preserve">轉出第三級別的資產主要指股本證券於年內獲得其市場可觀察參數及已用於釐定其公平值。</w:t>
      </w:r>
    </w:p>
    <w:p>
      <w:pPr>
        <w:pStyle w:val="BodyText"/>
      </w:pPr>
      <w:r>
        <w:rPr>
          <w:rFonts w:hint="eastAsia"/>
        </w:rPr>
        <w:t xml:space="preserve">由於所採納模型已採用初步交易價格校準，故初始確認的公平值與採用估值方法釐定的金額並無任何差別。</w:t>
      </w:r>
    </w:p>
    <w:p>
      <w:pPr>
        <w:pStyle w:val="BodyText"/>
      </w:pPr>
      <w:r>
        <w:t xml:space="preserve">215</w:t>
      </w:r>
    </w:p>
    <w:p>
      <w:pPr>
        <w:pStyle w:val="BodyText"/>
      </w:pPr>
      <w:r>
        <w:rPr>
          <w:rFonts w:hint="eastAsia"/>
        </w:rPr>
        <w:t xml:space="preserve">概覽財務及營運回顧企業管治其他資料財務報表2020年報</w:t>
      </w:r>
    </w:p>
    <w:p>
      <w:pPr>
        <w:pStyle w:val="Compact"/>
        <w:numPr>
          <w:ilvl w:val="0"/>
          <w:numId w:val="1435"/>
        </w:numPr>
      </w:pPr>
      <w:r>
        <w:rPr>
          <w:rFonts w:hint="eastAsia"/>
        </w:rPr>
        <w:t xml:space="preserve">公平值計量（續）</w:t>
      </w:r>
    </w:p>
    <w:p>
      <w:pPr>
        <w:pStyle w:val="FirstParagraph"/>
      </w:pPr>
      <w:r>
        <w:rPr>
          <w:rFonts w:hint="eastAsia"/>
        </w:rPr>
        <w:t xml:space="preserve">第三級別公平值計量的重大不可觀察參數</w:t>
      </w:r>
    </w:p>
    <w:p>
      <w:pPr>
        <w:pStyle w:val="BodyText"/>
      </w:pPr>
      <w:r>
        <w:rPr>
          <w:rFonts w:hint="eastAsia"/>
        </w:rPr>
        <w:t xml:space="preserve">於2020年及2019年12月31日，用於計量本集團第三級別金融工具的估值法及適用的不可觀察參數概要載列如下：</w:t>
      </w:r>
    </w:p>
    <w:p>
      <w:pPr>
        <w:pStyle w:val="BodyText"/>
      </w:pPr>
      <w:r>
        <w:rPr>
          <w:rFonts w:hint="eastAsia"/>
        </w:rPr>
        <w:t xml:space="preserve">類型</w:t>
      </w:r>
    </w:p>
    <w:p>
      <w:pPr>
        <w:pStyle w:val="BodyText"/>
      </w:pPr>
      <w:r>
        <w:rPr>
          <w:rFonts w:hint="eastAsia"/>
        </w:rPr>
        <w:t xml:space="preserve">於2020年12月31日的</w:t>
      </w:r>
      <w:r>
        <w:br/>
      </w:r>
      <w:r>
        <w:rPr>
          <w:rFonts w:hint="eastAsia"/>
        </w:rPr>
        <w:t xml:space="preserve">公平值（百萬美元）</w:t>
      </w:r>
    </w:p>
    <w:p>
      <w:pPr>
        <w:pStyle w:val="BodyText"/>
      </w:pPr>
      <w:r>
        <w:rPr>
          <w:rFonts w:hint="eastAsia"/>
        </w:rPr>
        <w:t xml:space="preserve">估值法</w:t>
      </w:r>
    </w:p>
    <w:p>
      <w:pPr>
        <w:pStyle w:val="BodyText"/>
      </w:pPr>
      <w:r>
        <w:rPr>
          <w:rFonts w:hint="eastAsia"/>
        </w:rPr>
        <w:t xml:space="preserve">不可觀察參數</w:t>
      </w:r>
    </w:p>
    <w:p>
      <w:pPr>
        <w:pStyle w:val="BodyText"/>
      </w:pPr>
      <w:r>
        <w:rPr>
          <w:rFonts w:hint="eastAsia"/>
        </w:rPr>
        <w:t xml:space="preserve">範圍</w:t>
      </w:r>
    </w:p>
    <w:p>
      <w:pPr>
        <w:pStyle w:val="BodyText"/>
      </w:pPr>
      <w:r>
        <w:rPr>
          <w:rFonts w:hint="eastAsia"/>
        </w:rPr>
        <w:t xml:space="preserve">債務證券</w:t>
      </w:r>
    </w:p>
    <w:p>
      <w:pPr>
        <w:pStyle w:val="BodyText"/>
      </w:pPr>
      <w:r>
        <w:t xml:space="preserve">997</w:t>
      </w:r>
    </w:p>
    <w:p>
      <w:pPr>
        <w:pStyle w:val="BodyText"/>
      </w:pPr>
      <w:r>
        <w:rPr>
          <w:rFonts w:hint="eastAsia"/>
        </w:rPr>
        <w:t xml:space="preserve">貼現現金流量</w:t>
      </w:r>
    </w:p>
    <w:p>
      <w:pPr>
        <w:pStyle w:val="BodyText"/>
      </w:pPr>
      <w:r>
        <w:rPr>
          <w:rFonts w:hint="eastAsia"/>
        </w:rPr>
        <w:t xml:space="preserve">風險調整貼現率</w:t>
      </w:r>
    </w:p>
    <w:p>
      <w:pPr>
        <w:pStyle w:val="BodyText"/>
      </w:pPr>
      <w:r>
        <w:t xml:space="preserve">3.40% – 10.40%</w:t>
      </w:r>
    </w:p>
    <w:p>
      <w:pPr>
        <w:pStyle w:val="BodyText"/>
      </w:pPr>
      <w:r>
        <w:rPr>
          <w:rFonts w:hint="eastAsia"/>
        </w:rPr>
        <w:t xml:space="preserve">類型</w:t>
      </w:r>
    </w:p>
    <w:p>
      <w:pPr>
        <w:pStyle w:val="BodyText"/>
      </w:pPr>
      <w:r>
        <w:rPr>
          <w:rFonts w:hint="eastAsia"/>
        </w:rPr>
        <w:t xml:space="preserve">於2019年12月31日的</w:t>
      </w:r>
      <w:r>
        <w:br/>
      </w:r>
      <w:r>
        <w:rPr>
          <w:rFonts w:hint="eastAsia"/>
        </w:rPr>
        <w:t xml:space="preserve">公平值（百萬美元）</w:t>
      </w:r>
    </w:p>
    <w:p>
      <w:pPr>
        <w:pStyle w:val="BodyText"/>
      </w:pPr>
      <w:r>
        <w:rPr>
          <w:rFonts w:hint="eastAsia"/>
        </w:rPr>
        <w:t xml:space="preserve">估值法</w:t>
      </w:r>
    </w:p>
    <w:p>
      <w:pPr>
        <w:pStyle w:val="BodyText"/>
      </w:pPr>
      <w:r>
        <w:rPr>
          <w:rFonts w:hint="eastAsia"/>
        </w:rPr>
        <w:t xml:space="preserve">不可觀察參數</w:t>
      </w:r>
    </w:p>
    <w:p>
      <w:pPr>
        <w:pStyle w:val="BodyText"/>
      </w:pPr>
      <w:r>
        <w:rPr>
          <w:rFonts w:hint="eastAsia"/>
        </w:rPr>
        <w:t xml:space="preserve">範圍</w:t>
      </w:r>
    </w:p>
    <w:p>
      <w:pPr>
        <w:pStyle w:val="BodyText"/>
      </w:pPr>
      <w:r>
        <w:rPr>
          <w:rFonts w:hint="eastAsia"/>
        </w:rPr>
        <w:t xml:space="preserve">債務證券</w:t>
      </w:r>
    </w:p>
    <w:p>
      <w:pPr>
        <w:pStyle w:val="BodyText"/>
      </w:pPr>
      <w:r>
        <w:t xml:space="preserve">817</w:t>
      </w:r>
    </w:p>
    <w:p>
      <w:pPr>
        <w:pStyle w:val="BodyText"/>
      </w:pPr>
      <w:r>
        <w:rPr>
          <w:rFonts w:hint="eastAsia"/>
        </w:rPr>
        <w:t xml:space="preserve">貼現現金流量</w:t>
      </w:r>
    </w:p>
    <w:p>
      <w:pPr>
        <w:pStyle w:val="BodyText"/>
      </w:pPr>
      <w:r>
        <w:rPr>
          <w:rFonts w:hint="eastAsia"/>
        </w:rPr>
        <w:t xml:space="preserve">風險調整貼現率</w:t>
      </w:r>
    </w:p>
    <w:p>
      <w:pPr>
        <w:pStyle w:val="BodyText"/>
      </w:pPr>
      <w:r>
        <w:t xml:space="preserve">3.69% – 14.14%</w:t>
      </w:r>
    </w:p>
    <w:p>
      <w:pPr>
        <w:pStyle w:val="BodyText"/>
      </w:pPr>
      <w:r>
        <w:rPr>
          <w:rFonts w:hint="eastAsia"/>
        </w:rPr>
        <w:t xml:space="preserve">本集團物業的公平值乃根據適當的估值技巧釐定，適當的估值技巧可能計及（其中包括）收入預測、可比較物業價值及對規</w:t>
      </w:r>
    </w:p>
    <w:p>
      <w:pPr>
        <w:pStyle w:val="BodyText"/>
      </w:pPr>
      <w:r>
        <w:rPr>
          <w:rFonts w:hint="eastAsia"/>
        </w:rPr>
        <w:t xml:space="preserve">模、位置、質量及預期用途等因素的調整。該等估值參數視為不可觀察。</w:t>
      </w:r>
    </w:p>
    <w:p>
      <w:pPr>
        <w:pStyle w:val="BodyText"/>
      </w:pPr>
      <w:r>
        <w:rPr>
          <w:rFonts w:hint="eastAsia"/>
        </w:rPr>
        <w:t xml:space="preserve">估值過程</w:t>
      </w:r>
    </w:p>
    <w:p>
      <w:pPr>
        <w:pStyle w:val="BodyText"/>
      </w:pPr>
      <w:r>
        <w:rPr>
          <w:rFonts w:hint="eastAsia"/>
        </w:rPr>
        <w:t xml:space="preserve">本集團已採納適當估值政策、程序及分析以管理就財務申報目的而言所需的金融資產估值，包括第三級別公平值。於釐定金</w:t>
      </w:r>
    </w:p>
    <w:p>
      <w:pPr>
        <w:pStyle w:val="BodyText"/>
      </w:pPr>
      <w:r>
        <w:rPr>
          <w:rFonts w:hint="eastAsia"/>
        </w:rPr>
        <w:t xml:space="preserve">融資產的公平值時，本集團一般會使用私人定價提供者提供之定價，及僅在極少數情況下（當第三方價格並不存在時），使</w:t>
      </w:r>
    </w:p>
    <w:p>
      <w:pPr>
        <w:pStyle w:val="BodyText"/>
      </w:pPr>
      <w:r>
        <w:rPr>
          <w:rFonts w:hint="eastAsia"/>
        </w:rPr>
        <w:t xml:space="preserve">用由內部模型得出的價格。各業務單位的投資總監須檢討所用價格的合理性並報告價格異常（如有）。集團投資團隊會分析</w:t>
      </w:r>
    </w:p>
    <w:p>
      <w:pPr>
        <w:pStyle w:val="BodyText"/>
      </w:pPr>
      <w:r>
        <w:rPr>
          <w:rFonts w:hint="eastAsia"/>
        </w:rPr>
        <w:t xml:space="preserve">所呈報的價格異常，檢討私人定價提供者對價格質疑的回應，並就應使用的適當價格提供最終建議。估值政策的任何變動會</w:t>
      </w:r>
    </w:p>
    <w:p>
      <w:pPr>
        <w:pStyle w:val="BodyText"/>
      </w:pPr>
      <w:r>
        <w:rPr>
          <w:rFonts w:hint="eastAsia"/>
        </w:rPr>
        <w:t xml:space="preserve">由集團估值顧問委員會檢討及批准，該程序為本集團廣泛金融風險管理程序的一部分。第二及第三級別公平值變動乃於各報</w:t>
      </w:r>
    </w:p>
    <w:p>
      <w:pPr>
        <w:pStyle w:val="BodyText"/>
      </w:pPr>
      <w:r>
        <w:rPr>
          <w:rFonts w:hint="eastAsia"/>
        </w:rPr>
        <w:t xml:space="preserve">告日期進行分析。</w:t>
      </w:r>
    </w:p>
    <w:p>
      <w:pPr>
        <w:pStyle w:val="BodyText"/>
      </w:pPr>
      <w:r>
        <w:rPr>
          <w:rFonts w:hint="eastAsia"/>
        </w:rPr>
        <w:t xml:space="preserve">本集團使用的主要第三級別參數乃有關債務證券及投資合約的折現率。釐定此等工具公平值的不可觀察參數包括債務人的信</w:t>
      </w:r>
    </w:p>
    <w:p>
      <w:pPr>
        <w:pStyle w:val="BodyText"/>
      </w:pPr>
      <w:r>
        <w:rPr>
          <w:rFonts w:hint="eastAsia"/>
        </w:rPr>
        <w:t xml:space="preserve">貸息差及</w:t>
      </w:r>
      <w:r>
        <w:t xml:space="preserve"> </w:t>
      </w:r>
      <w:r>
        <w:rPr>
          <w:rFonts w:hint="eastAsia"/>
        </w:rPr>
        <w:t xml:space="preserve">∕或流動性息差。任何不可觀察參數的大幅上升</w:t>
      </w:r>
      <w:r>
        <w:t xml:space="preserve"> </w:t>
      </w:r>
      <w:r>
        <w:rPr>
          <w:rFonts w:hint="eastAsia"/>
        </w:rPr>
        <w:t xml:space="preserve">∕（下降）可能導致公平值計量大幅減低</w:t>
      </w:r>
      <w:r>
        <w:t xml:space="preserve"> </w:t>
      </w:r>
      <w:r>
        <w:rPr>
          <w:rFonts w:hint="eastAsia"/>
        </w:rPr>
        <w:t xml:space="preserve">∕（增加）。本集團已聘用私</w:t>
      </w:r>
    </w:p>
    <w:p>
      <w:pPr>
        <w:pStyle w:val="BodyText"/>
      </w:pPr>
      <w:r>
        <w:rPr>
          <w:rFonts w:hint="eastAsia"/>
        </w:rPr>
        <w:t xml:space="preserve">人定價服務收集此等資料。倘未能獲得來自私人定價服務的資料，本集團會使用基於內部釐定估值參數的代理定價法。</w:t>
      </w:r>
    </w:p>
    <w:p>
      <w:pPr>
        <w:pStyle w:val="BodyText"/>
      </w:pPr>
      <w:r>
        <w:t xml:space="preserve">216</w:t>
      </w:r>
    </w:p>
    <w:p>
      <w:pPr>
        <w:pStyle w:val="BodyText"/>
      </w:pPr>
      <w:r>
        <w:rPr>
          <w:rFonts w:hint="eastAsia"/>
        </w:rPr>
        <w:t xml:space="preserve">友邦保險控股有限公司</w:t>
      </w:r>
    </w:p>
    <w:p>
      <w:pPr>
        <w:pStyle w:val="Compact"/>
        <w:numPr>
          <w:ilvl w:val="0"/>
          <w:numId w:val="1436"/>
        </w:numPr>
      </w:pPr>
      <w:r>
        <w:rPr>
          <w:rFonts w:hint="eastAsia"/>
        </w:rPr>
        <w:t xml:space="preserve">公平值計量（續）</w:t>
      </w:r>
    </w:p>
    <w:p>
      <w:pPr>
        <w:pStyle w:val="FirstParagraph"/>
      </w:pPr>
      <w:r>
        <w:rPr>
          <w:rFonts w:hint="eastAsia"/>
        </w:rPr>
        <w:t xml:space="preserve">於報告日期披露的金融及保險資產及負債公平值</w:t>
      </w:r>
    </w:p>
    <w:p>
      <w:pPr>
        <w:pStyle w:val="BodyText"/>
      </w:pPr>
      <w:r>
        <w:rPr>
          <w:rFonts w:hint="eastAsia"/>
        </w:rPr>
        <w:t xml:space="preserve">並非按公平值列賬但公平值已於2020年及2019年12月31日披露的資產及負債的公平值等級概要載列如下。</w:t>
      </w:r>
    </w:p>
    <w:p>
      <w:pPr>
        <w:pStyle w:val="BodyText"/>
      </w:pPr>
      <w:r>
        <w:rPr>
          <w:rFonts w:hint="eastAsia"/>
        </w:rPr>
        <w:t xml:space="preserve">百萬美元</w:t>
      </w:r>
    </w:p>
    <w:p>
      <w:pPr>
        <w:pStyle w:val="BodyText"/>
      </w:pPr>
      <w:r>
        <w:rPr>
          <w:rFonts w:hint="eastAsia"/>
        </w:rPr>
        <w:t xml:space="preserve">2020年12月31日</w:t>
      </w:r>
    </w:p>
    <w:p>
      <w:pPr>
        <w:pStyle w:val="BodyText"/>
      </w:pPr>
      <w:r>
        <w:rPr>
          <w:rFonts w:hint="eastAsia"/>
        </w:rPr>
        <w:t xml:space="preserve">已披露公平值的資產</w:t>
      </w:r>
    </w:p>
    <w:p>
      <w:pPr>
        <w:pStyle w:val="BodyText"/>
      </w:pPr>
      <w:r>
        <w:rPr>
          <w:rFonts w:hint="eastAsia"/>
        </w:rPr>
        <w:t xml:space="preserve">金融資產</w:t>
      </w:r>
    </w:p>
    <w:p>
      <w:pPr>
        <w:pStyle w:val="BodyText"/>
      </w:pPr>
      <w:r>
        <w:rPr>
          <w:rFonts w:hint="eastAsia"/>
        </w:rPr>
        <w:t xml:space="preserve">貸款及存款</w:t>
      </w:r>
    </w:p>
    <w:p>
      <w:pPr>
        <w:pStyle w:val="BodyText"/>
      </w:pPr>
      <w:r>
        <w:rPr>
          <w:rFonts w:hint="eastAsia"/>
        </w:rPr>
        <w:t xml:space="preserve">再保險應收款項</w:t>
      </w:r>
    </w:p>
    <w:p>
      <w:pPr>
        <w:pStyle w:val="BodyText"/>
      </w:pPr>
      <w:r>
        <w:rPr>
          <w:rFonts w:hint="eastAsia"/>
        </w:rPr>
        <w:t xml:space="preserve">其他應收款項</w:t>
      </w:r>
    </w:p>
    <w:p>
      <w:pPr>
        <w:pStyle w:val="BodyText"/>
      </w:pPr>
      <w:r>
        <w:rPr>
          <w:rFonts w:hint="eastAsia"/>
        </w:rPr>
        <w:t xml:space="preserve">應計投資收入</w:t>
      </w:r>
    </w:p>
    <w:p>
      <w:pPr>
        <w:pStyle w:val="BodyText"/>
      </w:pPr>
      <w:r>
        <w:rPr>
          <w:rFonts w:hint="eastAsia"/>
        </w:rPr>
        <w:t xml:space="preserve">現金及現金等價物</w:t>
      </w:r>
    </w:p>
    <w:p>
      <w:pPr>
        <w:pStyle w:val="BodyText"/>
      </w:pPr>
      <w:r>
        <w:rPr>
          <w:rFonts w:hint="eastAsia"/>
        </w:rPr>
        <w:t xml:space="preserve">已披露公平值的總資產</w:t>
      </w:r>
    </w:p>
    <w:p>
      <w:pPr>
        <w:pStyle w:val="BodyText"/>
      </w:pPr>
      <w:r>
        <w:rPr>
          <w:rFonts w:hint="eastAsia"/>
        </w:rPr>
        <w:t xml:space="preserve">已披露公平值的負債</w:t>
      </w:r>
    </w:p>
    <w:p>
      <w:pPr>
        <w:pStyle w:val="BodyText"/>
      </w:pPr>
      <w:r>
        <w:rPr>
          <w:rFonts w:hint="eastAsia"/>
        </w:rPr>
        <w:t xml:space="preserve">金融負債</w:t>
      </w:r>
    </w:p>
    <w:p>
      <w:pPr>
        <w:pStyle w:val="BodyText"/>
      </w:pPr>
      <w:r>
        <w:rPr>
          <w:rFonts w:hint="eastAsia"/>
        </w:rPr>
        <w:t xml:space="preserve">投資合約負債</w:t>
      </w:r>
    </w:p>
    <w:p>
      <w:pPr>
        <w:pStyle w:val="BodyText"/>
      </w:pPr>
      <w:r>
        <w:rPr>
          <w:rFonts w:hint="eastAsia"/>
        </w:rPr>
        <w:t xml:space="preserve">借貸</w:t>
      </w:r>
    </w:p>
    <w:p>
      <w:pPr>
        <w:pStyle w:val="BodyText"/>
      </w:pPr>
      <w:r>
        <w:rPr>
          <w:rFonts w:hint="eastAsia"/>
        </w:rPr>
        <w:t xml:space="preserve">回購協議的債項</w:t>
      </w:r>
    </w:p>
    <w:p>
      <w:pPr>
        <w:pStyle w:val="BodyText"/>
      </w:pPr>
      <w:r>
        <w:rPr>
          <w:rFonts w:hint="eastAsia"/>
        </w:rPr>
        <w:t xml:space="preserve">其他負債</w:t>
      </w:r>
    </w:p>
    <w:p>
      <w:pPr>
        <w:pStyle w:val="BodyText"/>
      </w:pPr>
      <w:r>
        <w:rPr>
          <w:rFonts w:hint="eastAsia"/>
        </w:rPr>
        <w:t xml:space="preserve">已披露公平值的總負債</w:t>
      </w:r>
    </w:p>
    <w:p>
      <w:pPr>
        <w:pStyle w:val="BodyText"/>
      </w:pPr>
      <w:r>
        <w:rPr>
          <w:rFonts w:hint="eastAsia"/>
        </w:rPr>
        <w:t xml:space="preserve">百萬美元</w:t>
      </w:r>
    </w:p>
    <w:p>
      <w:pPr>
        <w:pStyle w:val="BodyText"/>
      </w:pPr>
      <w:r>
        <w:rPr>
          <w:rFonts w:hint="eastAsia"/>
        </w:rPr>
        <w:t xml:space="preserve">2019年12月31日</w:t>
      </w:r>
    </w:p>
    <w:p>
      <w:pPr>
        <w:pStyle w:val="BodyText"/>
      </w:pPr>
      <w:r>
        <w:rPr>
          <w:rFonts w:hint="eastAsia"/>
        </w:rPr>
        <w:t xml:space="preserve">已披露公平值的資產</w:t>
      </w:r>
    </w:p>
    <w:p>
      <w:pPr>
        <w:pStyle w:val="BodyText"/>
      </w:pPr>
      <w:r>
        <w:rPr>
          <w:rFonts w:hint="eastAsia"/>
        </w:rPr>
        <w:t xml:space="preserve">金融資產</w:t>
      </w:r>
    </w:p>
    <w:p>
      <w:pPr>
        <w:pStyle w:val="BodyText"/>
      </w:pPr>
      <w:r>
        <w:rPr>
          <w:rFonts w:hint="eastAsia"/>
        </w:rPr>
        <w:t xml:space="preserve">貸款及存款</w:t>
      </w:r>
    </w:p>
    <w:p>
      <w:pPr>
        <w:pStyle w:val="BodyText"/>
      </w:pPr>
      <w:r>
        <w:rPr>
          <w:rFonts w:hint="eastAsia"/>
        </w:rPr>
        <w:t xml:space="preserve">再保險應收款項</w:t>
      </w:r>
    </w:p>
    <w:p>
      <w:pPr>
        <w:pStyle w:val="BodyText"/>
      </w:pPr>
      <w:r>
        <w:rPr>
          <w:rFonts w:hint="eastAsia"/>
        </w:rPr>
        <w:t xml:space="preserve">其他應收款項</w:t>
      </w:r>
    </w:p>
    <w:p>
      <w:pPr>
        <w:pStyle w:val="BodyText"/>
      </w:pPr>
      <w:r>
        <w:rPr>
          <w:rFonts w:hint="eastAsia"/>
        </w:rPr>
        <w:t xml:space="preserve">應計投資收入</w:t>
      </w:r>
    </w:p>
    <w:p>
      <w:pPr>
        <w:pStyle w:val="BodyText"/>
      </w:pPr>
      <w:r>
        <w:rPr>
          <w:rFonts w:hint="eastAsia"/>
        </w:rPr>
        <w:t xml:space="preserve">現金及現金等價物</w:t>
      </w:r>
    </w:p>
    <w:p>
      <w:pPr>
        <w:pStyle w:val="BodyText"/>
      </w:pPr>
      <w:r>
        <w:rPr>
          <w:rFonts w:hint="eastAsia"/>
        </w:rPr>
        <w:t xml:space="preserve">已披露公平值的總資產</w:t>
      </w:r>
    </w:p>
    <w:p>
      <w:pPr>
        <w:pStyle w:val="BodyText"/>
      </w:pPr>
      <w:r>
        <w:rPr>
          <w:rFonts w:hint="eastAsia"/>
        </w:rPr>
        <w:t xml:space="preserve">已披露公平值的負債</w:t>
      </w:r>
    </w:p>
    <w:p>
      <w:pPr>
        <w:pStyle w:val="BodyText"/>
      </w:pPr>
      <w:r>
        <w:rPr>
          <w:rFonts w:hint="eastAsia"/>
        </w:rPr>
        <w:t xml:space="preserve">金融負債</w:t>
      </w:r>
    </w:p>
    <w:p>
      <w:pPr>
        <w:pStyle w:val="BodyText"/>
      </w:pPr>
      <w:r>
        <w:rPr>
          <w:rFonts w:hint="eastAsia"/>
        </w:rPr>
        <w:t xml:space="preserve">投資合約負債</w:t>
      </w:r>
    </w:p>
    <w:p>
      <w:pPr>
        <w:pStyle w:val="BodyText"/>
      </w:pPr>
      <w:r>
        <w:rPr>
          <w:rFonts w:hint="eastAsia"/>
        </w:rPr>
        <w:t xml:space="preserve">借貸</w:t>
      </w:r>
    </w:p>
    <w:p>
      <w:pPr>
        <w:pStyle w:val="BodyText"/>
      </w:pPr>
      <w:r>
        <w:rPr>
          <w:rFonts w:hint="eastAsia"/>
        </w:rPr>
        <w:t xml:space="preserve">回購協議的債項</w:t>
      </w:r>
    </w:p>
    <w:p>
      <w:pPr>
        <w:pStyle w:val="BodyText"/>
      </w:pPr>
      <w:r>
        <w:rPr>
          <w:rFonts w:hint="eastAsia"/>
        </w:rPr>
        <w:t xml:space="preserve">其他負債</w:t>
      </w:r>
    </w:p>
    <w:p>
      <w:pPr>
        <w:pStyle w:val="BodyText"/>
      </w:pPr>
      <w:r>
        <w:rPr>
          <w:rFonts w:hint="eastAsia"/>
        </w:rPr>
        <w:t xml:space="preserve">已披露公平值的總負債</w:t>
      </w:r>
    </w:p>
    <w:p>
      <w:pPr>
        <w:pStyle w:val="BodyText"/>
      </w:pPr>
      <w:r>
        <w:rPr>
          <w:rFonts w:hint="eastAsia"/>
        </w:rPr>
        <w:t xml:space="preserve">公平值等級</w:t>
      </w:r>
    </w:p>
    <w:p>
      <w:pPr>
        <w:pStyle w:val="BodyText"/>
      </w:pPr>
      <w:r>
        <w:rPr>
          <w:rFonts w:hint="eastAsia"/>
        </w:rPr>
        <w:t xml:space="preserve">第一級別</w:t>
      </w:r>
    </w:p>
    <w:p>
      <w:pPr>
        <w:pStyle w:val="BodyText"/>
      </w:pPr>
      <w:r>
        <w:rPr>
          <w:rFonts w:hint="eastAsia"/>
        </w:rPr>
        <w:t xml:space="preserve">第二級別</w:t>
      </w:r>
    </w:p>
    <w:p>
      <w:pPr>
        <w:pStyle w:val="BodyText"/>
      </w:pPr>
      <w:r>
        <w:rPr>
          <w:rFonts w:hint="eastAsia"/>
        </w:rPr>
        <w:t xml:space="preserve">第三級別</w:t>
      </w:r>
    </w:p>
    <w:p>
      <w:pPr>
        <w:pStyle w:val="BodyText"/>
      </w:pPr>
      <w:r>
        <w:rPr>
          <w:rFonts w:hint="eastAsia"/>
        </w:rPr>
        <w:t xml:space="preserve">總計</w:t>
      </w:r>
    </w:p>
    <w:p>
      <w:pPr>
        <w:pStyle w:val="BodyText"/>
      </w:pPr>
      <w:r>
        <w:t xml:space="preserve">2,153</w:t>
      </w:r>
    </w:p>
    <w:p>
      <w:pPr>
        <w:pStyle w:val="BodyText"/>
      </w:pPr>
      <w:r>
        <w:t xml:space="preserve">–</w:t>
      </w:r>
    </w:p>
    <w:p>
      <w:pPr>
        <w:pStyle w:val="BodyText"/>
      </w:pPr>
      <w:r>
        <w:t xml:space="preserve">27</w:t>
      </w:r>
    </w:p>
    <w:p>
      <w:pPr>
        <w:pStyle w:val="BodyText"/>
      </w:pPr>
      <w:r>
        <w:t xml:space="preserve">37</w:t>
      </w:r>
    </w:p>
    <w:p>
      <w:pPr>
        <w:pStyle w:val="BodyText"/>
      </w:pPr>
      <w:r>
        <w:t xml:space="preserve">5,619</w:t>
      </w:r>
    </w:p>
    <w:p>
      <w:pPr>
        <w:pStyle w:val="BodyText"/>
      </w:pPr>
      <w:r>
        <w:t xml:space="preserve">7,836</w:t>
      </w:r>
    </w:p>
    <w:p>
      <w:pPr>
        <w:pStyle w:val="BodyText"/>
      </w:pPr>
      <w:r>
        <w:t xml:space="preserve">–</w:t>
      </w:r>
    </w:p>
    <w:p>
      <w:pPr>
        <w:pStyle w:val="BodyText"/>
      </w:pPr>
      <w:r>
        <w:t xml:space="preserve">8,132</w:t>
      </w:r>
    </w:p>
    <w:p>
      <w:pPr>
        <w:pStyle w:val="BodyText"/>
      </w:pPr>
      <w:r>
        <w:t xml:space="preserve">–</w:t>
      </w:r>
    </w:p>
    <w:p>
      <w:pPr>
        <w:pStyle w:val="BodyText"/>
      </w:pPr>
      <w:r>
        <w:t xml:space="preserve">575</w:t>
      </w:r>
    </w:p>
    <w:p>
      <w:pPr>
        <w:pStyle w:val="BodyText"/>
      </w:pPr>
      <w:r>
        <w:t xml:space="preserve">8,707</w:t>
      </w:r>
    </w:p>
    <w:p>
      <w:pPr>
        <w:pStyle w:val="BodyText"/>
      </w:pPr>
      <w:r>
        <w:t xml:space="preserve">2,700</w:t>
      </w:r>
    </w:p>
    <w:p>
      <w:pPr>
        <w:pStyle w:val="BodyText"/>
      </w:pPr>
      <w:r>
        <w:t xml:space="preserve">671</w:t>
      </w:r>
    </w:p>
    <w:p>
      <w:pPr>
        <w:pStyle w:val="BodyText"/>
      </w:pPr>
      <w:r>
        <w:t xml:space="preserve">2,975</w:t>
      </w:r>
    </w:p>
    <w:p>
      <w:pPr>
        <w:pStyle w:val="BodyText"/>
      </w:pPr>
      <w:r>
        <w:t xml:space="preserve">1,785</w:t>
      </w:r>
    </w:p>
    <w:p>
      <w:pPr>
        <w:pStyle w:val="BodyText"/>
      </w:pPr>
      <w:r>
        <w:t xml:space="preserve">–</w:t>
      </w:r>
    </w:p>
    <w:p>
      <w:pPr>
        <w:pStyle w:val="BodyText"/>
      </w:pPr>
      <w:r>
        <w:t xml:space="preserve">8,131</w:t>
      </w:r>
    </w:p>
    <w:p>
      <w:pPr>
        <w:pStyle w:val="BodyText"/>
      </w:pPr>
      <w:r>
        <w:t xml:space="preserve">–</w:t>
      </w:r>
    </w:p>
    <w:p>
      <w:pPr>
        <w:pStyle w:val="BodyText"/>
      </w:pPr>
      <w:r>
        <w:t xml:space="preserve">1,423</w:t>
      </w:r>
    </w:p>
    <w:p>
      <w:pPr>
        <w:pStyle w:val="BodyText"/>
      </w:pPr>
      <w:r>
        <w:t xml:space="preserve">1,664</w:t>
      </w:r>
    </w:p>
    <w:p>
      <w:pPr>
        <w:pStyle w:val="BodyText"/>
      </w:pPr>
      <w:r>
        <w:t xml:space="preserve">6,132</w:t>
      </w:r>
    </w:p>
    <w:p>
      <w:pPr>
        <w:pStyle w:val="BodyText"/>
      </w:pPr>
      <w:r>
        <w:t xml:space="preserve">9,219</w:t>
      </w:r>
    </w:p>
    <w:p>
      <w:pPr>
        <w:pStyle w:val="BodyText"/>
      </w:pPr>
      <w:r>
        <w:t xml:space="preserve">4,480</w:t>
      </w:r>
    </w:p>
    <w:p>
      <w:pPr>
        <w:pStyle w:val="BodyText"/>
      </w:pPr>
      <w:r>
        <w:t xml:space="preserve">–</w:t>
      </w:r>
    </w:p>
    <w:p>
      <w:pPr>
        <w:pStyle w:val="BodyText"/>
      </w:pPr>
      <w:r>
        <w:t xml:space="preserve">51</w:t>
      </w:r>
    </w:p>
    <w:p>
      <w:pPr>
        <w:pStyle w:val="BodyText"/>
      </w:pPr>
      <w:r>
        <w:t xml:space="preserve">–</w:t>
      </w:r>
    </w:p>
    <w:p>
      <w:pPr>
        <w:pStyle w:val="BodyText"/>
      </w:pPr>
      <w:r>
        <w:t xml:space="preserve">–</w:t>
      </w:r>
    </w:p>
    <w:p>
      <w:pPr>
        <w:pStyle w:val="BodyText"/>
      </w:pPr>
      <w:r>
        <w:t xml:space="preserve">9,333</w:t>
      </w:r>
    </w:p>
    <w:p>
      <w:pPr>
        <w:pStyle w:val="BodyText"/>
      </w:pPr>
      <w:r>
        <w:t xml:space="preserve">671</w:t>
      </w:r>
    </w:p>
    <w:p>
      <w:pPr>
        <w:pStyle w:val="BodyText"/>
      </w:pPr>
      <w:r>
        <w:t xml:space="preserve">3,053</w:t>
      </w:r>
    </w:p>
    <w:p>
      <w:pPr>
        <w:pStyle w:val="BodyText"/>
      </w:pPr>
      <w:r>
        <w:t xml:space="preserve">1,822</w:t>
      </w:r>
    </w:p>
    <w:p>
      <w:pPr>
        <w:pStyle w:val="BodyText"/>
      </w:pPr>
      <w:r>
        <w:t xml:space="preserve">5,619</w:t>
      </w:r>
    </w:p>
    <w:p>
      <w:pPr>
        <w:pStyle w:val="BodyText"/>
      </w:pPr>
      <w:r>
        <w:t xml:space="preserve">4,531</w:t>
      </w:r>
    </w:p>
    <w:p>
      <w:pPr>
        <w:pStyle w:val="BodyText"/>
      </w:pPr>
      <w:r>
        <w:t xml:space="preserve">20,498</w:t>
      </w:r>
    </w:p>
    <w:p>
      <w:pPr>
        <w:pStyle w:val="BodyText"/>
      </w:pPr>
      <w:r>
        <w:t xml:space="preserve">543</w:t>
      </w:r>
    </w:p>
    <w:p>
      <w:pPr>
        <w:pStyle w:val="BodyText"/>
      </w:pPr>
      <w:r>
        <w:t xml:space="preserve">–</w:t>
      </w:r>
    </w:p>
    <w:p>
      <w:pPr>
        <w:pStyle w:val="BodyText"/>
      </w:pPr>
      <w:r>
        <w:t xml:space="preserve">–</w:t>
      </w:r>
    </w:p>
    <w:p>
      <w:pPr>
        <w:pStyle w:val="BodyText"/>
      </w:pPr>
      <w:r>
        <w:t xml:space="preserve">65</w:t>
      </w:r>
    </w:p>
    <w:p>
      <w:pPr>
        <w:pStyle w:val="BodyText"/>
      </w:pPr>
      <w:r>
        <w:t xml:space="preserve">608</w:t>
      </w:r>
    </w:p>
    <w:p>
      <w:pPr>
        <w:pStyle w:val="BodyText"/>
      </w:pPr>
      <w:r>
        <w:t xml:space="preserve">543</w:t>
      </w:r>
    </w:p>
    <w:p>
      <w:pPr>
        <w:pStyle w:val="BodyText"/>
      </w:pPr>
      <w:r>
        <w:t xml:space="preserve">9,555</w:t>
      </w:r>
    </w:p>
    <w:p>
      <w:pPr>
        <w:pStyle w:val="BodyText"/>
      </w:pPr>
      <w:r>
        <w:t xml:space="preserve">1,664</w:t>
      </w:r>
    </w:p>
    <w:p>
      <w:pPr>
        <w:pStyle w:val="BodyText"/>
      </w:pPr>
      <w:r>
        <w:t xml:space="preserve">6,772</w:t>
      </w:r>
    </w:p>
    <w:p>
      <w:pPr>
        <w:pStyle w:val="BodyText"/>
      </w:pPr>
      <w:r>
        <w:t xml:space="preserve">18,534</w:t>
      </w:r>
    </w:p>
    <w:p>
      <w:pPr>
        <w:pStyle w:val="BodyText"/>
      </w:pPr>
      <w:r>
        <w:rPr>
          <w:rFonts w:hint="eastAsia"/>
        </w:rPr>
        <w:t xml:space="preserve">公平值等級</w:t>
      </w:r>
    </w:p>
    <w:p>
      <w:pPr>
        <w:pStyle w:val="BodyText"/>
      </w:pPr>
      <w:r>
        <w:rPr>
          <w:rFonts w:hint="eastAsia"/>
        </w:rPr>
        <w:t xml:space="preserve">第一級別</w:t>
      </w:r>
    </w:p>
    <w:p>
      <w:pPr>
        <w:pStyle w:val="BodyText"/>
      </w:pPr>
      <w:r>
        <w:rPr>
          <w:rFonts w:hint="eastAsia"/>
        </w:rPr>
        <w:t xml:space="preserve">第二級別</w:t>
      </w:r>
    </w:p>
    <w:p>
      <w:pPr>
        <w:pStyle w:val="BodyText"/>
      </w:pPr>
      <w:r>
        <w:rPr>
          <w:rFonts w:hint="eastAsia"/>
        </w:rPr>
        <w:t xml:space="preserve">第三級別</w:t>
      </w:r>
    </w:p>
    <w:p>
      <w:pPr>
        <w:pStyle w:val="BodyText"/>
      </w:pPr>
      <w:r>
        <w:rPr>
          <w:rFonts w:hint="eastAsia"/>
        </w:rPr>
        <w:t xml:space="preserve">總計</w:t>
      </w:r>
    </w:p>
    <w:p>
      <w:pPr>
        <w:pStyle w:val="BodyText"/>
      </w:pPr>
      <w:r>
        <w:t xml:space="preserve">2,959</w:t>
      </w:r>
    </w:p>
    <w:p>
      <w:pPr>
        <w:pStyle w:val="BodyText"/>
      </w:pPr>
      <w:r>
        <w:t xml:space="preserve">–</w:t>
      </w:r>
    </w:p>
    <w:p>
      <w:pPr>
        <w:pStyle w:val="BodyText"/>
      </w:pPr>
      <w:r>
        <w:t xml:space="preserve">55</w:t>
      </w:r>
    </w:p>
    <w:p>
      <w:pPr>
        <w:pStyle w:val="BodyText"/>
      </w:pPr>
      <w:r>
        <w:t xml:space="preserve">36</w:t>
      </w:r>
    </w:p>
    <w:p>
      <w:pPr>
        <w:pStyle w:val="BodyText"/>
      </w:pPr>
      <w:r>
        <w:t xml:space="preserve">3,941</w:t>
      </w:r>
    </w:p>
    <w:p>
      <w:pPr>
        <w:pStyle w:val="BodyText"/>
      </w:pPr>
      <w:r>
        <w:t xml:space="preserve">6,991</w:t>
      </w:r>
    </w:p>
    <w:p>
      <w:pPr>
        <w:pStyle w:val="BodyText"/>
      </w:pPr>
      <w:r>
        <w:t xml:space="preserve">–</w:t>
      </w:r>
    </w:p>
    <w:p>
      <w:pPr>
        <w:pStyle w:val="BodyText"/>
      </w:pPr>
      <w:r>
        <w:t xml:space="preserve">5,350</w:t>
      </w:r>
    </w:p>
    <w:p>
      <w:pPr>
        <w:pStyle w:val="BodyText"/>
      </w:pPr>
      <w:r>
        <w:t xml:space="preserve">–</w:t>
      </w:r>
    </w:p>
    <w:p>
      <w:pPr>
        <w:pStyle w:val="BodyText"/>
      </w:pPr>
      <w:r>
        <w:t xml:space="preserve">354</w:t>
      </w:r>
    </w:p>
    <w:p>
      <w:pPr>
        <w:pStyle w:val="BodyText"/>
      </w:pPr>
      <w:r>
        <w:t xml:space="preserve">5,704</w:t>
      </w:r>
    </w:p>
    <w:p>
      <w:pPr>
        <w:pStyle w:val="BodyText"/>
      </w:pPr>
      <w:r>
        <w:t xml:space="preserve">2,769</w:t>
      </w:r>
    </w:p>
    <w:p>
      <w:pPr>
        <w:pStyle w:val="BodyText"/>
      </w:pPr>
      <w:r>
        <w:t xml:space="preserve">683</w:t>
      </w:r>
    </w:p>
    <w:p>
      <w:pPr>
        <w:pStyle w:val="BodyText"/>
      </w:pPr>
      <w:r>
        <w:t xml:space="preserve">2,855</w:t>
      </w:r>
    </w:p>
    <w:p>
      <w:pPr>
        <w:pStyle w:val="BodyText"/>
      </w:pPr>
      <w:r>
        <w:t xml:space="preserve">1,674</w:t>
      </w:r>
    </w:p>
    <w:p>
      <w:pPr>
        <w:pStyle w:val="BodyText"/>
      </w:pPr>
      <w:r>
        <w:t xml:space="preserve">–</w:t>
      </w:r>
    </w:p>
    <w:p>
      <w:pPr>
        <w:pStyle w:val="BodyText"/>
      </w:pPr>
      <w:r>
        <w:t xml:space="preserve">7,981</w:t>
      </w:r>
    </w:p>
    <w:p>
      <w:pPr>
        <w:pStyle w:val="BodyText"/>
      </w:pPr>
      <w:r>
        <w:t xml:space="preserve">–</w:t>
      </w:r>
    </w:p>
    <w:p>
      <w:pPr>
        <w:pStyle w:val="BodyText"/>
      </w:pPr>
      <w:r>
        <w:t xml:space="preserve">819</w:t>
      </w:r>
    </w:p>
    <w:p>
      <w:pPr>
        <w:pStyle w:val="BodyText"/>
      </w:pPr>
      <w:r>
        <w:t xml:space="preserve">1,826</w:t>
      </w:r>
    </w:p>
    <w:p>
      <w:pPr>
        <w:pStyle w:val="BodyText"/>
      </w:pPr>
      <w:r>
        <w:t xml:space="preserve">7,888</w:t>
      </w:r>
    </w:p>
    <w:p>
      <w:pPr>
        <w:pStyle w:val="BodyText"/>
      </w:pPr>
      <w:r>
        <w:t xml:space="preserve">10,533</w:t>
      </w:r>
    </w:p>
    <w:p>
      <w:pPr>
        <w:pStyle w:val="BodyText"/>
      </w:pPr>
      <w:r>
        <w:t xml:space="preserve">4,358</w:t>
      </w:r>
    </w:p>
    <w:p>
      <w:pPr>
        <w:pStyle w:val="BodyText"/>
      </w:pPr>
      <w:r>
        <w:t xml:space="preserve">10,086</w:t>
      </w:r>
    </w:p>
    <w:p>
      <w:pPr>
        <w:pStyle w:val="BodyText"/>
      </w:pPr>
      <w:r>
        <w:t xml:space="preserve">–</w:t>
      </w:r>
    </w:p>
    <w:p>
      <w:pPr>
        <w:pStyle w:val="BodyText"/>
      </w:pPr>
      <w:r>
        <w:t xml:space="preserve">73</w:t>
      </w:r>
    </w:p>
    <w:p>
      <w:pPr>
        <w:pStyle w:val="BodyText"/>
      </w:pPr>
      <w:r>
        <w:t xml:space="preserve">–</w:t>
      </w:r>
    </w:p>
    <w:p>
      <w:pPr>
        <w:pStyle w:val="BodyText"/>
      </w:pPr>
      <w:r>
        <w:t xml:space="preserve">–</w:t>
      </w:r>
    </w:p>
    <w:p>
      <w:pPr>
        <w:pStyle w:val="BodyText"/>
      </w:pPr>
      <w:r>
        <w:t xml:space="preserve">683</w:t>
      </w:r>
    </w:p>
    <w:p>
      <w:pPr>
        <w:pStyle w:val="BodyText"/>
      </w:pPr>
      <w:r>
        <w:t xml:space="preserve">2,983</w:t>
      </w:r>
    </w:p>
    <w:p>
      <w:pPr>
        <w:pStyle w:val="BodyText"/>
      </w:pPr>
      <w:r>
        <w:t xml:space="preserve">1,710</w:t>
      </w:r>
    </w:p>
    <w:p>
      <w:pPr>
        <w:pStyle w:val="BodyText"/>
      </w:pPr>
      <w:r>
        <w:t xml:space="preserve">3,941</w:t>
      </w:r>
    </w:p>
    <w:p>
      <w:pPr>
        <w:pStyle w:val="BodyText"/>
      </w:pPr>
      <w:r>
        <w:t xml:space="preserve">4,431</w:t>
      </w:r>
    </w:p>
    <w:p>
      <w:pPr>
        <w:pStyle w:val="BodyText"/>
      </w:pPr>
      <w:r>
        <w:t xml:space="preserve">19,403</w:t>
      </w:r>
    </w:p>
    <w:p>
      <w:pPr>
        <w:pStyle w:val="BodyText"/>
      </w:pPr>
      <w:r>
        <w:t xml:space="preserve">515</w:t>
      </w:r>
    </w:p>
    <w:p>
      <w:pPr>
        <w:pStyle w:val="BodyText"/>
      </w:pPr>
      <w:r>
        <w:t xml:space="preserve">–</w:t>
      </w:r>
    </w:p>
    <w:p>
      <w:pPr>
        <w:pStyle w:val="BodyText"/>
      </w:pPr>
      <w:r>
        <w:t xml:space="preserve">–</w:t>
      </w:r>
    </w:p>
    <w:p>
      <w:pPr>
        <w:pStyle w:val="BodyText"/>
      </w:pPr>
      <w:r>
        <w:t xml:space="preserve">59</w:t>
      </w:r>
    </w:p>
    <w:p>
      <w:pPr>
        <w:pStyle w:val="BodyText"/>
      </w:pPr>
      <w:r>
        <w:t xml:space="preserve">574</w:t>
      </w:r>
    </w:p>
    <w:p>
      <w:pPr>
        <w:pStyle w:val="BodyText"/>
      </w:pPr>
      <w:r>
        <w:t xml:space="preserve">515</w:t>
      </w:r>
    </w:p>
    <w:p>
      <w:pPr>
        <w:pStyle w:val="BodyText"/>
      </w:pPr>
      <w:r>
        <w:t xml:space="preserve">6,169</w:t>
      </w:r>
    </w:p>
    <w:p>
      <w:pPr>
        <w:pStyle w:val="BodyText"/>
      </w:pPr>
      <w:r>
        <w:t xml:space="preserve">1,826</w:t>
      </w:r>
    </w:p>
    <w:p>
      <w:pPr>
        <w:pStyle w:val="BodyText"/>
      </w:pPr>
      <w:r>
        <w:t xml:space="preserve">8,301</w:t>
      </w:r>
    </w:p>
    <w:p>
      <w:pPr>
        <w:pStyle w:val="BodyText"/>
      </w:pPr>
      <w:r>
        <w:t xml:space="preserve">16,811</w:t>
      </w:r>
    </w:p>
    <w:p>
      <w:pPr>
        <w:pStyle w:val="BodyText"/>
      </w:pPr>
      <w:r>
        <w:t xml:space="preserve">217</w:t>
      </w:r>
    </w:p>
    <w:p>
      <w:pPr>
        <w:pStyle w:val="BodyText"/>
      </w:pPr>
      <w:r>
        <w:rPr>
          <w:rFonts w:hint="eastAsia"/>
        </w:rPr>
        <w:t xml:space="preserve">概覽財務及營運回顧企業管治其他資料財務報表2020年報</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1,822</w:t>
      </w:r>
    </w:p>
    <w:p>
      <w:pPr>
        <w:pStyle w:val="BodyText"/>
      </w:pPr>
      <w:r>
        <w:t xml:space="preserve">1,710</w:t>
      </w:r>
    </w:p>
    <w:p>
      <w:pPr>
        <w:pStyle w:val="BodyText"/>
      </w:pPr>
      <w:r>
        <w:t xml:space="preserve">46</w:t>
      </w:r>
    </w:p>
    <w:p>
      <w:pPr>
        <w:pStyle w:val="BodyText"/>
      </w:pPr>
      <w:r>
        <w:t xml:space="preserve">1,983</w:t>
      </w:r>
    </w:p>
    <w:p>
      <w:pPr>
        <w:pStyle w:val="BodyText"/>
      </w:pPr>
      <w:r>
        <w:t xml:space="preserve">1,982</w:t>
      </w:r>
    </w:p>
    <w:p>
      <w:pPr>
        <w:pStyle w:val="BodyText"/>
      </w:pPr>
      <w:r>
        <w:t xml:space="preserve">5,833</w:t>
      </w:r>
    </w:p>
    <w:p>
      <w:pPr>
        <w:pStyle w:val="BodyText"/>
      </w:pPr>
      <w:r>
        <w:t xml:space="preserve">44</w:t>
      </w:r>
    </w:p>
    <w:p>
      <w:pPr>
        <w:pStyle w:val="BodyText"/>
      </w:pPr>
      <w:r>
        <w:t xml:space="preserve">1,459</w:t>
      </w:r>
    </w:p>
    <w:p>
      <w:pPr>
        <w:pStyle w:val="BodyText"/>
      </w:pPr>
      <w:r>
        <w:t xml:space="preserve">2,392</w:t>
      </w:r>
    </w:p>
    <w:p>
      <w:pPr>
        <w:pStyle w:val="BodyText"/>
      </w:pPr>
      <w:r>
        <w:t xml:space="preserve">5,605</w:t>
      </w:r>
    </w:p>
    <w:p>
      <w:pPr>
        <w:pStyle w:val="Compact"/>
        <w:numPr>
          <w:ilvl w:val="0"/>
          <w:numId w:val="1437"/>
        </w:numPr>
      </w:pPr>
      <w:r>
        <w:rPr>
          <w:rFonts w:hint="eastAsia"/>
        </w:rPr>
        <w:t xml:space="preserve">其他資產</w:t>
      </w:r>
    </w:p>
    <w:p>
      <w:pPr>
        <w:pStyle w:val="FirstParagraph"/>
      </w:pPr>
      <w:r>
        <w:rPr>
          <w:rFonts w:hint="eastAsia"/>
        </w:rPr>
        <w:t xml:space="preserve">百萬美元</w:t>
      </w:r>
    </w:p>
    <w:p>
      <w:pPr>
        <w:pStyle w:val="BodyText"/>
      </w:pPr>
      <w:r>
        <w:rPr>
          <w:rFonts w:hint="eastAsia"/>
        </w:rPr>
        <w:t xml:space="preserve">應計投資收入</w:t>
      </w:r>
    </w:p>
    <w:p>
      <w:pPr>
        <w:pStyle w:val="BodyText"/>
      </w:pPr>
      <w:r>
        <w:rPr>
          <w:rFonts w:hint="eastAsia"/>
        </w:rPr>
        <w:t xml:space="preserve">退休金計劃資產</w:t>
      </w:r>
    </w:p>
    <w:p>
      <w:pPr>
        <w:pStyle w:val="BodyText"/>
      </w:pPr>
      <w:r>
        <w:rPr>
          <w:rFonts w:hint="eastAsia"/>
        </w:rPr>
        <w:t xml:space="preserve">界定利益退休金計劃盈餘</w:t>
      </w:r>
    </w:p>
    <w:p>
      <w:pPr>
        <w:pStyle w:val="BodyText"/>
      </w:pPr>
      <w:r>
        <w:rPr>
          <w:rFonts w:hint="eastAsia"/>
        </w:rPr>
        <w:t xml:space="preserve">保險及投資合約持有人的保險應收款項</w:t>
      </w:r>
    </w:p>
    <w:p>
      <w:pPr>
        <w:pStyle w:val="BodyText"/>
      </w:pPr>
      <w:r>
        <w:rPr>
          <w:rFonts w:hint="eastAsia"/>
        </w:rPr>
        <w:t xml:space="preserve">其他(1)</w:t>
      </w:r>
    </w:p>
    <w:p>
      <w:pPr>
        <w:pStyle w:val="BodyText"/>
      </w:pPr>
      <w:r>
        <w:rPr>
          <w:rFonts w:hint="eastAsia"/>
        </w:rPr>
        <w:t xml:space="preserve">總計</w:t>
      </w:r>
    </w:p>
    <w:p>
      <w:pPr>
        <w:pStyle w:val="BodyText"/>
      </w:pPr>
      <w:r>
        <w:rPr>
          <w:rFonts w:hint="eastAsia"/>
        </w:rPr>
        <w:t xml:space="preserve">附註：</w:t>
      </w:r>
    </w:p>
    <w:p>
      <w:pPr>
        <w:pStyle w:val="Compact"/>
        <w:numPr>
          <w:ilvl w:val="0"/>
          <w:numId w:val="1438"/>
        </w:numPr>
      </w:pPr>
      <w:r>
        <w:rPr>
          <w:rFonts w:hint="eastAsia"/>
        </w:rPr>
        <w:t xml:space="preserve">其中包括預付款項及投資相關應收款項。</w:t>
      </w:r>
    </w:p>
    <w:p>
      <w:pPr>
        <w:pStyle w:val="FirstParagraph"/>
      </w:pPr>
      <w:r>
        <w:rPr>
          <w:rFonts w:hint="eastAsia"/>
        </w:rPr>
        <w:t xml:space="preserve">除若干預付款項外，預期所有款項普遍於報告期末起12個月內收回。</w:t>
      </w:r>
    </w:p>
    <w:p>
      <w:pPr>
        <w:pStyle w:val="Compact"/>
        <w:numPr>
          <w:ilvl w:val="0"/>
          <w:numId w:val="1439"/>
        </w:numPr>
      </w:pPr>
      <w:r>
        <w:rPr>
          <w:rFonts w:hint="eastAsia"/>
        </w:rPr>
        <w:t xml:space="preserve">金融資產的減值</w:t>
      </w:r>
    </w:p>
    <w:p>
      <w:pPr>
        <w:pStyle w:val="FirstParagraph"/>
      </w:pPr>
      <w:r>
        <w:rPr>
          <w:rFonts w:hint="eastAsia"/>
        </w:rPr>
        <w:t xml:space="preserve">根據本集團的會計政策，已就可供出售證券及貸款及應收款項進行減值檢討。</w:t>
      </w:r>
    </w:p>
    <w:p>
      <w:pPr>
        <w:pStyle w:val="BodyText"/>
      </w:pPr>
      <w:r>
        <w:rPr>
          <w:rFonts w:hint="eastAsia"/>
        </w:rPr>
        <w:t xml:space="preserve">可供出售債務證券</w:t>
      </w:r>
    </w:p>
    <w:p>
      <w:pPr>
        <w:pStyle w:val="BodyText"/>
      </w:pPr>
      <w:r>
        <w:rPr>
          <w:rFonts w:hint="eastAsia"/>
        </w:rPr>
        <w:t xml:space="preserve">截至2020年12月31日止年度，並無可供出售債務證券確認減值虧損（2019年：零）。</w:t>
      </w:r>
    </w:p>
    <w:p>
      <w:pPr>
        <w:pStyle w:val="BodyText"/>
      </w:pPr>
      <w:r>
        <w:rPr>
          <w:rFonts w:hint="eastAsia"/>
        </w:rPr>
        <w:t xml:space="preserve">個別釐定予以減值的可供出售債務證券於2020年12月31日的賬面值為零（2019年：零）。</w:t>
      </w:r>
    </w:p>
    <w:p>
      <w:pPr>
        <w:pStyle w:val="BodyText"/>
      </w:pPr>
      <w:r>
        <w:rPr>
          <w:rFonts w:hint="eastAsia"/>
        </w:rPr>
        <w:t xml:space="preserve">貸款及應收款項</w:t>
      </w:r>
    </w:p>
    <w:p>
      <w:pPr>
        <w:pStyle w:val="BodyText"/>
      </w:pPr>
      <w:r>
        <w:rPr>
          <w:rFonts w:hint="eastAsia"/>
        </w:rPr>
        <w:t xml:space="preserve">本集團於貸款及應收款項的主要潛在信貸風險源自保單貸款、住宅及商業房地產的按揭貸款組合（更多詳情見附註21金融投</w:t>
      </w:r>
    </w:p>
    <w:p>
      <w:pPr>
        <w:pStyle w:val="BodyText"/>
      </w:pPr>
      <w:r>
        <w:rPr>
          <w:rFonts w:hint="eastAsia"/>
        </w:rPr>
        <w:t xml:space="preserve">資）。當任何保單的總債項（包括到期及應計利息）超過退保現金價值時，保單即終止及無效，本集團於保單貸款的信貸風險</w:t>
      </w:r>
    </w:p>
    <w:p>
      <w:pPr>
        <w:pStyle w:val="BodyText"/>
      </w:pPr>
      <w:r>
        <w:rPr>
          <w:rFonts w:hint="eastAsia"/>
        </w:rPr>
        <w:t xml:space="preserve">因而有所減少。本集團對涉及保單貸款的所有保單均擁有第一留置權。</w:t>
      </w:r>
    </w:p>
    <w:p>
      <w:pPr>
        <w:pStyle w:val="BodyText"/>
      </w:pPr>
      <w:r>
        <w:rPr>
          <w:rFonts w:hint="eastAsia"/>
        </w:rPr>
        <w:t xml:space="preserve">個別釐定予以減值的貸款及應收款項於2020年12月31日的賬面值為1,500萬美元（2019年：1,400萬美元）。本集團擁有其建</w:t>
      </w:r>
    </w:p>
    <w:p>
      <w:pPr>
        <w:pStyle w:val="BodyText"/>
      </w:pPr>
      <w:r>
        <w:rPr>
          <w:rFonts w:hint="eastAsia"/>
        </w:rPr>
        <w:t xml:space="preserve">立的住宅及商業房地產的按揭貸款組合。倘任何此等貸款超過其到期日而尚未償還，會根據過往的拖欠情況而作出特定撥備</w:t>
      </w:r>
    </w:p>
    <w:p>
      <w:pPr>
        <w:pStyle w:val="BodyText"/>
      </w:pPr>
      <w:r>
        <w:rPr>
          <w:rFonts w:hint="eastAsia"/>
        </w:rPr>
        <w:t xml:space="preserve">（連同一系列撥備）。保險應收款項乃屬短期性質，及倘未收到保費則不會提供保障。由於所有金額乃於一年內到期及倘未收</w:t>
      </w:r>
    </w:p>
    <w:p>
      <w:pPr>
        <w:pStyle w:val="BodyText"/>
      </w:pPr>
      <w:r>
        <w:rPr>
          <w:rFonts w:hint="eastAsia"/>
        </w:rPr>
        <w:t xml:space="preserve">到保費則會取消保障，故並無提供應收款項的賬齡。</w:t>
      </w:r>
    </w:p>
    <w:p>
      <w:pPr>
        <w:pStyle w:val="BodyText"/>
      </w:pPr>
      <w:r>
        <w:t xml:space="preserve">218</w:t>
      </w:r>
    </w:p>
    <w:p>
      <w:pPr>
        <w:pStyle w:val="BodyText"/>
      </w:pPr>
      <w:r>
        <w:rPr>
          <w:rFonts w:hint="eastAsia"/>
        </w:rPr>
        <w:t xml:space="preserve">友邦保險控股有限公司</w:t>
      </w:r>
    </w:p>
    <w:p>
      <w:pPr>
        <w:pStyle w:val="Compact"/>
        <w:numPr>
          <w:ilvl w:val="0"/>
          <w:numId w:val="1440"/>
        </w:numPr>
      </w:pPr>
      <w:r>
        <w:rPr>
          <w:rFonts w:hint="eastAsia"/>
        </w:rPr>
        <w:t xml:space="preserve">現金及現金等價物</w:t>
      </w:r>
    </w:p>
    <w:p>
      <w:pPr>
        <w:pStyle w:val="FirstParagraph"/>
      </w:pPr>
      <w:r>
        <w:rPr>
          <w:rFonts w:hint="eastAsia"/>
        </w:rPr>
        <w:t xml:space="preserve">百萬美元</w:t>
      </w:r>
    </w:p>
    <w:p>
      <w:pPr>
        <w:pStyle w:val="BodyText"/>
      </w:pPr>
      <w:r>
        <w:rPr>
          <w:rFonts w:hint="eastAsia"/>
        </w:rPr>
        <w:t xml:space="preserve">現金</w:t>
      </w:r>
    </w:p>
    <w:p>
      <w:pPr>
        <w:pStyle w:val="BodyText"/>
      </w:pPr>
      <w:r>
        <w:rPr>
          <w:rFonts w:hint="eastAsia"/>
        </w:rPr>
        <w:t xml:space="preserve">現金等價物</w:t>
      </w:r>
    </w:p>
    <w:p>
      <w:pPr>
        <w:pStyle w:val="BodyText"/>
      </w:pPr>
      <w:r>
        <w:rPr>
          <w:rFonts w:hint="eastAsia"/>
        </w:rPr>
        <w:t xml:space="preserve">總計(1)</w:t>
      </w:r>
    </w:p>
    <w:p>
      <w:pPr>
        <w:pStyle w:val="BodyText"/>
      </w:pPr>
      <w:r>
        <w:rPr>
          <w:rFonts w:hint="eastAsia"/>
        </w:rPr>
        <w:t xml:space="preserve">附註：</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2,877</w:t>
      </w:r>
    </w:p>
    <w:p>
      <w:pPr>
        <w:pStyle w:val="BodyText"/>
      </w:pPr>
      <w:r>
        <w:t xml:space="preserve">2,742</w:t>
      </w:r>
    </w:p>
    <w:p>
      <w:pPr>
        <w:pStyle w:val="BodyText"/>
      </w:pPr>
      <w:r>
        <w:t xml:space="preserve">5,619</w:t>
      </w:r>
    </w:p>
    <w:p>
      <w:pPr>
        <w:pStyle w:val="BodyText"/>
      </w:pPr>
      <w:r>
        <w:t xml:space="preserve">3,158</w:t>
      </w:r>
    </w:p>
    <w:p>
      <w:pPr>
        <w:pStyle w:val="BodyText"/>
      </w:pPr>
      <w:r>
        <w:t xml:space="preserve">783</w:t>
      </w:r>
    </w:p>
    <w:p>
      <w:pPr>
        <w:pStyle w:val="BodyText"/>
      </w:pPr>
      <w:r>
        <w:t xml:space="preserve">3,941</w:t>
      </w:r>
    </w:p>
    <w:p>
      <w:pPr>
        <w:pStyle w:val="Compact"/>
        <w:numPr>
          <w:ilvl w:val="0"/>
          <w:numId w:val="1441"/>
        </w:numPr>
      </w:pPr>
      <w:r>
        <w:rPr>
          <w:rFonts w:hint="eastAsia"/>
        </w:rPr>
        <w:t xml:space="preserve">現金及現金等價物中的11.11億美元（2019年：7.03億美元）為持作擔保單位連結式合約及1.08億美元（2019年：4,900萬美元）由合併投資基金持</w:t>
      </w:r>
    </w:p>
    <w:p>
      <w:pPr>
        <w:pStyle w:val="FirstParagraph"/>
      </w:pPr>
      <w:r>
        <w:rPr>
          <w:rFonts w:hint="eastAsia"/>
        </w:rPr>
        <w:t xml:space="preserve">有。</w:t>
      </w:r>
    </w:p>
    <w:p>
      <w:pPr>
        <w:pStyle w:val="BodyText"/>
      </w:pPr>
      <w:r>
        <w:rPr>
          <w:rFonts w:hint="eastAsia"/>
        </w:rPr>
        <w:t xml:space="preserve">現金包括銀行現金及手持現金。現金等價物包括銀行存款及購入時到期日為三個月或以下的短期高流動性投資以及可轉換為</w:t>
      </w:r>
    </w:p>
    <w:p>
      <w:pPr>
        <w:pStyle w:val="BodyText"/>
      </w:pPr>
      <w:r>
        <w:rPr>
          <w:rFonts w:hint="eastAsia"/>
        </w:rPr>
        <w:t xml:space="preserve">已知金額現金且價值變動風險較少的貨幣市場基金。因此，所有此等款項預期於報告期末起12個月內變現。</w:t>
      </w:r>
    </w:p>
    <w:p>
      <w:pPr>
        <w:pStyle w:val="Compact"/>
        <w:numPr>
          <w:ilvl w:val="0"/>
          <w:numId w:val="1442"/>
        </w:numPr>
      </w:pPr>
      <w:r>
        <w:rPr>
          <w:rFonts w:hint="eastAsia"/>
        </w:rPr>
        <w:t xml:space="preserve">保險合約負債</w:t>
      </w:r>
    </w:p>
    <w:p>
      <w:pPr>
        <w:pStyle w:val="FirstParagraph"/>
      </w:pPr>
      <w:r>
        <w:rPr>
          <w:rFonts w:hint="eastAsia"/>
        </w:rPr>
        <w:t xml:space="preserve">保險合約負債（包括與具備酌情分紅特點的投資合約有關的負債）及分保保險合約負債（見附註19）的變動如下：</w:t>
      </w:r>
    </w:p>
    <w:p>
      <w:pPr>
        <w:pStyle w:val="BodyText"/>
      </w:pPr>
      <w:r>
        <w:rPr>
          <w:rFonts w:hint="eastAsia"/>
        </w:rPr>
        <w:t xml:space="preserve">百萬美元</w:t>
      </w:r>
    </w:p>
    <w:p>
      <w:pPr>
        <w:pStyle w:val="BodyText"/>
      </w:pPr>
      <w:r>
        <w:rPr>
          <w:rFonts w:hint="eastAsia"/>
        </w:rPr>
        <w:t xml:space="preserve">附註</w:t>
      </w:r>
    </w:p>
    <w:p>
      <w:pPr>
        <w:pStyle w:val="BodyText"/>
      </w:pPr>
      <w:r>
        <w:rPr>
          <w:rFonts w:hint="eastAsia"/>
        </w:rPr>
        <w:t xml:space="preserve">總計</w:t>
      </w:r>
    </w:p>
    <w:p>
      <w:pPr>
        <w:pStyle w:val="BodyText"/>
      </w:pPr>
      <w:r>
        <w:rPr>
          <w:rFonts w:hint="eastAsia"/>
        </w:rPr>
        <w:t xml:space="preserve">再保險</w:t>
      </w:r>
    </w:p>
    <w:p>
      <w:pPr>
        <w:pStyle w:val="BodyText"/>
      </w:pPr>
      <w:r>
        <w:rPr>
          <w:rFonts w:hint="eastAsia"/>
        </w:rPr>
        <w:t xml:space="preserve">淨額</w:t>
      </w:r>
    </w:p>
    <w:p>
      <w:pPr>
        <w:pStyle w:val="BodyText"/>
      </w:pPr>
      <w:r>
        <w:rPr>
          <w:rFonts w:hint="eastAsia"/>
        </w:rPr>
        <w:t xml:space="preserve">於2019年1月1日</w:t>
      </w:r>
      <w:r>
        <w:t xml:space="preserve"> </w:t>
      </w:r>
      <w:r>
        <w:rPr>
          <w:rFonts w:hint="eastAsia"/>
        </w:rPr>
        <w:t xml:space="preserve">－</w:t>
      </w:r>
      <w:r>
        <w:t xml:space="preserve"> </w:t>
      </w:r>
      <w:r>
        <w:rPr>
          <w:rFonts w:hint="eastAsia"/>
        </w:rPr>
        <w:t xml:space="preserve">如前期呈報</w:t>
      </w:r>
    </w:p>
    <w:p>
      <w:pPr>
        <w:pStyle w:val="BodyText"/>
      </w:pPr>
      <w:r>
        <w:rPr>
          <w:rFonts w:hint="eastAsia"/>
        </w:rPr>
        <w:t xml:space="preserve">會計政策變更的影響</w:t>
      </w:r>
    </w:p>
    <w:p>
      <w:pPr>
        <w:pStyle w:val="BodyText"/>
      </w:pPr>
      <w:r>
        <w:rPr>
          <w:rFonts w:hint="eastAsia"/>
        </w:rPr>
        <w:t xml:space="preserve">於2019年1月1日</w:t>
      </w:r>
      <w:r>
        <w:t xml:space="preserve"> </w:t>
      </w:r>
      <w:r>
        <w:rPr>
          <w:rFonts w:hint="eastAsia"/>
        </w:rPr>
        <w:t xml:space="preserve">－</w:t>
      </w:r>
      <w:r>
        <w:t xml:space="preserve"> </w:t>
      </w:r>
      <w:r>
        <w:rPr>
          <w:rFonts w:hint="eastAsia"/>
        </w:rPr>
        <w:t xml:space="preserve">經調整</w:t>
      </w:r>
    </w:p>
    <w:p>
      <w:pPr>
        <w:pStyle w:val="BodyText"/>
      </w:pPr>
      <w:r>
        <w:rPr>
          <w:rFonts w:hint="eastAsia"/>
        </w:rPr>
        <w:t xml:space="preserve">估值保費及存款</w:t>
      </w:r>
    </w:p>
    <w:p>
      <w:pPr>
        <w:pStyle w:val="BodyText"/>
      </w:pPr>
      <w:r>
        <w:rPr>
          <w:rFonts w:hint="eastAsia"/>
        </w:rPr>
        <w:t xml:space="preserve">就保單終止或其他已付保單給付及相關開支解除的負債</w:t>
      </w:r>
    </w:p>
    <w:p>
      <w:pPr>
        <w:pStyle w:val="BodyText"/>
      </w:pPr>
      <w:r>
        <w:t xml:space="preserve">48</w:t>
      </w:r>
    </w:p>
    <w:p>
      <w:pPr>
        <w:pStyle w:val="BodyText"/>
      </w:pPr>
      <w:r>
        <w:rPr>
          <w:rFonts w:hint="eastAsia"/>
        </w:rPr>
        <w:t xml:space="preserve">帳戶結餘費用</w:t>
      </w:r>
    </w:p>
    <w:p>
      <w:pPr>
        <w:pStyle w:val="BodyText"/>
      </w:pPr>
      <w:r>
        <w:rPr>
          <w:rFonts w:hint="eastAsia"/>
        </w:rPr>
        <w:t xml:space="preserve">利息增加</w:t>
      </w:r>
    </w:p>
    <w:p>
      <w:pPr>
        <w:pStyle w:val="BodyText"/>
      </w:pPr>
      <w:r>
        <w:rPr>
          <w:rFonts w:hint="eastAsia"/>
        </w:rPr>
        <w:t xml:space="preserve">保單持有人應佔資產淨值變動</w:t>
      </w:r>
    </w:p>
    <w:p>
      <w:pPr>
        <w:pStyle w:val="BodyText"/>
      </w:pPr>
      <w:r>
        <w:rPr>
          <w:rFonts w:hint="eastAsia"/>
        </w:rPr>
        <w:t xml:space="preserve">收購附屬公司</w:t>
      </w:r>
    </w:p>
    <w:p>
      <w:pPr>
        <w:pStyle w:val="BodyText"/>
      </w:pPr>
      <w:r>
        <w:rPr>
          <w:rFonts w:hint="eastAsia"/>
        </w:rPr>
        <w:t xml:space="preserve">外匯變動</w:t>
      </w:r>
    </w:p>
    <w:p>
      <w:pPr>
        <w:pStyle w:val="BodyText"/>
      </w:pPr>
      <w:r>
        <w:rPr>
          <w:rFonts w:hint="eastAsia"/>
        </w:rPr>
        <w:t xml:space="preserve">其他變動</w:t>
      </w:r>
    </w:p>
    <w:p>
      <w:pPr>
        <w:pStyle w:val="BodyText"/>
      </w:pPr>
      <w:r>
        <w:rPr>
          <w:rFonts w:hint="eastAsia"/>
        </w:rPr>
        <w:t xml:space="preserve">於2019年12月31日</w:t>
      </w:r>
      <w:r>
        <w:t xml:space="preserve"> </w:t>
      </w:r>
      <w:r>
        <w:rPr>
          <w:rFonts w:hint="eastAsia"/>
        </w:rPr>
        <w:t xml:space="preserve">－</w:t>
      </w:r>
      <w:r>
        <w:t xml:space="preserve"> </w:t>
      </w:r>
      <w:r>
        <w:rPr>
          <w:rFonts w:hint="eastAsia"/>
        </w:rPr>
        <w:t xml:space="preserve">經調整</w:t>
      </w:r>
    </w:p>
    <w:p>
      <w:pPr>
        <w:pStyle w:val="BodyText"/>
      </w:pPr>
      <w:r>
        <w:rPr>
          <w:rFonts w:hint="eastAsia"/>
        </w:rPr>
        <w:t xml:space="preserve">估值保費及存款</w:t>
      </w:r>
    </w:p>
    <w:p>
      <w:pPr>
        <w:pStyle w:val="BodyText"/>
      </w:pPr>
      <w:r>
        <w:rPr>
          <w:rFonts w:hint="eastAsia"/>
        </w:rPr>
        <w:t xml:space="preserve">就保單終止或其他已付保單給付及相關開支解除的負債</w:t>
      </w:r>
    </w:p>
    <w:p>
      <w:pPr>
        <w:pStyle w:val="BodyText"/>
      </w:pPr>
      <w:r>
        <w:rPr>
          <w:rFonts w:hint="eastAsia"/>
        </w:rPr>
        <w:t xml:space="preserve">帳戶結餘費用</w:t>
      </w:r>
    </w:p>
    <w:p>
      <w:pPr>
        <w:pStyle w:val="BodyText"/>
      </w:pPr>
      <w:r>
        <w:rPr>
          <w:rFonts w:hint="eastAsia"/>
        </w:rPr>
        <w:t xml:space="preserve">利息增加</w:t>
      </w:r>
    </w:p>
    <w:p>
      <w:pPr>
        <w:pStyle w:val="BodyText"/>
      </w:pPr>
      <w:r>
        <w:rPr>
          <w:rFonts w:hint="eastAsia"/>
        </w:rPr>
        <w:t xml:space="preserve">保單持有人應佔資產淨值變動</w:t>
      </w:r>
    </w:p>
    <w:p>
      <w:pPr>
        <w:pStyle w:val="BodyText"/>
      </w:pPr>
      <w:r>
        <w:rPr>
          <w:rFonts w:hint="eastAsia"/>
        </w:rPr>
        <w:t xml:space="preserve">外匯變動</w:t>
      </w:r>
    </w:p>
    <w:p>
      <w:pPr>
        <w:pStyle w:val="BodyText"/>
      </w:pPr>
      <w:r>
        <w:rPr>
          <w:rFonts w:hint="eastAsia"/>
        </w:rPr>
        <w:t xml:space="preserve">其他變動</w:t>
      </w:r>
    </w:p>
    <w:p>
      <w:pPr>
        <w:pStyle w:val="BodyText"/>
      </w:pPr>
      <w:r>
        <w:rPr>
          <w:rFonts w:hint="eastAsia"/>
        </w:rPr>
        <w:t xml:space="preserve">於2020年12月31日</w:t>
      </w:r>
    </w:p>
    <w:p>
      <w:pPr>
        <w:pStyle w:val="BodyText"/>
      </w:pPr>
      <w:r>
        <w:t xml:space="preserve">164,764</w:t>
      </w:r>
    </w:p>
    <w:p>
      <w:pPr>
        <w:pStyle w:val="BodyText"/>
      </w:pPr>
      <w:r>
        <w:t xml:space="preserve">(1,381)</w:t>
      </w:r>
    </w:p>
    <w:p>
      <w:pPr>
        <w:pStyle w:val="BodyText"/>
      </w:pPr>
      <w:r>
        <w:t xml:space="preserve">163,383</w:t>
      </w:r>
    </w:p>
    <w:p>
      <w:pPr>
        <w:pStyle w:val="BodyText"/>
      </w:pPr>
      <w:r>
        <w:t xml:space="preserve">33,822</w:t>
      </w:r>
    </w:p>
    <w:p>
      <w:pPr>
        <w:pStyle w:val="BodyText"/>
      </w:pPr>
      <w:r>
        <w:t xml:space="preserve">(22,063)</w:t>
      </w:r>
    </w:p>
    <w:p>
      <w:pPr>
        <w:pStyle w:val="BodyText"/>
      </w:pPr>
      <w:r>
        <w:t xml:space="preserve">(2,401)</w:t>
      </w:r>
    </w:p>
    <w:p>
      <w:pPr>
        <w:pStyle w:val="BodyText"/>
      </w:pPr>
      <w:r>
        <w:t xml:space="preserve">5,542</w:t>
      </w:r>
    </w:p>
    <w:p>
      <w:pPr>
        <w:pStyle w:val="BodyText"/>
      </w:pPr>
      <w:r>
        <w:t xml:space="preserve">9,996</w:t>
      </w:r>
    </w:p>
    <w:p>
      <w:pPr>
        <w:pStyle w:val="BodyText"/>
      </w:pPr>
      <w:r>
        <w:t xml:space="preserve">2,807</w:t>
      </w:r>
    </w:p>
    <w:p>
      <w:pPr>
        <w:pStyle w:val="BodyText"/>
      </w:pPr>
      <w:r>
        <w:t xml:space="preserve">2,207</w:t>
      </w:r>
    </w:p>
    <w:p>
      <w:pPr>
        <w:pStyle w:val="BodyText"/>
      </w:pPr>
      <w:r>
        <w:t xml:space="preserve">(1,112)</w:t>
      </w:r>
    </w:p>
    <w:p>
      <w:pPr>
        <w:pStyle w:val="BodyText"/>
      </w:pPr>
      <w:r>
        <w:t xml:space="preserve">192,181</w:t>
      </w:r>
    </w:p>
    <w:p>
      <w:pPr>
        <w:pStyle w:val="BodyText"/>
      </w:pPr>
      <w:r>
        <w:t xml:space="preserve">35,438</w:t>
      </w:r>
    </w:p>
    <w:p>
      <w:pPr>
        <w:pStyle w:val="BodyText"/>
      </w:pPr>
      <w:r>
        <w:t xml:space="preserve">(23,038)</w:t>
      </w:r>
    </w:p>
    <w:p>
      <w:pPr>
        <w:pStyle w:val="BodyText"/>
      </w:pPr>
      <w:r>
        <w:t xml:space="preserve">(2,427)</w:t>
      </w:r>
    </w:p>
    <w:p>
      <w:pPr>
        <w:pStyle w:val="BodyText"/>
      </w:pPr>
      <w:r>
        <w:t xml:space="preserve">6,056</w:t>
      </w:r>
    </w:p>
    <w:p>
      <w:pPr>
        <w:pStyle w:val="BodyText"/>
      </w:pPr>
      <w:r>
        <w:t xml:space="preserve">11,491</w:t>
      </w:r>
    </w:p>
    <w:p>
      <w:pPr>
        <w:pStyle w:val="BodyText"/>
      </w:pPr>
      <w:r>
        <w:t xml:space="preserve">3,657</w:t>
      </w:r>
    </w:p>
    <w:p>
      <w:pPr>
        <w:pStyle w:val="FirstParagraph"/>
      </w:pPr>
      <w:r>
        <w:t xml:space="preserve">(2,323)</w:t>
      </w:r>
    </w:p>
    <w:p>
      <w:pPr>
        <w:pStyle w:val="BodyText"/>
      </w:pPr>
      <w:r>
        <w:t xml:space="preserve">162,441</w:t>
      </w:r>
    </w:p>
    <w:p>
      <w:pPr>
        <w:pStyle w:val="BodyText"/>
      </w:pPr>
      <w:r>
        <w:t xml:space="preserve">–</w:t>
      </w:r>
    </w:p>
    <w:p>
      <w:pPr>
        <w:pStyle w:val="BodyText"/>
      </w:pPr>
      <w:r>
        <w:t xml:space="preserve">(2,323)</w:t>
      </w:r>
    </w:p>
    <w:p>
      <w:pPr>
        <w:pStyle w:val="BodyText"/>
      </w:pPr>
      <w:r>
        <w:t xml:space="preserve">(1,804)</w:t>
      </w:r>
    </w:p>
    <w:p>
      <w:pPr>
        <w:pStyle w:val="BodyText"/>
      </w:pPr>
      <w:r>
        <w:t xml:space="preserve">1,269</w:t>
      </w:r>
    </w:p>
    <w:p>
      <w:pPr>
        <w:pStyle w:val="BodyText"/>
      </w:pPr>
      <w:r>
        <w:t xml:space="preserve">–</w:t>
      </w:r>
    </w:p>
    <w:p>
      <w:pPr>
        <w:pStyle w:val="FirstParagraph"/>
      </w:pPr>
      <w:r>
        <w:t xml:space="preserve">–</w:t>
      </w:r>
    </w:p>
    <w:p>
      <w:pPr>
        <w:pStyle w:val="FirstParagraph"/>
      </w:pPr>
      <w:r>
        <w:t xml:space="preserve">13</w:t>
      </w:r>
    </w:p>
    <w:p>
      <w:pPr>
        <w:pStyle w:val="BodyText"/>
      </w:pPr>
      <w:r>
        <w:t xml:space="preserve">–</w:t>
      </w:r>
    </w:p>
    <w:p>
      <w:pPr>
        <w:pStyle w:val="BodyText"/>
      </w:pPr>
      <w:r>
        <w:t xml:space="preserve">(3,150)</w:t>
      </w:r>
    </w:p>
    <w:p>
      <w:pPr>
        <w:pStyle w:val="BodyText"/>
      </w:pPr>
      <w:r>
        <w:t xml:space="preserve">(2,128)</w:t>
      </w:r>
    </w:p>
    <w:p>
      <w:pPr>
        <w:pStyle w:val="BodyText"/>
      </w:pPr>
      <w:r>
        <w:t xml:space="preserve">1,720</w:t>
      </w:r>
    </w:p>
    <w:p>
      <w:pPr>
        <w:pStyle w:val="BodyText"/>
      </w:pPr>
      <w:r>
        <w:t xml:space="preserve">–</w:t>
      </w:r>
    </w:p>
    <w:p>
      <w:pPr>
        <w:pStyle w:val="FirstParagraph"/>
      </w:pPr>
      <w:r>
        <w:t xml:space="preserve">–</w:t>
      </w:r>
    </w:p>
    <w:p>
      <w:pPr>
        <w:pStyle w:val="FirstParagraph"/>
      </w:pPr>
      <w:r>
        <w:t xml:space="preserve">–</w:t>
      </w:r>
    </w:p>
    <w:p>
      <w:pPr>
        <w:pStyle w:val="BodyText"/>
      </w:pPr>
      <w:r>
        <w:t xml:space="preserve">(1,381)</w:t>
      </w:r>
    </w:p>
    <w:p>
      <w:pPr>
        <w:pStyle w:val="BodyText"/>
      </w:pPr>
      <w:r>
        <w:t xml:space="preserve">161,060</w:t>
      </w:r>
    </w:p>
    <w:p>
      <w:pPr>
        <w:pStyle w:val="BodyText"/>
      </w:pPr>
      <w:r>
        <w:t xml:space="preserve">32,018</w:t>
      </w:r>
    </w:p>
    <w:p>
      <w:pPr>
        <w:pStyle w:val="BodyText"/>
      </w:pPr>
      <w:r>
        <w:t xml:space="preserve">(20,794)</w:t>
      </w:r>
    </w:p>
    <w:p>
      <w:pPr>
        <w:pStyle w:val="BodyText"/>
      </w:pPr>
      <w:r>
        <w:t xml:space="preserve">(2,401)</w:t>
      </w:r>
    </w:p>
    <w:p>
      <w:pPr>
        <w:pStyle w:val="BodyText"/>
      </w:pPr>
      <w:r>
        <w:t xml:space="preserve">5,522</w:t>
      </w:r>
    </w:p>
    <w:p>
      <w:pPr>
        <w:pStyle w:val="BodyText"/>
      </w:pPr>
      <w:r>
        <w:t xml:space="preserve">9,996</w:t>
      </w:r>
    </w:p>
    <w:p>
      <w:pPr>
        <w:pStyle w:val="BodyText"/>
      </w:pPr>
      <w:r>
        <w:t xml:space="preserve">2,522</w:t>
      </w:r>
    </w:p>
    <w:p>
      <w:pPr>
        <w:pStyle w:val="BodyText"/>
      </w:pPr>
      <w:r>
        <w:t xml:space="preserve">2,220</w:t>
      </w:r>
    </w:p>
    <w:p>
      <w:pPr>
        <w:pStyle w:val="BodyText"/>
      </w:pPr>
      <w:r>
        <w:t xml:space="preserve">(1,112)</w:t>
      </w:r>
    </w:p>
    <w:p>
      <w:pPr>
        <w:pStyle w:val="BodyText"/>
      </w:pPr>
      <w:r>
        <w:t xml:space="preserve">189,031</w:t>
      </w:r>
    </w:p>
    <w:p>
      <w:pPr>
        <w:pStyle w:val="BodyText"/>
      </w:pPr>
      <w:r>
        <w:t xml:space="preserve">33,310</w:t>
      </w:r>
    </w:p>
    <w:p>
      <w:pPr>
        <w:pStyle w:val="BodyText"/>
      </w:pPr>
      <w:r>
        <w:t xml:space="preserve">(21,318)</w:t>
      </w:r>
    </w:p>
    <w:p>
      <w:pPr>
        <w:pStyle w:val="BodyText"/>
      </w:pPr>
      <w:r>
        <w:t xml:space="preserve">(2,427)</w:t>
      </w:r>
    </w:p>
    <w:p>
      <w:pPr>
        <w:pStyle w:val="BodyText"/>
      </w:pPr>
      <w:r>
        <w:t xml:space="preserve">6,023</w:t>
      </w:r>
    </w:p>
    <w:p>
      <w:pPr>
        <w:pStyle w:val="BodyText"/>
      </w:pPr>
      <w:r>
        <w:t xml:space="preserve">11,491</w:t>
      </w:r>
    </w:p>
    <w:p>
      <w:pPr>
        <w:pStyle w:val="BodyText"/>
      </w:pPr>
      <w:r>
        <w:t xml:space="preserve">3,359</w:t>
      </w:r>
    </w:p>
    <w:p>
      <w:pPr>
        <w:pStyle w:val="FirstParagraph"/>
      </w:pPr>
      <w:r>
        <w:t xml:space="preserve">223,071</w:t>
      </w:r>
    </w:p>
    <w:p>
      <w:pPr>
        <w:pStyle w:val="BodyText"/>
      </w:pPr>
      <w:r>
        <w:t xml:space="preserve">(3,889)</w:t>
      </w:r>
    </w:p>
    <w:p>
      <w:pPr>
        <w:pStyle w:val="BodyText"/>
      </w:pPr>
      <w:r>
        <w:t xml:space="preserve">219,182</w:t>
      </w:r>
    </w:p>
    <w:p>
      <w:pPr>
        <w:pStyle w:val="BodyText"/>
      </w:pPr>
      <w:r>
        <w:t xml:space="preserve">219</w:t>
      </w:r>
    </w:p>
    <w:p>
      <w:pPr>
        <w:pStyle w:val="BodyText"/>
      </w:pPr>
      <w:r>
        <w:rPr>
          <w:rFonts w:hint="eastAsia"/>
        </w:rPr>
        <w:t xml:space="preserve">概覽財務及營運回顧企業管治其他資料財務報表2020年報</w:t>
      </w:r>
    </w:p>
    <w:p>
      <w:pPr>
        <w:pStyle w:val="Compact"/>
        <w:numPr>
          <w:ilvl w:val="0"/>
          <w:numId w:val="1449"/>
        </w:numPr>
      </w:pPr>
      <w:r>
        <w:rPr>
          <w:rFonts w:hint="eastAsia"/>
        </w:rPr>
        <w:t xml:space="preserve">保險合約負債（續）</w:t>
      </w:r>
    </w:p>
    <w:p>
      <w:pPr>
        <w:pStyle w:val="FirstParagraph"/>
      </w:pPr>
      <w:r>
        <w:rPr>
          <w:rFonts w:hint="eastAsia"/>
        </w:rPr>
        <w:t xml:space="preserve">保險合約負債（包括與具備酌情分紅特點的投資合約有關的負債）亦可分析如下：</w:t>
      </w:r>
    </w:p>
    <w:p>
      <w:pPr>
        <w:pStyle w:val="BodyText"/>
      </w:pPr>
      <w:r>
        <w:rPr>
          <w:rFonts w:hint="eastAsia"/>
        </w:rPr>
        <w:t xml:space="preserve">百萬美元</w:t>
      </w:r>
    </w:p>
    <w:p>
      <w:pPr>
        <w:pStyle w:val="BodyText"/>
      </w:pPr>
      <w:r>
        <w:rPr>
          <w:rFonts w:hint="eastAsia"/>
        </w:rPr>
        <w:t xml:space="preserve">遞延溢利</w:t>
      </w:r>
    </w:p>
    <w:p>
      <w:pPr>
        <w:pStyle w:val="BodyText"/>
      </w:pPr>
      <w:r>
        <w:rPr>
          <w:rFonts w:hint="eastAsia"/>
        </w:rPr>
        <w:t xml:space="preserve">遞延收益</w:t>
      </w:r>
    </w:p>
    <w:p>
      <w:pPr>
        <w:pStyle w:val="BodyText"/>
      </w:pPr>
      <w:r>
        <w:rPr>
          <w:rFonts w:hint="eastAsia"/>
        </w:rPr>
        <w:t xml:space="preserve">保單持有人分佔分紅業務盈餘</w:t>
      </w:r>
    </w:p>
    <w:p>
      <w:pPr>
        <w:pStyle w:val="BodyText"/>
      </w:pPr>
      <w:r>
        <w:rPr>
          <w:rFonts w:hint="eastAsia"/>
        </w:rPr>
        <w:t xml:space="preserve">保單持有人的未來賠償責任</w:t>
      </w:r>
    </w:p>
    <w:p>
      <w:pPr>
        <w:pStyle w:val="BodyText"/>
      </w:pPr>
      <w:r>
        <w:rPr>
          <w:rFonts w:hint="eastAsia"/>
        </w:rPr>
        <w:t xml:space="preserve">總計</w:t>
      </w:r>
    </w:p>
    <w:p>
      <w:pPr>
        <w:pStyle w:val="BodyText"/>
      </w:pPr>
      <w:r>
        <w:rPr>
          <w:rFonts w:hint="eastAsia"/>
        </w:rPr>
        <w:t xml:space="preserve">於2020年</w:t>
      </w:r>
      <w:r>
        <w:br/>
      </w:r>
      <w:r>
        <w:rPr>
          <w:rFonts w:hint="eastAsia"/>
        </w:rPr>
        <w:t xml:space="preserve">12月31日</w:t>
      </w:r>
    </w:p>
    <w:p>
      <w:pPr>
        <w:pStyle w:val="BodyText"/>
      </w:pPr>
      <w:r>
        <w:t xml:space="preserve">24,972</w:t>
      </w:r>
    </w:p>
    <w:p>
      <w:pPr>
        <w:pStyle w:val="BodyText"/>
      </w:pPr>
      <w:r>
        <w:t xml:space="preserve">1,751</w:t>
      </w:r>
    </w:p>
    <w:p>
      <w:pPr>
        <w:pStyle w:val="BodyText"/>
      </w:pPr>
      <w:r>
        <w:t xml:space="preserve">31,151</w:t>
      </w:r>
    </w:p>
    <w:p>
      <w:pPr>
        <w:pStyle w:val="BodyText"/>
      </w:pPr>
      <w:r>
        <w:t xml:space="preserve">165,197</w:t>
      </w:r>
    </w:p>
    <w:p>
      <w:pPr>
        <w:pStyle w:val="BodyText"/>
      </w:pPr>
      <w:r>
        <w:t xml:space="preserve">223,071</w:t>
      </w:r>
    </w:p>
    <w:p>
      <w:pPr>
        <w:pStyle w:val="BodyText"/>
      </w:pPr>
      <w:r>
        <w:rPr>
          <w:rFonts w:hint="eastAsia"/>
        </w:rPr>
        <w:t xml:space="preserve">於2019年</w:t>
      </w:r>
      <w:r>
        <w:br/>
      </w:r>
      <w:r>
        <w:rPr>
          <w:rFonts w:hint="eastAsia"/>
        </w:rPr>
        <w:t xml:space="preserve">12月31日</w:t>
      </w:r>
      <w:r>
        <w:br/>
      </w:r>
      <w:r>
        <w:rPr>
          <w:rFonts w:hint="eastAsia"/>
        </w:rPr>
        <w:t xml:space="preserve">（經調整）</w:t>
      </w:r>
    </w:p>
    <w:p>
      <w:pPr>
        <w:pStyle w:val="BodyText"/>
      </w:pPr>
      <w:r>
        <w:t xml:space="preserve">20,500</w:t>
      </w:r>
    </w:p>
    <w:p>
      <w:pPr>
        <w:pStyle w:val="BodyText"/>
      </w:pPr>
      <w:r>
        <w:t xml:space="preserve">2,091</w:t>
      </w:r>
    </w:p>
    <w:p>
      <w:pPr>
        <w:pStyle w:val="BodyText"/>
      </w:pPr>
      <w:r>
        <w:t xml:space="preserve">21,870</w:t>
      </w:r>
    </w:p>
    <w:p>
      <w:pPr>
        <w:pStyle w:val="BodyText"/>
      </w:pPr>
      <w:r>
        <w:t xml:space="preserve">147,720</w:t>
      </w:r>
    </w:p>
    <w:p>
      <w:pPr>
        <w:pStyle w:val="BodyText"/>
      </w:pPr>
      <w:r>
        <w:t xml:space="preserve">192,181</w:t>
      </w:r>
    </w:p>
    <w:p>
      <w:pPr>
        <w:pStyle w:val="BodyText"/>
      </w:pPr>
      <w:r>
        <w:t xml:space="preserve">220</w:t>
      </w:r>
    </w:p>
    <w:p>
      <w:pPr>
        <w:pStyle w:val="BodyText"/>
      </w:pPr>
      <w:r>
        <w:rPr>
          <w:rFonts w:hint="eastAsia"/>
        </w:rPr>
        <w:t xml:space="preserve">友邦保險控股有限公司</w:t>
      </w:r>
    </w:p>
    <w:p>
      <w:pPr>
        <w:pStyle w:val="Compact"/>
        <w:numPr>
          <w:ilvl w:val="0"/>
          <w:numId w:val="1450"/>
        </w:numPr>
      </w:pPr>
      <w:r>
        <w:rPr>
          <w:rFonts w:hint="eastAsia"/>
        </w:rPr>
        <w:t xml:space="preserve">保險合約負債（續）</w:t>
      </w:r>
    </w:p>
    <w:p>
      <w:pPr>
        <w:pStyle w:val="FirstParagraph"/>
      </w:pPr>
      <w:r>
        <w:rPr>
          <w:rFonts w:hint="eastAsia"/>
        </w:rPr>
        <w:t xml:space="preserve">業務概述</w:t>
      </w:r>
    </w:p>
    <w:p>
      <w:pPr>
        <w:pStyle w:val="BodyText"/>
      </w:pPr>
      <w:r>
        <w:rPr>
          <w:rFonts w:hint="eastAsia"/>
        </w:rPr>
        <w:t xml:space="preserve">下表概述決定保險及投資合約現金流量的主要可變因素。</w:t>
      </w:r>
    </w:p>
    <w:p>
      <w:pPr>
        <w:pStyle w:val="BodyText"/>
      </w:pPr>
      <w:r>
        <w:rPr>
          <w:rFonts w:hint="eastAsia"/>
        </w:rPr>
        <w:t xml:space="preserve">合約種類</w:t>
      </w:r>
    </w:p>
    <w:p>
      <w:pPr>
        <w:pStyle w:val="BodyText"/>
      </w:pPr>
      <w:r>
        <w:rPr>
          <w:rFonts w:hint="eastAsia"/>
        </w:rPr>
        <w:t xml:space="preserve">重大條款及條件</w:t>
      </w:r>
    </w:p>
    <w:p>
      <w:pPr>
        <w:pStyle w:val="BodyText"/>
      </w:pPr>
      <w:r>
        <w:rPr>
          <w:rFonts w:hint="eastAsia"/>
        </w:rPr>
        <w:t xml:space="preserve">給付及索償賠款性質</w:t>
      </w:r>
    </w:p>
    <w:p>
      <w:pPr>
        <w:pStyle w:val="BodyText"/>
      </w:pPr>
      <w:r>
        <w:rPr>
          <w:rFonts w:hint="eastAsia"/>
        </w:rPr>
        <w:t xml:space="preserve">最低保證給付可按投資經</w:t>
      </w:r>
      <w:r>
        <w:br/>
      </w:r>
      <w:r>
        <w:rPr>
          <w:rFonts w:hint="eastAsia"/>
        </w:rPr>
        <w:t xml:space="preserve">驗及其他考慮因素而增加</w:t>
      </w:r>
    </w:p>
    <w:p>
      <w:pPr>
        <w:pStyle w:val="BodyText"/>
      </w:pPr>
      <w:r>
        <w:rPr>
          <w:rFonts w:hint="eastAsia"/>
        </w:rPr>
        <w:t xml:space="preserve">影響合約現金</w:t>
      </w:r>
      <w:r>
        <w:br/>
      </w:r>
      <w:r>
        <w:rPr>
          <w:rFonts w:hint="eastAsia"/>
        </w:rPr>
        <w:t xml:space="preserve">流量的因素</w:t>
      </w:r>
    </w:p>
    <w:p>
      <w:pPr>
        <w:pStyle w:val="BodyText"/>
      </w:pPr>
      <w:r>
        <w:rPr>
          <w:rFonts w:hint="eastAsia"/>
        </w:rPr>
        <w:t xml:space="preserve">主要報告分部</w:t>
      </w:r>
    </w:p>
    <w:p>
      <w:pPr>
        <w:pStyle w:val="BodyText"/>
      </w:pPr>
      <w:r>
        <w:t xml:space="preserve">• </w:t>
      </w:r>
      <w:r>
        <w:rPr>
          <w:rFonts w:hint="eastAsia"/>
        </w:rPr>
        <w:t xml:space="preserve">投資表現</w:t>
      </w:r>
      <w:r>
        <w:br/>
      </w:r>
      <w:r>
        <w:t xml:space="preserve">• </w:t>
      </w:r>
      <w:r>
        <w:rPr>
          <w:rFonts w:hint="eastAsia"/>
        </w:rPr>
        <w:t xml:space="preserve">費用</w:t>
      </w:r>
      <w:r>
        <w:br/>
      </w:r>
      <w:r>
        <w:t xml:space="preserve">• </w:t>
      </w:r>
      <w:r>
        <w:rPr>
          <w:rFonts w:hint="eastAsia"/>
        </w:rPr>
        <w:t xml:space="preserve">死亡率</w:t>
      </w:r>
      <w:r>
        <w:br/>
      </w:r>
      <w:r>
        <w:t xml:space="preserve">• </w:t>
      </w:r>
      <w:r>
        <w:rPr>
          <w:rFonts w:hint="eastAsia"/>
        </w:rPr>
        <w:t xml:space="preserve">退保</w:t>
      </w:r>
      <w:r>
        <w:br/>
      </w:r>
      <w:r>
        <w:t xml:space="preserve">• </w:t>
      </w:r>
      <w:r>
        <w:rPr>
          <w:rFonts w:hint="eastAsia"/>
        </w:rPr>
        <w:t xml:space="preserve">傷病率</w:t>
      </w:r>
    </w:p>
    <w:p>
      <w:pPr>
        <w:pStyle w:val="BodyText"/>
      </w:pPr>
      <w:r>
        <w:rPr>
          <w:rFonts w:hint="eastAsia"/>
        </w:rPr>
        <w:t xml:space="preserve">香港、</w:t>
      </w:r>
      <w:r>
        <w:br/>
      </w:r>
      <w:r>
        <w:rPr>
          <w:rFonts w:hint="eastAsia"/>
        </w:rPr>
        <w:t xml:space="preserve">新加坡、</w:t>
      </w:r>
      <w:r>
        <w:br/>
      </w:r>
      <w:r>
        <w:rPr>
          <w:rFonts w:hint="eastAsia"/>
        </w:rPr>
        <w:t xml:space="preserve">中國內地、</w:t>
      </w:r>
      <w:r>
        <w:br/>
      </w:r>
      <w:r>
        <w:rPr>
          <w:rFonts w:hint="eastAsia"/>
        </w:rPr>
        <w:t xml:space="preserve">馬來西亞</w:t>
      </w:r>
    </w:p>
    <w:p>
      <w:pPr>
        <w:pStyle w:val="BodyText"/>
      </w:pPr>
      <w:r>
        <w:rPr>
          <w:rFonts w:hint="eastAsia"/>
        </w:rPr>
        <w:t xml:space="preserve">分紅產品包括保障及儲蓄元素。於</w:t>
      </w:r>
      <w:r>
        <w:br/>
      </w:r>
      <w:r>
        <w:rPr>
          <w:rFonts w:hint="eastAsia"/>
        </w:rPr>
        <w:t xml:space="preserve">身故或期滿時應付的保證基本款項</w:t>
      </w:r>
      <w:r>
        <w:br/>
      </w:r>
      <w:r>
        <w:rPr>
          <w:rFonts w:hint="eastAsia"/>
        </w:rPr>
        <w:t xml:space="preserve">可因紅利或分紅而增加，紅利總金</w:t>
      </w:r>
      <w:r>
        <w:br/>
      </w:r>
      <w:r>
        <w:rPr>
          <w:rFonts w:hint="eastAsia"/>
        </w:rPr>
        <w:t xml:space="preserve">額乃按特定基金的資產及負債的表</w:t>
      </w:r>
      <w:r>
        <w:br/>
      </w:r>
      <w:r>
        <w:rPr>
          <w:rFonts w:hint="eastAsia"/>
        </w:rPr>
        <w:t xml:space="preserve">現釐定。宣派紅利及分紅的時間由</w:t>
      </w:r>
      <w:r>
        <w:br/>
      </w:r>
      <w:r>
        <w:rPr>
          <w:rFonts w:hint="eastAsia"/>
        </w:rPr>
        <w:t xml:space="preserve">保險公司酌情決定</w:t>
      </w:r>
    </w:p>
    <w:p>
      <w:pPr>
        <w:pStyle w:val="BodyText"/>
      </w:pPr>
      <w:r>
        <w:rPr>
          <w:rFonts w:hint="eastAsia"/>
        </w:rPr>
        <w:t xml:space="preserve">就分紅基金而言，當地法規一般規</w:t>
      </w:r>
      <w:r>
        <w:br/>
      </w:r>
      <w:r>
        <w:rPr>
          <w:rFonts w:hint="eastAsia"/>
        </w:rPr>
        <w:t xml:space="preserve">定最低保單持有人的比例</w:t>
      </w:r>
    </w:p>
    <w:p>
      <w:pPr>
        <w:pStyle w:val="BodyText"/>
      </w:pPr>
      <w:r>
        <w:rPr>
          <w:rFonts w:hint="eastAsia"/>
        </w:rPr>
        <w:t xml:space="preserve">就具特定資產組合的其他分紅業務</w:t>
      </w:r>
      <w:r>
        <w:br/>
      </w:r>
      <w:r>
        <w:rPr>
          <w:rFonts w:hint="eastAsia"/>
        </w:rPr>
        <w:t xml:space="preserve">而言，該具特定資產組合持有的資</w:t>
      </w:r>
      <w:r>
        <w:br/>
      </w:r>
      <w:r>
        <w:rPr>
          <w:rFonts w:hint="eastAsia"/>
        </w:rPr>
        <w:t xml:space="preserve">產給付按相關的紅利規則分配。該</w:t>
      </w:r>
      <w:r>
        <w:br/>
      </w:r>
      <w:r>
        <w:rPr>
          <w:rFonts w:hint="eastAsia"/>
        </w:rPr>
        <w:t xml:space="preserve">紅利規則由相關董事會基於適用監</w:t>
      </w:r>
      <w:r>
        <w:br/>
      </w:r>
      <w:r>
        <w:rPr>
          <w:rFonts w:hint="eastAsia"/>
        </w:rPr>
        <w:t xml:space="preserve">管要求並考慮獲委任精算師的推薦</w:t>
      </w:r>
      <w:r>
        <w:br/>
      </w:r>
      <w:r>
        <w:rPr>
          <w:rFonts w:hint="eastAsia"/>
        </w:rPr>
        <w:t xml:space="preserve">建議後設定。該保單持有人的分紅</w:t>
      </w:r>
      <w:r>
        <w:br/>
      </w:r>
      <w:r>
        <w:rPr>
          <w:rFonts w:hint="eastAsia"/>
        </w:rPr>
        <w:t xml:space="preserve">程度或會隨時間變化</w:t>
      </w:r>
    </w:p>
    <w:p>
      <w:pPr>
        <w:pStyle w:val="BodyText"/>
      </w:pPr>
      <w:r>
        <w:rPr>
          <w:rFonts w:hint="eastAsia"/>
        </w:rPr>
        <w:t xml:space="preserve">分紅產品包括保障及儲蓄元素。於</w:t>
      </w:r>
      <w:r>
        <w:br/>
      </w:r>
      <w:r>
        <w:rPr>
          <w:rFonts w:hint="eastAsia"/>
        </w:rPr>
        <w:t xml:space="preserve">身故或期滿時應付的保證基本款項</w:t>
      </w:r>
      <w:r>
        <w:br/>
      </w:r>
      <w:r>
        <w:rPr>
          <w:rFonts w:hint="eastAsia"/>
        </w:rPr>
        <w:t xml:space="preserve">可因紅利或分紅而增加，紅利的派</w:t>
      </w:r>
      <w:r>
        <w:br/>
      </w:r>
      <w:r>
        <w:rPr>
          <w:rFonts w:hint="eastAsia"/>
        </w:rPr>
        <w:t xml:space="preserve">付時間或金額由保險公司經考慮投</w:t>
      </w:r>
      <w:r>
        <w:br/>
      </w:r>
      <w:r>
        <w:rPr>
          <w:rFonts w:hint="eastAsia"/>
        </w:rPr>
        <w:t xml:space="preserve">資經驗等因素後酌情決定</w:t>
      </w:r>
    </w:p>
    <w:p>
      <w:pPr>
        <w:pStyle w:val="BodyText"/>
      </w:pPr>
      <w:r>
        <w:rPr>
          <w:rFonts w:hint="eastAsia"/>
        </w:rPr>
        <w:t xml:space="preserve">於身故、期滿、疾病或傷殘時支付</w:t>
      </w:r>
      <w:r>
        <w:br/>
      </w:r>
      <w:r>
        <w:rPr>
          <w:rFonts w:hint="eastAsia"/>
        </w:rPr>
        <w:t xml:space="preserve">的給付屬固定及有保證，並非由保</w:t>
      </w:r>
      <w:r>
        <w:br/>
      </w:r>
      <w:r>
        <w:rPr>
          <w:rFonts w:hint="eastAsia"/>
        </w:rPr>
        <w:t xml:space="preserve">險公司酌情決定</w:t>
      </w:r>
    </w:p>
    <w:p>
      <w:pPr>
        <w:pStyle w:val="BodyText"/>
      </w:pPr>
      <w:r>
        <w:rPr>
          <w:rFonts w:hint="eastAsia"/>
        </w:rPr>
        <w:t xml:space="preserve">此等產品提供傷病或疾病給付，包</w:t>
      </w:r>
      <w:r>
        <w:br/>
      </w:r>
      <w:r>
        <w:rPr>
          <w:rFonts w:hint="eastAsia"/>
        </w:rPr>
        <w:t xml:space="preserve">括醫療、傷殘、危疾及意外保障</w:t>
      </w:r>
    </w:p>
    <w:p>
      <w:pPr>
        <w:pStyle w:val="BodyText"/>
      </w:pPr>
      <w:r>
        <w:rPr>
          <w:rFonts w:hint="eastAsia"/>
        </w:rPr>
        <w:t xml:space="preserve">傳統分紅壽險</w:t>
      </w:r>
      <w:r>
        <w:t xml:space="preserve"> </w:t>
      </w:r>
      <w:r>
        <w:rPr>
          <w:rFonts w:hint="eastAsia"/>
        </w:rPr>
        <w:t xml:space="preserve">分紅基金及</w:t>
      </w:r>
      <w:r>
        <w:br/>
      </w:r>
      <w:r>
        <w:rPr>
          <w:rFonts w:hint="eastAsia"/>
        </w:rPr>
        <w:t xml:space="preserve">具特定資產</w:t>
      </w:r>
      <w:r>
        <w:br/>
      </w:r>
      <w:r>
        <w:rPr>
          <w:rFonts w:hint="eastAsia"/>
        </w:rPr>
        <w:t xml:space="preserve">組合的其他</w:t>
      </w:r>
      <w:r>
        <w:br/>
      </w:r>
      <w:r>
        <w:rPr>
          <w:rFonts w:hint="eastAsia"/>
        </w:rPr>
        <w:t xml:space="preserve">分紅業務</w:t>
      </w:r>
    </w:p>
    <w:p>
      <w:pPr>
        <w:pStyle w:val="BodyText"/>
      </w:pPr>
      <w:r>
        <w:rPr>
          <w:rFonts w:hint="eastAsia"/>
        </w:rPr>
        <w:t xml:space="preserve">無特定資產</w:t>
      </w:r>
      <w:r>
        <w:br/>
      </w:r>
      <w:r>
        <w:rPr>
          <w:rFonts w:hint="eastAsia"/>
        </w:rPr>
        <w:t xml:space="preserve">組合的其他</w:t>
      </w:r>
      <w:r>
        <w:br/>
      </w:r>
      <w:r>
        <w:rPr>
          <w:rFonts w:hint="eastAsia"/>
        </w:rPr>
        <w:t xml:space="preserve">分紅業務</w:t>
      </w:r>
    </w:p>
    <w:p>
      <w:pPr>
        <w:pStyle w:val="BodyText"/>
      </w:pPr>
      <w:r>
        <w:rPr>
          <w:rFonts w:hint="eastAsia"/>
        </w:rPr>
        <w:t xml:space="preserve">傳統非分紅壽險</w:t>
      </w:r>
    </w:p>
    <w:p>
      <w:pPr>
        <w:pStyle w:val="BodyText"/>
      </w:pPr>
      <w:r>
        <w:rPr>
          <w:rFonts w:hint="eastAsia"/>
        </w:rPr>
        <w:t xml:space="preserve">意外及醫療</w:t>
      </w:r>
    </w:p>
    <w:p>
      <w:pPr>
        <w:pStyle w:val="BodyText"/>
      </w:pPr>
      <w:r>
        <w:rPr>
          <w:rFonts w:hint="eastAsia"/>
        </w:rPr>
        <w:t xml:space="preserve">單位連結式</w:t>
      </w:r>
    </w:p>
    <w:p>
      <w:pPr>
        <w:pStyle w:val="BodyText"/>
      </w:pPr>
      <w:r>
        <w:rPr>
          <w:rFonts w:hint="eastAsia"/>
        </w:rPr>
        <w:t xml:space="preserve">萬能壽險</w:t>
      </w:r>
    </w:p>
    <w:p>
      <w:pPr>
        <w:pStyle w:val="BodyText"/>
      </w:pPr>
      <w:r>
        <w:rPr>
          <w:rFonts w:hint="eastAsia"/>
        </w:rPr>
        <w:t xml:space="preserve">附註：</w:t>
      </w:r>
    </w:p>
    <w:p>
      <w:pPr>
        <w:pStyle w:val="Compact"/>
        <w:numPr>
          <w:ilvl w:val="0"/>
          <w:numId w:val="1451"/>
        </w:numPr>
      </w:pPr>
      <w:r>
        <w:rPr>
          <w:rFonts w:hint="eastAsia"/>
        </w:rPr>
        <w:t xml:space="preserve">集團企業中心分部除外。</w:t>
      </w:r>
    </w:p>
    <w:p>
      <w:pPr>
        <w:pStyle w:val="FirstParagraph"/>
      </w:pPr>
      <w:r>
        <w:rPr>
          <w:rFonts w:hint="eastAsia"/>
        </w:rPr>
        <w:t xml:space="preserve">最低保證給付可按投資經</w:t>
      </w:r>
      <w:r>
        <w:br/>
      </w:r>
      <w:r>
        <w:rPr>
          <w:rFonts w:hint="eastAsia"/>
        </w:rPr>
        <w:t xml:space="preserve">驗及其他考慮因素而增加</w:t>
      </w:r>
    </w:p>
    <w:p>
      <w:pPr>
        <w:pStyle w:val="BodyText"/>
      </w:pPr>
      <w:r>
        <w:rPr>
          <w:rFonts w:hint="eastAsia"/>
        </w:rPr>
        <w:t xml:space="preserve">泰國、</w:t>
      </w:r>
      <w:r>
        <w:br/>
      </w:r>
      <w:r>
        <w:rPr>
          <w:rFonts w:hint="eastAsia"/>
        </w:rPr>
        <w:t xml:space="preserve">其他市場</w:t>
      </w:r>
    </w:p>
    <w:p>
      <w:pPr>
        <w:pStyle w:val="BodyText"/>
      </w:pPr>
      <w:r>
        <w:t xml:space="preserve">• </w:t>
      </w:r>
      <w:r>
        <w:rPr>
          <w:rFonts w:hint="eastAsia"/>
        </w:rPr>
        <w:t xml:space="preserve">投資表現</w:t>
      </w:r>
      <w:r>
        <w:br/>
      </w:r>
      <w:r>
        <w:t xml:space="preserve">• </w:t>
      </w:r>
      <w:r>
        <w:rPr>
          <w:rFonts w:hint="eastAsia"/>
        </w:rPr>
        <w:t xml:space="preserve">費用</w:t>
      </w:r>
      <w:r>
        <w:br/>
      </w:r>
      <w:r>
        <w:t xml:space="preserve">• </w:t>
      </w:r>
      <w:r>
        <w:rPr>
          <w:rFonts w:hint="eastAsia"/>
        </w:rPr>
        <w:t xml:space="preserve">死亡率</w:t>
      </w:r>
      <w:r>
        <w:br/>
      </w:r>
      <w:r>
        <w:t xml:space="preserve">• </w:t>
      </w:r>
      <w:r>
        <w:rPr>
          <w:rFonts w:hint="eastAsia"/>
        </w:rPr>
        <w:t xml:space="preserve">退保</w:t>
      </w:r>
      <w:r>
        <w:br/>
      </w:r>
      <w:r>
        <w:t xml:space="preserve">• </w:t>
      </w:r>
      <w:r>
        <w:rPr>
          <w:rFonts w:hint="eastAsia"/>
        </w:rPr>
        <w:t xml:space="preserve">傷病率</w:t>
      </w:r>
    </w:p>
    <w:p>
      <w:pPr>
        <w:pStyle w:val="BodyText"/>
      </w:pPr>
      <w:r>
        <w:rPr>
          <w:rFonts w:hint="eastAsia"/>
        </w:rPr>
        <w:t xml:space="preserve">給付（定義見保險合約）乃</w:t>
      </w:r>
      <w:r>
        <w:br/>
      </w:r>
      <w:r>
        <w:rPr>
          <w:rFonts w:hint="eastAsia"/>
        </w:rPr>
        <w:t xml:space="preserve">按合約釐定，並不受投資</w:t>
      </w:r>
      <w:r>
        <w:br/>
      </w:r>
      <w:r>
        <w:rPr>
          <w:rFonts w:hint="eastAsia"/>
        </w:rPr>
        <w:t xml:space="preserve">表現或合約的整體表現影</w:t>
      </w:r>
      <w:r>
        <w:br/>
      </w:r>
      <w:r>
        <w:rPr>
          <w:rFonts w:hint="eastAsia"/>
        </w:rPr>
        <w:t xml:space="preserve">響</w:t>
      </w:r>
    </w:p>
    <w:p>
      <w:pPr>
        <w:pStyle w:val="BodyText"/>
      </w:pPr>
      <w:r>
        <w:rPr>
          <w:rFonts w:hint="eastAsia"/>
        </w:rPr>
        <w:t xml:space="preserve">給付（定義見保險合約）乃</w:t>
      </w:r>
      <w:r>
        <w:br/>
      </w:r>
      <w:r>
        <w:rPr>
          <w:rFonts w:hint="eastAsia"/>
        </w:rPr>
        <w:t xml:space="preserve">按合約釐定，並不受投資</w:t>
      </w:r>
      <w:r>
        <w:br/>
      </w:r>
      <w:r>
        <w:rPr>
          <w:rFonts w:hint="eastAsia"/>
        </w:rPr>
        <w:t xml:space="preserve">表現或合約的整體表現影</w:t>
      </w:r>
      <w:r>
        <w:br/>
      </w:r>
      <w:r>
        <w:rPr>
          <w:rFonts w:hint="eastAsia"/>
        </w:rPr>
        <w:t xml:space="preserve">響</w:t>
      </w:r>
    </w:p>
    <w:p>
      <w:pPr>
        <w:pStyle w:val="BodyText"/>
      </w:pPr>
      <w:r>
        <w:t xml:space="preserve">• </w:t>
      </w:r>
      <w:r>
        <w:rPr>
          <w:rFonts w:hint="eastAsia"/>
        </w:rPr>
        <w:t xml:space="preserve">死亡率</w:t>
      </w:r>
      <w:r>
        <w:br/>
      </w:r>
      <w:r>
        <w:t xml:space="preserve">• </w:t>
      </w:r>
      <w:r>
        <w:rPr>
          <w:rFonts w:hint="eastAsia"/>
        </w:rPr>
        <w:t xml:space="preserve">傷病率</w:t>
      </w:r>
      <w:r>
        <w:br/>
      </w:r>
      <w:r>
        <w:t xml:space="preserve">• </w:t>
      </w:r>
      <w:r>
        <w:rPr>
          <w:rFonts w:hint="eastAsia"/>
        </w:rPr>
        <w:t xml:space="preserve">失效</w:t>
      </w:r>
      <w:r>
        <w:br/>
      </w:r>
      <w:r>
        <w:t xml:space="preserve">• </w:t>
      </w:r>
      <w:r>
        <w:rPr>
          <w:rFonts w:hint="eastAsia"/>
        </w:rPr>
        <w:t xml:space="preserve">費用</w:t>
      </w:r>
    </w:p>
    <w:p>
      <w:pPr>
        <w:pStyle w:val="BodyText"/>
      </w:pPr>
      <w:r>
        <w:t xml:space="preserve">• </w:t>
      </w:r>
      <w:r>
        <w:rPr>
          <w:rFonts w:hint="eastAsia"/>
        </w:rPr>
        <w:t xml:space="preserve">死亡率</w:t>
      </w:r>
      <w:r>
        <w:br/>
      </w:r>
      <w:r>
        <w:t xml:space="preserve">• </w:t>
      </w:r>
      <w:r>
        <w:rPr>
          <w:rFonts w:hint="eastAsia"/>
        </w:rPr>
        <w:t xml:space="preserve">傷病率</w:t>
      </w:r>
      <w:r>
        <w:br/>
      </w:r>
      <w:r>
        <w:t xml:space="preserve">• </w:t>
      </w:r>
      <w:r>
        <w:rPr>
          <w:rFonts w:hint="eastAsia"/>
        </w:rPr>
        <w:t xml:space="preserve">失效</w:t>
      </w:r>
      <w:r>
        <w:br/>
      </w:r>
      <w:r>
        <w:t xml:space="preserve">• </w:t>
      </w:r>
      <w:r>
        <w:rPr>
          <w:rFonts w:hint="eastAsia"/>
        </w:rPr>
        <w:t xml:space="preserve">費用</w:t>
      </w:r>
    </w:p>
    <w:p>
      <w:pPr>
        <w:pStyle w:val="BodyText"/>
      </w:pPr>
      <w:r>
        <w:rPr>
          <w:rFonts w:hint="eastAsia"/>
        </w:rPr>
        <w:t xml:space="preserve">單位連結式合約結合儲蓄及保障，</w:t>
      </w:r>
      <w:r>
        <w:br/>
      </w:r>
      <w:r>
        <w:rPr>
          <w:rFonts w:hint="eastAsia"/>
        </w:rPr>
        <w:t xml:space="preserve">保單的現金價值取決於單位化基金</w:t>
      </w:r>
      <w:r>
        <w:br/>
      </w:r>
      <w:r>
        <w:rPr>
          <w:rFonts w:hint="eastAsia"/>
        </w:rPr>
        <w:t xml:space="preserve">的價值</w:t>
      </w:r>
    </w:p>
    <w:p>
      <w:pPr>
        <w:pStyle w:val="BodyText"/>
      </w:pPr>
      <w:r>
        <w:rPr>
          <w:rFonts w:hint="eastAsia"/>
        </w:rPr>
        <w:t xml:space="preserve">給付乃按單位化基金的價</w:t>
      </w:r>
      <w:r>
        <w:br/>
      </w:r>
      <w:r>
        <w:rPr>
          <w:rFonts w:hint="eastAsia"/>
        </w:rPr>
        <w:t xml:space="preserve">值及身故給付計算</w:t>
      </w:r>
    </w:p>
    <w:p>
      <w:pPr>
        <w:pStyle w:val="BodyText"/>
      </w:pPr>
      <w:r>
        <w:rPr>
          <w:rFonts w:hint="eastAsia"/>
        </w:rPr>
        <w:t xml:space="preserve">客戶根據帳戶結餘內累積的指定限</w:t>
      </w:r>
      <w:r>
        <w:br/>
      </w:r>
      <w:r>
        <w:rPr>
          <w:rFonts w:hint="eastAsia"/>
        </w:rPr>
        <w:t xml:space="preserve">額支付靈活性保費，由保險公司釐</w:t>
      </w:r>
      <w:r>
        <w:br/>
      </w:r>
      <w:r>
        <w:rPr>
          <w:rFonts w:hint="eastAsia"/>
        </w:rPr>
        <w:t xml:space="preserve">定利率的利息及可由客戶更改的身</w:t>
      </w:r>
      <w:r>
        <w:br/>
      </w:r>
      <w:r>
        <w:rPr>
          <w:rFonts w:hint="eastAsia"/>
        </w:rPr>
        <w:t xml:space="preserve">故給付於有關帳戶結餘入賬</w:t>
      </w:r>
    </w:p>
    <w:p>
      <w:pPr>
        <w:pStyle w:val="BodyText"/>
      </w:pPr>
      <w:r>
        <w:rPr>
          <w:rFonts w:hint="eastAsia"/>
        </w:rPr>
        <w:t xml:space="preserve">給付乃按帳戶結餘及身故</w:t>
      </w:r>
      <w:r>
        <w:br/>
      </w:r>
      <w:r>
        <w:rPr>
          <w:rFonts w:hint="eastAsia"/>
        </w:rPr>
        <w:t xml:space="preserve">給付計算</w:t>
      </w:r>
    </w:p>
    <w:p>
      <w:pPr>
        <w:pStyle w:val="BodyText"/>
      </w:pPr>
      <w:r>
        <w:t xml:space="preserve">• </w:t>
      </w:r>
      <w:r>
        <w:rPr>
          <w:rFonts w:hint="eastAsia"/>
        </w:rPr>
        <w:t xml:space="preserve">投資表現</w:t>
      </w:r>
      <w:r>
        <w:br/>
      </w:r>
      <w:r>
        <w:t xml:space="preserve">• </w:t>
      </w:r>
      <w:r>
        <w:rPr>
          <w:rFonts w:hint="eastAsia"/>
        </w:rPr>
        <w:t xml:space="preserve">失效</w:t>
      </w:r>
      <w:r>
        <w:br/>
      </w:r>
      <w:r>
        <w:t xml:space="preserve">• </w:t>
      </w:r>
      <w:r>
        <w:rPr>
          <w:rFonts w:hint="eastAsia"/>
        </w:rPr>
        <w:t xml:space="preserve">費用</w:t>
      </w:r>
      <w:r>
        <w:br/>
      </w:r>
      <w:r>
        <w:t xml:space="preserve">• </w:t>
      </w:r>
      <w:r>
        <w:rPr>
          <w:rFonts w:hint="eastAsia"/>
        </w:rPr>
        <w:t xml:space="preserve">死亡率</w:t>
      </w:r>
    </w:p>
    <w:p>
      <w:pPr>
        <w:pStyle w:val="BodyText"/>
      </w:pPr>
      <w:r>
        <w:t xml:space="preserve">• </w:t>
      </w:r>
      <w:r>
        <w:rPr>
          <w:rFonts w:hint="eastAsia"/>
        </w:rPr>
        <w:t xml:space="preserve">投資表現</w:t>
      </w:r>
      <w:r>
        <w:br/>
      </w:r>
      <w:r>
        <w:t xml:space="preserve">• </w:t>
      </w:r>
      <w:r>
        <w:rPr>
          <w:rFonts w:hint="eastAsia"/>
        </w:rPr>
        <w:t xml:space="preserve">結算利率</w:t>
      </w:r>
      <w:r>
        <w:br/>
      </w:r>
      <w:r>
        <w:t xml:space="preserve">• </w:t>
      </w:r>
      <w:r>
        <w:rPr>
          <w:rFonts w:hint="eastAsia"/>
        </w:rPr>
        <w:t xml:space="preserve">失效</w:t>
      </w:r>
      <w:r>
        <w:br/>
      </w:r>
      <w:r>
        <w:t xml:space="preserve">• </w:t>
      </w:r>
      <w:r>
        <w:rPr>
          <w:rFonts w:hint="eastAsia"/>
        </w:rPr>
        <w:t xml:space="preserve">費用</w:t>
      </w:r>
      <w:r>
        <w:br/>
      </w:r>
      <w:r>
        <w:t xml:space="preserve">• </w:t>
      </w:r>
      <w:r>
        <w:rPr>
          <w:rFonts w:hint="eastAsia"/>
        </w:rPr>
        <w:t xml:space="preserve">死亡率</w:t>
      </w:r>
    </w:p>
    <w:p>
      <w:pPr>
        <w:pStyle w:val="BodyText"/>
      </w:pPr>
      <w:r>
        <w:rPr>
          <w:rFonts w:hint="eastAsia"/>
        </w:rPr>
        <w:t xml:space="preserve">全部(1)</w:t>
      </w:r>
    </w:p>
    <w:p>
      <w:pPr>
        <w:pStyle w:val="BodyText"/>
      </w:pPr>
      <w:r>
        <w:rPr>
          <w:rFonts w:hint="eastAsia"/>
        </w:rPr>
        <w:t xml:space="preserve">全部(1)</w:t>
      </w:r>
    </w:p>
    <w:p>
      <w:pPr>
        <w:pStyle w:val="BodyText"/>
      </w:pPr>
      <w:r>
        <w:rPr>
          <w:rFonts w:hint="eastAsia"/>
        </w:rPr>
        <w:t xml:space="preserve">全部(1)</w:t>
      </w:r>
    </w:p>
    <w:p>
      <w:pPr>
        <w:pStyle w:val="BodyText"/>
      </w:pPr>
      <w:r>
        <w:rPr>
          <w:rFonts w:hint="eastAsia"/>
        </w:rPr>
        <w:t xml:space="preserve">全部(1)</w:t>
      </w:r>
    </w:p>
    <w:p>
      <w:pPr>
        <w:pStyle w:val="BodyText"/>
      </w:pPr>
      <w:r>
        <w:t xml:space="preserve">221</w:t>
      </w:r>
    </w:p>
    <w:p>
      <w:pPr>
        <w:pStyle w:val="BodyText"/>
      </w:pPr>
      <w:r>
        <w:rPr>
          <w:rFonts w:hint="eastAsia"/>
        </w:rPr>
        <w:t xml:space="preserve">概覽財務及營運回顧企業管治其他資料財務報表2020年報</w:t>
      </w:r>
    </w:p>
    <w:p>
      <w:pPr>
        <w:pStyle w:val="Compact"/>
        <w:numPr>
          <w:ilvl w:val="0"/>
          <w:numId w:val="1452"/>
        </w:numPr>
      </w:pPr>
      <w:r>
        <w:rPr>
          <w:rFonts w:hint="eastAsia"/>
        </w:rPr>
        <w:t xml:space="preserve">保險合約負債（續）</w:t>
      </w:r>
    </w:p>
    <w:p>
      <w:pPr>
        <w:pStyle w:val="FirstParagraph"/>
      </w:pPr>
      <w:r>
        <w:rPr>
          <w:rFonts w:hint="eastAsia"/>
        </w:rPr>
        <w:t xml:space="preserve">方法及假設</w:t>
      </w:r>
    </w:p>
    <w:p>
      <w:pPr>
        <w:pStyle w:val="BodyText"/>
      </w:pPr>
      <w:r>
        <w:rPr>
          <w:rFonts w:hint="eastAsia"/>
        </w:rPr>
        <w:t xml:space="preserve">年內溢利及股東權益最主要對市場、保險及失效風險敏感，此等風險載列於下表。間接風險顯示存在二次影響。舉例而言，</w:t>
      </w:r>
    </w:p>
    <w:p>
      <w:pPr>
        <w:pStyle w:val="BodyText"/>
      </w:pPr>
      <w:r>
        <w:rPr>
          <w:rFonts w:hint="eastAsia"/>
        </w:rPr>
        <w:t xml:space="preserve">儘管股東應佔年內溢利並不直接受保單持有人所承擔投資風險的投資（例如單位連結式合約）所賺取的投資收入影響，惟本</w:t>
      </w:r>
    </w:p>
    <w:p>
      <w:pPr>
        <w:pStyle w:val="BodyText"/>
      </w:pPr>
      <w:r>
        <w:rPr>
          <w:rFonts w:hint="eastAsia"/>
        </w:rPr>
        <w:t xml:space="preserve">集團透過管理有關投資所賺取的投資管理費存在二次影響。區分直接及間接風險的目的並非為顯示對各項目的相對敏感度。</w:t>
      </w:r>
    </w:p>
    <w:p>
      <w:pPr>
        <w:pStyle w:val="BodyText"/>
      </w:pPr>
      <w:r>
        <w:rPr>
          <w:rFonts w:hint="eastAsia"/>
        </w:rPr>
        <w:t xml:space="preserve">倘直接風險被列作「淨中性」，此乃由於所面臨的市場及信貸風險被保險合約負債的相應變動抵銷。</w:t>
      </w:r>
    </w:p>
    <w:p>
      <w:pPr>
        <w:pStyle w:val="BodyText"/>
      </w:pPr>
      <w:r>
        <w:rPr>
          <w:rFonts w:hint="eastAsia"/>
        </w:rPr>
        <w:t xml:space="preserve">市場及信貸風險</w:t>
      </w:r>
    </w:p>
    <w:p>
      <w:pPr>
        <w:pStyle w:val="BodyText"/>
      </w:pPr>
      <w:r>
        <w:rPr>
          <w:rFonts w:hint="eastAsia"/>
        </w:rPr>
        <w:t xml:space="preserve">直接風險</w:t>
      </w:r>
    </w:p>
    <w:p>
      <w:pPr>
        <w:pStyle w:val="BodyText"/>
      </w:pPr>
      <w:r>
        <w:rPr>
          <w:rFonts w:hint="eastAsia"/>
        </w:rPr>
        <w:t xml:space="preserve">合約種類</w:t>
      </w:r>
    </w:p>
    <w:p>
      <w:pPr>
        <w:pStyle w:val="BodyText"/>
      </w:pPr>
      <w:r>
        <w:rPr>
          <w:rFonts w:hint="eastAsia"/>
        </w:rPr>
        <w:t xml:space="preserve">保險及投資合約負債</w:t>
      </w:r>
    </w:p>
    <w:p>
      <w:pPr>
        <w:pStyle w:val="BodyText"/>
      </w:pPr>
      <w:r>
        <w:rPr>
          <w:rFonts w:hint="eastAsia"/>
        </w:rPr>
        <w:t xml:space="preserve">相關投資組合涉及的風險</w:t>
      </w:r>
      <w:r>
        <w:t xml:space="preserve"> </w:t>
      </w:r>
      <w:r>
        <w:rPr>
          <w:rFonts w:hint="eastAsia"/>
        </w:rPr>
        <w:t xml:space="preserve">間接風險</w:t>
      </w:r>
    </w:p>
    <w:p>
      <w:pPr>
        <w:pStyle w:val="BodyText"/>
      </w:pPr>
      <w:r>
        <w:rPr>
          <w:rFonts w:hint="eastAsia"/>
        </w:rPr>
        <w:t xml:space="preserve">重大保險及失效風險</w:t>
      </w:r>
    </w:p>
    <w:p>
      <w:pPr>
        <w:pStyle w:val="BodyText"/>
      </w:pPr>
      <w:r>
        <w:rPr>
          <w:rFonts w:hint="eastAsia"/>
        </w:rPr>
        <w:t xml:space="preserve">傳統分紅壽險</w:t>
      </w:r>
      <w:r>
        <w:t xml:space="preserve"> </w:t>
      </w:r>
      <w:r>
        <w:rPr>
          <w:rFonts w:hint="eastAsia"/>
        </w:rPr>
        <w:t xml:space="preserve">分紅基金</w:t>
      </w:r>
      <w:r>
        <w:br/>
      </w:r>
      <w:r>
        <w:rPr>
          <w:rFonts w:hint="eastAsia"/>
        </w:rPr>
        <w:t xml:space="preserve">及具特定</w:t>
      </w:r>
      <w:r>
        <w:br/>
      </w:r>
      <w:r>
        <w:rPr>
          <w:rFonts w:hint="eastAsia"/>
        </w:rPr>
        <w:t xml:space="preserve">資產組合</w:t>
      </w:r>
      <w:r>
        <w:br/>
      </w:r>
      <w:r>
        <w:rPr>
          <w:rFonts w:hint="eastAsia"/>
        </w:rPr>
        <w:t xml:space="preserve">的其他分</w:t>
      </w:r>
      <w:r>
        <w:br/>
      </w:r>
      <w:r>
        <w:rPr>
          <w:rFonts w:hint="eastAsia"/>
        </w:rPr>
        <w:t xml:space="preserve">紅業務</w:t>
      </w:r>
    </w:p>
    <w:p>
      <w:pPr>
        <w:pStyle w:val="BodyText"/>
      </w:pPr>
      <w:r>
        <w:t xml:space="preserve">• </w:t>
      </w:r>
      <w:r>
        <w:rPr>
          <w:rFonts w:hint="eastAsia"/>
        </w:rPr>
        <w:t xml:space="preserve">淨中性，惟保險公司</w:t>
      </w:r>
      <w:r>
        <w:br/>
      </w:r>
      <w:r>
        <w:rPr>
          <w:rFonts w:hint="eastAsia"/>
        </w:rPr>
        <w:t xml:space="preserve">分佔分紅投資表現除</w:t>
      </w:r>
      <w:r>
        <w:br/>
      </w:r>
      <w:r>
        <w:rPr>
          <w:rFonts w:hint="eastAsia"/>
        </w:rPr>
        <w:t xml:space="preserve">外</w:t>
      </w:r>
      <w:r>
        <w:br/>
      </w:r>
      <w:r>
        <w:t xml:space="preserve">• </w:t>
      </w:r>
      <w:r>
        <w:rPr>
          <w:rFonts w:hint="eastAsia"/>
        </w:rPr>
        <w:t xml:space="preserve">保證</w:t>
      </w:r>
    </w:p>
    <w:p>
      <w:pPr>
        <w:pStyle w:val="BodyText"/>
      </w:pPr>
      <w:r>
        <w:t xml:space="preserve">• </w:t>
      </w:r>
      <w:r>
        <w:rPr>
          <w:rFonts w:hint="eastAsia"/>
        </w:rPr>
        <w:t xml:space="preserve">淨中性，惟保險公司</w:t>
      </w:r>
      <w:r>
        <w:br/>
      </w:r>
      <w:r>
        <w:rPr>
          <w:rFonts w:hint="eastAsia"/>
        </w:rPr>
        <w:t xml:space="preserve">分佔分紅投資表現除</w:t>
      </w:r>
      <w:r>
        <w:br/>
      </w:r>
      <w:r>
        <w:rPr>
          <w:rFonts w:hint="eastAsia"/>
        </w:rPr>
        <w:t xml:space="preserve">外</w:t>
      </w:r>
      <w:r>
        <w:br/>
      </w:r>
      <w:r>
        <w:t xml:space="preserve">• </w:t>
      </w:r>
      <w:r>
        <w:rPr>
          <w:rFonts w:hint="eastAsia"/>
        </w:rPr>
        <w:t xml:space="preserve">保證</w:t>
      </w:r>
    </w:p>
    <w:p>
      <w:pPr>
        <w:pStyle w:val="BodyText"/>
      </w:pPr>
      <w:r>
        <w:t xml:space="preserve">• </w:t>
      </w:r>
      <w:r>
        <w:rPr>
          <w:rFonts w:hint="eastAsia"/>
        </w:rPr>
        <w:t xml:space="preserve">投資表現可透過宣派</w:t>
      </w:r>
    </w:p>
    <w:p>
      <w:pPr>
        <w:pStyle w:val="BodyText"/>
      </w:pPr>
      <w:r>
        <w:t xml:space="preserve">• </w:t>
      </w:r>
      <w:r>
        <w:rPr>
          <w:rFonts w:hint="eastAsia"/>
        </w:rPr>
        <w:t xml:space="preserve">日後持續派付紅利的</w:t>
      </w:r>
    </w:p>
    <w:p>
      <w:pPr>
        <w:pStyle w:val="BodyText"/>
      </w:pPr>
      <w:r>
        <w:rPr>
          <w:rFonts w:hint="eastAsia"/>
        </w:rPr>
        <w:t xml:space="preserve">紅利變得平穩</w:t>
      </w:r>
    </w:p>
    <w:p>
      <w:pPr>
        <w:pStyle w:val="BodyText"/>
      </w:pPr>
      <w:r>
        <w:rPr>
          <w:rFonts w:hint="eastAsia"/>
        </w:rPr>
        <w:t xml:space="preserve">影響</w:t>
      </w:r>
      <w:r>
        <w:br/>
      </w:r>
      <w:r>
        <w:t xml:space="preserve">• </w:t>
      </w:r>
      <w:r>
        <w:rPr>
          <w:rFonts w:hint="eastAsia"/>
        </w:rPr>
        <w:t xml:space="preserve">死亡率</w:t>
      </w:r>
      <w:r>
        <w:br/>
      </w:r>
      <w:r>
        <w:t xml:space="preserve">• </w:t>
      </w:r>
      <w:r>
        <w:rPr>
          <w:rFonts w:hint="eastAsia"/>
        </w:rPr>
        <w:t xml:space="preserve">傷病率</w:t>
      </w:r>
    </w:p>
    <w:p>
      <w:pPr>
        <w:pStyle w:val="BodyText"/>
      </w:pPr>
      <w:r>
        <w:rPr>
          <w:rFonts w:hint="eastAsia"/>
        </w:rPr>
        <w:t xml:space="preserve">無特定資</w:t>
      </w:r>
      <w:r>
        <w:br/>
      </w:r>
      <w:r>
        <w:rPr>
          <w:rFonts w:hint="eastAsia"/>
        </w:rPr>
        <w:t xml:space="preserve">產組合的</w:t>
      </w:r>
      <w:r>
        <w:br/>
      </w:r>
      <w:r>
        <w:rPr>
          <w:rFonts w:hint="eastAsia"/>
        </w:rPr>
        <w:t xml:space="preserve">其他分紅</w:t>
      </w:r>
      <w:r>
        <w:br/>
      </w:r>
      <w:r>
        <w:rPr>
          <w:rFonts w:hint="eastAsia"/>
        </w:rPr>
        <w:t xml:space="preserve">業務</w:t>
      </w:r>
    </w:p>
    <w:p>
      <w:pPr>
        <w:pStyle w:val="BodyText"/>
      </w:pPr>
      <w:r>
        <w:t xml:space="preserve">• </w:t>
      </w:r>
      <w:r>
        <w:rPr>
          <w:rFonts w:hint="eastAsia"/>
        </w:rPr>
        <w:t xml:space="preserve">淨中性，惟保險公司</w:t>
      </w:r>
      <w:r>
        <w:br/>
      </w:r>
      <w:r>
        <w:rPr>
          <w:rFonts w:hint="eastAsia"/>
        </w:rPr>
        <w:t xml:space="preserve">分佔分紅投資表現除</w:t>
      </w:r>
      <w:r>
        <w:br/>
      </w:r>
      <w:r>
        <w:rPr>
          <w:rFonts w:hint="eastAsia"/>
        </w:rPr>
        <w:t xml:space="preserve">外</w:t>
      </w:r>
      <w:r>
        <w:br/>
      </w:r>
      <w:r>
        <w:t xml:space="preserve">• </w:t>
      </w:r>
      <w:r>
        <w:rPr>
          <w:rFonts w:hint="eastAsia"/>
        </w:rPr>
        <w:t xml:space="preserve">保證</w:t>
      </w:r>
    </w:p>
    <w:p>
      <w:pPr>
        <w:pStyle w:val="BodyText"/>
      </w:pPr>
      <w:r>
        <w:t xml:space="preserve">• </w:t>
      </w:r>
      <w:r>
        <w:rPr>
          <w:rFonts w:hint="eastAsia"/>
        </w:rPr>
        <w:t xml:space="preserve">淨中性，惟保險公司</w:t>
      </w:r>
      <w:r>
        <w:br/>
      </w:r>
      <w:r>
        <w:rPr>
          <w:rFonts w:hint="eastAsia"/>
        </w:rPr>
        <w:t xml:space="preserve">分佔分紅投資表現除</w:t>
      </w:r>
      <w:r>
        <w:br/>
      </w:r>
      <w:r>
        <w:rPr>
          <w:rFonts w:hint="eastAsia"/>
        </w:rPr>
        <w:t xml:space="preserve">外</w:t>
      </w:r>
      <w:r>
        <w:br/>
      </w:r>
      <w:r>
        <w:t xml:space="preserve">• </w:t>
      </w:r>
      <w:r>
        <w:rPr>
          <w:rFonts w:hint="eastAsia"/>
        </w:rPr>
        <w:t xml:space="preserve">保證</w:t>
      </w:r>
    </w:p>
    <w:p>
      <w:pPr>
        <w:pStyle w:val="BodyText"/>
      </w:pPr>
      <w:r>
        <w:t xml:space="preserve">• </w:t>
      </w:r>
      <w:r>
        <w:rPr>
          <w:rFonts w:hint="eastAsia"/>
        </w:rPr>
        <w:t xml:space="preserve">投資表現可透過宣派</w:t>
      </w:r>
    </w:p>
    <w:p>
      <w:pPr>
        <w:pStyle w:val="BodyText"/>
      </w:pPr>
      <w:r>
        <w:t xml:space="preserve">• </w:t>
      </w:r>
      <w:r>
        <w:rPr>
          <w:rFonts w:hint="eastAsia"/>
        </w:rPr>
        <w:t xml:space="preserve">日後持續派付紅利的</w:t>
      </w:r>
    </w:p>
    <w:p>
      <w:pPr>
        <w:pStyle w:val="BodyText"/>
      </w:pPr>
      <w:r>
        <w:rPr>
          <w:rFonts w:hint="eastAsia"/>
        </w:rPr>
        <w:t xml:space="preserve">紅利變得平穩</w:t>
      </w:r>
    </w:p>
    <w:p>
      <w:pPr>
        <w:pStyle w:val="BodyText"/>
      </w:pPr>
      <w:r>
        <w:rPr>
          <w:rFonts w:hint="eastAsia"/>
        </w:rPr>
        <w:t xml:space="preserve">傳統非分紅壽險</w:t>
      </w:r>
    </w:p>
    <w:p>
      <w:pPr>
        <w:pStyle w:val="BodyText"/>
      </w:pPr>
      <w:r>
        <w:rPr>
          <w:rFonts w:hint="eastAsia"/>
        </w:rPr>
        <w:t xml:space="preserve">意外及醫療</w:t>
      </w:r>
    </w:p>
    <w:p>
      <w:pPr>
        <w:pStyle w:val="BodyText"/>
      </w:pPr>
      <w:r>
        <w:rPr>
          <w:rFonts w:hint="eastAsia"/>
        </w:rPr>
        <w:t xml:space="preserve">退休金</w:t>
      </w:r>
    </w:p>
    <w:p>
      <w:pPr>
        <w:pStyle w:val="BodyText"/>
      </w:pPr>
      <w:r>
        <w:t xml:space="preserve">• </w:t>
      </w:r>
      <w:r>
        <w:rPr>
          <w:rFonts w:hint="eastAsia"/>
        </w:rPr>
        <w:t xml:space="preserve">保證</w:t>
      </w:r>
      <w:r>
        <w:br/>
      </w:r>
      <w:r>
        <w:t xml:space="preserve">• </w:t>
      </w:r>
      <w:r>
        <w:rPr>
          <w:rFonts w:hint="eastAsia"/>
        </w:rPr>
        <w:t xml:space="preserve">資產負債錯配風險</w:t>
      </w:r>
    </w:p>
    <w:p>
      <w:pPr>
        <w:pStyle w:val="BodyText"/>
      </w:pPr>
      <w:r>
        <w:t xml:space="preserve">• </w:t>
      </w:r>
      <w:r>
        <w:rPr>
          <w:rFonts w:hint="eastAsia"/>
        </w:rPr>
        <w:t xml:space="preserve">投資表現</w:t>
      </w:r>
      <w:r>
        <w:br/>
      </w:r>
      <w:r>
        <w:t xml:space="preserve">• </w:t>
      </w:r>
      <w:r>
        <w:rPr>
          <w:rFonts w:hint="eastAsia"/>
        </w:rPr>
        <w:t xml:space="preserve">資產負債錯配風險</w:t>
      </w:r>
      <w:r>
        <w:br/>
      </w:r>
      <w:r>
        <w:t xml:space="preserve">• </w:t>
      </w:r>
      <w:r>
        <w:rPr>
          <w:rFonts w:hint="eastAsia"/>
        </w:rPr>
        <w:t xml:space="preserve">信貸風險</w:t>
      </w:r>
    </w:p>
    <w:p>
      <w:pPr>
        <w:pStyle w:val="BodyText"/>
      </w:pPr>
      <w:r>
        <w:t xml:space="preserve">• </w:t>
      </w:r>
      <w:r>
        <w:rPr>
          <w:rFonts w:hint="eastAsia"/>
        </w:rPr>
        <w:t xml:space="preserve">資產負債錯配風險</w:t>
      </w:r>
      <w:r>
        <w:t xml:space="preserve"> • </w:t>
      </w:r>
      <w:r>
        <w:rPr>
          <w:rFonts w:hint="eastAsia"/>
        </w:rPr>
        <w:t xml:space="preserve">投資表現</w:t>
      </w:r>
      <w:r>
        <w:br/>
      </w:r>
      <w:r>
        <w:t xml:space="preserve">• </w:t>
      </w:r>
      <w:r>
        <w:rPr>
          <w:rFonts w:hint="eastAsia"/>
        </w:rPr>
        <w:t xml:space="preserve">信貸風險</w:t>
      </w:r>
      <w:r>
        <w:br/>
      </w:r>
      <w:r>
        <w:t xml:space="preserve">• </w:t>
      </w:r>
      <w:r>
        <w:rPr>
          <w:rFonts w:hint="eastAsia"/>
        </w:rPr>
        <w:t xml:space="preserve">資產負債錯配風險</w:t>
      </w:r>
    </w:p>
    <w:p>
      <w:pPr>
        <w:pStyle w:val="BodyText"/>
      </w:pPr>
      <w:r>
        <w:t xml:space="preserve">• </w:t>
      </w:r>
      <w:r>
        <w:rPr>
          <w:rFonts w:hint="eastAsia"/>
        </w:rPr>
        <w:t xml:space="preserve">不適用</w:t>
      </w:r>
    </w:p>
    <w:p>
      <w:pPr>
        <w:pStyle w:val="BodyText"/>
      </w:pPr>
      <w:r>
        <w:t xml:space="preserve">• </w:t>
      </w:r>
      <w:r>
        <w:rPr>
          <w:rFonts w:hint="eastAsia"/>
        </w:rPr>
        <w:t xml:space="preserve">不適用</w:t>
      </w:r>
    </w:p>
    <w:p>
      <w:pPr>
        <w:pStyle w:val="BodyText"/>
      </w:pPr>
      <w:r>
        <w:t xml:space="preserve">• </w:t>
      </w:r>
      <w:r>
        <w:rPr>
          <w:rFonts w:hint="eastAsia"/>
        </w:rPr>
        <w:t xml:space="preserve">淨中性</w:t>
      </w:r>
      <w:r>
        <w:br/>
      </w:r>
      <w:r>
        <w:t xml:space="preserve">• </w:t>
      </w:r>
      <w:r>
        <w:rPr>
          <w:rFonts w:hint="eastAsia"/>
        </w:rPr>
        <w:t xml:space="preserve">資產負債錯配風險</w:t>
      </w:r>
    </w:p>
    <w:p>
      <w:pPr>
        <w:pStyle w:val="BodyText"/>
      </w:pPr>
      <w:r>
        <w:t xml:space="preserve">• </w:t>
      </w:r>
      <w:r>
        <w:rPr>
          <w:rFonts w:hint="eastAsia"/>
        </w:rPr>
        <w:t xml:space="preserve">淨中性</w:t>
      </w:r>
      <w:r>
        <w:br/>
      </w:r>
      <w:r>
        <w:t xml:space="preserve">• </w:t>
      </w:r>
      <w:r>
        <w:rPr>
          <w:rFonts w:hint="eastAsia"/>
        </w:rPr>
        <w:t xml:space="preserve">資產負債錯配風險</w:t>
      </w:r>
    </w:p>
    <w:p>
      <w:pPr>
        <w:pStyle w:val="BodyText"/>
      </w:pPr>
      <w:r>
        <w:t xml:space="preserve">• </w:t>
      </w:r>
      <w:r>
        <w:rPr>
          <w:rFonts w:hint="eastAsia"/>
        </w:rPr>
        <w:t xml:space="preserve">表現相關的投資管理</w:t>
      </w:r>
    </w:p>
    <w:p>
      <w:pPr>
        <w:pStyle w:val="BodyText"/>
      </w:pPr>
      <w:r>
        <w:t xml:space="preserve">• </w:t>
      </w:r>
      <w:r>
        <w:rPr>
          <w:rFonts w:hint="eastAsia"/>
        </w:rPr>
        <w:t xml:space="preserve">續保率</w:t>
      </w:r>
    </w:p>
    <w:p>
      <w:pPr>
        <w:pStyle w:val="BodyText"/>
      </w:pPr>
      <w:r>
        <w:rPr>
          <w:rFonts w:hint="eastAsia"/>
        </w:rPr>
        <w:t xml:space="preserve">費</w:t>
      </w:r>
    </w:p>
    <w:p>
      <w:pPr>
        <w:pStyle w:val="BodyText"/>
      </w:pPr>
      <w:r>
        <w:rPr>
          <w:rFonts w:hint="eastAsia"/>
        </w:rPr>
        <w:t xml:space="preserve">影響</w:t>
      </w:r>
      <w:r>
        <w:br/>
      </w:r>
      <w:r>
        <w:t xml:space="preserve">• </w:t>
      </w:r>
      <w:r>
        <w:rPr>
          <w:rFonts w:hint="eastAsia"/>
        </w:rPr>
        <w:t xml:space="preserve">死亡率</w:t>
      </w:r>
      <w:r>
        <w:br/>
      </w:r>
      <w:r>
        <w:t xml:space="preserve">• </w:t>
      </w:r>
      <w:r>
        <w:rPr>
          <w:rFonts w:hint="eastAsia"/>
        </w:rPr>
        <w:t xml:space="preserve">傷病率</w:t>
      </w:r>
    </w:p>
    <w:p>
      <w:pPr>
        <w:pStyle w:val="BodyText"/>
      </w:pPr>
      <w:r>
        <w:t xml:space="preserve">• </w:t>
      </w:r>
      <w:r>
        <w:rPr>
          <w:rFonts w:hint="eastAsia"/>
        </w:rPr>
        <w:t xml:space="preserve">死亡率</w:t>
      </w:r>
      <w:r>
        <w:br/>
      </w:r>
      <w:r>
        <w:t xml:space="preserve">• </w:t>
      </w:r>
      <w:r>
        <w:rPr>
          <w:rFonts w:hint="eastAsia"/>
        </w:rPr>
        <w:t xml:space="preserve">續保率</w:t>
      </w:r>
      <w:r>
        <w:br/>
      </w:r>
      <w:r>
        <w:t xml:space="preserve">• </w:t>
      </w:r>
      <w:r>
        <w:rPr>
          <w:rFonts w:hint="eastAsia"/>
        </w:rPr>
        <w:t xml:space="preserve">傷病率</w:t>
      </w:r>
    </w:p>
    <w:p>
      <w:pPr>
        <w:pStyle w:val="BodyText"/>
      </w:pPr>
      <w:r>
        <w:t xml:space="preserve">• </w:t>
      </w:r>
      <w:r>
        <w:rPr>
          <w:rFonts w:hint="eastAsia"/>
        </w:rPr>
        <w:t xml:space="preserve">傷病率</w:t>
      </w:r>
      <w:r>
        <w:br/>
      </w:r>
      <w:r>
        <w:t xml:space="preserve">• </w:t>
      </w:r>
      <w:r>
        <w:rPr>
          <w:rFonts w:hint="eastAsia"/>
        </w:rPr>
        <w:t xml:space="preserve">續保率</w:t>
      </w:r>
    </w:p>
    <w:p>
      <w:pPr>
        <w:pStyle w:val="BodyText"/>
      </w:pPr>
      <w:r>
        <w:rPr>
          <w:rFonts w:hint="eastAsia"/>
        </w:rPr>
        <w:t xml:space="preserve">單位連結式</w:t>
      </w:r>
    </w:p>
    <w:p>
      <w:pPr>
        <w:pStyle w:val="BodyText"/>
      </w:pPr>
      <w:r>
        <w:t xml:space="preserve">• </w:t>
      </w:r>
      <w:r>
        <w:rPr>
          <w:rFonts w:hint="eastAsia"/>
        </w:rPr>
        <w:t xml:space="preserve">淨中性</w:t>
      </w:r>
    </w:p>
    <w:p>
      <w:pPr>
        <w:pStyle w:val="BodyText"/>
      </w:pPr>
      <w:r>
        <w:t xml:space="preserve">• </w:t>
      </w:r>
      <w:r>
        <w:rPr>
          <w:rFonts w:hint="eastAsia"/>
        </w:rPr>
        <w:t xml:space="preserve">淨中性</w:t>
      </w:r>
    </w:p>
    <w:p>
      <w:pPr>
        <w:pStyle w:val="BodyText"/>
      </w:pPr>
      <w:r>
        <w:t xml:space="preserve">• </w:t>
      </w:r>
      <w:r>
        <w:rPr>
          <w:rFonts w:hint="eastAsia"/>
        </w:rPr>
        <w:t xml:space="preserve">表現相關的投資管理</w:t>
      </w:r>
    </w:p>
    <w:p>
      <w:pPr>
        <w:pStyle w:val="BodyText"/>
      </w:pPr>
      <w:r>
        <w:rPr>
          <w:rFonts w:hint="eastAsia"/>
        </w:rPr>
        <w:t xml:space="preserve">費</w:t>
      </w:r>
    </w:p>
    <w:p>
      <w:pPr>
        <w:pStyle w:val="BodyText"/>
      </w:pPr>
      <w:r>
        <w:rPr>
          <w:rFonts w:hint="eastAsia"/>
        </w:rPr>
        <w:t xml:space="preserve">萬能壽險</w:t>
      </w:r>
    </w:p>
    <w:p>
      <w:pPr>
        <w:pStyle w:val="BodyText"/>
      </w:pPr>
      <w:r>
        <w:t xml:space="preserve">• </w:t>
      </w:r>
      <w:r>
        <w:rPr>
          <w:rFonts w:hint="eastAsia"/>
        </w:rPr>
        <w:t xml:space="preserve">保證</w:t>
      </w:r>
      <w:r>
        <w:br/>
      </w:r>
      <w:r>
        <w:t xml:space="preserve">• </w:t>
      </w:r>
      <w:r>
        <w:rPr>
          <w:rFonts w:hint="eastAsia"/>
        </w:rPr>
        <w:t xml:space="preserve">資產負債錯配風險</w:t>
      </w:r>
    </w:p>
    <w:p>
      <w:pPr>
        <w:pStyle w:val="BodyText"/>
      </w:pPr>
      <w:r>
        <w:t xml:space="preserve">• </w:t>
      </w:r>
      <w:r>
        <w:rPr>
          <w:rFonts w:hint="eastAsia"/>
        </w:rPr>
        <w:t xml:space="preserve">投資表現</w:t>
      </w:r>
      <w:r>
        <w:br/>
      </w:r>
      <w:r>
        <w:t xml:space="preserve">• </w:t>
      </w:r>
      <w:r>
        <w:rPr>
          <w:rFonts w:hint="eastAsia"/>
        </w:rPr>
        <w:t xml:space="preserve">信貸風險</w:t>
      </w:r>
      <w:r>
        <w:br/>
      </w:r>
      <w:r>
        <w:t xml:space="preserve">• </w:t>
      </w:r>
      <w:r>
        <w:rPr>
          <w:rFonts w:hint="eastAsia"/>
        </w:rPr>
        <w:t xml:space="preserve">資產負債錯配風險</w:t>
      </w:r>
    </w:p>
    <w:p>
      <w:pPr>
        <w:pStyle w:val="BodyText"/>
      </w:pPr>
      <w:r>
        <w:t xml:space="preserve">• </w:t>
      </w:r>
      <w:r>
        <w:rPr>
          <w:rFonts w:hint="eastAsia"/>
        </w:rPr>
        <w:t xml:space="preserve">保單持有人的收益率</w:t>
      </w:r>
    </w:p>
    <w:p>
      <w:pPr>
        <w:pStyle w:val="BodyText"/>
      </w:pPr>
      <w:r>
        <w:rPr>
          <w:rFonts w:hint="eastAsia"/>
        </w:rPr>
        <w:t xml:space="preserve">及結算利率之差</w:t>
      </w:r>
    </w:p>
    <w:p>
      <w:pPr>
        <w:pStyle w:val="BodyText"/>
      </w:pPr>
      <w:r>
        <w:t xml:space="preserve">• </w:t>
      </w:r>
      <w:r>
        <w:rPr>
          <w:rFonts w:hint="eastAsia"/>
        </w:rPr>
        <w:t xml:space="preserve">續保率</w:t>
      </w:r>
      <w:r>
        <w:br/>
      </w:r>
      <w:r>
        <w:t xml:space="preserve">• </w:t>
      </w:r>
      <w:r>
        <w:rPr>
          <w:rFonts w:hint="eastAsia"/>
        </w:rPr>
        <w:t xml:space="preserve">死亡率</w:t>
      </w:r>
    </w:p>
    <w:p>
      <w:pPr>
        <w:pStyle w:val="BodyText"/>
      </w:pPr>
      <w:r>
        <w:t xml:space="preserve">• </w:t>
      </w:r>
      <w:r>
        <w:rPr>
          <w:rFonts w:hint="eastAsia"/>
        </w:rPr>
        <w:t xml:space="preserve">死亡率</w:t>
      </w:r>
      <w:r>
        <w:br/>
      </w:r>
      <w:r>
        <w:t xml:space="preserve">• </w:t>
      </w:r>
      <w:r>
        <w:rPr>
          <w:rFonts w:hint="eastAsia"/>
        </w:rPr>
        <w:t xml:space="preserve">續保率</w:t>
      </w:r>
      <w:r>
        <w:br/>
      </w:r>
      <w:r>
        <w:t xml:space="preserve">• </w:t>
      </w:r>
      <w:r>
        <w:rPr>
          <w:rFonts w:hint="eastAsia"/>
        </w:rPr>
        <w:t xml:space="preserve">提款</w:t>
      </w:r>
    </w:p>
    <w:p>
      <w:pPr>
        <w:pStyle w:val="BodyText"/>
      </w:pPr>
      <w:r>
        <w:rPr>
          <w:rFonts w:hint="eastAsia"/>
        </w:rPr>
        <w:t xml:space="preserve">本集團亦面臨營運產生的匯率風險及代表股東權益淨額的資產的利率風險、信貸風險及股本價格風險，並在實際費用超過可</w:t>
      </w:r>
    </w:p>
    <w:p>
      <w:pPr>
        <w:pStyle w:val="BodyText"/>
      </w:pPr>
      <w:r>
        <w:rPr>
          <w:rFonts w:hint="eastAsia"/>
        </w:rPr>
        <w:t xml:space="preserve">向非分紅業務的保險及投資合約持有人收取的費用情況下面臨費用風險。本集團精算估值模型運用的開支假設假定業務量維</w:t>
      </w:r>
    </w:p>
    <w:p>
      <w:pPr>
        <w:pStyle w:val="BodyText"/>
      </w:pPr>
      <w:r>
        <w:rPr>
          <w:rFonts w:hint="eastAsia"/>
        </w:rPr>
        <w:t xml:space="preserve">持持續水平。</w:t>
      </w:r>
    </w:p>
    <w:p>
      <w:pPr>
        <w:pStyle w:val="BodyText"/>
      </w:pPr>
      <w:r>
        <w:t xml:space="preserve">222</w:t>
      </w:r>
    </w:p>
    <w:p>
      <w:pPr>
        <w:pStyle w:val="BodyText"/>
      </w:pPr>
      <w:r>
        <w:rPr>
          <w:rFonts w:hint="eastAsia"/>
        </w:rPr>
        <w:t xml:space="preserve">友邦保險控股有限公司</w:t>
      </w:r>
    </w:p>
    <w:p>
      <w:pPr>
        <w:pStyle w:val="Compact"/>
        <w:numPr>
          <w:ilvl w:val="0"/>
          <w:numId w:val="1453"/>
        </w:numPr>
      </w:pPr>
      <w:r>
        <w:rPr>
          <w:rFonts w:hint="eastAsia"/>
        </w:rPr>
        <w:t xml:space="preserve">保險合約負債（續）</w:t>
      </w:r>
    </w:p>
    <w:p>
      <w:pPr>
        <w:pStyle w:val="FirstParagraph"/>
      </w:pPr>
      <w:r>
        <w:rPr>
          <w:rFonts w:hint="eastAsia"/>
        </w:rPr>
        <w:t xml:space="preserve">方法及假設（續）</w:t>
      </w:r>
    </w:p>
    <w:p>
      <w:pPr>
        <w:pStyle w:val="BodyText"/>
      </w:pPr>
      <w:r>
        <w:rPr>
          <w:rFonts w:hint="eastAsia"/>
        </w:rPr>
        <w:t xml:space="preserve">估值利率</w:t>
      </w:r>
    </w:p>
    <w:p>
      <w:pPr>
        <w:pStyle w:val="BodyText"/>
      </w:pPr>
      <w:r>
        <w:rPr>
          <w:rFonts w:hint="eastAsia"/>
        </w:rPr>
        <w:t xml:space="preserve">於2020年及2019年12月31日，傳統保險合約於首個20年的適用評估利率範圍（隨經營分部、簽發年份及產品而變化）如下：</w:t>
      </w:r>
    </w:p>
    <w:p>
      <w:pPr>
        <w:pStyle w:val="BodyText"/>
      </w:pPr>
      <w:r>
        <w:rPr>
          <w:rFonts w:hint="eastAsia"/>
        </w:rPr>
        <w:t xml:space="preserve">香港</w:t>
      </w:r>
    </w:p>
    <w:p>
      <w:pPr>
        <w:pStyle w:val="BodyText"/>
      </w:pPr>
      <w:r>
        <w:rPr>
          <w:rFonts w:hint="eastAsia"/>
        </w:rPr>
        <w:t xml:space="preserve">泰國</w:t>
      </w:r>
    </w:p>
    <w:p>
      <w:pPr>
        <w:pStyle w:val="BodyText"/>
      </w:pPr>
      <w:r>
        <w:rPr>
          <w:rFonts w:hint="eastAsia"/>
        </w:rPr>
        <w:t xml:space="preserve">新加坡</w:t>
      </w:r>
    </w:p>
    <w:p>
      <w:pPr>
        <w:pStyle w:val="BodyText"/>
      </w:pPr>
      <w:r>
        <w:rPr>
          <w:rFonts w:hint="eastAsia"/>
        </w:rPr>
        <w:t xml:space="preserve">馬來西亞</w:t>
      </w:r>
    </w:p>
    <w:p>
      <w:pPr>
        <w:pStyle w:val="BodyText"/>
      </w:pPr>
      <w:r>
        <w:rPr>
          <w:rFonts w:hint="eastAsia"/>
        </w:rPr>
        <w:t xml:space="preserve">中國內地</w:t>
      </w:r>
    </w:p>
    <w:p>
      <w:pPr>
        <w:pStyle w:val="BodyText"/>
      </w:pPr>
      <w:r>
        <w:rPr>
          <w:rFonts w:hint="eastAsia"/>
        </w:rPr>
        <w:t xml:space="preserve">澳洲</w:t>
      </w:r>
    </w:p>
    <w:p>
      <w:pPr>
        <w:pStyle w:val="BodyText"/>
      </w:pPr>
      <w:r>
        <w:rPr>
          <w:rFonts w:hint="eastAsia"/>
        </w:rPr>
        <w:t xml:space="preserve">印尼</w:t>
      </w:r>
    </w:p>
    <w:p>
      <w:pPr>
        <w:pStyle w:val="BodyText"/>
      </w:pPr>
      <w:r>
        <w:rPr>
          <w:rFonts w:hint="eastAsia"/>
        </w:rPr>
        <w:t xml:space="preserve">菲律賓</w:t>
      </w:r>
    </w:p>
    <w:p>
      <w:pPr>
        <w:pStyle w:val="BodyText"/>
      </w:pPr>
      <w:r>
        <w:rPr>
          <w:rFonts w:hint="eastAsia"/>
        </w:rPr>
        <w:t xml:space="preserve">南韓</w:t>
      </w:r>
    </w:p>
    <w:p>
      <w:pPr>
        <w:pStyle w:val="BodyText"/>
      </w:pPr>
      <w:r>
        <w:rPr>
          <w:rFonts w:hint="eastAsia"/>
        </w:rPr>
        <w:t xml:space="preserve">斯里蘭卡</w:t>
      </w:r>
    </w:p>
    <w:p>
      <w:pPr>
        <w:pStyle w:val="BodyText"/>
      </w:pPr>
      <w:r>
        <w:rPr>
          <w:rFonts w:hint="eastAsia"/>
        </w:rPr>
        <w:t xml:space="preserve">中國台灣</w:t>
      </w:r>
    </w:p>
    <w:p>
      <w:pPr>
        <w:pStyle w:val="BodyText"/>
      </w:pPr>
      <w:r>
        <w:rPr>
          <w:rFonts w:hint="eastAsia"/>
        </w:rPr>
        <w:t xml:space="preserve">越南</w:t>
      </w:r>
    </w:p>
    <w:p>
      <w:pPr>
        <w:pStyle w:val="Compact"/>
        <w:numPr>
          <w:ilvl w:val="0"/>
          <w:numId w:val="1454"/>
        </w:numPr>
      </w:pPr>
      <w:r>
        <w:rPr>
          <w:rFonts w:hint="eastAsia"/>
        </w:rPr>
        <w:t xml:space="preserve">投資合約負債</w:t>
      </w:r>
    </w:p>
    <w:p>
      <w:pPr>
        <w:pStyle w:val="FirstParagraph"/>
      </w:pPr>
      <w:r>
        <w:rPr>
          <w:rFonts w:hint="eastAsia"/>
        </w:rPr>
        <w:t xml:space="preserve">百萬美元</w:t>
      </w:r>
    </w:p>
    <w:p>
      <w:pPr>
        <w:pStyle w:val="BodyText"/>
      </w:pPr>
      <w:r>
        <w:rPr>
          <w:rFonts w:hint="eastAsia"/>
        </w:rPr>
        <w:t xml:space="preserve">於財政年初</w:t>
      </w:r>
    </w:p>
    <w:p>
      <w:pPr>
        <w:pStyle w:val="BodyText"/>
      </w:pPr>
      <w:r>
        <w:rPr>
          <w:rFonts w:hint="eastAsia"/>
        </w:rPr>
        <w:t xml:space="preserve">投資合約給付</w:t>
      </w:r>
    </w:p>
    <w:p>
      <w:pPr>
        <w:pStyle w:val="BodyText"/>
      </w:pPr>
      <w:r>
        <w:rPr>
          <w:rFonts w:hint="eastAsia"/>
        </w:rPr>
        <w:t xml:space="preserve">已收取費用</w:t>
      </w:r>
    </w:p>
    <w:p>
      <w:pPr>
        <w:pStyle w:val="BodyText"/>
      </w:pPr>
      <w:r>
        <w:rPr>
          <w:rFonts w:hint="eastAsia"/>
        </w:rPr>
        <w:t xml:space="preserve">收購附屬公司</w:t>
      </w:r>
    </w:p>
    <w:p>
      <w:pPr>
        <w:pStyle w:val="BodyText"/>
      </w:pPr>
      <w:r>
        <w:rPr>
          <w:rFonts w:hint="eastAsia"/>
        </w:rPr>
        <w:t xml:space="preserve">提款淨額及其他變動</w:t>
      </w:r>
    </w:p>
    <w:p>
      <w:pPr>
        <w:pStyle w:val="BodyText"/>
      </w:pPr>
      <w:r>
        <w:rPr>
          <w:rFonts w:hint="eastAsia"/>
        </w:rPr>
        <w:t xml:space="preserve">外匯變動</w:t>
      </w:r>
    </w:p>
    <w:p>
      <w:pPr>
        <w:pStyle w:val="BodyText"/>
      </w:pPr>
      <w:r>
        <w:rPr>
          <w:rFonts w:hint="eastAsia"/>
        </w:rPr>
        <w:t xml:space="preserve">於財政年末(1)</w:t>
      </w:r>
    </w:p>
    <w:p>
      <w:pPr>
        <w:pStyle w:val="BodyText"/>
      </w:pPr>
      <w:r>
        <w:rPr>
          <w:rFonts w:hint="eastAsia"/>
        </w:rPr>
        <w:t xml:space="preserve">附註：</w:t>
      </w:r>
    </w:p>
    <w:p>
      <w:pPr>
        <w:pStyle w:val="BodyText"/>
      </w:pPr>
      <w:r>
        <w:rPr>
          <w:rFonts w:hint="eastAsia"/>
        </w:rPr>
        <w:t xml:space="preserve">於2020年12月31日</w:t>
      </w:r>
    </w:p>
    <w:p>
      <w:pPr>
        <w:pStyle w:val="BodyText"/>
      </w:pPr>
      <w:r>
        <w:rPr>
          <w:rFonts w:hint="eastAsia"/>
        </w:rPr>
        <w:t xml:space="preserve">於2019年12月31日</w:t>
      </w:r>
    </w:p>
    <w:p>
      <w:pPr>
        <w:pStyle w:val="BodyText"/>
      </w:pPr>
      <w:r>
        <w:t xml:space="preserve">3.00% – 7.50%</w:t>
      </w:r>
    </w:p>
    <w:p>
      <w:pPr>
        <w:pStyle w:val="BodyText"/>
      </w:pPr>
      <w:r>
        <w:t xml:space="preserve">3.50% – 7.50%</w:t>
      </w:r>
    </w:p>
    <w:p>
      <w:pPr>
        <w:pStyle w:val="BodyText"/>
      </w:pPr>
      <w:r>
        <w:t xml:space="preserve">2.49% – 9.00%</w:t>
      </w:r>
    </w:p>
    <w:p>
      <w:pPr>
        <w:pStyle w:val="BodyText"/>
      </w:pPr>
      <w:r>
        <w:t xml:space="preserve">3.13% – 9.00%</w:t>
      </w:r>
    </w:p>
    <w:p>
      <w:pPr>
        <w:pStyle w:val="BodyText"/>
      </w:pPr>
      <w:r>
        <w:t xml:space="preserve">2.00% – 7.00%</w:t>
      </w:r>
    </w:p>
    <w:p>
      <w:pPr>
        <w:pStyle w:val="BodyText"/>
      </w:pPr>
      <w:r>
        <w:t xml:space="preserve">2.00% – 7.00%</w:t>
      </w:r>
    </w:p>
    <w:p>
      <w:pPr>
        <w:pStyle w:val="BodyText"/>
      </w:pPr>
      <w:r>
        <w:t xml:space="preserve">3.00% – 5.43%</w:t>
      </w:r>
    </w:p>
    <w:p>
      <w:pPr>
        <w:pStyle w:val="BodyText"/>
      </w:pPr>
      <w:r>
        <w:t xml:space="preserve">3.70% – 5.43%</w:t>
      </w:r>
    </w:p>
    <w:p>
      <w:pPr>
        <w:pStyle w:val="BodyText"/>
      </w:pPr>
      <w:r>
        <w:t xml:space="preserve">2.75% – 7.00%</w:t>
      </w:r>
    </w:p>
    <w:p>
      <w:pPr>
        <w:pStyle w:val="BodyText"/>
      </w:pPr>
      <w:r>
        <w:t xml:space="preserve">2.75% – 7.00%</w:t>
      </w:r>
    </w:p>
    <w:p>
      <w:pPr>
        <w:pStyle w:val="BodyText"/>
      </w:pPr>
      <w:r>
        <w:t xml:space="preserve">0.01% – 7.11%</w:t>
      </w:r>
    </w:p>
    <w:p>
      <w:pPr>
        <w:pStyle w:val="BodyText"/>
      </w:pPr>
      <w:r>
        <w:t xml:space="preserve">0.51% – 7.11%</w:t>
      </w:r>
    </w:p>
    <w:p>
      <w:pPr>
        <w:pStyle w:val="BodyText"/>
      </w:pPr>
      <w:r>
        <w:t xml:space="preserve">3.02% – 8.61%</w:t>
      </w:r>
    </w:p>
    <w:p>
      <w:pPr>
        <w:pStyle w:val="BodyText"/>
      </w:pPr>
      <w:r>
        <w:t xml:space="preserve">3.02% – 8.61%</w:t>
      </w:r>
    </w:p>
    <w:p>
      <w:pPr>
        <w:pStyle w:val="BodyText"/>
      </w:pPr>
      <w:r>
        <w:t xml:space="preserve">2.20% – 9.20%</w:t>
      </w:r>
    </w:p>
    <w:p>
      <w:pPr>
        <w:pStyle w:val="BodyText"/>
      </w:pPr>
      <w:r>
        <w:t xml:space="preserve">2.20% – 9.20%</w:t>
      </w:r>
    </w:p>
    <w:p>
      <w:pPr>
        <w:pStyle w:val="BodyText"/>
      </w:pPr>
      <w:r>
        <w:t xml:space="preserve">2.05% – 6.50%</w:t>
      </w:r>
    </w:p>
    <w:p>
      <w:pPr>
        <w:pStyle w:val="BodyText"/>
      </w:pPr>
      <w:r>
        <w:t xml:space="preserve">2.17% – 6.50%</w:t>
      </w:r>
    </w:p>
    <w:p>
      <w:pPr>
        <w:pStyle w:val="BodyText"/>
      </w:pPr>
      <w:r>
        <w:t xml:space="preserve">8.87% – 10.29%</w:t>
      </w:r>
    </w:p>
    <w:p>
      <w:pPr>
        <w:pStyle w:val="BodyText"/>
      </w:pPr>
      <w:r>
        <w:t xml:space="preserve">8.61% – 10.96%</w:t>
      </w:r>
    </w:p>
    <w:p>
      <w:pPr>
        <w:pStyle w:val="BodyText"/>
      </w:pPr>
      <w:r>
        <w:t xml:space="preserve">1.75% – 6.50%</w:t>
      </w:r>
    </w:p>
    <w:p>
      <w:pPr>
        <w:pStyle w:val="BodyText"/>
      </w:pPr>
      <w:r>
        <w:t xml:space="preserve">1.75% – 6.50%</w:t>
      </w:r>
    </w:p>
    <w:p>
      <w:pPr>
        <w:pStyle w:val="BodyText"/>
      </w:pPr>
      <w:r>
        <w:t xml:space="preserve">5.53% – 11.48%</w:t>
      </w:r>
    </w:p>
    <w:p>
      <w:pPr>
        <w:pStyle w:val="BodyText"/>
      </w:pPr>
      <w:r>
        <w:t xml:space="preserve">5.53% – 11.48%</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12,273</w:t>
      </w:r>
    </w:p>
    <w:p>
      <w:pPr>
        <w:pStyle w:val="BodyText"/>
      </w:pPr>
      <w:r>
        <w:t xml:space="preserve">1,305</w:t>
      </w:r>
    </w:p>
    <w:p>
      <w:pPr>
        <w:pStyle w:val="FirstParagraph"/>
      </w:pPr>
      <w:r>
        <w:t xml:space="preserve">–</w:t>
      </w:r>
    </w:p>
    <w:p>
      <w:pPr>
        <w:pStyle w:val="BodyText"/>
      </w:pPr>
      <w:r>
        <w:t xml:space="preserve">(1,046)</w:t>
      </w:r>
    </w:p>
    <w:p>
      <w:pPr>
        <w:pStyle w:val="BodyText"/>
      </w:pPr>
      <w:r>
        <w:t xml:space="preserve">437</w:t>
      </w:r>
    </w:p>
    <w:p>
      <w:pPr>
        <w:pStyle w:val="BodyText"/>
      </w:pPr>
      <w:r>
        <w:t xml:space="preserve">12,881</w:t>
      </w:r>
    </w:p>
    <w:p>
      <w:pPr>
        <w:pStyle w:val="BodyText"/>
      </w:pPr>
      <w:r>
        <w:t xml:space="preserve">7,885</w:t>
      </w:r>
    </w:p>
    <w:p>
      <w:pPr>
        <w:pStyle w:val="BodyText"/>
      </w:pPr>
      <w:r>
        <w:t xml:space="preserve">992</w:t>
      </w:r>
    </w:p>
    <w:p>
      <w:pPr>
        <w:pStyle w:val="FirstParagraph"/>
      </w:pPr>
      <w:r>
        <w:t xml:space="preserve">4,004</w:t>
      </w:r>
    </w:p>
    <w:p>
      <w:pPr>
        <w:pStyle w:val="FirstParagraph"/>
      </w:pPr>
      <w:r>
        <w:t xml:space="preserve">88</w:t>
      </w:r>
    </w:p>
    <w:p>
      <w:pPr>
        <w:pStyle w:val="BodyText"/>
      </w:pPr>
      <w:r>
        <w:t xml:space="preserve">12,273</w:t>
      </w:r>
    </w:p>
    <w:p>
      <w:pPr>
        <w:pStyle w:val="Compact"/>
        <w:numPr>
          <w:ilvl w:val="0"/>
          <w:numId w:val="1458"/>
        </w:numPr>
      </w:pPr>
      <w:r>
        <w:rPr>
          <w:rFonts w:hint="eastAsia"/>
        </w:rPr>
        <w:t xml:space="preserve">投資合約負債中，3.12億美元（2019年：3.67億美元）為遞延收費收入。遞延收費收入變動5,500萬美元（2019年：6,200萬美元）為因年內履行的</w:t>
      </w:r>
    </w:p>
    <w:p>
      <w:pPr>
        <w:pStyle w:val="FirstParagraph"/>
      </w:pPr>
      <w:r>
        <w:rPr>
          <w:rFonts w:hint="eastAsia"/>
        </w:rPr>
        <w:t xml:space="preserve">履約責任而確認的收入。</w:t>
      </w:r>
    </w:p>
    <w:p>
      <w:pPr>
        <w:pStyle w:val="BodyText"/>
      </w:pPr>
      <w:r>
        <w:t xml:space="preserve">223</w:t>
      </w:r>
    </w:p>
    <w:p>
      <w:pPr>
        <w:pStyle w:val="BodyText"/>
      </w:pPr>
      <w:r>
        <w:rPr>
          <w:rFonts w:hint="eastAsia"/>
        </w:rPr>
        <w:t xml:space="preserve">概覽財務及營運回顧企業管治其他資料財務報表2020年報</w:t>
      </w:r>
    </w:p>
    <w:p>
      <w:pPr>
        <w:pStyle w:val="Compact"/>
        <w:numPr>
          <w:ilvl w:val="0"/>
          <w:numId w:val="1459"/>
        </w:numPr>
      </w:pPr>
      <w:r>
        <w:rPr>
          <w:rFonts w:hint="eastAsia"/>
        </w:rPr>
        <w:t xml:space="preserve">假設及估計變動的影響</w:t>
      </w:r>
    </w:p>
    <w:p>
      <w:pPr>
        <w:pStyle w:val="FirstParagraph"/>
      </w:pPr>
      <w:r>
        <w:rPr>
          <w:rFonts w:hint="eastAsia"/>
        </w:rPr>
        <w:t xml:space="preserve">下表載列有關保險合約及具酌情分紅特點的投資合約的假設對主要可變因素的敏感度。此披露僅適用於對負債及相關資產</w:t>
      </w:r>
    </w:p>
    <w:p>
      <w:pPr>
        <w:pStyle w:val="BodyText"/>
      </w:pPr>
      <w:r>
        <w:rPr>
          <w:rFonts w:hint="eastAsia"/>
        </w:rPr>
        <w:t xml:space="preserve">（如再保險及遞延承保成本）的影響，而不適用於擔保此等負債的金融資產公平值的抵銷變動。</w:t>
      </w:r>
    </w:p>
    <w:p>
      <w:pPr>
        <w:pStyle w:val="BodyText"/>
      </w:pPr>
      <w:r>
        <w:rPr>
          <w:rFonts w:hint="eastAsia"/>
        </w:rPr>
        <w:t xml:space="preserve">百萬美元</w:t>
      </w:r>
    </w:p>
    <w:p>
      <w:pPr>
        <w:pStyle w:val="BodyText"/>
      </w:pPr>
      <w:r>
        <w:rPr>
          <w:rFonts w:hint="eastAsia"/>
        </w:rPr>
        <w:t xml:space="preserve">保險合約負債（增加）∕減少、權益及稅前溢利增加</w:t>
      </w:r>
      <w:r>
        <w:t xml:space="preserve"> </w:t>
      </w:r>
      <w:r>
        <w:rPr>
          <w:rFonts w:hint="eastAsia"/>
        </w:rPr>
        <w:t xml:space="preserve">∕（減少）</w:t>
      </w:r>
    </w:p>
    <w:p>
      <w:pPr>
        <w:pStyle w:val="BodyText"/>
      </w:pPr>
      <w:r>
        <w:rPr>
          <w:rFonts w:hint="eastAsia"/>
        </w:rPr>
        <w:t xml:space="preserve">投資回報加0.5個百分點</w:t>
      </w:r>
    </w:p>
    <w:p>
      <w:pPr>
        <w:pStyle w:val="BodyText"/>
      </w:pPr>
      <w:r>
        <w:rPr>
          <w:rFonts w:hint="eastAsia"/>
        </w:rPr>
        <w:t xml:space="preserve">投資回報減0.5個百分點</w:t>
      </w:r>
    </w:p>
    <w:p>
      <w:pPr>
        <w:pStyle w:val="BodyText"/>
      </w:pPr>
      <w:r>
        <w:rPr>
          <w:rFonts w:hint="eastAsia"/>
        </w:rPr>
        <w:t xml:space="preserve">費用加10%</w:t>
      </w:r>
    </w:p>
    <w:p>
      <w:pPr>
        <w:pStyle w:val="BodyText"/>
      </w:pPr>
      <w:r>
        <w:rPr>
          <w:rFonts w:hint="eastAsia"/>
        </w:rPr>
        <w:t xml:space="preserve">死亡率加10%</w:t>
      </w:r>
    </w:p>
    <w:p>
      <w:pPr>
        <w:pStyle w:val="BodyText"/>
      </w:pPr>
      <w:r>
        <w:rPr>
          <w:rFonts w:hint="eastAsia"/>
        </w:rPr>
        <w:t xml:space="preserve">失效</w:t>
      </w:r>
      <w:r>
        <w:t xml:space="preserve"> </w:t>
      </w:r>
      <w:r>
        <w:rPr>
          <w:rFonts w:hint="eastAsia"/>
        </w:rPr>
        <w:t xml:space="preserve">∕斷供率上升10%</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140</w:t>
      </w:r>
    </w:p>
    <w:p>
      <w:pPr>
        <w:pStyle w:val="FirstParagraph"/>
      </w:pPr>
      <w:r>
        <w:t xml:space="preserve">127</w:t>
      </w:r>
    </w:p>
    <w:p>
      <w:pPr>
        <w:pStyle w:val="FirstParagraph"/>
      </w:pPr>
      <w:r>
        <w:rPr>
          <w:rFonts w:hint="eastAsia"/>
        </w:rPr>
        <w:t xml:space="preserve">本集團大部分傳統壽險保單（包括具酌情分紅特點的投資合約）的未來保單給付乃參考於保單生效日期設定的最佳估計假</w:t>
      </w:r>
    </w:p>
    <w:p>
      <w:pPr>
        <w:pStyle w:val="BodyText"/>
      </w:pPr>
      <w:r>
        <w:rPr>
          <w:rFonts w:hint="eastAsia"/>
        </w:rPr>
        <w:t xml:space="preserve">設，採用淨保費估值法計算，惟負債充足性測試出現不足時則除外。上述假設敏感度對此等傳統壽險負債的賬面值並無任何</w:t>
      </w:r>
    </w:p>
    <w:p>
      <w:pPr>
        <w:pStyle w:val="BodyText"/>
      </w:pPr>
      <w:r>
        <w:rPr>
          <w:rFonts w:hint="eastAsia"/>
        </w:rPr>
        <w:t xml:space="preserve">影響，此乃由於所呈列的敏感度不會觸發負債充足性調整。於所呈列年度，除本集團參照適用司法權區的法定要求計量保險</w:t>
      </w:r>
    </w:p>
    <w:p>
      <w:pPr>
        <w:pStyle w:val="BodyText"/>
      </w:pPr>
      <w:r>
        <w:rPr>
          <w:rFonts w:hint="eastAsia"/>
        </w:rPr>
        <w:t xml:space="preserve">合約負債的少數情況下，假設及估計變動對本集團的傳統壽險產品並無任何影響。</w:t>
      </w:r>
    </w:p>
    <w:p>
      <w:pPr>
        <w:pStyle w:val="BodyText"/>
      </w:pPr>
      <w:r>
        <w:rPr>
          <w:rFonts w:hint="eastAsia"/>
        </w:rPr>
        <w:t xml:space="preserve">就對利率敏感的保險合約（如萬能壽險產品及單位連結式合約）而言，假設（包括死亡率、續保率、費用、未來投資盈利及</w:t>
      </w:r>
    </w:p>
    <w:p>
      <w:pPr>
        <w:pStyle w:val="BodyText"/>
      </w:pPr>
      <w:r>
        <w:rPr>
          <w:rFonts w:hint="eastAsia"/>
        </w:rPr>
        <w:t xml:space="preserve">未來結算利率）乃於各報告日期作出。</w:t>
      </w:r>
    </w:p>
    <w:p>
      <w:pPr>
        <w:pStyle w:val="BodyText"/>
      </w:pPr>
      <w:r>
        <w:rPr>
          <w:rFonts w:hint="eastAsia"/>
        </w:rPr>
        <w:t xml:space="preserve">假設變動對具酌情分紅特點的保險及投資合約估值的影響為溢利減少1.66億美元（2019年：3,800萬美元）。</w:t>
      </w:r>
    </w:p>
    <w:p>
      <w:pPr>
        <w:pStyle w:val="BodyText"/>
      </w:pPr>
      <w:r>
        <w:t xml:space="preserve">224</w:t>
      </w:r>
    </w:p>
    <w:p>
      <w:pPr>
        <w:pStyle w:val="BodyText"/>
      </w:pPr>
      <w:r>
        <w:rPr>
          <w:rFonts w:hint="eastAsia"/>
        </w:rPr>
        <w:t xml:space="preserve">友邦保險控股有限公司</w:t>
      </w:r>
    </w:p>
    <w:p>
      <w:pPr>
        <w:pStyle w:val="Compact"/>
        <w:numPr>
          <w:ilvl w:val="0"/>
          <w:numId w:val="1462"/>
        </w:numPr>
      </w:pPr>
      <w:r>
        <w:rPr>
          <w:rFonts w:hint="eastAsia"/>
        </w:rPr>
        <w:t xml:space="preserve">借貸</w:t>
      </w:r>
    </w:p>
    <w:p>
      <w:pPr>
        <w:pStyle w:val="FirstParagraph"/>
      </w:pPr>
      <w:r>
        <w:rPr>
          <w:rFonts w:hint="eastAsia"/>
        </w:rPr>
        <w:t xml:space="preserve">百萬美元</w:t>
      </w:r>
    </w:p>
    <w:p>
      <w:pPr>
        <w:pStyle w:val="BodyText"/>
      </w:pPr>
      <w:r>
        <w:rPr>
          <w:rFonts w:hint="eastAsia"/>
        </w:rPr>
        <w:t xml:space="preserve">中期票據及證券</w:t>
      </w:r>
    </w:p>
    <w:p>
      <w:pPr>
        <w:pStyle w:val="BodyText"/>
      </w:pPr>
      <w:r>
        <w:rPr>
          <w:rFonts w:hint="eastAsia"/>
        </w:rPr>
        <w:t xml:space="preserve">高級票據</w:t>
      </w:r>
    </w:p>
    <w:p>
      <w:pPr>
        <w:pStyle w:val="BodyText"/>
      </w:pPr>
      <w:r>
        <w:rPr>
          <w:rFonts w:hint="eastAsia"/>
        </w:rPr>
        <w:t xml:space="preserve">次級證券</w:t>
      </w:r>
    </w:p>
    <w:p>
      <w:pPr>
        <w:pStyle w:val="BodyText"/>
      </w:pPr>
      <w:r>
        <w:rPr>
          <w:rFonts w:hint="eastAsia"/>
        </w:rPr>
        <w:t xml:space="preserve">總計</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6,824</w:t>
      </w:r>
    </w:p>
    <w:p>
      <w:pPr>
        <w:pStyle w:val="BodyText"/>
      </w:pPr>
      <w:r>
        <w:t xml:space="preserve">1,735</w:t>
      </w:r>
    </w:p>
    <w:p>
      <w:pPr>
        <w:pStyle w:val="BodyText"/>
      </w:pPr>
      <w:r>
        <w:t xml:space="preserve">8,559</w:t>
      </w:r>
    </w:p>
    <w:p>
      <w:pPr>
        <w:pStyle w:val="BodyText"/>
      </w:pPr>
      <w:r>
        <w:t xml:space="preserve">5,757</w:t>
      </w:r>
    </w:p>
    <w:p>
      <w:pPr>
        <w:pStyle w:val="BodyText"/>
      </w:pPr>
      <w:r>
        <w:t xml:space="preserve">–</w:t>
      </w:r>
    </w:p>
    <w:p>
      <w:pPr>
        <w:pStyle w:val="BodyText"/>
      </w:pPr>
      <w:r>
        <w:t xml:space="preserve">5,757</w:t>
      </w:r>
    </w:p>
    <w:p>
      <w:pPr>
        <w:pStyle w:val="BodyText"/>
      </w:pPr>
      <w:r>
        <w:rPr>
          <w:rFonts w:hint="eastAsia"/>
        </w:rPr>
        <w:t xml:space="preserve">借貸的利息開支於附註11載列。有關借貸利率及到期日概況的進一步資料於附註38呈列。</w:t>
      </w:r>
    </w:p>
    <w:p>
      <w:pPr>
        <w:pStyle w:val="BodyText"/>
      </w:pPr>
      <w:r>
        <w:rPr>
          <w:rFonts w:hint="eastAsia"/>
        </w:rPr>
        <w:t xml:space="preserve">下表列示於2020年12月31日本公司向市場配售的未償還中期票據及證券的概況：</w:t>
      </w:r>
    </w:p>
    <w:p>
      <w:pPr>
        <w:pStyle w:val="BodyText"/>
      </w:pPr>
      <w:r>
        <w:rPr>
          <w:rFonts w:hint="eastAsia"/>
        </w:rPr>
        <w:t xml:space="preserve">高級票據</w:t>
      </w:r>
    </w:p>
    <w:p>
      <w:pPr>
        <w:pStyle w:val="BodyText"/>
      </w:pPr>
      <w:r>
        <w:rPr>
          <w:rFonts w:hint="eastAsia"/>
        </w:rPr>
        <w:t xml:space="preserve">發行日</w:t>
      </w:r>
    </w:p>
    <w:p>
      <w:pPr>
        <w:pStyle w:val="BodyText"/>
      </w:pPr>
      <w:r>
        <w:rPr>
          <w:rFonts w:hint="eastAsia"/>
        </w:rPr>
        <w:t xml:space="preserve">2013年3月13日(1)</w:t>
      </w:r>
    </w:p>
    <w:p>
      <w:pPr>
        <w:pStyle w:val="BodyText"/>
      </w:pPr>
      <w:r>
        <w:rPr>
          <w:rFonts w:hint="eastAsia"/>
        </w:rPr>
        <w:t xml:space="preserve">2014年3月11日(1)</w:t>
      </w:r>
    </w:p>
    <w:p>
      <w:pPr>
        <w:pStyle w:val="BodyText"/>
      </w:pPr>
      <w:r>
        <w:rPr>
          <w:rFonts w:hint="eastAsia"/>
        </w:rPr>
        <w:t xml:space="preserve">2015年3月11日(1)</w:t>
      </w:r>
    </w:p>
    <w:p>
      <w:pPr>
        <w:pStyle w:val="BodyText"/>
      </w:pPr>
      <w:r>
        <w:rPr>
          <w:rFonts w:hint="eastAsia"/>
        </w:rPr>
        <w:t xml:space="preserve">2016年3月16日(1)</w:t>
      </w:r>
    </w:p>
    <w:p>
      <w:pPr>
        <w:pStyle w:val="BodyText"/>
      </w:pPr>
      <w:r>
        <w:rPr>
          <w:rFonts w:hint="eastAsia"/>
        </w:rPr>
        <w:t xml:space="preserve">2017年5月23日(2)</w:t>
      </w:r>
    </w:p>
    <w:p>
      <w:pPr>
        <w:pStyle w:val="BodyText"/>
      </w:pPr>
      <w:r>
        <w:rPr>
          <w:rFonts w:hint="eastAsia"/>
        </w:rPr>
        <w:t xml:space="preserve">2018年4月6日(1)</w:t>
      </w:r>
    </w:p>
    <w:p>
      <w:pPr>
        <w:pStyle w:val="BodyText"/>
      </w:pPr>
      <w:r>
        <w:rPr>
          <w:rFonts w:hint="eastAsia"/>
        </w:rPr>
        <w:t xml:space="preserve">2018年4月12日</w:t>
      </w:r>
    </w:p>
    <w:p>
      <w:pPr>
        <w:pStyle w:val="BodyText"/>
      </w:pPr>
      <w:r>
        <w:rPr>
          <w:rFonts w:hint="eastAsia"/>
        </w:rPr>
        <w:t xml:space="preserve">2018年9月20日(1)</w:t>
      </w:r>
    </w:p>
    <w:p>
      <w:pPr>
        <w:pStyle w:val="BodyText"/>
      </w:pPr>
      <w:r>
        <w:rPr>
          <w:rFonts w:hint="eastAsia"/>
        </w:rPr>
        <w:t xml:space="preserve">2019年1月16日</w:t>
      </w:r>
    </w:p>
    <w:p>
      <w:pPr>
        <w:pStyle w:val="BodyText"/>
      </w:pPr>
      <w:r>
        <w:rPr>
          <w:rFonts w:hint="eastAsia"/>
        </w:rPr>
        <w:t xml:space="preserve">2019年1月16日</w:t>
      </w:r>
    </w:p>
    <w:p>
      <w:pPr>
        <w:pStyle w:val="BodyText"/>
      </w:pPr>
      <w:r>
        <w:rPr>
          <w:rFonts w:hint="eastAsia"/>
        </w:rPr>
        <w:t xml:space="preserve">2019年4月9日(1)</w:t>
      </w:r>
    </w:p>
    <w:p>
      <w:pPr>
        <w:pStyle w:val="BodyText"/>
      </w:pPr>
      <w:r>
        <w:rPr>
          <w:rFonts w:hint="eastAsia"/>
        </w:rPr>
        <w:t xml:space="preserve">2020年4月7日(1)</w:t>
      </w:r>
    </w:p>
    <w:p>
      <w:pPr>
        <w:pStyle w:val="BodyText"/>
      </w:pPr>
      <w:r>
        <w:rPr>
          <w:rFonts w:hint="eastAsia"/>
        </w:rPr>
        <w:t xml:space="preserve">2020年6月24日</w:t>
      </w:r>
    </w:p>
    <w:p>
      <w:pPr>
        <w:pStyle w:val="BodyText"/>
      </w:pPr>
      <w:r>
        <w:rPr>
          <w:rFonts w:hint="eastAsia"/>
        </w:rPr>
        <w:t xml:space="preserve">次級證券</w:t>
      </w:r>
    </w:p>
    <w:p>
      <w:pPr>
        <w:pStyle w:val="BodyText"/>
      </w:pPr>
      <w:r>
        <w:rPr>
          <w:rFonts w:hint="eastAsia"/>
        </w:rPr>
        <w:t xml:space="preserve">發行日</w:t>
      </w:r>
    </w:p>
    <w:p>
      <w:pPr>
        <w:pStyle w:val="BodyText"/>
      </w:pPr>
      <w:r>
        <w:rPr>
          <w:rFonts w:hint="eastAsia"/>
        </w:rPr>
        <w:t xml:space="preserve">2020年9月16日(1)(3)</w:t>
      </w:r>
    </w:p>
    <w:p>
      <w:pPr>
        <w:pStyle w:val="BodyText"/>
      </w:pPr>
      <w:r>
        <w:rPr>
          <w:rFonts w:hint="eastAsia"/>
        </w:rPr>
        <w:t xml:space="preserve">附註：</w:t>
      </w:r>
    </w:p>
    <w:p>
      <w:pPr>
        <w:pStyle w:val="BodyText"/>
      </w:pPr>
      <w:r>
        <w:rPr>
          <w:rFonts w:hint="eastAsia"/>
        </w:rPr>
        <w:t xml:space="preserve">名義金額</w:t>
      </w:r>
    </w:p>
    <w:p>
      <w:pPr>
        <w:pStyle w:val="BodyText"/>
      </w:pPr>
      <w:r>
        <w:rPr>
          <w:rFonts w:hint="eastAsia"/>
        </w:rPr>
        <w:t xml:space="preserve">利率</w:t>
      </w:r>
    </w:p>
    <w:p>
      <w:pPr>
        <w:pStyle w:val="BodyText"/>
      </w:pPr>
      <w:r>
        <w:rPr>
          <w:rFonts w:hint="eastAsia"/>
        </w:rPr>
        <w:t xml:space="preserve">發行期限</w:t>
      </w:r>
    </w:p>
    <w:p>
      <w:pPr>
        <w:pStyle w:val="BodyText"/>
      </w:pPr>
      <w:r>
        <w:rPr>
          <w:rFonts w:hint="eastAsia"/>
        </w:rPr>
        <w:t xml:space="preserve">到期日</w:t>
      </w:r>
    </w:p>
    <w:p>
      <w:pPr>
        <w:pStyle w:val="BodyText"/>
      </w:pPr>
      <w:r>
        <w:rPr>
          <w:rFonts w:hint="eastAsia"/>
        </w:rPr>
        <w:t xml:space="preserve">5.00億美元</w:t>
      </w:r>
    </w:p>
    <w:p>
      <w:pPr>
        <w:pStyle w:val="BodyText"/>
      </w:pPr>
      <w:r>
        <w:rPr>
          <w:rFonts w:hint="eastAsia"/>
        </w:rPr>
        <w:t xml:space="preserve">5.00億美元</w:t>
      </w:r>
    </w:p>
    <w:p>
      <w:pPr>
        <w:pStyle w:val="BodyText"/>
      </w:pPr>
      <w:r>
        <w:rPr>
          <w:rFonts w:hint="eastAsia"/>
        </w:rPr>
        <w:t xml:space="preserve">7.50億美元</w:t>
      </w:r>
    </w:p>
    <w:p>
      <w:pPr>
        <w:pStyle w:val="BodyText"/>
      </w:pPr>
      <w:r>
        <w:rPr>
          <w:rFonts w:hint="eastAsia"/>
        </w:rPr>
        <w:t xml:space="preserve">7.50億美元</w:t>
      </w:r>
    </w:p>
    <w:p>
      <w:pPr>
        <w:pStyle w:val="BodyText"/>
      </w:pPr>
      <w:r>
        <w:rPr>
          <w:rFonts w:hint="eastAsia"/>
        </w:rPr>
        <w:t xml:space="preserve">5.00億美元</w:t>
      </w:r>
    </w:p>
    <w:p>
      <w:pPr>
        <w:pStyle w:val="BodyText"/>
      </w:pPr>
      <w:r>
        <w:rPr>
          <w:rFonts w:hint="eastAsia"/>
        </w:rPr>
        <w:t xml:space="preserve">5.00億美元</w:t>
      </w:r>
    </w:p>
    <w:p>
      <w:pPr>
        <w:pStyle w:val="BodyText"/>
      </w:pPr>
      <w:r>
        <w:rPr>
          <w:rFonts w:hint="eastAsia"/>
        </w:rPr>
        <w:t xml:space="preserve">39.00億港元</w:t>
      </w:r>
    </w:p>
    <w:p>
      <w:pPr>
        <w:pStyle w:val="BodyText"/>
      </w:pPr>
      <w:r>
        <w:t xml:space="preserve">3.125%</w:t>
      </w:r>
    </w:p>
    <w:p>
      <w:pPr>
        <w:pStyle w:val="BodyText"/>
      </w:pPr>
      <w:r>
        <w:t xml:space="preserve">4.875%</w:t>
      </w:r>
    </w:p>
    <w:p>
      <w:pPr>
        <w:pStyle w:val="BodyText"/>
      </w:pPr>
      <w:r>
        <w:t xml:space="preserve">3.200%</w:t>
      </w:r>
    </w:p>
    <w:p>
      <w:pPr>
        <w:pStyle w:val="BodyText"/>
      </w:pPr>
      <w:r>
        <w:t xml:space="preserve">4.500%</w:t>
      </w:r>
    </w:p>
    <w:p>
      <w:pPr>
        <w:pStyle w:val="BodyText"/>
      </w:pPr>
      <w:r>
        <w:t xml:space="preserve">4.470%</w:t>
      </w:r>
    </w:p>
    <w:p>
      <w:pPr>
        <w:pStyle w:val="BodyText"/>
      </w:pPr>
      <w:r>
        <w:t xml:space="preserve">3.900%</w:t>
      </w:r>
    </w:p>
    <w:p>
      <w:pPr>
        <w:pStyle w:val="BodyText"/>
      </w:pPr>
      <w:r>
        <w:t xml:space="preserve">2.760%</w:t>
      </w:r>
    </w:p>
    <w:p>
      <w:pPr>
        <w:pStyle w:val="BodyText"/>
      </w:pPr>
      <w:r>
        <w:rPr>
          <w:rFonts w:hint="eastAsia"/>
        </w:rPr>
        <w:t xml:space="preserve">5.00億美元</w:t>
      </w:r>
      <w:r>
        <w:t xml:space="preserve"> </w:t>
      </w:r>
      <w:r>
        <w:rPr>
          <w:rFonts w:hint="eastAsia"/>
        </w:rPr>
        <w:t xml:space="preserve">三個月倫敦銀行</w:t>
      </w:r>
      <w:r>
        <w:br/>
      </w:r>
      <w:r>
        <w:rPr>
          <w:rFonts w:hint="eastAsia"/>
        </w:rPr>
        <w:t xml:space="preserve">同業拆息+</w:t>
      </w:r>
      <w:r>
        <w:t xml:space="preserve"> 0.52%</w:t>
      </w:r>
      <w:r>
        <w:br/>
      </w:r>
      <w:r>
        <w:t xml:space="preserve">2.950%</w:t>
      </w:r>
    </w:p>
    <w:p>
      <w:pPr>
        <w:pStyle w:val="BodyText"/>
      </w:pPr>
      <w:r>
        <w:rPr>
          <w:rFonts w:hint="eastAsia"/>
        </w:rPr>
        <w:t xml:space="preserve">13.00億港元</w:t>
      </w:r>
    </w:p>
    <w:p>
      <w:pPr>
        <w:pStyle w:val="BodyText"/>
      </w:pPr>
      <w:r>
        <w:rPr>
          <w:rFonts w:hint="eastAsia"/>
        </w:rPr>
        <w:t xml:space="preserve">11.00億港元</w:t>
      </w:r>
    </w:p>
    <w:p>
      <w:pPr>
        <w:pStyle w:val="BodyText"/>
      </w:pPr>
      <w:r>
        <w:rPr>
          <w:rFonts w:hint="eastAsia"/>
        </w:rPr>
        <w:t xml:space="preserve">10.00億美元</w:t>
      </w:r>
    </w:p>
    <w:p>
      <w:pPr>
        <w:pStyle w:val="BodyText"/>
      </w:pPr>
      <w:r>
        <w:rPr>
          <w:rFonts w:hint="eastAsia"/>
        </w:rPr>
        <w:t xml:space="preserve">10.00億美元</w:t>
      </w:r>
    </w:p>
    <w:p>
      <w:pPr>
        <w:pStyle w:val="BodyText"/>
      </w:pPr>
      <w:r>
        <w:rPr>
          <w:rFonts w:hint="eastAsia"/>
        </w:rPr>
        <w:t xml:space="preserve">0.90億澳元</w:t>
      </w:r>
    </w:p>
    <w:p>
      <w:pPr>
        <w:pStyle w:val="BodyText"/>
      </w:pPr>
      <w:r>
        <w:t xml:space="preserve">3.680%</w:t>
      </w:r>
    </w:p>
    <w:p>
      <w:pPr>
        <w:pStyle w:val="BodyText"/>
      </w:pPr>
      <w:r>
        <w:t xml:space="preserve">3.600%</w:t>
      </w:r>
    </w:p>
    <w:p>
      <w:pPr>
        <w:pStyle w:val="BodyText"/>
      </w:pPr>
      <w:r>
        <w:t xml:space="preserve">3.375%</w:t>
      </w:r>
    </w:p>
    <w:p>
      <w:pPr>
        <w:pStyle w:val="BodyText"/>
      </w:pPr>
      <w:r>
        <w:t xml:space="preserve">2.950%</w:t>
      </w:r>
    </w:p>
    <w:p>
      <w:pPr>
        <w:pStyle w:val="BodyText"/>
      </w:pPr>
      <w:r>
        <w:rPr>
          <w:rFonts w:hint="eastAsia"/>
        </w:rPr>
        <w:t xml:space="preserve">10年</w:t>
      </w:r>
      <w:r>
        <w:t xml:space="preserve"> </w:t>
      </w:r>
      <w:r>
        <w:rPr>
          <w:rFonts w:hint="eastAsia"/>
        </w:rPr>
        <w:t xml:space="preserve">2023年3月13日</w:t>
      </w:r>
    </w:p>
    <w:p>
      <w:pPr>
        <w:pStyle w:val="BodyText"/>
      </w:pPr>
      <w:r>
        <w:rPr>
          <w:rFonts w:hint="eastAsia"/>
        </w:rPr>
        <w:t xml:space="preserve">30年</w:t>
      </w:r>
      <w:r>
        <w:t xml:space="preserve"> </w:t>
      </w:r>
      <w:r>
        <w:rPr>
          <w:rFonts w:hint="eastAsia"/>
        </w:rPr>
        <w:t xml:space="preserve">2044年3月11日</w:t>
      </w:r>
    </w:p>
    <w:p>
      <w:pPr>
        <w:pStyle w:val="BodyText"/>
      </w:pPr>
      <w:r>
        <w:rPr>
          <w:rFonts w:hint="eastAsia"/>
        </w:rPr>
        <w:t xml:space="preserve">10年</w:t>
      </w:r>
      <w:r>
        <w:t xml:space="preserve"> </w:t>
      </w:r>
      <w:r>
        <w:rPr>
          <w:rFonts w:hint="eastAsia"/>
        </w:rPr>
        <w:t xml:space="preserve">2025年3月11日</w:t>
      </w:r>
    </w:p>
    <w:p>
      <w:pPr>
        <w:pStyle w:val="BodyText"/>
      </w:pPr>
      <w:r>
        <w:rPr>
          <w:rFonts w:hint="eastAsia"/>
        </w:rPr>
        <w:t xml:space="preserve">30年</w:t>
      </w:r>
      <w:r>
        <w:t xml:space="preserve"> </w:t>
      </w:r>
      <w:r>
        <w:rPr>
          <w:rFonts w:hint="eastAsia"/>
        </w:rPr>
        <w:t xml:space="preserve">2046年3月16日</w:t>
      </w:r>
    </w:p>
    <w:p>
      <w:pPr>
        <w:pStyle w:val="BodyText"/>
      </w:pPr>
      <w:r>
        <w:rPr>
          <w:rFonts w:hint="eastAsia"/>
        </w:rPr>
        <w:t xml:space="preserve">30年</w:t>
      </w:r>
      <w:r>
        <w:t xml:space="preserve"> </w:t>
      </w:r>
      <w:r>
        <w:rPr>
          <w:rFonts w:hint="eastAsia"/>
        </w:rPr>
        <w:t xml:space="preserve">2047年5月23日</w:t>
      </w:r>
    </w:p>
    <w:p>
      <w:pPr>
        <w:pStyle w:val="BodyText"/>
      </w:pPr>
      <w:r>
        <w:rPr>
          <w:rFonts w:hint="eastAsia"/>
        </w:rPr>
        <w:t xml:space="preserve">10年</w:t>
      </w:r>
    </w:p>
    <w:p>
      <w:pPr>
        <w:pStyle w:val="BodyText"/>
      </w:pPr>
      <w:r>
        <w:rPr>
          <w:rFonts w:hint="eastAsia"/>
        </w:rPr>
        <w:t xml:space="preserve">2028年4月6日</w:t>
      </w:r>
    </w:p>
    <w:p>
      <w:pPr>
        <w:pStyle w:val="BodyText"/>
      </w:pPr>
      <w:r>
        <w:rPr>
          <w:rFonts w:hint="eastAsia"/>
        </w:rPr>
        <w:t xml:space="preserve">3年</w:t>
      </w:r>
      <w:r>
        <w:t xml:space="preserve"> </w:t>
      </w:r>
      <w:r>
        <w:rPr>
          <w:rFonts w:hint="eastAsia"/>
        </w:rPr>
        <w:t xml:space="preserve">2021年4月12日</w:t>
      </w:r>
    </w:p>
    <w:p>
      <w:pPr>
        <w:pStyle w:val="BodyText"/>
      </w:pPr>
      <w:r>
        <w:rPr>
          <w:rFonts w:hint="eastAsia"/>
        </w:rPr>
        <w:t xml:space="preserve">3年</w:t>
      </w:r>
      <w:r>
        <w:t xml:space="preserve"> </w:t>
      </w:r>
      <w:r>
        <w:rPr>
          <w:rFonts w:hint="eastAsia"/>
        </w:rPr>
        <w:t xml:space="preserve">2021年9月20日</w:t>
      </w:r>
    </w:p>
    <w:p>
      <w:pPr>
        <w:pStyle w:val="BodyText"/>
      </w:pPr>
      <w:r>
        <w:rPr>
          <w:rFonts w:hint="eastAsia"/>
        </w:rPr>
        <w:t xml:space="preserve">3.5年</w:t>
      </w:r>
      <w:r>
        <w:t xml:space="preserve"> </w:t>
      </w:r>
      <w:r>
        <w:rPr>
          <w:rFonts w:hint="eastAsia"/>
        </w:rPr>
        <w:t xml:space="preserve">2022年7月16日</w:t>
      </w:r>
    </w:p>
    <w:p>
      <w:pPr>
        <w:pStyle w:val="BodyText"/>
      </w:pPr>
      <w:r>
        <w:rPr>
          <w:rFonts w:hint="eastAsia"/>
        </w:rPr>
        <w:t xml:space="preserve">12年</w:t>
      </w:r>
      <w:r>
        <w:t xml:space="preserve"> </w:t>
      </w:r>
      <w:r>
        <w:rPr>
          <w:rFonts w:hint="eastAsia"/>
        </w:rPr>
        <w:t xml:space="preserve">2031年1月16日</w:t>
      </w:r>
    </w:p>
    <w:p>
      <w:pPr>
        <w:pStyle w:val="BodyText"/>
      </w:pPr>
      <w:r>
        <w:rPr>
          <w:rFonts w:hint="eastAsia"/>
        </w:rPr>
        <w:t xml:space="preserve">10年</w:t>
      </w:r>
    </w:p>
    <w:p>
      <w:pPr>
        <w:pStyle w:val="BodyText"/>
      </w:pPr>
      <w:r>
        <w:rPr>
          <w:rFonts w:hint="eastAsia"/>
        </w:rPr>
        <w:t xml:space="preserve">10年</w:t>
      </w:r>
    </w:p>
    <w:p>
      <w:pPr>
        <w:pStyle w:val="BodyText"/>
      </w:pPr>
      <w:r>
        <w:rPr>
          <w:rFonts w:hint="eastAsia"/>
        </w:rPr>
        <w:t xml:space="preserve">2029年4月9日</w:t>
      </w:r>
    </w:p>
    <w:p>
      <w:pPr>
        <w:pStyle w:val="BodyText"/>
      </w:pPr>
      <w:r>
        <w:rPr>
          <w:rFonts w:hint="eastAsia"/>
        </w:rPr>
        <w:t xml:space="preserve">2030年4月7日</w:t>
      </w:r>
    </w:p>
    <w:p>
      <w:pPr>
        <w:pStyle w:val="BodyText"/>
      </w:pPr>
      <w:r>
        <w:rPr>
          <w:rFonts w:hint="eastAsia"/>
        </w:rPr>
        <w:t xml:space="preserve">10年</w:t>
      </w:r>
      <w:r>
        <w:t xml:space="preserve"> </w:t>
      </w:r>
      <w:r>
        <w:rPr>
          <w:rFonts w:hint="eastAsia"/>
        </w:rPr>
        <w:t xml:space="preserve">2030年6月24日</w:t>
      </w:r>
    </w:p>
    <w:p>
      <w:pPr>
        <w:pStyle w:val="BodyText"/>
      </w:pPr>
      <w:r>
        <w:rPr>
          <w:rFonts w:hint="eastAsia"/>
        </w:rPr>
        <w:t xml:space="preserve">名義金額</w:t>
      </w:r>
    </w:p>
    <w:p>
      <w:pPr>
        <w:pStyle w:val="BodyText"/>
      </w:pPr>
      <w:r>
        <w:rPr>
          <w:rFonts w:hint="eastAsia"/>
        </w:rPr>
        <w:t xml:space="preserve">利率</w:t>
      </w:r>
    </w:p>
    <w:p>
      <w:pPr>
        <w:pStyle w:val="BodyText"/>
      </w:pPr>
      <w:r>
        <w:rPr>
          <w:rFonts w:hint="eastAsia"/>
        </w:rPr>
        <w:t xml:space="preserve">發行期限</w:t>
      </w:r>
    </w:p>
    <w:p>
      <w:pPr>
        <w:pStyle w:val="BodyText"/>
      </w:pPr>
      <w:r>
        <w:rPr>
          <w:rFonts w:hint="eastAsia"/>
        </w:rPr>
        <w:t xml:space="preserve">到期日</w:t>
      </w:r>
    </w:p>
    <w:p>
      <w:pPr>
        <w:pStyle w:val="BodyText"/>
      </w:pPr>
      <w:r>
        <w:rPr>
          <w:rFonts w:hint="eastAsia"/>
        </w:rPr>
        <w:t xml:space="preserve">17.50億美元</w:t>
      </w:r>
    </w:p>
    <w:p>
      <w:pPr>
        <w:pStyle w:val="BodyText"/>
      </w:pPr>
      <w:r>
        <w:t xml:space="preserve">3.200%</w:t>
      </w:r>
    </w:p>
    <w:p>
      <w:pPr>
        <w:pStyle w:val="BodyText"/>
      </w:pPr>
      <w:r>
        <w:rPr>
          <w:rFonts w:hint="eastAsia"/>
        </w:rPr>
        <w:t xml:space="preserve">20年</w:t>
      </w:r>
      <w:r>
        <w:t xml:space="preserve"> </w:t>
      </w:r>
      <w:r>
        <w:rPr>
          <w:rFonts w:hint="eastAsia"/>
        </w:rPr>
        <w:t xml:space="preserve">2040年9月16日</w:t>
      </w:r>
    </w:p>
    <w:p>
      <w:pPr>
        <w:numPr>
          <w:ilvl w:val="0"/>
          <w:numId w:val="1463"/>
        </w:numPr>
      </w:pPr>
      <w:r>
        <w:rPr>
          <w:rFonts w:hint="eastAsia"/>
        </w:rPr>
        <w:t xml:space="preserve">此等中期票據及證券於香港聯合交易所有限公司上市。</w:t>
      </w:r>
    </w:p>
    <w:p>
      <w:pPr>
        <w:numPr>
          <w:ilvl w:val="0"/>
          <w:numId w:val="1463"/>
        </w:numPr>
      </w:pPr>
      <w:r>
        <w:rPr>
          <w:rFonts w:hint="eastAsia"/>
        </w:rPr>
        <w:t xml:space="preserve">此等中期票據在台灣證券櫃檯買賣中心上市。本公司有權利自2022年5月23日起，於每年的5月23日按面值贖回此等票據。</w:t>
      </w:r>
    </w:p>
    <w:p>
      <w:pPr>
        <w:numPr>
          <w:ilvl w:val="0"/>
          <w:numId w:val="1463"/>
        </w:numPr>
      </w:pPr>
      <w:r>
        <w:rPr>
          <w:rFonts w:hint="eastAsia"/>
        </w:rPr>
        <w:t xml:space="preserve">此等中期證券為本公司的次級工具。本公司有權在發生稅務事件、監管事件或最低未償還金額時贖回此等證券，或在滿足適用贖回條件的情況下</w:t>
      </w:r>
    </w:p>
    <w:p>
      <w:pPr>
        <w:pStyle w:val="FirstParagraph"/>
      </w:pPr>
      <w:r>
        <w:rPr>
          <w:rFonts w:hint="eastAsia"/>
        </w:rPr>
        <w:t xml:space="preserve">進行悉數贖回。</w:t>
      </w:r>
    </w:p>
    <w:p>
      <w:pPr>
        <w:pStyle w:val="BodyText"/>
      </w:pPr>
      <w:r>
        <w:rPr>
          <w:rFonts w:hint="eastAsia"/>
        </w:rPr>
        <w:t xml:space="preserve">截至2020年12月31日止年度發行所獲得款項淨額乃用作一般企業用途。</w:t>
      </w:r>
    </w:p>
    <w:p>
      <w:pPr>
        <w:pStyle w:val="BodyText"/>
      </w:pPr>
      <w:r>
        <w:rPr>
          <w:rFonts w:hint="eastAsia"/>
        </w:rPr>
        <w:t xml:space="preserve">本集團持有總金額為22.90億美元的無抵押承諾信貸融資，其中包括一項於2023年到期的1.00億美元循環三年期信貸融資及</w:t>
      </w:r>
    </w:p>
    <w:p>
      <w:pPr>
        <w:pStyle w:val="BodyText"/>
      </w:pPr>
      <w:r>
        <w:rPr>
          <w:rFonts w:hint="eastAsia"/>
        </w:rPr>
        <w:t xml:space="preserve">一項於2025年到期的21.90億美元五年期信貸融資，兩者均有若干延期選擇權。此等信貸融資將用作一般企業用途。於2020</w:t>
      </w:r>
    </w:p>
    <w:p>
      <w:pPr>
        <w:pStyle w:val="BodyText"/>
      </w:pPr>
      <w:r>
        <w:rPr>
          <w:rFonts w:hint="eastAsia"/>
        </w:rPr>
        <w:t xml:space="preserve">年及2019年12月31日，此等信貸融資下並無尚未償還的借貸。</w:t>
      </w:r>
    </w:p>
    <w:p>
      <w:pPr>
        <w:pStyle w:val="BodyText"/>
      </w:pPr>
      <w:r>
        <w:t xml:space="preserve">225</w:t>
      </w:r>
    </w:p>
    <w:p>
      <w:pPr>
        <w:pStyle w:val="BodyText"/>
      </w:pPr>
      <w:r>
        <w:rPr>
          <w:rFonts w:hint="eastAsia"/>
        </w:rPr>
        <w:t xml:space="preserve">概覽財務及營運回顧企業管治其他資料財務報表2020年報</w:t>
      </w:r>
    </w:p>
    <w:p>
      <w:pPr>
        <w:pStyle w:val="Compact"/>
        <w:numPr>
          <w:ilvl w:val="0"/>
          <w:numId w:val="1464"/>
        </w:numPr>
      </w:pPr>
      <w:r>
        <w:rPr>
          <w:rFonts w:hint="eastAsia"/>
        </w:rPr>
        <w:t xml:space="preserve">回購協議的債項</w:t>
      </w:r>
    </w:p>
    <w:p>
      <w:pPr>
        <w:pStyle w:val="FirstParagraph"/>
      </w:pPr>
      <w:r>
        <w:rPr>
          <w:rFonts w:hint="eastAsia"/>
        </w:rPr>
        <w:t xml:space="preserve">本集團已訂立回購協議，據此，證券出售予第三方，連帶同時訂立一項協議於指定日期回購證券。</w:t>
      </w:r>
    </w:p>
    <w:p>
      <w:pPr>
        <w:pStyle w:val="BodyText"/>
      </w:pPr>
      <w:r>
        <w:rPr>
          <w:rFonts w:hint="eastAsia"/>
        </w:rPr>
        <w:t xml:space="preserve">此等協議涉及的證券並不會從本集團的合併財務狀況表中解除確認，並於適當的金融資產分類內保留。於回購協議期間，本</w:t>
      </w:r>
    </w:p>
    <w:p>
      <w:pPr>
        <w:pStyle w:val="BodyText"/>
      </w:pPr>
      <w:r>
        <w:rPr>
          <w:rFonts w:hint="eastAsia"/>
        </w:rPr>
        <w:t xml:space="preserve">集團受限制於出售或抵押已轉讓債務證券。下表詳列於各年末回購協議所涉及不符合解除確認的金融投資金額：</w:t>
      </w:r>
    </w:p>
    <w:p>
      <w:pPr>
        <w:pStyle w:val="BodyText"/>
      </w:pPr>
      <w:r>
        <w:rPr>
          <w:rFonts w:hint="eastAsia"/>
        </w:rPr>
        <w:t xml:space="preserve">百萬美元</w:t>
      </w:r>
    </w:p>
    <w:p>
      <w:pPr>
        <w:pStyle w:val="BodyText"/>
      </w:pPr>
      <w:r>
        <w:rPr>
          <w:rFonts w:hint="eastAsia"/>
        </w:rPr>
        <w:t xml:space="preserve">債務證券</w:t>
      </w:r>
      <w:r>
        <w:t xml:space="preserve"> </w:t>
      </w:r>
      <w:r>
        <w:rPr>
          <w:rFonts w:hint="eastAsia"/>
        </w:rPr>
        <w:t xml:space="preserve">－</w:t>
      </w:r>
      <w:r>
        <w:t xml:space="preserve"> AFS</w:t>
      </w:r>
    </w:p>
    <w:p>
      <w:pPr>
        <w:pStyle w:val="BodyText"/>
      </w:pPr>
      <w:r>
        <w:rPr>
          <w:rFonts w:hint="eastAsia"/>
        </w:rPr>
        <w:t xml:space="preserve">回購協議</w:t>
      </w:r>
    </w:p>
    <w:p>
      <w:pPr>
        <w:pStyle w:val="BodyText"/>
      </w:pPr>
      <w:r>
        <w:rPr>
          <w:rFonts w:hint="eastAsia"/>
        </w:rPr>
        <w:t xml:space="preserve">債務證券</w:t>
      </w:r>
      <w:r>
        <w:t xml:space="preserve"> </w:t>
      </w:r>
      <w:r>
        <w:rPr>
          <w:rFonts w:hint="eastAsia"/>
        </w:rPr>
        <w:t xml:space="preserve">－</w:t>
      </w:r>
      <w:r>
        <w:t xml:space="preserve"> FVTPL</w:t>
      </w:r>
    </w:p>
    <w:p>
      <w:pPr>
        <w:pStyle w:val="BodyText"/>
      </w:pPr>
      <w:r>
        <w:rPr>
          <w:rFonts w:hint="eastAsia"/>
        </w:rPr>
        <w:t xml:space="preserve">回購協議</w:t>
      </w:r>
    </w:p>
    <w:p>
      <w:pPr>
        <w:pStyle w:val="BodyText"/>
      </w:pPr>
      <w:r>
        <w:rPr>
          <w:rFonts w:hint="eastAsia"/>
        </w:rPr>
        <w:t xml:space="preserve">總計</w:t>
      </w:r>
    </w:p>
    <w:p>
      <w:pPr>
        <w:pStyle w:val="BodyText"/>
      </w:pPr>
      <w:r>
        <w:rPr>
          <w:rFonts w:hint="eastAsia"/>
        </w:rPr>
        <w:t xml:space="preserve">抵押品</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1,444</w:t>
      </w:r>
    </w:p>
    <w:p>
      <w:pPr>
        <w:pStyle w:val="BodyText"/>
      </w:pPr>
      <w:r>
        <w:t xml:space="preserve">1,947</w:t>
      </w:r>
    </w:p>
    <w:p>
      <w:pPr>
        <w:pStyle w:val="BodyText"/>
      </w:pPr>
      <w:r>
        <w:t xml:space="preserve">232</w:t>
      </w:r>
    </w:p>
    <w:p>
      <w:pPr>
        <w:pStyle w:val="BodyText"/>
      </w:pPr>
      <w:r>
        <w:t xml:space="preserve">1,676</w:t>
      </w:r>
    </w:p>
    <w:p>
      <w:pPr>
        <w:pStyle w:val="BodyText"/>
      </w:pPr>
      <w:r>
        <w:t xml:space="preserve">41</w:t>
      </w:r>
    </w:p>
    <w:p>
      <w:pPr>
        <w:pStyle w:val="BodyText"/>
      </w:pPr>
      <w:r>
        <w:t xml:space="preserve">1,988</w:t>
      </w:r>
    </w:p>
    <w:p>
      <w:pPr>
        <w:pStyle w:val="BodyText"/>
      </w:pPr>
      <w:r>
        <w:rPr>
          <w:rFonts w:hint="eastAsia"/>
        </w:rPr>
        <w:t xml:space="preserve">於2020年12月31日，本集團已抵押債務證券為100萬美元（2019年：零）。基於已轉讓證券的市值，本集團並未持有任何現金</w:t>
      </w:r>
    </w:p>
    <w:p>
      <w:pPr>
        <w:pStyle w:val="BodyText"/>
      </w:pPr>
      <w:r>
        <w:rPr>
          <w:rFonts w:hint="eastAsia"/>
        </w:rPr>
        <w:t xml:space="preserve">抵押品（2019年：100萬美元）。在沒有違約的情況下，本集團並沒有將已收取的債務證券抵押品出售或再質押，且此等抵押</w:t>
      </w:r>
    </w:p>
    <w:p>
      <w:pPr>
        <w:pStyle w:val="BodyText"/>
      </w:pPr>
      <w:r>
        <w:rPr>
          <w:rFonts w:hint="eastAsia"/>
        </w:rPr>
        <w:t xml:space="preserve">品並不會於合併財務狀況表中確認。</w:t>
      </w:r>
    </w:p>
    <w:p>
      <w:pPr>
        <w:pStyle w:val="BodyText"/>
      </w:pPr>
      <w:r>
        <w:rPr>
          <w:rFonts w:hint="eastAsia"/>
        </w:rPr>
        <w:t xml:space="preserve">於2020年12月31日，回購協議的債項為16.64億美元（2019年：18.26億美元）。</w:t>
      </w:r>
    </w:p>
    <w:p>
      <w:pPr>
        <w:pStyle w:val="BodyText"/>
      </w:pPr>
      <w:r>
        <w:t xml:space="preserve">226</w:t>
      </w:r>
    </w:p>
    <w:p>
      <w:pPr>
        <w:pStyle w:val="BodyText"/>
      </w:pPr>
      <w:r>
        <w:rPr>
          <w:rFonts w:hint="eastAsia"/>
        </w:rPr>
        <w:t xml:space="preserve">友邦保險控股有限公司</w:t>
      </w:r>
    </w:p>
    <w:p>
      <w:pPr>
        <w:pStyle w:val="Compact"/>
        <w:numPr>
          <w:ilvl w:val="0"/>
          <w:numId w:val="1465"/>
        </w:numPr>
      </w:pPr>
      <w:r>
        <w:rPr>
          <w:rFonts w:hint="eastAsia"/>
        </w:rPr>
        <w:t xml:space="preserve">抵銷金融資產及金融負債</w:t>
      </w:r>
    </w:p>
    <w:p>
      <w:pPr>
        <w:pStyle w:val="FirstParagraph"/>
      </w:pPr>
      <w:r>
        <w:rPr>
          <w:rFonts w:hint="eastAsia"/>
        </w:rPr>
        <w:t xml:space="preserve">抵銷、可執行總對銷協議及類似協議</w:t>
      </w:r>
    </w:p>
    <w:p>
      <w:pPr>
        <w:pStyle w:val="BodyText"/>
      </w:pPr>
      <w:r>
        <w:rPr>
          <w:rFonts w:hint="eastAsia"/>
        </w:rPr>
        <w:t xml:space="preserve">下表列示各年末抵銷、可執行總對銷協議及類似安排的資產：</w:t>
      </w:r>
    </w:p>
    <w:p>
      <w:pPr>
        <w:pStyle w:val="BodyText"/>
      </w:pPr>
      <w:r>
        <w:rPr>
          <w:rFonts w:hint="eastAsia"/>
        </w:rPr>
        <w:t xml:space="preserve">百萬美元</w:t>
      </w:r>
    </w:p>
    <w:p>
      <w:pPr>
        <w:pStyle w:val="BodyText"/>
      </w:pPr>
      <w:r>
        <w:rPr>
          <w:rFonts w:hint="eastAsia"/>
        </w:rPr>
        <w:t xml:space="preserve">2020年12月31日</w:t>
      </w:r>
    </w:p>
    <w:p>
      <w:pPr>
        <w:pStyle w:val="BodyText"/>
      </w:pPr>
      <w:r>
        <w:rPr>
          <w:rFonts w:hint="eastAsia"/>
        </w:rPr>
        <w:t xml:space="preserve">金融資產：</w:t>
      </w:r>
    </w:p>
    <w:p>
      <w:pPr>
        <w:pStyle w:val="BodyText"/>
      </w:pPr>
      <w:r>
        <w:rPr>
          <w:rFonts w:hint="eastAsia"/>
        </w:rPr>
        <w:t xml:space="preserve">衍生工具資產</w:t>
      </w:r>
    </w:p>
    <w:p>
      <w:pPr>
        <w:pStyle w:val="BodyText"/>
      </w:pPr>
      <w:r>
        <w:rPr>
          <w:rFonts w:hint="eastAsia"/>
        </w:rPr>
        <w:t xml:space="preserve">逆向回購協議</w:t>
      </w:r>
    </w:p>
    <w:p>
      <w:pPr>
        <w:pStyle w:val="BodyText"/>
      </w:pPr>
      <w:r>
        <w:rPr>
          <w:rFonts w:hint="eastAsia"/>
        </w:rPr>
        <w:t xml:space="preserve">總計</w:t>
      </w:r>
    </w:p>
    <w:p>
      <w:pPr>
        <w:pStyle w:val="BodyText"/>
      </w:pPr>
      <w:r>
        <w:rPr>
          <w:rFonts w:hint="eastAsia"/>
        </w:rPr>
        <w:t xml:space="preserve">百萬美元</w:t>
      </w:r>
    </w:p>
    <w:p>
      <w:pPr>
        <w:pStyle w:val="BodyText"/>
      </w:pPr>
      <w:r>
        <w:rPr>
          <w:rFonts w:hint="eastAsia"/>
        </w:rPr>
        <w:t xml:space="preserve">2019年12月31日</w:t>
      </w:r>
    </w:p>
    <w:p>
      <w:pPr>
        <w:pStyle w:val="BodyText"/>
      </w:pPr>
      <w:r>
        <w:rPr>
          <w:rFonts w:hint="eastAsia"/>
        </w:rPr>
        <w:t xml:space="preserve">金融資產：</w:t>
      </w:r>
    </w:p>
    <w:p>
      <w:pPr>
        <w:pStyle w:val="BodyText"/>
      </w:pPr>
      <w:r>
        <w:rPr>
          <w:rFonts w:hint="eastAsia"/>
        </w:rPr>
        <w:t xml:space="preserve">衍生工具資產</w:t>
      </w:r>
    </w:p>
    <w:p>
      <w:pPr>
        <w:pStyle w:val="BodyText"/>
      </w:pPr>
      <w:r>
        <w:rPr>
          <w:rFonts w:hint="eastAsia"/>
        </w:rPr>
        <w:t xml:space="preserve">逆向回購協議</w:t>
      </w:r>
    </w:p>
    <w:p>
      <w:pPr>
        <w:pStyle w:val="BodyText"/>
      </w:pPr>
      <w:r>
        <w:rPr>
          <w:rFonts w:hint="eastAsia"/>
        </w:rPr>
        <w:t xml:space="preserve">總計</w:t>
      </w:r>
    </w:p>
    <w:p>
      <w:pPr>
        <w:pStyle w:val="BodyText"/>
      </w:pPr>
      <w:r>
        <w:rPr>
          <w:rFonts w:hint="eastAsia"/>
        </w:rPr>
        <w:t xml:space="preserve">已確認的</w:t>
      </w:r>
      <w:r>
        <w:br/>
      </w:r>
      <w:r>
        <w:rPr>
          <w:rFonts w:hint="eastAsia"/>
        </w:rPr>
        <w:t xml:space="preserve">金融資產總值</w:t>
      </w:r>
    </w:p>
    <w:p>
      <w:pPr>
        <w:pStyle w:val="BodyText"/>
      </w:pPr>
      <w:r>
        <w:rPr>
          <w:rFonts w:hint="eastAsia"/>
        </w:rPr>
        <w:t xml:space="preserve">於合併財務</w:t>
      </w:r>
      <w:r>
        <w:br/>
      </w:r>
      <w:r>
        <w:rPr>
          <w:rFonts w:hint="eastAsia"/>
        </w:rPr>
        <w:t xml:space="preserve">狀況表對銷</w:t>
      </w:r>
      <w:r>
        <w:br/>
      </w:r>
      <w:r>
        <w:rPr>
          <w:rFonts w:hint="eastAsia"/>
        </w:rPr>
        <w:t xml:space="preserve">已確認的</w:t>
      </w:r>
      <w:r>
        <w:br/>
      </w:r>
      <w:r>
        <w:rPr>
          <w:rFonts w:hint="eastAsia"/>
        </w:rPr>
        <w:t xml:space="preserve">金融負債總值</w:t>
      </w:r>
    </w:p>
    <w:p>
      <w:pPr>
        <w:pStyle w:val="BodyText"/>
      </w:pPr>
      <w:r>
        <w:rPr>
          <w:rFonts w:hint="eastAsia"/>
        </w:rPr>
        <w:t xml:space="preserve">於合併財務</w:t>
      </w:r>
      <w:r>
        <w:br/>
      </w:r>
      <w:r>
        <w:rPr>
          <w:rFonts w:hint="eastAsia"/>
        </w:rPr>
        <w:t xml:space="preserve">狀況表呈列的</w:t>
      </w:r>
      <w:r>
        <w:br/>
      </w:r>
      <w:r>
        <w:rPr>
          <w:rFonts w:hint="eastAsia"/>
        </w:rPr>
        <w:t xml:space="preserve">金融資產淨值</w:t>
      </w:r>
    </w:p>
    <w:p>
      <w:pPr>
        <w:pStyle w:val="BodyText"/>
      </w:pPr>
      <w:r>
        <w:rPr>
          <w:rFonts w:hint="eastAsia"/>
        </w:rPr>
        <w:t xml:space="preserve">並無於合併財務狀況表</w:t>
      </w:r>
      <w:r>
        <w:br/>
      </w:r>
      <w:r>
        <w:rPr>
          <w:rFonts w:hint="eastAsia"/>
        </w:rPr>
        <w:t xml:space="preserve">對銷的相關金額</w:t>
      </w:r>
    </w:p>
    <w:p>
      <w:pPr>
        <w:pStyle w:val="BodyText"/>
      </w:pPr>
      <w:r>
        <w:rPr>
          <w:rFonts w:hint="eastAsia"/>
        </w:rPr>
        <w:t xml:space="preserve">金融工具</w:t>
      </w:r>
    </w:p>
    <w:p>
      <w:pPr>
        <w:pStyle w:val="BodyText"/>
      </w:pPr>
      <w:r>
        <w:rPr>
          <w:rFonts w:hint="eastAsia"/>
        </w:rPr>
        <w:t xml:space="preserve">已收取的</w:t>
      </w:r>
      <w:r>
        <w:br/>
      </w:r>
      <w:r>
        <w:rPr>
          <w:rFonts w:hint="eastAsia"/>
        </w:rPr>
        <w:t xml:space="preserve">現金抵押品</w:t>
      </w:r>
    </w:p>
    <w:p>
      <w:pPr>
        <w:pStyle w:val="BodyText"/>
      </w:pPr>
      <w:r>
        <w:t xml:space="preserve">1,069</w:t>
      </w:r>
    </w:p>
    <w:p>
      <w:pPr>
        <w:pStyle w:val="BodyText"/>
      </w:pPr>
      <w:r>
        <w:t xml:space="preserve">271</w:t>
      </w:r>
    </w:p>
    <w:p>
      <w:pPr>
        <w:pStyle w:val="BodyText"/>
      </w:pPr>
      <w:r>
        <w:t xml:space="preserve">1,340</w:t>
      </w:r>
    </w:p>
    <w:p>
      <w:pPr>
        <w:pStyle w:val="BodyText"/>
      </w:pPr>
      <w:r>
        <w:t xml:space="preserve">–</w:t>
      </w:r>
    </w:p>
    <w:p>
      <w:pPr>
        <w:pStyle w:val="BodyText"/>
      </w:pPr>
      <w:r>
        <w:t xml:space="preserve">–</w:t>
      </w:r>
    </w:p>
    <w:p>
      <w:pPr>
        <w:pStyle w:val="BodyText"/>
      </w:pPr>
      <w:r>
        <w:t xml:space="preserve">–</w:t>
      </w:r>
    </w:p>
    <w:p>
      <w:pPr>
        <w:pStyle w:val="BodyText"/>
      </w:pPr>
      <w:r>
        <w:t xml:space="preserve">1,069</w:t>
      </w:r>
    </w:p>
    <w:p>
      <w:pPr>
        <w:pStyle w:val="BodyText"/>
      </w:pPr>
      <w:r>
        <w:t xml:space="preserve">271</w:t>
      </w:r>
    </w:p>
    <w:p>
      <w:pPr>
        <w:pStyle w:val="BodyText"/>
      </w:pPr>
      <w:r>
        <w:t xml:space="preserve">1,340</w:t>
      </w:r>
    </w:p>
    <w:p>
      <w:pPr>
        <w:pStyle w:val="FirstParagraph"/>
      </w:pPr>
      <w:r>
        <w:t xml:space="preserve">–</w:t>
      </w:r>
    </w:p>
    <w:p>
      <w:pPr>
        <w:pStyle w:val="FirstParagraph"/>
      </w:pPr>
      <w:r>
        <w:rPr>
          <w:rFonts w:hint="eastAsia"/>
        </w:rPr>
        <w:t xml:space="preserve">已確認的</w:t>
      </w:r>
      <w:r>
        <w:br/>
      </w:r>
      <w:r>
        <w:rPr>
          <w:rFonts w:hint="eastAsia"/>
        </w:rPr>
        <w:t xml:space="preserve">金融資產總值</w:t>
      </w:r>
    </w:p>
    <w:p>
      <w:pPr>
        <w:pStyle w:val="BodyText"/>
      </w:pPr>
      <w:r>
        <w:rPr>
          <w:rFonts w:hint="eastAsia"/>
        </w:rPr>
        <w:t xml:space="preserve">於合併財務</w:t>
      </w:r>
      <w:r>
        <w:br/>
      </w:r>
      <w:r>
        <w:rPr>
          <w:rFonts w:hint="eastAsia"/>
        </w:rPr>
        <w:t xml:space="preserve">狀況表對銷</w:t>
      </w:r>
      <w:r>
        <w:br/>
      </w:r>
      <w:r>
        <w:rPr>
          <w:rFonts w:hint="eastAsia"/>
        </w:rPr>
        <w:t xml:space="preserve">已確認的</w:t>
      </w:r>
      <w:r>
        <w:br/>
      </w:r>
      <w:r>
        <w:rPr>
          <w:rFonts w:hint="eastAsia"/>
        </w:rPr>
        <w:t xml:space="preserve">金融負債總值</w:t>
      </w:r>
    </w:p>
    <w:p>
      <w:pPr>
        <w:pStyle w:val="BodyText"/>
      </w:pPr>
      <w:r>
        <w:rPr>
          <w:rFonts w:hint="eastAsia"/>
        </w:rPr>
        <w:t xml:space="preserve">於合併財務</w:t>
      </w:r>
      <w:r>
        <w:br/>
      </w:r>
      <w:r>
        <w:rPr>
          <w:rFonts w:hint="eastAsia"/>
        </w:rPr>
        <w:t xml:space="preserve">狀況表呈列的</w:t>
      </w:r>
      <w:r>
        <w:br/>
      </w:r>
      <w:r>
        <w:rPr>
          <w:rFonts w:hint="eastAsia"/>
        </w:rPr>
        <w:t xml:space="preserve">金融資產淨值</w:t>
      </w:r>
    </w:p>
    <w:p>
      <w:pPr>
        <w:pStyle w:val="BodyText"/>
      </w:pPr>
      <w:r>
        <w:rPr>
          <w:rFonts w:hint="eastAsia"/>
        </w:rPr>
        <w:t xml:space="preserve">並無於合併財務狀況表</w:t>
      </w:r>
      <w:r>
        <w:br/>
      </w:r>
      <w:r>
        <w:rPr>
          <w:rFonts w:hint="eastAsia"/>
        </w:rPr>
        <w:t xml:space="preserve">對銷的相關金額</w:t>
      </w:r>
    </w:p>
    <w:p>
      <w:pPr>
        <w:pStyle w:val="BodyText"/>
      </w:pPr>
      <w:r>
        <w:rPr>
          <w:rFonts w:hint="eastAsia"/>
        </w:rPr>
        <w:t xml:space="preserve">金融工具</w:t>
      </w:r>
    </w:p>
    <w:p>
      <w:pPr>
        <w:pStyle w:val="BodyText"/>
      </w:pPr>
      <w:r>
        <w:rPr>
          <w:rFonts w:hint="eastAsia"/>
        </w:rPr>
        <w:t xml:space="preserve">已收取的</w:t>
      </w:r>
      <w:r>
        <w:br/>
      </w:r>
      <w:r>
        <w:rPr>
          <w:rFonts w:hint="eastAsia"/>
        </w:rPr>
        <w:t xml:space="preserve">現金抵押品</w:t>
      </w:r>
    </w:p>
    <w:p>
      <w:pPr>
        <w:pStyle w:val="BodyText"/>
      </w:pPr>
      <w:r>
        <w:t xml:space="preserve">971</w:t>
      </w:r>
    </w:p>
    <w:p>
      <w:pPr>
        <w:pStyle w:val="BodyText"/>
      </w:pPr>
      <w:r>
        <w:t xml:space="preserve">265</w:t>
      </w:r>
    </w:p>
    <w:p>
      <w:pPr>
        <w:pStyle w:val="BodyText"/>
      </w:pPr>
      <w:r>
        <w:t xml:space="preserve">1,236</w:t>
      </w:r>
    </w:p>
    <w:p>
      <w:pPr>
        <w:pStyle w:val="BodyText"/>
      </w:pPr>
      <w:r>
        <w:t xml:space="preserve">–</w:t>
      </w:r>
    </w:p>
    <w:p>
      <w:pPr>
        <w:pStyle w:val="BodyText"/>
      </w:pPr>
      <w:r>
        <w:t xml:space="preserve">–</w:t>
      </w:r>
    </w:p>
    <w:p>
      <w:pPr>
        <w:pStyle w:val="BodyText"/>
      </w:pPr>
      <w:r>
        <w:t xml:space="preserve">–</w:t>
      </w:r>
    </w:p>
    <w:p>
      <w:pPr>
        <w:pStyle w:val="BodyText"/>
      </w:pPr>
      <w:r>
        <w:t xml:space="preserve">971</w:t>
      </w:r>
    </w:p>
    <w:p>
      <w:pPr>
        <w:pStyle w:val="BodyText"/>
      </w:pPr>
      <w:r>
        <w:t xml:space="preserve">265</w:t>
      </w:r>
    </w:p>
    <w:p>
      <w:pPr>
        <w:pStyle w:val="BodyText"/>
      </w:pPr>
      <w:r>
        <w:t xml:space="preserve">1,236</w:t>
      </w:r>
    </w:p>
    <w:p>
      <w:pPr>
        <w:pStyle w:val="FirstParagraph"/>
      </w:pPr>
      <w:r>
        <w:t xml:space="preserve">–</w:t>
      </w:r>
    </w:p>
    <w:p>
      <w:pPr>
        <w:pStyle w:val="FirstParagraph"/>
      </w:pPr>
      <w:r>
        <w:rPr>
          <w:rFonts w:hint="eastAsia"/>
        </w:rPr>
        <w:t xml:space="preserve">淨值</w:t>
      </w:r>
    </w:p>
    <w:p>
      <w:pPr>
        <w:pStyle w:val="BodyText"/>
      </w:pPr>
      <w:r>
        <w:t xml:space="preserve">552</w:t>
      </w:r>
    </w:p>
    <w:p>
      <w:pPr>
        <w:pStyle w:val="BodyText"/>
      </w:pPr>
      <w:r>
        <w:t xml:space="preserve">–</w:t>
      </w:r>
    </w:p>
    <w:p>
      <w:pPr>
        <w:pStyle w:val="BodyText"/>
      </w:pPr>
      <w:r>
        <w:t xml:space="preserve">552</w:t>
      </w:r>
    </w:p>
    <w:p>
      <w:pPr>
        <w:pStyle w:val="BodyText"/>
      </w:pPr>
      <w:r>
        <w:rPr>
          <w:rFonts w:hint="eastAsia"/>
        </w:rPr>
        <w:t xml:space="preserve">淨值</w:t>
      </w:r>
    </w:p>
    <w:p>
      <w:pPr>
        <w:pStyle w:val="BodyText"/>
      </w:pPr>
      <w:r>
        <w:t xml:space="preserve">383</w:t>
      </w:r>
    </w:p>
    <w:p>
      <w:pPr>
        <w:pStyle w:val="BodyText"/>
      </w:pPr>
      <w:r>
        <w:t xml:space="preserve">–</w:t>
      </w:r>
    </w:p>
    <w:p>
      <w:pPr>
        <w:pStyle w:val="BodyText"/>
      </w:pPr>
      <w:r>
        <w:t xml:space="preserve">383</w:t>
      </w:r>
    </w:p>
    <w:p>
      <w:pPr>
        <w:pStyle w:val="BodyText"/>
      </w:pPr>
      <w:r>
        <w:t xml:space="preserve">227</w:t>
      </w:r>
    </w:p>
    <w:p>
      <w:pPr>
        <w:pStyle w:val="BodyText"/>
      </w:pPr>
      <w:r>
        <w:rPr>
          <w:rFonts w:hint="eastAsia"/>
        </w:rPr>
        <w:t xml:space="preserve">概覽財務及營運回顧企業管治其他資料財務報表2020年報</w:t>
      </w:r>
    </w:p>
    <w:p>
      <w:pPr>
        <w:pStyle w:val="Compact"/>
        <w:numPr>
          <w:ilvl w:val="0"/>
          <w:numId w:val="1470"/>
        </w:numPr>
      </w:pPr>
      <w:r>
        <w:rPr>
          <w:rFonts w:hint="eastAsia"/>
        </w:rPr>
        <w:t xml:space="preserve">抵銷金融資產及金融負債（續）</w:t>
      </w:r>
    </w:p>
    <w:p>
      <w:pPr>
        <w:pStyle w:val="FirstParagraph"/>
      </w:pPr>
      <w:r>
        <w:rPr>
          <w:rFonts w:hint="eastAsia"/>
        </w:rPr>
        <w:t xml:space="preserve">抵銷、可執行總對銷協議及類似協議（續）</w:t>
      </w:r>
    </w:p>
    <w:p>
      <w:pPr>
        <w:pStyle w:val="BodyText"/>
      </w:pPr>
      <w:r>
        <w:rPr>
          <w:rFonts w:hint="eastAsia"/>
        </w:rPr>
        <w:t xml:space="preserve">下表列示各年末抵銷、可執行總對銷協議及類似安排的負債：</w:t>
      </w:r>
    </w:p>
    <w:p>
      <w:pPr>
        <w:pStyle w:val="BodyText"/>
      </w:pPr>
      <w:r>
        <w:rPr>
          <w:rFonts w:hint="eastAsia"/>
        </w:rPr>
        <w:t xml:space="preserve">百萬美元</w:t>
      </w:r>
    </w:p>
    <w:p>
      <w:pPr>
        <w:pStyle w:val="BodyText"/>
      </w:pPr>
      <w:r>
        <w:rPr>
          <w:rFonts w:hint="eastAsia"/>
        </w:rPr>
        <w:t xml:space="preserve">2020年12月31日</w:t>
      </w:r>
    </w:p>
    <w:p>
      <w:pPr>
        <w:pStyle w:val="BodyText"/>
      </w:pPr>
      <w:r>
        <w:rPr>
          <w:rFonts w:hint="eastAsia"/>
        </w:rPr>
        <w:t xml:space="preserve">金融負債：</w:t>
      </w:r>
    </w:p>
    <w:p>
      <w:pPr>
        <w:pStyle w:val="BodyText"/>
      </w:pPr>
      <w:r>
        <w:rPr>
          <w:rFonts w:hint="eastAsia"/>
        </w:rPr>
        <w:t xml:space="preserve">衍生工具負債</w:t>
      </w:r>
    </w:p>
    <w:p>
      <w:pPr>
        <w:pStyle w:val="BodyText"/>
      </w:pPr>
      <w:r>
        <w:rPr>
          <w:rFonts w:hint="eastAsia"/>
        </w:rPr>
        <w:t xml:space="preserve">回購協議</w:t>
      </w:r>
    </w:p>
    <w:p>
      <w:pPr>
        <w:pStyle w:val="BodyText"/>
      </w:pPr>
      <w:r>
        <w:rPr>
          <w:rFonts w:hint="eastAsia"/>
        </w:rPr>
        <w:t xml:space="preserve">總計</w:t>
      </w:r>
    </w:p>
    <w:p>
      <w:pPr>
        <w:pStyle w:val="BodyText"/>
      </w:pPr>
      <w:r>
        <w:rPr>
          <w:rFonts w:hint="eastAsia"/>
        </w:rPr>
        <w:t xml:space="preserve">百萬美元</w:t>
      </w:r>
    </w:p>
    <w:p>
      <w:pPr>
        <w:pStyle w:val="BodyText"/>
      </w:pPr>
      <w:r>
        <w:rPr>
          <w:rFonts w:hint="eastAsia"/>
        </w:rPr>
        <w:t xml:space="preserve">2019年12月31日</w:t>
      </w:r>
    </w:p>
    <w:p>
      <w:pPr>
        <w:pStyle w:val="BodyText"/>
      </w:pPr>
      <w:r>
        <w:rPr>
          <w:rFonts w:hint="eastAsia"/>
        </w:rPr>
        <w:t xml:space="preserve">金融負債：</w:t>
      </w:r>
    </w:p>
    <w:p>
      <w:pPr>
        <w:pStyle w:val="BodyText"/>
      </w:pPr>
      <w:r>
        <w:rPr>
          <w:rFonts w:hint="eastAsia"/>
        </w:rPr>
        <w:t xml:space="preserve">衍生工具負債</w:t>
      </w:r>
    </w:p>
    <w:p>
      <w:pPr>
        <w:pStyle w:val="BodyText"/>
      </w:pPr>
      <w:r>
        <w:rPr>
          <w:rFonts w:hint="eastAsia"/>
        </w:rPr>
        <w:t xml:space="preserve">回購協議</w:t>
      </w:r>
    </w:p>
    <w:p>
      <w:pPr>
        <w:pStyle w:val="BodyText"/>
      </w:pPr>
      <w:r>
        <w:rPr>
          <w:rFonts w:hint="eastAsia"/>
        </w:rPr>
        <w:t xml:space="preserve">總計</w:t>
      </w:r>
    </w:p>
    <w:p>
      <w:pPr>
        <w:pStyle w:val="BodyText"/>
      </w:pPr>
      <w:r>
        <w:rPr>
          <w:rFonts w:hint="eastAsia"/>
        </w:rPr>
        <w:t xml:space="preserve">已確認的</w:t>
      </w:r>
      <w:r>
        <w:br/>
      </w:r>
      <w:r>
        <w:rPr>
          <w:rFonts w:hint="eastAsia"/>
        </w:rPr>
        <w:t xml:space="preserve">金融負債總值</w:t>
      </w:r>
    </w:p>
    <w:p>
      <w:pPr>
        <w:pStyle w:val="BodyText"/>
      </w:pPr>
      <w:r>
        <w:rPr>
          <w:rFonts w:hint="eastAsia"/>
        </w:rPr>
        <w:t xml:space="preserve">於合併財務</w:t>
      </w:r>
      <w:r>
        <w:br/>
      </w:r>
      <w:r>
        <w:rPr>
          <w:rFonts w:hint="eastAsia"/>
        </w:rPr>
        <w:t xml:space="preserve">狀況表對銷</w:t>
      </w:r>
      <w:r>
        <w:br/>
      </w:r>
      <w:r>
        <w:rPr>
          <w:rFonts w:hint="eastAsia"/>
        </w:rPr>
        <w:t xml:space="preserve">已確認的</w:t>
      </w:r>
      <w:r>
        <w:br/>
      </w:r>
      <w:r>
        <w:rPr>
          <w:rFonts w:hint="eastAsia"/>
        </w:rPr>
        <w:t xml:space="preserve">金融資產總值</w:t>
      </w:r>
    </w:p>
    <w:p>
      <w:pPr>
        <w:pStyle w:val="BodyText"/>
      </w:pPr>
      <w:r>
        <w:rPr>
          <w:rFonts w:hint="eastAsia"/>
        </w:rPr>
        <w:t xml:space="preserve">於合併財務</w:t>
      </w:r>
      <w:r>
        <w:br/>
      </w:r>
      <w:r>
        <w:rPr>
          <w:rFonts w:hint="eastAsia"/>
        </w:rPr>
        <w:t xml:space="preserve">狀況表呈列的</w:t>
      </w:r>
      <w:r>
        <w:br/>
      </w:r>
      <w:r>
        <w:rPr>
          <w:rFonts w:hint="eastAsia"/>
        </w:rPr>
        <w:t xml:space="preserve">金融負債淨值</w:t>
      </w:r>
    </w:p>
    <w:p>
      <w:pPr>
        <w:pStyle w:val="BodyText"/>
      </w:pPr>
      <w:r>
        <w:rPr>
          <w:rFonts w:hint="eastAsia"/>
        </w:rPr>
        <w:t xml:space="preserve">並無於合併財務狀況表</w:t>
      </w:r>
      <w:r>
        <w:br/>
      </w:r>
      <w:r>
        <w:rPr>
          <w:rFonts w:hint="eastAsia"/>
        </w:rPr>
        <w:t xml:space="preserve">對銷的相關金額</w:t>
      </w:r>
    </w:p>
    <w:p>
      <w:pPr>
        <w:pStyle w:val="BodyText"/>
      </w:pPr>
      <w:r>
        <w:rPr>
          <w:rFonts w:hint="eastAsia"/>
        </w:rPr>
        <w:t xml:space="preserve">金融工具</w:t>
      </w:r>
    </w:p>
    <w:p>
      <w:pPr>
        <w:pStyle w:val="BodyText"/>
      </w:pPr>
      <w:r>
        <w:rPr>
          <w:rFonts w:hint="eastAsia"/>
        </w:rPr>
        <w:t xml:space="preserve">已質押的</w:t>
      </w:r>
      <w:r>
        <w:br/>
      </w:r>
      <w:r>
        <w:rPr>
          <w:rFonts w:hint="eastAsia"/>
        </w:rPr>
        <w:t xml:space="preserve">現金抵押品</w:t>
      </w:r>
    </w:p>
    <w:p>
      <w:pPr>
        <w:pStyle w:val="BodyText"/>
      </w:pPr>
      <w:r>
        <w:t xml:space="preserve">1,003</w:t>
      </w:r>
    </w:p>
    <w:p>
      <w:pPr>
        <w:pStyle w:val="BodyText"/>
      </w:pPr>
      <w:r>
        <w:t xml:space="preserve">1,664</w:t>
      </w:r>
    </w:p>
    <w:p>
      <w:pPr>
        <w:pStyle w:val="BodyText"/>
      </w:pPr>
      <w:r>
        <w:t xml:space="preserve">2,667</w:t>
      </w:r>
    </w:p>
    <w:p>
      <w:pPr>
        <w:pStyle w:val="BodyText"/>
      </w:pPr>
      <w:r>
        <w:t xml:space="preserve">–</w:t>
      </w:r>
    </w:p>
    <w:p>
      <w:pPr>
        <w:pStyle w:val="BodyText"/>
      </w:pPr>
      <w:r>
        <w:t xml:space="preserve">–</w:t>
      </w:r>
    </w:p>
    <w:p>
      <w:pPr>
        <w:pStyle w:val="BodyText"/>
      </w:pPr>
      <w:r>
        <w:t xml:space="preserve">–</w:t>
      </w:r>
    </w:p>
    <w:p>
      <w:pPr>
        <w:pStyle w:val="BodyText"/>
      </w:pPr>
      <w:r>
        <w:t xml:space="preserve">1,003</w:t>
      </w:r>
    </w:p>
    <w:p>
      <w:pPr>
        <w:pStyle w:val="BodyText"/>
      </w:pPr>
      <w:r>
        <w:t xml:space="preserve">1,664</w:t>
      </w:r>
    </w:p>
    <w:p>
      <w:pPr>
        <w:pStyle w:val="BodyText"/>
      </w:pPr>
      <w:r>
        <w:t xml:space="preserve">2,667</w:t>
      </w:r>
    </w:p>
    <w:p>
      <w:pPr>
        <w:pStyle w:val="FirstParagraph"/>
      </w:pPr>
      <w:r>
        <w:t xml:space="preserve">(1,664)</w:t>
      </w:r>
    </w:p>
    <w:p>
      <w:pPr>
        <w:pStyle w:val="BodyText"/>
      </w:pPr>
      <w:r>
        <w:t xml:space="preserve">(2,360)</w:t>
      </w:r>
    </w:p>
    <w:p>
      <w:pPr>
        <w:pStyle w:val="FirstParagraph"/>
      </w:pPr>
      <w:r>
        <w:t xml:space="preserve">–</w:t>
      </w:r>
    </w:p>
    <w:p>
      <w:pPr>
        <w:pStyle w:val="FirstParagraph"/>
      </w:pPr>
      <w:r>
        <w:rPr>
          <w:rFonts w:hint="eastAsia"/>
        </w:rPr>
        <w:t xml:space="preserve">已確認的</w:t>
      </w:r>
      <w:r>
        <w:br/>
      </w:r>
      <w:r>
        <w:rPr>
          <w:rFonts w:hint="eastAsia"/>
        </w:rPr>
        <w:t xml:space="preserve">金融負債總值</w:t>
      </w:r>
    </w:p>
    <w:p>
      <w:pPr>
        <w:pStyle w:val="BodyText"/>
      </w:pPr>
      <w:r>
        <w:rPr>
          <w:rFonts w:hint="eastAsia"/>
        </w:rPr>
        <w:t xml:space="preserve">於合併財務</w:t>
      </w:r>
      <w:r>
        <w:br/>
      </w:r>
      <w:r>
        <w:rPr>
          <w:rFonts w:hint="eastAsia"/>
        </w:rPr>
        <w:t xml:space="preserve">狀況表對銷</w:t>
      </w:r>
      <w:r>
        <w:br/>
      </w:r>
      <w:r>
        <w:rPr>
          <w:rFonts w:hint="eastAsia"/>
        </w:rPr>
        <w:t xml:space="preserve">已確認的</w:t>
      </w:r>
      <w:r>
        <w:br/>
      </w:r>
      <w:r>
        <w:rPr>
          <w:rFonts w:hint="eastAsia"/>
        </w:rPr>
        <w:t xml:space="preserve">金融資產總值</w:t>
      </w:r>
    </w:p>
    <w:p>
      <w:pPr>
        <w:pStyle w:val="BodyText"/>
      </w:pPr>
      <w:r>
        <w:rPr>
          <w:rFonts w:hint="eastAsia"/>
        </w:rPr>
        <w:t xml:space="preserve">於合併財務</w:t>
      </w:r>
      <w:r>
        <w:br/>
      </w:r>
      <w:r>
        <w:rPr>
          <w:rFonts w:hint="eastAsia"/>
        </w:rPr>
        <w:t xml:space="preserve">狀況表呈列的</w:t>
      </w:r>
      <w:r>
        <w:br/>
      </w:r>
      <w:r>
        <w:rPr>
          <w:rFonts w:hint="eastAsia"/>
        </w:rPr>
        <w:t xml:space="preserve">金融負債淨值</w:t>
      </w:r>
    </w:p>
    <w:p>
      <w:pPr>
        <w:pStyle w:val="BodyText"/>
      </w:pPr>
      <w:r>
        <w:rPr>
          <w:rFonts w:hint="eastAsia"/>
        </w:rPr>
        <w:t xml:space="preserve">並無於合併財務狀況表</w:t>
      </w:r>
      <w:r>
        <w:br/>
      </w:r>
      <w:r>
        <w:rPr>
          <w:rFonts w:hint="eastAsia"/>
        </w:rPr>
        <w:t xml:space="preserve">對銷的相關金額</w:t>
      </w:r>
    </w:p>
    <w:p>
      <w:pPr>
        <w:pStyle w:val="BodyText"/>
      </w:pPr>
      <w:r>
        <w:rPr>
          <w:rFonts w:hint="eastAsia"/>
        </w:rPr>
        <w:t xml:space="preserve">金融工具</w:t>
      </w:r>
    </w:p>
    <w:p>
      <w:pPr>
        <w:pStyle w:val="BodyText"/>
      </w:pPr>
      <w:r>
        <w:rPr>
          <w:rFonts w:hint="eastAsia"/>
        </w:rPr>
        <w:t xml:space="preserve">已質押的</w:t>
      </w:r>
      <w:r>
        <w:br/>
      </w:r>
      <w:r>
        <w:rPr>
          <w:rFonts w:hint="eastAsia"/>
        </w:rPr>
        <w:t xml:space="preserve">現金抵押品</w:t>
      </w:r>
    </w:p>
    <w:p>
      <w:pPr>
        <w:pStyle w:val="BodyText"/>
      </w:pPr>
      <w:r>
        <w:t xml:space="preserve">412</w:t>
      </w:r>
    </w:p>
    <w:p>
      <w:pPr>
        <w:pStyle w:val="BodyText"/>
      </w:pPr>
      <w:r>
        <w:t xml:space="preserve">1,826</w:t>
      </w:r>
    </w:p>
    <w:p>
      <w:pPr>
        <w:pStyle w:val="BodyText"/>
      </w:pPr>
      <w:r>
        <w:t xml:space="preserve">2,238</w:t>
      </w:r>
    </w:p>
    <w:p>
      <w:pPr>
        <w:pStyle w:val="BodyText"/>
      </w:pPr>
      <w:r>
        <w:t xml:space="preserve">–</w:t>
      </w:r>
    </w:p>
    <w:p>
      <w:pPr>
        <w:pStyle w:val="BodyText"/>
      </w:pPr>
      <w:r>
        <w:t xml:space="preserve">–</w:t>
      </w:r>
    </w:p>
    <w:p>
      <w:pPr>
        <w:pStyle w:val="BodyText"/>
      </w:pPr>
      <w:r>
        <w:t xml:space="preserve">–</w:t>
      </w:r>
    </w:p>
    <w:p>
      <w:pPr>
        <w:pStyle w:val="BodyText"/>
      </w:pPr>
      <w:r>
        <w:t xml:space="preserve">412</w:t>
      </w:r>
    </w:p>
    <w:p>
      <w:pPr>
        <w:pStyle w:val="BodyText"/>
      </w:pPr>
      <w:r>
        <w:t xml:space="preserve">1,826</w:t>
      </w:r>
    </w:p>
    <w:p>
      <w:pPr>
        <w:pStyle w:val="BodyText"/>
      </w:pPr>
      <w:r>
        <w:t xml:space="preserve">2,238</w:t>
      </w:r>
    </w:p>
    <w:p>
      <w:pPr>
        <w:pStyle w:val="FirstParagraph"/>
      </w:pPr>
      <w:r>
        <w:t xml:space="preserve">(1,826)</w:t>
      </w:r>
    </w:p>
    <w:p>
      <w:pPr>
        <w:pStyle w:val="BodyText"/>
      </w:pPr>
      <w:r>
        <w:t xml:space="preserve">(2,092)</w:t>
      </w:r>
    </w:p>
    <w:p>
      <w:pPr>
        <w:pStyle w:val="FirstParagraph"/>
      </w:pPr>
      <w:r>
        <w:t xml:space="preserve">–</w:t>
      </w:r>
    </w:p>
    <w:p>
      <w:pPr>
        <w:pStyle w:val="FirstParagraph"/>
      </w:pPr>
      <w:r>
        <w:rPr>
          <w:rFonts w:hint="eastAsia"/>
        </w:rPr>
        <w:t xml:space="preserve">淨值</w:t>
      </w:r>
    </w:p>
    <w:p>
      <w:pPr>
        <w:pStyle w:val="BodyText"/>
      </w:pPr>
      <w:r>
        <w:t xml:space="preserve">221</w:t>
      </w:r>
    </w:p>
    <w:p>
      <w:pPr>
        <w:pStyle w:val="BodyText"/>
      </w:pPr>
      <w:r>
        <w:t xml:space="preserve">–</w:t>
      </w:r>
    </w:p>
    <w:p>
      <w:pPr>
        <w:pStyle w:val="BodyText"/>
      </w:pPr>
      <w:r>
        <w:t xml:space="preserve">221</w:t>
      </w:r>
    </w:p>
    <w:p>
      <w:pPr>
        <w:pStyle w:val="BodyText"/>
      </w:pPr>
      <w:r>
        <w:rPr>
          <w:rFonts w:hint="eastAsia"/>
        </w:rPr>
        <w:t xml:space="preserve">淨值</w:t>
      </w:r>
    </w:p>
    <w:p>
      <w:pPr>
        <w:pStyle w:val="BodyText"/>
      </w:pPr>
      <w:r>
        <w:t xml:space="preserve">109</w:t>
      </w:r>
    </w:p>
    <w:p>
      <w:pPr>
        <w:pStyle w:val="BodyText"/>
      </w:pPr>
      <w:r>
        <w:t xml:space="preserve">–</w:t>
      </w:r>
    </w:p>
    <w:p>
      <w:pPr>
        <w:pStyle w:val="BodyText"/>
      </w:pPr>
      <w:r>
        <w:t xml:space="preserve">109</w:t>
      </w:r>
    </w:p>
    <w:p>
      <w:pPr>
        <w:pStyle w:val="BodyText"/>
      </w:pPr>
      <w:r>
        <w:rPr>
          <w:rFonts w:hint="eastAsia"/>
        </w:rPr>
        <w:t xml:space="preserve">本集團與眾多交易對手訂立有關衍生工具交易的可執行總對銷協議以及有關債務工具的回購協議。除通過結算所機制簽立的</w:t>
      </w:r>
    </w:p>
    <w:p>
      <w:pPr>
        <w:pStyle w:val="BodyText"/>
      </w:pPr>
      <w:r>
        <w:rPr>
          <w:rFonts w:hint="eastAsia"/>
        </w:rPr>
        <w:t xml:space="preserve">若干期貨合約外（該等結算安排符合國際財務報告準則對銷標準），涉及金融工具或現金作為抵押品交換的可執行總對銷協</w:t>
      </w:r>
    </w:p>
    <w:p>
      <w:pPr>
        <w:pStyle w:val="BodyText"/>
      </w:pPr>
      <w:r>
        <w:rPr>
          <w:rFonts w:hint="eastAsia"/>
        </w:rPr>
        <w:t xml:space="preserve">議及類似協議項下的交易並無符合國際財務報告準則對銷標準。就總對銷協議及類似協議計提的撥備可令訂約方在發生違約</w:t>
      </w:r>
    </w:p>
    <w:p>
      <w:pPr>
        <w:pStyle w:val="BodyText"/>
      </w:pPr>
      <w:r>
        <w:rPr>
          <w:rFonts w:hint="eastAsia"/>
        </w:rPr>
        <w:t xml:space="preserve">或終止事件的情況下提前終止交易並按淨值結算。</w:t>
      </w:r>
    </w:p>
    <w:p>
      <w:pPr>
        <w:pStyle w:val="BodyText"/>
      </w:pPr>
      <w:r>
        <w:t xml:space="preserve">228</w:t>
      </w:r>
    </w:p>
    <w:p>
      <w:pPr>
        <w:pStyle w:val="BodyText"/>
      </w:pPr>
      <w:r>
        <w:rPr>
          <w:rFonts w:hint="eastAsia"/>
        </w:rPr>
        <w:t xml:space="preserve">友邦保險控股有限公司</w:t>
      </w:r>
    </w:p>
    <w:p>
      <w:pPr>
        <w:pStyle w:val="Compact"/>
        <w:numPr>
          <w:ilvl w:val="0"/>
          <w:numId w:val="1477"/>
        </w:numPr>
      </w:pPr>
      <w:r>
        <w:rPr>
          <w:rFonts w:hint="eastAsia"/>
        </w:rPr>
        <w:t xml:space="preserve">撥備</w:t>
      </w:r>
    </w:p>
    <w:p>
      <w:pPr>
        <w:pStyle w:val="FirstParagraph"/>
      </w:pPr>
      <w:r>
        <w:rPr>
          <w:rFonts w:hint="eastAsia"/>
        </w:rPr>
        <w:t xml:space="preserve">百萬美元</w:t>
      </w:r>
    </w:p>
    <w:p>
      <w:pPr>
        <w:pStyle w:val="BodyText"/>
      </w:pPr>
      <w:r>
        <w:rPr>
          <w:rFonts w:hint="eastAsia"/>
        </w:rPr>
        <w:t xml:space="preserve">於2019年1月1日</w:t>
      </w:r>
    </w:p>
    <w:p>
      <w:pPr>
        <w:pStyle w:val="BodyText"/>
      </w:pPr>
      <w:r>
        <w:rPr>
          <w:rFonts w:hint="eastAsia"/>
        </w:rPr>
        <w:t xml:space="preserve">於合併收入表扣除</w:t>
      </w:r>
    </w:p>
    <w:p>
      <w:pPr>
        <w:pStyle w:val="BodyText"/>
      </w:pPr>
      <w:r>
        <w:rPr>
          <w:rFonts w:hint="eastAsia"/>
        </w:rPr>
        <w:t xml:space="preserve">計入其他全面收入</w:t>
      </w:r>
    </w:p>
    <w:p>
      <w:pPr>
        <w:pStyle w:val="BodyText"/>
      </w:pPr>
      <w:r>
        <w:rPr>
          <w:rFonts w:hint="eastAsia"/>
        </w:rPr>
        <w:t xml:space="preserve">收購附屬公司</w:t>
      </w:r>
    </w:p>
    <w:p>
      <w:pPr>
        <w:pStyle w:val="BodyText"/>
      </w:pPr>
      <w:r>
        <w:rPr>
          <w:rFonts w:hint="eastAsia"/>
        </w:rPr>
        <w:t xml:space="preserve">匯兌差額</w:t>
      </w:r>
    </w:p>
    <w:p>
      <w:pPr>
        <w:pStyle w:val="BodyText"/>
      </w:pPr>
      <w:r>
        <w:rPr>
          <w:rFonts w:hint="eastAsia"/>
        </w:rPr>
        <w:t xml:space="preserve">於年內解除</w:t>
      </w:r>
    </w:p>
    <w:p>
      <w:pPr>
        <w:pStyle w:val="BodyText"/>
      </w:pPr>
      <w:r>
        <w:rPr>
          <w:rFonts w:hint="eastAsia"/>
        </w:rPr>
        <w:t xml:space="preserve">於年內動用</w:t>
      </w:r>
    </w:p>
    <w:p>
      <w:pPr>
        <w:pStyle w:val="BodyText"/>
      </w:pPr>
      <w:r>
        <w:rPr>
          <w:rFonts w:hint="eastAsia"/>
        </w:rPr>
        <w:t xml:space="preserve">其他變動</w:t>
      </w:r>
    </w:p>
    <w:p>
      <w:pPr>
        <w:pStyle w:val="BodyText"/>
      </w:pPr>
      <w:r>
        <w:rPr>
          <w:rFonts w:hint="eastAsia"/>
        </w:rPr>
        <w:t xml:space="preserve">於2019年12月31日</w:t>
      </w:r>
    </w:p>
    <w:p>
      <w:pPr>
        <w:pStyle w:val="BodyText"/>
      </w:pPr>
      <w:r>
        <w:rPr>
          <w:rFonts w:hint="eastAsia"/>
        </w:rPr>
        <w:t xml:space="preserve">於合併收入表扣除</w:t>
      </w:r>
    </w:p>
    <w:p>
      <w:pPr>
        <w:pStyle w:val="BodyText"/>
      </w:pPr>
      <w:r>
        <w:rPr>
          <w:rFonts w:hint="eastAsia"/>
        </w:rPr>
        <w:t xml:space="preserve">計入其他全面收入</w:t>
      </w:r>
    </w:p>
    <w:p>
      <w:pPr>
        <w:pStyle w:val="BodyText"/>
      </w:pPr>
      <w:r>
        <w:rPr>
          <w:rFonts w:hint="eastAsia"/>
        </w:rPr>
        <w:t xml:space="preserve">匯兌差額</w:t>
      </w:r>
    </w:p>
    <w:p>
      <w:pPr>
        <w:pStyle w:val="BodyText"/>
      </w:pPr>
      <w:r>
        <w:rPr>
          <w:rFonts w:hint="eastAsia"/>
        </w:rPr>
        <w:t xml:space="preserve">於年內解除</w:t>
      </w:r>
    </w:p>
    <w:p>
      <w:pPr>
        <w:pStyle w:val="BodyText"/>
      </w:pPr>
      <w:r>
        <w:rPr>
          <w:rFonts w:hint="eastAsia"/>
        </w:rPr>
        <w:t xml:space="preserve">於年內動用</w:t>
      </w:r>
    </w:p>
    <w:p>
      <w:pPr>
        <w:pStyle w:val="BodyText"/>
      </w:pPr>
      <w:r>
        <w:rPr>
          <w:rFonts w:hint="eastAsia"/>
        </w:rPr>
        <w:t xml:space="preserve">於2020年12月31日</w:t>
      </w:r>
    </w:p>
    <w:p>
      <w:pPr>
        <w:pStyle w:val="BodyText"/>
      </w:pPr>
      <w:r>
        <w:rPr>
          <w:rFonts w:hint="eastAsia"/>
        </w:rPr>
        <w:t xml:space="preserve">其他撥備</w:t>
      </w:r>
    </w:p>
    <w:p>
      <w:pPr>
        <w:pStyle w:val="BodyText"/>
      </w:pPr>
      <w:r>
        <w:rPr>
          <w:rFonts w:hint="eastAsia"/>
        </w:rPr>
        <w:t xml:space="preserve">僱員福利</w:t>
      </w:r>
    </w:p>
    <w:p>
      <w:pPr>
        <w:pStyle w:val="BodyText"/>
      </w:pPr>
      <w:r>
        <w:rPr>
          <w:rFonts w:hint="eastAsia"/>
        </w:rPr>
        <w:t xml:space="preserve">其他</w:t>
      </w:r>
    </w:p>
    <w:p>
      <w:pPr>
        <w:pStyle w:val="BodyText"/>
      </w:pPr>
      <w:r>
        <w:t xml:space="preserve">130</w:t>
      </w:r>
    </w:p>
    <w:p>
      <w:pPr>
        <w:pStyle w:val="BodyText"/>
      </w:pPr>
      <w:r>
        <w:t xml:space="preserve">13</w:t>
      </w:r>
    </w:p>
    <w:p>
      <w:pPr>
        <w:pStyle w:val="BodyText"/>
      </w:pPr>
      <w:r>
        <w:t xml:space="preserve">25</w:t>
      </w:r>
    </w:p>
    <w:p>
      <w:pPr>
        <w:pStyle w:val="BodyText"/>
      </w:pPr>
      <w:r>
        <w:t xml:space="preserve">–</w:t>
      </w:r>
    </w:p>
    <w:p>
      <w:pPr>
        <w:pStyle w:val="BodyText"/>
      </w:pPr>
      <w:r>
        <w:t xml:space="preserve">9</w:t>
      </w:r>
    </w:p>
    <w:p>
      <w:pPr>
        <w:pStyle w:val="BodyText"/>
      </w:pPr>
      <w:r>
        <w:t xml:space="preserve">–</w:t>
      </w:r>
    </w:p>
    <w:p>
      <w:pPr>
        <w:pStyle w:val="FirstParagraph"/>
      </w:pPr>
      <w:r>
        <w:t xml:space="preserve">6</w:t>
      </w:r>
    </w:p>
    <w:p>
      <w:pPr>
        <w:pStyle w:val="BodyText"/>
      </w:pPr>
      <w:r>
        <w:t xml:space="preserve">176</w:t>
      </w:r>
    </w:p>
    <w:p>
      <w:pPr>
        <w:pStyle w:val="BodyText"/>
      </w:pPr>
      <w:r>
        <w:t xml:space="preserve">14</w:t>
      </w:r>
    </w:p>
    <w:p>
      <w:pPr>
        <w:pStyle w:val="BodyText"/>
      </w:pPr>
      <w:r>
        <w:t xml:space="preserve">10</w:t>
      </w:r>
    </w:p>
    <w:p>
      <w:pPr>
        <w:pStyle w:val="BodyText"/>
      </w:pPr>
      <w:r>
        <w:t xml:space="preserve">–</w:t>
      </w:r>
    </w:p>
    <w:p>
      <w:pPr>
        <w:pStyle w:val="BodyText"/>
      </w:pPr>
      <w:r>
        <w:t xml:space="preserve">–</w:t>
      </w:r>
    </w:p>
    <w:p>
      <w:pPr>
        <w:pStyle w:val="FirstParagraph"/>
      </w:pPr>
      <w:r>
        <w:t xml:space="preserve">195</w:t>
      </w:r>
    </w:p>
    <w:p>
      <w:pPr>
        <w:pStyle w:val="BodyText"/>
      </w:pPr>
      <w:r>
        <w:t xml:space="preserve">38</w:t>
      </w:r>
    </w:p>
    <w:p>
      <w:pPr>
        <w:pStyle w:val="BodyText"/>
      </w:pPr>
      <w:r>
        <w:t xml:space="preserve">34</w:t>
      </w:r>
    </w:p>
    <w:p>
      <w:pPr>
        <w:pStyle w:val="BodyText"/>
      </w:pPr>
      <w:r>
        <w:t xml:space="preserve">–</w:t>
      </w:r>
    </w:p>
    <w:p>
      <w:pPr>
        <w:pStyle w:val="BodyText"/>
      </w:pPr>
      <w:r>
        <w:t xml:space="preserve">15</w:t>
      </w:r>
    </w:p>
    <w:p>
      <w:pPr>
        <w:pStyle w:val="BodyText"/>
      </w:pPr>
      <w:r>
        <w:t xml:space="preserve">1</w:t>
      </w:r>
    </w:p>
    <w:p>
      <w:pPr>
        <w:pStyle w:val="FirstParagraph"/>
      </w:pPr>
      <w:r>
        <w:t xml:space="preserve">–</w:t>
      </w:r>
    </w:p>
    <w:p>
      <w:pPr>
        <w:pStyle w:val="BodyText"/>
      </w:pPr>
      <w:r>
        <w:t xml:space="preserve">49</w:t>
      </w:r>
    </w:p>
    <w:p>
      <w:pPr>
        <w:pStyle w:val="BodyText"/>
      </w:pPr>
      <w:r>
        <w:t xml:space="preserve">36</w:t>
      </w:r>
    </w:p>
    <w:p>
      <w:pPr>
        <w:pStyle w:val="BodyText"/>
      </w:pPr>
      <w:r>
        <w:t xml:space="preserve">–</w:t>
      </w:r>
    </w:p>
    <w:p>
      <w:pPr>
        <w:pStyle w:val="BodyText"/>
      </w:pPr>
      <w:r>
        <w:t xml:space="preserve">2</w:t>
      </w:r>
    </w:p>
    <w:p>
      <w:pPr>
        <w:pStyle w:val="FirstParagraph"/>
      </w:pPr>
      <w:r>
        <w:t xml:space="preserve">35</w:t>
      </w:r>
    </w:p>
    <w:p>
      <w:pPr>
        <w:pStyle w:val="BodyText"/>
      </w:pPr>
      <w:r>
        <w:rPr>
          <w:rFonts w:hint="eastAsia"/>
        </w:rPr>
        <w:t xml:space="preserve">總計</w:t>
      </w:r>
    </w:p>
    <w:p>
      <w:pPr>
        <w:pStyle w:val="BodyText"/>
      </w:pPr>
      <w:r>
        <w:t xml:space="preserve">168</w:t>
      </w:r>
    </w:p>
    <w:p>
      <w:pPr>
        <w:pStyle w:val="BodyText"/>
      </w:pPr>
      <w:r>
        <w:t xml:space="preserve">47</w:t>
      </w:r>
    </w:p>
    <w:p>
      <w:pPr>
        <w:pStyle w:val="BodyText"/>
      </w:pPr>
      <w:r>
        <w:t xml:space="preserve">25</w:t>
      </w:r>
    </w:p>
    <w:p>
      <w:pPr>
        <w:pStyle w:val="BodyText"/>
      </w:pPr>
      <w:r>
        <w:t xml:space="preserve">15</w:t>
      </w:r>
    </w:p>
    <w:p>
      <w:pPr>
        <w:pStyle w:val="BodyText"/>
      </w:pPr>
      <w:r>
        <w:t xml:space="preserve">10</w:t>
      </w:r>
    </w:p>
    <w:p>
      <w:pPr>
        <w:pStyle w:val="FirstParagraph"/>
      </w:pPr>
      <w:r>
        <w:t xml:space="preserve">6</w:t>
      </w:r>
    </w:p>
    <w:p>
      <w:pPr>
        <w:pStyle w:val="BodyText"/>
      </w:pPr>
      <w:r>
        <w:t xml:space="preserve">225</w:t>
      </w:r>
    </w:p>
    <w:p>
      <w:pPr>
        <w:pStyle w:val="BodyText"/>
      </w:pPr>
      <w:r>
        <w:t xml:space="preserve">50</w:t>
      </w:r>
    </w:p>
    <w:p>
      <w:pPr>
        <w:pStyle w:val="BodyText"/>
      </w:pPr>
      <w:r>
        <w:t xml:space="preserve">10</w:t>
      </w:r>
    </w:p>
    <w:p>
      <w:pPr>
        <w:pStyle w:val="BodyText"/>
      </w:pPr>
      <w:r>
        <w:t xml:space="preserve">2</w:t>
      </w:r>
    </w:p>
    <w:p>
      <w:pPr>
        <w:pStyle w:val="FirstParagraph"/>
      </w:pPr>
      <w:r>
        <w:t xml:space="preserve">230</w:t>
      </w:r>
    </w:p>
    <w:p>
      <w:pPr>
        <w:pStyle w:val="BodyText"/>
      </w:pPr>
      <w:r>
        <w:rPr>
          <w:rFonts w:hint="eastAsia"/>
        </w:rPr>
        <w:t xml:space="preserve">其他撥備包括就監管事項、訴訟、重置及重組作出的撥備。鑒於作出撥備事項的多元性質及涉及事項的或有性質，本集團無</w:t>
      </w:r>
    </w:p>
    <w:p>
      <w:pPr>
        <w:pStyle w:val="BodyText"/>
      </w:pPr>
      <w:r>
        <w:rPr>
          <w:rFonts w:hint="eastAsia"/>
        </w:rPr>
        <w:t xml:space="preserve">法就預期將動用撥備的年期提供準確評估。</w:t>
      </w:r>
    </w:p>
    <w:p>
      <w:pPr>
        <w:pStyle w:val="Compact"/>
        <w:numPr>
          <w:ilvl w:val="0"/>
          <w:numId w:val="1484"/>
        </w:numPr>
      </w:pPr>
      <w:r>
        <w:rPr>
          <w:rFonts w:hint="eastAsia"/>
        </w:rPr>
        <w:t xml:space="preserve">其他負債</w:t>
      </w:r>
    </w:p>
    <w:p>
      <w:pPr>
        <w:pStyle w:val="FirstParagraph"/>
      </w:pPr>
      <w:r>
        <w:rPr>
          <w:rFonts w:hint="eastAsia"/>
        </w:rPr>
        <w:t xml:space="preserve">百萬美元</w:t>
      </w:r>
    </w:p>
    <w:p>
      <w:pPr>
        <w:pStyle w:val="BodyText"/>
      </w:pPr>
      <w:r>
        <w:rPr>
          <w:rFonts w:hint="eastAsia"/>
        </w:rPr>
        <w:t xml:space="preserve">貿易及其他應付款項</w:t>
      </w:r>
    </w:p>
    <w:p>
      <w:pPr>
        <w:pStyle w:val="BodyText"/>
      </w:pPr>
      <w:r>
        <w:rPr>
          <w:rFonts w:hint="eastAsia"/>
        </w:rPr>
        <w:t xml:space="preserve">租賃負債</w:t>
      </w:r>
    </w:p>
    <w:p>
      <w:pPr>
        <w:pStyle w:val="BodyText"/>
      </w:pPr>
      <w:r>
        <w:rPr>
          <w:rFonts w:hint="eastAsia"/>
        </w:rPr>
        <w:t xml:space="preserve">於合併投資基金的第三方權益</w:t>
      </w:r>
    </w:p>
    <w:p>
      <w:pPr>
        <w:pStyle w:val="BodyText"/>
      </w:pPr>
      <w:r>
        <w:rPr>
          <w:rFonts w:hint="eastAsia"/>
        </w:rPr>
        <w:t xml:space="preserve">再保險相關應付款項</w:t>
      </w:r>
    </w:p>
    <w:p>
      <w:pPr>
        <w:pStyle w:val="BodyText"/>
      </w:pPr>
      <w:r>
        <w:rPr>
          <w:rFonts w:hint="eastAsia"/>
        </w:rPr>
        <w:t xml:space="preserve">總計</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4,850</w:t>
      </w:r>
    </w:p>
    <w:p>
      <w:pPr>
        <w:pStyle w:val="BodyText"/>
      </w:pPr>
      <w:r>
        <w:t xml:space="preserve">502</w:t>
      </w:r>
    </w:p>
    <w:p>
      <w:pPr>
        <w:pStyle w:val="BodyText"/>
      </w:pPr>
      <w:r>
        <w:t xml:space="preserve">1,025</w:t>
      </w:r>
    </w:p>
    <w:p>
      <w:pPr>
        <w:pStyle w:val="BodyText"/>
      </w:pPr>
      <w:r>
        <w:t xml:space="preserve">1,420</w:t>
      </w:r>
    </w:p>
    <w:p>
      <w:pPr>
        <w:pStyle w:val="BodyText"/>
      </w:pPr>
      <w:r>
        <w:t xml:space="preserve">7,797</w:t>
      </w:r>
    </w:p>
    <w:p>
      <w:pPr>
        <w:pStyle w:val="BodyText"/>
      </w:pPr>
      <w:r>
        <w:t xml:space="preserve">6,262</w:t>
      </w:r>
    </w:p>
    <w:p>
      <w:pPr>
        <w:pStyle w:val="BodyText"/>
      </w:pPr>
      <w:r>
        <w:t xml:space="preserve">556</w:t>
      </w:r>
    </w:p>
    <w:p>
      <w:pPr>
        <w:pStyle w:val="BodyText"/>
      </w:pPr>
      <w:r>
        <w:t xml:space="preserve">1,116</w:t>
      </w:r>
    </w:p>
    <w:p>
      <w:pPr>
        <w:pStyle w:val="BodyText"/>
      </w:pPr>
      <w:r>
        <w:t xml:space="preserve">1,483</w:t>
      </w:r>
    </w:p>
    <w:p>
      <w:pPr>
        <w:pStyle w:val="BodyText"/>
      </w:pPr>
      <w:r>
        <w:t xml:space="preserve">9,417</w:t>
      </w:r>
    </w:p>
    <w:p>
      <w:pPr>
        <w:pStyle w:val="BodyText"/>
      </w:pPr>
      <w:r>
        <w:rPr>
          <w:rFonts w:hint="eastAsia"/>
        </w:rPr>
        <w:t xml:space="preserve">於合併投資基金的第三方權益包括於合併投資基金的第三方單位持有人權益，由於有關基金可退回本集團以收取現金，故列</w:t>
      </w:r>
    </w:p>
    <w:p>
      <w:pPr>
        <w:pStyle w:val="BodyText"/>
      </w:pPr>
      <w:r>
        <w:rPr>
          <w:rFonts w:hint="eastAsia"/>
        </w:rPr>
        <w:t xml:space="preserve">為負債。</w:t>
      </w:r>
    </w:p>
    <w:p>
      <w:pPr>
        <w:pStyle w:val="BodyText"/>
      </w:pPr>
      <w:r>
        <w:rPr>
          <w:rFonts w:hint="eastAsia"/>
        </w:rPr>
        <w:t xml:space="preserve">貿易及其他應付款項普遍預期於報告期末起12個月內全部支付。投資基金裡第三方權益的變現無法準確預測，乃因有關權益</w:t>
      </w:r>
    </w:p>
    <w:p>
      <w:pPr>
        <w:pStyle w:val="BodyText"/>
      </w:pPr>
      <w:r>
        <w:rPr>
          <w:rFonts w:hint="eastAsia"/>
        </w:rPr>
        <w:t xml:space="preserve">指於合併投資基金的第三方單位持有人的權益，而有關投資基金乃用作擔保保險及投資合約負債，並受制於市場風險及第三</w:t>
      </w:r>
    </w:p>
    <w:p>
      <w:pPr>
        <w:pStyle w:val="BodyText"/>
      </w:pPr>
      <w:r>
        <w:rPr>
          <w:rFonts w:hint="eastAsia"/>
        </w:rPr>
        <w:t xml:space="preserve">方投資者的行為。</w:t>
      </w:r>
    </w:p>
    <w:p>
      <w:pPr>
        <w:pStyle w:val="BodyText"/>
      </w:pPr>
      <w:r>
        <w:rPr>
          <w:rFonts w:hint="eastAsia"/>
        </w:rPr>
        <w:t xml:space="preserve">再保險相關應付款項5.63億美元（2019年：5.73億美元）預期於報告期末起12個月後支付。</w:t>
      </w:r>
    </w:p>
    <w:p>
      <w:pPr>
        <w:pStyle w:val="BodyText"/>
      </w:pPr>
      <w:r>
        <w:t xml:space="preserve">229</w:t>
      </w:r>
    </w:p>
    <w:p>
      <w:pPr>
        <w:pStyle w:val="BodyText"/>
      </w:pPr>
      <w:r>
        <w:rPr>
          <w:rFonts w:hint="eastAsia"/>
        </w:rPr>
        <w:t xml:space="preserve">概覽財務及營運回顧企業管治其他資料財務報表2020年報</w:t>
      </w:r>
    </w:p>
    <w:p>
      <w:pPr>
        <w:pStyle w:val="Compact"/>
        <w:numPr>
          <w:ilvl w:val="0"/>
          <w:numId w:val="1485"/>
        </w:numPr>
      </w:pPr>
      <w:r>
        <w:rPr>
          <w:rFonts w:hint="eastAsia"/>
        </w:rPr>
        <w:t xml:space="preserve">股本及準備金</w:t>
      </w:r>
    </w:p>
    <w:p>
      <w:pPr>
        <w:pStyle w:val="FirstParagraph"/>
      </w:pPr>
      <w:r>
        <w:rPr>
          <w:rFonts w:hint="eastAsia"/>
        </w:rPr>
        <w:t xml:space="preserve">股本</w:t>
      </w:r>
    </w:p>
    <w:p>
      <w:pPr>
        <w:pStyle w:val="BodyText"/>
      </w:pPr>
      <w:r>
        <w:rPr>
          <w:rFonts w:hint="eastAsia"/>
        </w:rPr>
        <w:t xml:space="preserve">普通股(1)，已發行及繳足</w:t>
      </w:r>
    </w:p>
    <w:p>
      <w:pPr>
        <w:pStyle w:val="BodyText"/>
      </w:pPr>
      <w:r>
        <w:rPr>
          <w:rFonts w:hint="eastAsia"/>
        </w:rPr>
        <w:t xml:space="preserve">於財政年初</w:t>
      </w:r>
    </w:p>
    <w:p>
      <w:pPr>
        <w:pStyle w:val="BodyText"/>
      </w:pPr>
      <w:r>
        <w:rPr>
          <w:rFonts w:hint="eastAsia"/>
        </w:rPr>
        <w:t xml:space="preserve">根據購股權計劃及代理購股計劃發行的股份</w:t>
      </w:r>
    </w:p>
    <w:p>
      <w:pPr>
        <w:pStyle w:val="BodyText"/>
      </w:pPr>
      <w:r>
        <w:rPr>
          <w:rFonts w:hint="eastAsia"/>
        </w:rPr>
        <w:t xml:space="preserve">於財政年末</w:t>
      </w:r>
    </w:p>
    <w:p>
      <w:pPr>
        <w:pStyle w:val="BodyText"/>
      </w:pPr>
      <w:r>
        <w:rPr>
          <w:rFonts w:hint="eastAsia"/>
        </w:rPr>
        <w:t xml:space="preserve">附註：</w:t>
      </w:r>
    </w:p>
    <w:p>
      <w:pPr>
        <w:pStyle w:val="Compact"/>
        <w:numPr>
          <w:ilvl w:val="0"/>
          <w:numId w:val="1486"/>
        </w:numPr>
      </w:pPr>
      <w:r>
        <w:rPr>
          <w:rFonts w:hint="eastAsia"/>
        </w:rPr>
        <w:t xml:space="preserve">普通股並無面值。</w:t>
      </w:r>
    </w:p>
    <w:p>
      <w:pPr>
        <w:pStyle w:val="FirstParagraph"/>
      </w:pPr>
      <w:r>
        <w:rPr>
          <w:rFonts w:hint="eastAsia"/>
        </w:rPr>
        <w:t xml:space="preserve">於2020年12月31日</w:t>
      </w:r>
    </w:p>
    <w:p>
      <w:pPr>
        <w:pStyle w:val="BodyText"/>
      </w:pPr>
      <w:r>
        <w:rPr>
          <w:rFonts w:hint="eastAsia"/>
        </w:rPr>
        <w:t xml:space="preserve">於2019年12月31日</w:t>
      </w:r>
    </w:p>
    <w:p>
      <w:pPr>
        <w:pStyle w:val="BodyText"/>
      </w:pPr>
      <w:r>
        <w:rPr>
          <w:rFonts w:hint="eastAsia"/>
        </w:rPr>
        <w:t xml:space="preserve">百萬股</w:t>
      </w:r>
    </w:p>
    <w:p>
      <w:pPr>
        <w:pStyle w:val="BodyText"/>
      </w:pPr>
      <w:r>
        <w:rPr>
          <w:rFonts w:hint="eastAsia"/>
        </w:rPr>
        <w:t xml:space="preserve">百萬美元</w:t>
      </w:r>
    </w:p>
    <w:p>
      <w:pPr>
        <w:pStyle w:val="BodyText"/>
      </w:pPr>
      <w:r>
        <w:rPr>
          <w:rFonts w:hint="eastAsia"/>
        </w:rPr>
        <w:t xml:space="preserve">百萬股</w:t>
      </w:r>
    </w:p>
    <w:p>
      <w:pPr>
        <w:pStyle w:val="BodyText"/>
      </w:pPr>
      <w:r>
        <w:rPr>
          <w:rFonts w:hint="eastAsia"/>
        </w:rPr>
        <w:t xml:space="preserve">百萬美元</w:t>
      </w:r>
    </w:p>
    <w:p>
      <w:pPr>
        <w:pStyle w:val="BodyText"/>
      </w:pPr>
      <w:r>
        <w:t xml:space="preserve">12,089</w:t>
      </w:r>
    </w:p>
    <w:p>
      <w:pPr>
        <w:pStyle w:val="BodyText"/>
      </w:pPr>
      <w:r>
        <w:t xml:space="preserve">14,129</w:t>
      </w:r>
    </w:p>
    <w:p>
      <w:pPr>
        <w:pStyle w:val="BodyText"/>
      </w:pPr>
      <w:r>
        <w:t xml:space="preserve">12,077</w:t>
      </w:r>
    </w:p>
    <w:p>
      <w:pPr>
        <w:pStyle w:val="BodyText"/>
      </w:pPr>
      <w:r>
        <w:t xml:space="preserve">14,073</w:t>
      </w:r>
    </w:p>
    <w:p>
      <w:pPr>
        <w:pStyle w:val="BodyText"/>
      </w:pPr>
      <w:r>
        <w:t xml:space="preserve">6</w:t>
      </w:r>
    </w:p>
    <w:p>
      <w:pPr>
        <w:pStyle w:val="BodyText"/>
      </w:pPr>
      <w:r>
        <w:t xml:space="preserve">26</w:t>
      </w:r>
    </w:p>
    <w:p>
      <w:pPr>
        <w:pStyle w:val="BodyText"/>
      </w:pPr>
      <w:r>
        <w:t xml:space="preserve">12</w:t>
      </w:r>
    </w:p>
    <w:p>
      <w:pPr>
        <w:pStyle w:val="BodyText"/>
      </w:pPr>
      <w:r>
        <w:t xml:space="preserve">56</w:t>
      </w:r>
    </w:p>
    <w:p>
      <w:pPr>
        <w:pStyle w:val="BodyText"/>
      </w:pPr>
      <w:r>
        <w:t xml:space="preserve">12,095</w:t>
      </w:r>
    </w:p>
    <w:p>
      <w:pPr>
        <w:pStyle w:val="BodyText"/>
      </w:pPr>
      <w:r>
        <w:t xml:space="preserve">14,155</w:t>
      </w:r>
    </w:p>
    <w:p>
      <w:pPr>
        <w:pStyle w:val="BodyText"/>
      </w:pPr>
      <w:r>
        <w:t xml:space="preserve">12,089</w:t>
      </w:r>
    </w:p>
    <w:p>
      <w:pPr>
        <w:pStyle w:val="BodyText"/>
      </w:pPr>
      <w:r>
        <w:t xml:space="preserve">14,129</w:t>
      </w:r>
    </w:p>
    <w:p>
      <w:pPr>
        <w:pStyle w:val="BodyText"/>
      </w:pPr>
      <w:r>
        <w:rPr>
          <w:rFonts w:hint="eastAsia"/>
        </w:rPr>
        <w:t xml:space="preserve">於截至2020年12月31日止年度，本公司根據購股權計劃發行的股份數目為4,876,916股（2019年：10,552,614股）及根據代理</w:t>
      </w:r>
    </w:p>
    <w:p>
      <w:pPr>
        <w:pStyle w:val="BodyText"/>
      </w:pPr>
      <w:r>
        <w:rPr>
          <w:rFonts w:hint="eastAsia"/>
        </w:rPr>
        <w:t xml:space="preserve">購股計劃發行的股份數目為1,185,442股（2019年：1,260,386股）。</w:t>
      </w:r>
    </w:p>
    <w:p>
      <w:pPr>
        <w:pStyle w:val="BodyText"/>
      </w:pPr>
      <w:r>
        <w:rPr>
          <w:rFonts w:hint="eastAsia"/>
        </w:rPr>
        <w:t xml:space="preserve">除僱員股票信託所購入本公司的1,552,886股股份（2019年：3,127,664股）及所出售本公司的零股股份（2019年：911,718股）</w:t>
      </w:r>
    </w:p>
    <w:p>
      <w:pPr>
        <w:pStyle w:val="BodyText"/>
      </w:pPr>
      <w:r>
        <w:rPr>
          <w:rFonts w:hint="eastAsia"/>
        </w:rPr>
        <w:t xml:space="preserve">外，於截至2020年12月31日止年度，本公司及其附屬公司概無購買、出售或贖回本公司任何股份。有關計劃信託人所購入的</w:t>
      </w:r>
    </w:p>
    <w:p>
      <w:pPr>
        <w:pStyle w:val="BodyText"/>
      </w:pPr>
      <w:r>
        <w:rPr>
          <w:rFonts w:hint="eastAsia"/>
        </w:rPr>
        <w:t xml:space="preserve">股份乃於香港聯交所買入。有關股份乃以信託方式為有關計劃參與人持有，因而並無被註銷。</w:t>
      </w:r>
    </w:p>
    <w:p>
      <w:pPr>
        <w:pStyle w:val="BodyText"/>
      </w:pPr>
      <w:r>
        <w:rPr>
          <w:rFonts w:hint="eastAsia"/>
        </w:rPr>
        <w:t xml:space="preserve">於截至2020年12月31日止年度，12,667,066股（2019年：15,525,163股）已歸屬股份已根據以股份為基礎的報酬計劃自僱員股</w:t>
      </w:r>
    </w:p>
    <w:p>
      <w:pPr>
        <w:pStyle w:val="BodyText"/>
      </w:pPr>
      <w:r>
        <w:rPr>
          <w:rFonts w:hint="eastAsia"/>
        </w:rPr>
        <w:t xml:space="preserve">票信託轉讓予本集團的合資格董事、主管及僱員。於2020年12月31日，本公司28,748,261股股份（2019年：39,862,439股）由</w:t>
      </w:r>
    </w:p>
    <w:p>
      <w:pPr>
        <w:pStyle w:val="BodyText"/>
      </w:pPr>
      <w:r>
        <w:rPr>
          <w:rFonts w:hint="eastAsia"/>
        </w:rPr>
        <w:t xml:space="preserve">僱員股票信託持有。</w:t>
      </w:r>
    </w:p>
    <w:p>
      <w:pPr>
        <w:pStyle w:val="BodyText"/>
      </w:pPr>
      <w:r>
        <w:rPr>
          <w:rFonts w:hint="eastAsia"/>
        </w:rPr>
        <w:t xml:space="preserve">準備金</w:t>
      </w:r>
    </w:p>
    <w:p>
      <w:pPr>
        <w:pStyle w:val="BodyText"/>
      </w:pPr>
      <w:r>
        <w:rPr>
          <w:rFonts w:hint="eastAsia"/>
        </w:rPr>
        <w:t xml:space="preserve">公平值準備金</w:t>
      </w:r>
    </w:p>
    <w:p>
      <w:pPr>
        <w:pStyle w:val="BodyText"/>
      </w:pPr>
      <w:r>
        <w:rPr>
          <w:rFonts w:hint="eastAsia"/>
        </w:rPr>
        <w:t xml:space="preserve">公平值準備金包括於報告期末所持有可供出售證券的公平值累計變動淨額。</w:t>
      </w:r>
    </w:p>
    <w:p>
      <w:pPr>
        <w:pStyle w:val="BodyText"/>
      </w:pPr>
      <w:r>
        <w:rPr>
          <w:rFonts w:hint="eastAsia"/>
        </w:rPr>
        <w:t xml:space="preserve">外幣換算準備金</w:t>
      </w:r>
    </w:p>
    <w:p>
      <w:pPr>
        <w:pStyle w:val="BodyText"/>
      </w:pPr>
      <w:r>
        <w:rPr>
          <w:rFonts w:hint="eastAsia"/>
        </w:rPr>
        <w:t xml:space="preserve">外幣換算準備金包括從換算外國業務的財務報表產生的所有外幣匯兌差額。</w:t>
      </w:r>
    </w:p>
    <w:p>
      <w:pPr>
        <w:pStyle w:val="BodyText"/>
      </w:pPr>
      <w:r>
        <w:rPr>
          <w:rFonts w:hint="eastAsia"/>
        </w:rPr>
        <w:t xml:space="preserve">僱員股票信託</w:t>
      </w:r>
    </w:p>
    <w:p>
      <w:pPr>
        <w:pStyle w:val="BodyText"/>
      </w:pPr>
      <w:r>
        <w:rPr>
          <w:rFonts w:hint="eastAsia"/>
        </w:rPr>
        <w:t xml:space="preserve">成立信託乃為透過以股份為基礎的報酬計劃購入本公司股份，以於日後期間分配予參與者。倘此等由信託購入的股份於歸屬</w:t>
      </w:r>
    </w:p>
    <w:p>
      <w:pPr>
        <w:pStyle w:val="BodyText"/>
      </w:pPr>
      <w:r>
        <w:rPr>
          <w:rFonts w:hint="eastAsia"/>
        </w:rPr>
        <w:t xml:space="preserve">後仍未轉讓予參與者，則呈報為「僱員股票信託」。</w:t>
      </w:r>
    </w:p>
    <w:p>
      <w:pPr>
        <w:pStyle w:val="BodyText"/>
      </w:pPr>
      <w:r>
        <w:rPr>
          <w:rFonts w:hint="eastAsia"/>
        </w:rPr>
        <w:t xml:space="preserve">物業重估準備金</w:t>
      </w:r>
    </w:p>
    <w:p>
      <w:pPr>
        <w:pStyle w:val="BodyText"/>
      </w:pPr>
      <w:r>
        <w:rPr>
          <w:rFonts w:hint="eastAsia"/>
        </w:rPr>
        <w:t xml:space="preserve">物業重估準備金包括於報告期末所持作自用物業重估金額的累計變動淨額。物業重估盈餘並不視為可分配予股東的變現溢</w:t>
      </w:r>
    </w:p>
    <w:p>
      <w:pPr>
        <w:pStyle w:val="BodyText"/>
      </w:pPr>
      <w:r>
        <w:rPr>
          <w:rFonts w:hint="eastAsia"/>
        </w:rPr>
        <w:t xml:space="preserve">利。</w:t>
      </w:r>
    </w:p>
    <w:p>
      <w:pPr>
        <w:pStyle w:val="BodyText"/>
      </w:pPr>
      <w:r>
        <w:rPr>
          <w:rFonts w:hint="eastAsia"/>
        </w:rPr>
        <w:t xml:space="preserve">其他準備金</w:t>
      </w:r>
    </w:p>
    <w:p>
      <w:pPr>
        <w:pStyle w:val="BodyText"/>
      </w:pPr>
      <w:r>
        <w:rPr>
          <w:rFonts w:hint="eastAsia"/>
        </w:rPr>
        <w:t xml:space="preserve">其他準備金主要包括受共同控制的業務合併的會計處理及以股份為基礎的報酬所產生的影響。</w:t>
      </w:r>
    </w:p>
    <w:p>
      <w:pPr>
        <w:pStyle w:val="BodyText"/>
      </w:pPr>
      <w:r>
        <w:t xml:space="preserve">230</w:t>
      </w:r>
    </w:p>
    <w:p>
      <w:pPr>
        <w:pStyle w:val="BodyText"/>
      </w:pPr>
      <w:r>
        <w:rPr>
          <w:rFonts w:hint="eastAsia"/>
        </w:rPr>
        <w:t xml:space="preserve">友邦保險控股有限公司</w:t>
      </w:r>
    </w:p>
    <w:p>
      <w:pPr>
        <w:pStyle w:val="Compact"/>
        <w:numPr>
          <w:ilvl w:val="0"/>
          <w:numId w:val="1487"/>
        </w:numPr>
      </w:pPr>
      <w:r>
        <w:rPr>
          <w:rFonts w:hint="eastAsia"/>
        </w:rPr>
        <w:t xml:space="preserve">非控股權益</w:t>
      </w:r>
    </w:p>
    <w:p>
      <w:pPr>
        <w:pStyle w:val="FirstParagraph"/>
      </w:pPr>
      <w:r>
        <w:rPr>
          <w:rFonts w:hint="eastAsia"/>
        </w:rPr>
        <w:t xml:space="preserve">百萬美元</w:t>
      </w:r>
    </w:p>
    <w:p>
      <w:pPr>
        <w:pStyle w:val="BodyText"/>
      </w:pPr>
      <w:r>
        <w:rPr>
          <w:rFonts w:hint="eastAsia"/>
        </w:rPr>
        <w:t xml:space="preserve">於附屬公司的股權</w:t>
      </w:r>
    </w:p>
    <w:p>
      <w:pPr>
        <w:pStyle w:val="BodyText"/>
      </w:pPr>
      <w:r>
        <w:rPr>
          <w:rFonts w:hint="eastAsia"/>
        </w:rPr>
        <w:t xml:space="preserve">分佔盈利</w:t>
      </w:r>
    </w:p>
    <w:p>
      <w:pPr>
        <w:pStyle w:val="BodyText"/>
      </w:pPr>
      <w:r>
        <w:rPr>
          <w:rFonts w:hint="eastAsia"/>
        </w:rPr>
        <w:t xml:space="preserve">分佔其他準備金</w:t>
      </w:r>
    </w:p>
    <w:p>
      <w:pPr>
        <w:pStyle w:val="BodyText"/>
      </w:pPr>
      <w:r>
        <w:rPr>
          <w:rFonts w:hint="eastAsia"/>
        </w:rPr>
        <w:t xml:space="preserve">總計</w:t>
      </w:r>
    </w:p>
    <w:p>
      <w:pPr>
        <w:pStyle w:val="Compact"/>
        <w:numPr>
          <w:ilvl w:val="0"/>
          <w:numId w:val="1488"/>
        </w:numPr>
      </w:pPr>
      <w:r>
        <w:rPr>
          <w:rFonts w:hint="eastAsia"/>
        </w:rPr>
        <w:t xml:space="preserve">集團資本結構</w:t>
      </w:r>
    </w:p>
    <w:p>
      <w:pPr>
        <w:pStyle w:val="FirstParagraph"/>
      </w:pPr>
      <w:r>
        <w:rPr>
          <w:rFonts w:hint="eastAsia"/>
        </w:rPr>
        <w:t xml:space="preserve">資本管理的方法</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69</w:t>
      </w:r>
    </w:p>
    <w:p>
      <w:pPr>
        <w:pStyle w:val="BodyText"/>
      </w:pPr>
      <w:r>
        <w:t xml:space="preserve">369</w:t>
      </w:r>
    </w:p>
    <w:p>
      <w:pPr>
        <w:pStyle w:val="BodyText"/>
      </w:pPr>
      <w:r>
        <w:t xml:space="preserve">30</w:t>
      </w:r>
    </w:p>
    <w:p>
      <w:pPr>
        <w:pStyle w:val="BodyText"/>
      </w:pPr>
      <w:r>
        <w:t xml:space="preserve">468</w:t>
      </w:r>
    </w:p>
    <w:p>
      <w:pPr>
        <w:pStyle w:val="BodyText"/>
      </w:pPr>
      <w:r>
        <w:t xml:space="preserve">69</w:t>
      </w:r>
    </w:p>
    <w:p>
      <w:pPr>
        <w:pStyle w:val="BodyText"/>
      </w:pPr>
      <w:r>
        <w:t xml:space="preserve">374</w:t>
      </w:r>
    </w:p>
    <w:p>
      <w:pPr>
        <w:pStyle w:val="BodyText"/>
      </w:pPr>
      <w:r>
        <w:t xml:space="preserve">5</w:t>
      </w:r>
    </w:p>
    <w:p>
      <w:pPr>
        <w:pStyle w:val="BodyText"/>
      </w:pPr>
      <w:r>
        <w:t xml:space="preserve">448</w:t>
      </w:r>
    </w:p>
    <w:p>
      <w:pPr>
        <w:pStyle w:val="BodyText"/>
      </w:pPr>
      <w:r>
        <w:rPr>
          <w:rFonts w:hint="eastAsia"/>
        </w:rPr>
        <w:t xml:space="preserve">本集團的資本管理目標專注於維持雄厚的資本基礎，以支持其業務發展，並保持可自由轉移資本的能力及始終符合監管資本</w:t>
      </w:r>
    </w:p>
    <w:p>
      <w:pPr>
        <w:pStyle w:val="BodyText"/>
      </w:pPr>
      <w:r>
        <w:rPr>
          <w:rFonts w:hint="eastAsia"/>
        </w:rPr>
        <w:t xml:space="preserve">規定。</w:t>
      </w:r>
    </w:p>
    <w:p>
      <w:pPr>
        <w:pStyle w:val="BodyText"/>
      </w:pPr>
      <w:r>
        <w:rPr>
          <w:rFonts w:hint="eastAsia"/>
        </w:rPr>
        <w:t xml:space="preserve">本集團的資本管理功能監督本集團的所有資本相關活動，並協助高級管理層作出資本決策。資本管理功能參與有關資產負債</w:t>
      </w:r>
    </w:p>
    <w:p>
      <w:pPr>
        <w:pStyle w:val="BodyText"/>
      </w:pPr>
      <w:r>
        <w:rPr>
          <w:rFonts w:hint="eastAsia"/>
        </w:rPr>
        <w:t xml:space="preserve">管理、策略性資產配置及持續的償付能力管理的決定，包括確保資本因素為作出策略及業務計劃過程以及釐定友邦保險向股</w:t>
      </w:r>
    </w:p>
    <w:p>
      <w:pPr>
        <w:pStyle w:val="BodyText"/>
      </w:pPr>
      <w:r>
        <w:rPr>
          <w:rFonts w:hint="eastAsia"/>
        </w:rPr>
        <w:t xml:space="preserve">東支付股息能力時最主要的考慮因素。</w:t>
      </w:r>
    </w:p>
    <w:p>
      <w:pPr>
        <w:pStyle w:val="BodyText"/>
      </w:pPr>
      <w:r>
        <w:rPr>
          <w:rFonts w:hint="eastAsia"/>
        </w:rPr>
        <w:t xml:space="preserve">監管償付能力</w:t>
      </w:r>
    </w:p>
    <w:p>
      <w:pPr>
        <w:pStyle w:val="BodyText"/>
      </w:pPr>
      <w:r>
        <w:rPr>
          <w:rFonts w:hint="eastAsia"/>
        </w:rPr>
        <w:t xml:space="preserve">本集團的監管機構為香港保險業監管局（香港保監局）。本集團遵守監管機構採用的償付能力及資本充足規定。本集團的主</w:t>
      </w:r>
    </w:p>
    <w:p>
      <w:pPr>
        <w:pStyle w:val="BodyText"/>
      </w:pPr>
      <w:r>
        <w:rPr>
          <w:rFonts w:hint="eastAsia"/>
        </w:rPr>
        <w:t xml:space="preserve">要營運公司為AIA</w:t>
      </w:r>
      <w:r>
        <w:t xml:space="preserve"> </w:t>
      </w:r>
      <w:r>
        <w:rPr>
          <w:rFonts w:hint="eastAsia"/>
        </w:rPr>
        <w:t xml:space="preserve">Co.及友邦保險（國際）有限公司(AIA</w:t>
      </w:r>
      <w:r>
        <w:t xml:space="preserve"> </w:t>
      </w:r>
      <w:r>
        <w:rPr>
          <w:rFonts w:hint="eastAsia"/>
        </w:rPr>
        <w:t xml:space="preserve">International)，香港保監局規定其須遵守香港保險業條例的償付能力</w:t>
      </w:r>
    </w:p>
    <w:p>
      <w:pPr>
        <w:pStyle w:val="BodyText"/>
      </w:pPr>
      <w:r>
        <w:rPr>
          <w:rFonts w:hint="eastAsia"/>
        </w:rPr>
        <w:t xml:space="preserve">規定。香港保險業條例（其中包括）訂立保險公司必須符合的最低償付能力規定，以便獲准於香港境內或從香港提供保險業</w:t>
      </w:r>
    </w:p>
    <w:p>
      <w:pPr>
        <w:pStyle w:val="BodyText"/>
      </w:pPr>
      <w:r>
        <w:rPr>
          <w:rFonts w:hint="eastAsia"/>
        </w:rPr>
        <w:t xml:space="preserve">務。</w:t>
      </w:r>
    </w:p>
    <w:p>
      <w:pPr>
        <w:pStyle w:val="BodyText"/>
      </w:pPr>
      <w:r>
        <w:rPr>
          <w:rFonts w:hint="eastAsia"/>
        </w:rPr>
        <w:t xml:space="preserve">友邦保險已向香港保監局作出承諾，其於AIA</w:t>
      </w:r>
      <w:r>
        <w:t xml:space="preserve"> </w:t>
      </w:r>
      <w:r>
        <w:rPr>
          <w:rFonts w:hint="eastAsia"/>
        </w:rPr>
        <w:t xml:space="preserve">Co.及AIA</w:t>
      </w:r>
      <w:r>
        <w:t xml:space="preserve"> </w:t>
      </w:r>
      <w:r>
        <w:rPr>
          <w:rFonts w:hint="eastAsia"/>
        </w:rPr>
        <w:t xml:space="preserve">International各自的非香港分公司的資產超過負債的溢額需維持不低</w:t>
      </w:r>
    </w:p>
    <w:p>
      <w:pPr>
        <w:pStyle w:val="BodyText"/>
      </w:pPr>
      <w:r>
        <w:rPr>
          <w:rFonts w:hint="eastAsia"/>
        </w:rPr>
        <w:t xml:space="preserve">於香港法定最低償付能力要求的100%。</w:t>
      </w:r>
    </w:p>
    <w:p>
      <w:pPr>
        <w:pStyle w:val="BodyText"/>
      </w:pPr>
      <w:r>
        <w:rPr>
          <w:rFonts w:hint="eastAsia"/>
        </w:rPr>
        <w:t xml:space="preserve">本集團的兩家主要營運公司於2020年及2019年12月31日的資本狀況載於下表：</w:t>
      </w:r>
    </w:p>
    <w:p>
      <w:pPr>
        <w:pStyle w:val="BodyText"/>
      </w:pPr>
      <w:r>
        <w:rPr>
          <w:rFonts w:hint="eastAsia"/>
        </w:rPr>
        <w:t xml:space="preserve">百萬美元</w:t>
      </w:r>
    </w:p>
    <w:p>
      <w:pPr>
        <w:pStyle w:val="BodyText"/>
      </w:pPr>
      <w:r>
        <w:t xml:space="preserve">AIA Co.</w:t>
      </w:r>
    </w:p>
    <w:p>
      <w:pPr>
        <w:pStyle w:val="BodyText"/>
      </w:pPr>
      <w:r>
        <w:t xml:space="preserve">AIA International</w:t>
      </w:r>
    </w:p>
    <w:p>
      <w:pPr>
        <w:pStyle w:val="BodyText"/>
      </w:pPr>
      <w:r>
        <w:rPr>
          <w:rFonts w:hint="eastAsia"/>
        </w:rPr>
        <w:t xml:space="preserve">2020年12月31日</w:t>
      </w:r>
    </w:p>
    <w:p>
      <w:pPr>
        <w:pStyle w:val="BodyText"/>
      </w:pPr>
      <w:r>
        <w:rPr>
          <w:rFonts w:hint="eastAsia"/>
        </w:rPr>
        <w:t xml:space="preserve">2019年12月31日</w:t>
      </w:r>
    </w:p>
    <w:p>
      <w:pPr>
        <w:pStyle w:val="BodyText"/>
      </w:pPr>
      <w:r>
        <w:rPr>
          <w:rFonts w:hint="eastAsia"/>
        </w:rPr>
        <w:t xml:space="preserve">可用資本</w:t>
      </w:r>
      <w:r>
        <w:br/>
      </w:r>
      <w:r>
        <w:rPr>
          <w:rFonts w:hint="eastAsia"/>
        </w:rPr>
        <w:t xml:space="preserve">總額</w:t>
      </w:r>
    </w:p>
    <w:p>
      <w:pPr>
        <w:pStyle w:val="BodyText"/>
      </w:pPr>
      <w:r>
        <w:rPr>
          <w:rFonts w:hint="eastAsia"/>
        </w:rPr>
        <w:t xml:space="preserve">最低監管</w:t>
      </w:r>
      <w:r>
        <w:br/>
      </w:r>
      <w:r>
        <w:rPr>
          <w:rFonts w:hint="eastAsia"/>
        </w:rPr>
        <w:t xml:space="preserve">資本</w:t>
      </w:r>
    </w:p>
    <w:p>
      <w:pPr>
        <w:pStyle w:val="BodyText"/>
      </w:pPr>
      <w:r>
        <w:rPr>
          <w:rFonts w:hint="eastAsia"/>
        </w:rPr>
        <w:t xml:space="preserve">償付能力</w:t>
      </w:r>
      <w:r>
        <w:br/>
      </w:r>
      <w:r>
        <w:rPr>
          <w:rFonts w:hint="eastAsia"/>
        </w:rPr>
        <w:t xml:space="preserve">充足率</w:t>
      </w:r>
    </w:p>
    <w:p>
      <w:pPr>
        <w:pStyle w:val="BodyText"/>
      </w:pPr>
      <w:r>
        <w:rPr>
          <w:rFonts w:hint="eastAsia"/>
        </w:rPr>
        <w:t xml:space="preserve">可用資本</w:t>
      </w:r>
      <w:r>
        <w:br/>
      </w:r>
      <w:r>
        <w:rPr>
          <w:rFonts w:hint="eastAsia"/>
        </w:rPr>
        <w:t xml:space="preserve">總額</w:t>
      </w:r>
    </w:p>
    <w:p>
      <w:pPr>
        <w:pStyle w:val="BodyText"/>
      </w:pPr>
      <w:r>
        <w:rPr>
          <w:rFonts w:hint="eastAsia"/>
        </w:rPr>
        <w:t xml:space="preserve">最低監管</w:t>
      </w:r>
      <w:r>
        <w:br/>
      </w:r>
      <w:r>
        <w:rPr>
          <w:rFonts w:hint="eastAsia"/>
        </w:rPr>
        <w:t xml:space="preserve">資本</w:t>
      </w:r>
    </w:p>
    <w:p>
      <w:pPr>
        <w:pStyle w:val="BodyText"/>
      </w:pPr>
      <w:r>
        <w:rPr>
          <w:rFonts w:hint="eastAsia"/>
        </w:rPr>
        <w:t xml:space="preserve">償付能力</w:t>
      </w:r>
      <w:r>
        <w:br/>
      </w:r>
      <w:r>
        <w:rPr>
          <w:rFonts w:hint="eastAsia"/>
        </w:rPr>
        <w:t xml:space="preserve">充足率</w:t>
      </w:r>
    </w:p>
    <w:p>
      <w:pPr>
        <w:pStyle w:val="BodyText"/>
      </w:pPr>
      <w:r>
        <w:t xml:space="preserve">9,780</w:t>
      </w:r>
    </w:p>
    <w:p>
      <w:pPr>
        <w:pStyle w:val="BodyText"/>
      </w:pPr>
      <w:r>
        <w:t xml:space="preserve">9,382</w:t>
      </w:r>
    </w:p>
    <w:p>
      <w:pPr>
        <w:pStyle w:val="BodyText"/>
      </w:pPr>
      <w:r>
        <w:t xml:space="preserve">2,000</w:t>
      </w:r>
    </w:p>
    <w:p>
      <w:pPr>
        <w:pStyle w:val="BodyText"/>
      </w:pPr>
      <w:r>
        <w:t xml:space="preserve">3,122</w:t>
      </w:r>
    </w:p>
    <w:p>
      <w:pPr>
        <w:pStyle w:val="BodyText"/>
      </w:pPr>
      <w:r>
        <w:t xml:space="preserve">489%</w:t>
      </w:r>
    </w:p>
    <w:p>
      <w:pPr>
        <w:pStyle w:val="BodyText"/>
      </w:pPr>
      <w:r>
        <w:t xml:space="preserve">301%</w:t>
      </w:r>
    </w:p>
    <w:p>
      <w:pPr>
        <w:pStyle w:val="BodyText"/>
      </w:pPr>
      <w:r>
        <w:t xml:space="preserve">11,856</w:t>
      </w:r>
    </w:p>
    <w:p>
      <w:pPr>
        <w:pStyle w:val="BodyText"/>
      </w:pPr>
      <w:r>
        <w:t xml:space="preserve">9,280</w:t>
      </w:r>
    </w:p>
    <w:p>
      <w:pPr>
        <w:pStyle w:val="BodyText"/>
      </w:pPr>
      <w:r>
        <w:t xml:space="preserve">3,272</w:t>
      </w:r>
    </w:p>
    <w:p>
      <w:pPr>
        <w:pStyle w:val="BodyText"/>
      </w:pPr>
      <w:r>
        <w:t xml:space="preserve">2,443</w:t>
      </w:r>
    </w:p>
    <w:p>
      <w:pPr>
        <w:pStyle w:val="BodyText"/>
      </w:pPr>
      <w:r>
        <w:t xml:space="preserve">362%</w:t>
      </w:r>
    </w:p>
    <w:p>
      <w:pPr>
        <w:pStyle w:val="BodyText"/>
      </w:pPr>
      <w:r>
        <w:t xml:space="preserve">380%</w:t>
      </w:r>
    </w:p>
    <w:p>
      <w:pPr>
        <w:pStyle w:val="BodyText"/>
      </w:pPr>
      <w:r>
        <w:rPr>
          <w:rFonts w:hint="eastAsia"/>
        </w:rPr>
        <w:t xml:space="preserve">就此而言，本集團將可用資本總額界定為根據香港保險業條例所計量資產超出負債的金額，並界定「最低監管資本」為按照</w:t>
      </w:r>
    </w:p>
    <w:p>
      <w:pPr>
        <w:pStyle w:val="BodyText"/>
      </w:pPr>
      <w:r>
        <w:rPr>
          <w:rFonts w:hint="eastAsia"/>
        </w:rPr>
        <w:t xml:space="preserve">香港保險業條例所計算的規定最低償付能力。償付能力充足率為可用資本總額佔最低監管資本的比率。</w:t>
      </w:r>
    </w:p>
    <w:p>
      <w:pPr>
        <w:pStyle w:val="BodyText"/>
      </w:pPr>
      <w:r>
        <w:t xml:space="preserve">231</w:t>
      </w:r>
    </w:p>
    <w:p>
      <w:pPr>
        <w:pStyle w:val="BodyText"/>
      </w:pPr>
      <w:r>
        <w:rPr>
          <w:rFonts w:hint="eastAsia"/>
        </w:rPr>
        <w:t xml:space="preserve">概覽財務及營運回顧企業管治其他資料財務報表2020年報</w:t>
      </w:r>
    </w:p>
    <w:p>
      <w:pPr>
        <w:pStyle w:val="Compact"/>
        <w:numPr>
          <w:ilvl w:val="0"/>
          <w:numId w:val="1489"/>
        </w:numPr>
      </w:pPr>
      <w:r>
        <w:rPr>
          <w:rFonts w:hint="eastAsia"/>
        </w:rPr>
        <w:t xml:space="preserve">集團資本結構（續）</w:t>
      </w:r>
    </w:p>
    <w:p>
      <w:pPr>
        <w:pStyle w:val="FirstParagraph"/>
      </w:pPr>
      <w:r>
        <w:rPr>
          <w:rFonts w:hint="eastAsia"/>
        </w:rPr>
        <w:t xml:space="preserve">集團監管框架</w:t>
      </w:r>
    </w:p>
    <w:p>
      <w:pPr>
        <w:pStyle w:val="BodyText"/>
      </w:pPr>
      <w:r>
        <w:rPr>
          <w:rFonts w:hint="eastAsia"/>
        </w:rPr>
        <w:t xml:space="preserve">除AIA</w:t>
      </w:r>
      <w:r>
        <w:t xml:space="preserve"> </w:t>
      </w:r>
      <w:r>
        <w:rPr>
          <w:rFonts w:hint="eastAsia"/>
        </w:rPr>
        <w:t xml:space="preserve">Co.及AIA</w:t>
      </w:r>
      <w:r>
        <w:t xml:space="preserve"> </w:t>
      </w:r>
      <w:r>
        <w:rPr>
          <w:rFonts w:hint="eastAsia"/>
        </w:rPr>
        <w:t xml:space="preserve">International須遵守的香港保險業條例規定外，香港保監局正制定符合國際標準的集團監管框架，以監管於</w:t>
      </w:r>
    </w:p>
    <w:p>
      <w:pPr>
        <w:pStyle w:val="BodyText"/>
      </w:pPr>
      <w:r>
        <w:rPr>
          <w:rFonts w:hint="eastAsia"/>
        </w:rPr>
        <w:t xml:space="preserve">香港註冊的國際活躍保險集團。載有集團監管框架的法律已於2020年7月17日頒佈。於2020年12月31日，政府於憲報上刊登</w:t>
      </w:r>
    </w:p>
    <w:p>
      <w:pPr>
        <w:pStyle w:val="BodyText"/>
      </w:pPr>
      <w:r>
        <w:rPr>
          <w:rFonts w:hint="eastAsia"/>
        </w:rPr>
        <w:t xml:space="preserve">該法律的生效日期為2021年3月29日。此外，保險業（集團資本）規則（集團資本規則）已於2021年1月6日提交立法會，並將</w:t>
      </w:r>
    </w:p>
    <w:p>
      <w:pPr>
        <w:pStyle w:val="BodyText"/>
      </w:pPr>
      <w:r>
        <w:rPr>
          <w:rFonts w:hint="eastAsia"/>
        </w:rPr>
        <w:t xml:space="preserve">於2021年3月29日開始實施。根據集團資本規則，集團監管框架將以「總和法」為基準。本集團可用資本及最低所需資本將根</w:t>
      </w:r>
    </w:p>
    <w:p>
      <w:pPr>
        <w:pStyle w:val="BodyText"/>
      </w:pPr>
      <w:r>
        <w:rPr>
          <w:rFonts w:hint="eastAsia"/>
        </w:rPr>
        <w:t xml:space="preserve">據本集團各相關受監管的實體的監管規定下可用資本及所需資本的總和計算（亦稱為當地資本總和法）。</w:t>
      </w:r>
    </w:p>
    <w:p>
      <w:pPr>
        <w:pStyle w:val="BodyText"/>
      </w:pPr>
      <w:r>
        <w:rPr>
          <w:rFonts w:hint="eastAsia"/>
        </w:rPr>
        <w:t xml:space="preserve">自集團監管框架生效起，本集團將應用當地資本總和法來決定集團層面的監管資本狀況，並將在截至2021年6月30日止</w:t>
      </w:r>
    </w:p>
    <w:p>
      <w:pPr>
        <w:pStyle w:val="BodyText"/>
      </w:pPr>
      <w:r>
        <w:rPr>
          <w:rFonts w:hint="eastAsia"/>
        </w:rPr>
        <w:t xml:space="preserve">六個月及未來的財務報表中披露。當本集團在合併財務報表中就本集團的監管資本狀況作出新披露後，AIA</w:t>
      </w:r>
      <w:r>
        <w:t xml:space="preserve"> </w:t>
      </w:r>
      <w:r>
        <w:rPr>
          <w:rFonts w:hint="eastAsia"/>
        </w:rPr>
        <w:t xml:space="preserve">Co.及AIA</w:t>
      </w:r>
    </w:p>
    <w:p>
      <w:pPr>
        <w:pStyle w:val="BodyText"/>
      </w:pPr>
      <w:r>
        <w:rPr>
          <w:rFonts w:hint="eastAsia"/>
        </w:rPr>
        <w:t xml:space="preserve">International的償付能力充足率將不再於本集團的合併財務報表中公佈。AIA</w:t>
      </w:r>
      <w:r>
        <w:t xml:space="preserve"> </w:t>
      </w:r>
      <w:r>
        <w:rPr>
          <w:rFonts w:hint="eastAsia"/>
        </w:rPr>
        <w:t xml:space="preserve">Co.及AIA</w:t>
      </w:r>
      <w:r>
        <w:t xml:space="preserve"> </w:t>
      </w:r>
      <w:r>
        <w:rPr>
          <w:rFonts w:hint="eastAsia"/>
        </w:rPr>
        <w:t xml:space="preserve">International將繼續於其各自的財務報</w:t>
      </w:r>
    </w:p>
    <w:p>
      <w:pPr>
        <w:pStyle w:val="BodyText"/>
      </w:pPr>
      <w:r>
        <w:rPr>
          <w:rFonts w:hint="eastAsia"/>
        </w:rPr>
        <w:t xml:space="preserve">表中披露其償付能力充足率，並將其根據年度已審計的財務報表編製的償付能力的狀況呈交香港保監局。</w:t>
      </w:r>
    </w:p>
    <w:p>
      <w:pPr>
        <w:pStyle w:val="BodyText"/>
      </w:pPr>
      <w:r>
        <w:rPr>
          <w:rFonts w:hint="eastAsia"/>
        </w:rPr>
        <w:t xml:space="preserve">當地監管償付能力</w:t>
      </w:r>
    </w:p>
    <w:p>
      <w:pPr>
        <w:pStyle w:val="BodyText"/>
      </w:pPr>
      <w:r>
        <w:rPr>
          <w:rFonts w:hint="eastAsia"/>
        </w:rPr>
        <w:t xml:space="preserve">本集團的個別分公司及附屬公司亦須受到此等分公司及附屬公司以及其母公司經營業務所在及（就附屬公司而言）註冊成</w:t>
      </w:r>
    </w:p>
    <w:p>
      <w:pPr>
        <w:pStyle w:val="BodyText"/>
      </w:pPr>
      <w:r>
        <w:rPr>
          <w:rFonts w:hint="eastAsia"/>
        </w:rPr>
        <w:t xml:space="preserve">立所在司法權區的政府監管機構的監督。各個監督本集團的監管機構積極監察本集團於當地的償付狀況。AIA</w:t>
      </w:r>
      <w:r>
        <w:t xml:space="preserve"> </w:t>
      </w:r>
      <w:r>
        <w:rPr>
          <w:rFonts w:hint="eastAsia"/>
        </w:rPr>
        <w:t xml:space="preserve">Co.及AIA</w:t>
      </w:r>
    </w:p>
    <w:p>
      <w:pPr>
        <w:pStyle w:val="BodyText"/>
      </w:pPr>
      <w:r>
        <w:rPr>
          <w:rFonts w:hint="eastAsia"/>
        </w:rPr>
        <w:t xml:space="preserve">International根據年度已審計的財務報表，每年向香港保監局呈交有關償付能力狀況的檔案。</w:t>
      </w:r>
    </w:p>
    <w:p>
      <w:pPr>
        <w:pStyle w:val="BodyText"/>
      </w:pPr>
      <w:r>
        <w:rPr>
          <w:rFonts w:hint="eastAsia"/>
        </w:rPr>
        <w:t xml:space="preserve">來自個別分公司及附屬公司的股息、匯款及其他付款</w:t>
      </w:r>
    </w:p>
    <w:p>
      <w:pPr>
        <w:pStyle w:val="BodyText"/>
      </w:pPr>
      <w:r>
        <w:rPr>
          <w:rFonts w:hint="eastAsia"/>
        </w:rPr>
        <w:t xml:space="preserve">本公司向股東支付股息及履行其他責任的能力最終視乎其營運附屬公司及分公司支付的股息、匯款及其他付款而定，並受合</w:t>
      </w:r>
    </w:p>
    <w:p>
      <w:pPr>
        <w:pStyle w:val="BodyText"/>
      </w:pPr>
      <w:r>
        <w:rPr>
          <w:rFonts w:hint="eastAsia"/>
        </w:rPr>
        <w:t xml:space="preserve">約、監管及其他限制規管。監督本集團個別分公司及附屬公司的多個監管機構可酌情對此等受規管附屬公司及分公司向AIA</w:t>
      </w:r>
    </w:p>
    <w:p>
      <w:pPr>
        <w:pStyle w:val="BodyText"/>
      </w:pPr>
      <w:r>
        <w:rPr>
          <w:rFonts w:hint="eastAsia"/>
        </w:rPr>
        <w:t xml:space="preserve">Co.支付股息、匯款及其他付款的能力施加額外限制，包括增加一個營運單位須維持的所需償付能力充足率。例如，資本未</w:t>
      </w:r>
    </w:p>
    <w:p>
      <w:pPr>
        <w:pStyle w:val="BodyText"/>
      </w:pPr>
      <w:r>
        <w:rPr>
          <w:rFonts w:hint="eastAsia"/>
        </w:rPr>
        <w:t xml:space="preserve">經本集團若干個別分公司及附屬公司的監管機構同意不得轉出。</w:t>
      </w:r>
    </w:p>
    <w:p>
      <w:pPr>
        <w:pStyle w:val="BodyText"/>
      </w:pPr>
      <w:r>
        <w:t xml:space="preserve">232</w:t>
      </w:r>
    </w:p>
    <w:p>
      <w:pPr>
        <w:pStyle w:val="BodyText"/>
      </w:pPr>
      <w:r>
        <w:rPr>
          <w:rFonts w:hint="eastAsia"/>
        </w:rPr>
        <w:t xml:space="preserve">友邦保險控股有限公司</w:t>
      </w:r>
    </w:p>
    <w:p>
      <w:pPr>
        <w:pStyle w:val="Compact"/>
        <w:numPr>
          <w:ilvl w:val="0"/>
          <w:numId w:val="1490"/>
        </w:numPr>
      </w:pPr>
      <w:r>
        <w:rPr>
          <w:rFonts w:hint="eastAsia"/>
        </w:rPr>
        <w:t xml:space="preserve">集團資本結構（續）</w:t>
      </w:r>
    </w:p>
    <w:p>
      <w:pPr>
        <w:pStyle w:val="FirstParagraph"/>
      </w:pPr>
      <w:r>
        <w:rPr>
          <w:rFonts w:hint="eastAsia"/>
        </w:rPr>
        <w:t xml:space="preserve">為本集團而設的資本及監管令</w:t>
      </w:r>
    </w:p>
    <w:p>
      <w:pPr>
        <w:pStyle w:val="BodyText"/>
      </w:pPr>
      <w:r>
        <w:rPr>
          <w:rFonts w:hint="eastAsia"/>
        </w:rPr>
        <w:t xml:space="preserve">截至2020年12月31日，除非另有所述，否則下文概述的規定及限制可能對本集團而言屬重大及仍然有效。</w:t>
      </w:r>
    </w:p>
    <w:p>
      <w:pPr>
        <w:pStyle w:val="BodyText"/>
      </w:pPr>
      <w:r>
        <w:rPr>
          <w:rFonts w:hint="eastAsia"/>
        </w:rPr>
        <w:t xml:space="preserve">香港保險業監管局</w:t>
      </w:r>
    </w:p>
    <w:p>
      <w:pPr>
        <w:pStyle w:val="BodyText"/>
      </w:pPr>
      <w:r>
        <w:rPr>
          <w:rFonts w:hint="eastAsia"/>
        </w:rPr>
        <w:t xml:space="preserve">友邦保險控股有限公司向香港保監局承諾將：</w:t>
      </w:r>
    </w:p>
    <w:p>
      <w:pPr>
        <w:pStyle w:val="Compact"/>
        <w:numPr>
          <w:ilvl w:val="0"/>
          <w:numId w:val="1491"/>
        </w:numPr>
      </w:pPr>
      <w:r>
        <w:rPr>
          <w:rFonts w:hint="eastAsia"/>
        </w:rPr>
        <w:t xml:space="preserve">確保(a)</w:t>
      </w:r>
      <w:r>
        <w:t xml:space="preserve"> AIA </w:t>
      </w:r>
      <w:r>
        <w:rPr>
          <w:rFonts w:hint="eastAsia"/>
        </w:rPr>
        <w:t xml:space="preserve">Co.及AIA</w:t>
      </w:r>
      <w:r>
        <w:t xml:space="preserve"> </w:t>
      </w:r>
      <w:r>
        <w:rPr>
          <w:rFonts w:hint="eastAsia"/>
        </w:rPr>
        <w:t xml:space="preserve">International各自將一直維持香港分公司的資產超過負債的溢額不低於香港法定最低償付能力要求</w:t>
      </w:r>
    </w:p>
    <w:p>
      <w:pPr>
        <w:pStyle w:val="FirstParagraph"/>
      </w:pPr>
      <w:r>
        <w:rPr>
          <w:rFonts w:hint="eastAsia"/>
        </w:rPr>
        <w:t xml:space="preserve">的150%及非香港分公司的資產負債比率不低於香港法定最低償付能力要求的100%（「最低金額」）；(b)不會自AIA</w:t>
      </w:r>
      <w:r>
        <w:t xml:space="preserve"> </w:t>
      </w:r>
      <w:r>
        <w:rPr>
          <w:rFonts w:hint="eastAsia"/>
        </w:rPr>
        <w:t xml:space="preserve">Co.或</w:t>
      </w:r>
    </w:p>
    <w:p>
      <w:pPr>
        <w:pStyle w:val="BodyText"/>
      </w:pPr>
      <w:r>
        <w:t xml:space="preserve">AIA </w:t>
      </w:r>
      <w:r>
        <w:rPr>
          <w:rFonts w:hint="eastAsia"/>
        </w:rPr>
        <w:t xml:space="preserve">International提取資本或轉出資金或資產而使償付能力充足率低於(a)所列的最低金額，惟就上述任一情況獲得香港保</w:t>
      </w:r>
    </w:p>
    <w:p>
      <w:pPr>
        <w:pStyle w:val="BodyText"/>
      </w:pPr>
      <w:r>
        <w:rPr>
          <w:rFonts w:hint="eastAsia"/>
        </w:rPr>
        <w:t xml:space="preserve">監局事先書面同意除外；及(c)倘AIA</w:t>
      </w:r>
      <w:r>
        <w:t xml:space="preserve"> </w:t>
      </w:r>
      <w:r>
        <w:rPr>
          <w:rFonts w:hint="eastAsia"/>
        </w:rPr>
        <w:t xml:space="preserve">Co.或AIA</w:t>
      </w:r>
      <w:r>
        <w:t xml:space="preserve"> </w:t>
      </w:r>
      <w:r>
        <w:rPr>
          <w:rFonts w:hint="eastAsia"/>
        </w:rPr>
        <w:t xml:space="preserve">International的償付能力充足率低於各自的最低金額，友邦保險控股有限公</w:t>
      </w:r>
    </w:p>
    <w:p>
      <w:pPr>
        <w:pStyle w:val="BodyText"/>
      </w:pPr>
      <w:r>
        <w:rPr>
          <w:rFonts w:hint="eastAsia"/>
        </w:rPr>
        <w:t xml:space="preserve">司會盡快採取措施以香港保監局可接受的方式將償付能力充足率恢復至不低於各自的最低金額；</w:t>
      </w:r>
    </w:p>
    <w:p>
      <w:pPr>
        <w:pStyle w:val="Compact"/>
        <w:numPr>
          <w:ilvl w:val="0"/>
          <w:numId w:val="1492"/>
        </w:numPr>
      </w:pPr>
      <w:r>
        <w:rPr>
          <w:rFonts w:hint="eastAsia"/>
        </w:rPr>
        <w:t xml:space="preserve">於知悉任何人士(a)因收購我們在香港聯交所買賣的股份而成為AIA</w:t>
      </w:r>
      <w:r>
        <w:t xml:space="preserve"> </w:t>
      </w:r>
      <w:r>
        <w:rPr>
          <w:rFonts w:hint="eastAsia"/>
        </w:rPr>
        <w:t xml:space="preserve">Co.及AIA</w:t>
      </w:r>
      <w:r>
        <w:t xml:space="preserve"> </w:t>
      </w:r>
      <w:r>
        <w:rPr>
          <w:rFonts w:hint="eastAsia"/>
        </w:rPr>
        <w:t xml:space="preserve">International的控權人（香港保險業條例第</w:t>
      </w:r>
    </w:p>
    <w:p>
      <w:pPr>
        <w:pStyle w:val="FirstParagraph"/>
      </w:pPr>
      <w:r>
        <w:rPr>
          <w:rFonts w:hint="eastAsia"/>
        </w:rPr>
        <w:t xml:space="preserve">9(1)(a)(iii)(B)條所定義者）；或(b)因出售我們在香港聯交所買賣的股份而不再是AIA</w:t>
      </w:r>
      <w:r>
        <w:t xml:space="preserve"> </w:t>
      </w:r>
      <w:r>
        <w:rPr>
          <w:rFonts w:hint="eastAsia"/>
        </w:rPr>
        <w:t xml:space="preserve">Co.及AIA</w:t>
      </w:r>
      <w:r>
        <w:t xml:space="preserve"> </w:t>
      </w:r>
      <w:r>
        <w:rPr>
          <w:rFonts w:hint="eastAsia"/>
        </w:rPr>
        <w:t xml:space="preserve">International的控權人（香港</w:t>
      </w:r>
    </w:p>
    <w:p>
      <w:pPr>
        <w:pStyle w:val="BodyText"/>
      </w:pPr>
      <w:r>
        <w:rPr>
          <w:rFonts w:hint="eastAsia"/>
        </w:rPr>
        <w:t xml:space="preserve">保險業條例第9(1)(a)(iii)(B)條所定義者），須盡快書面通知香港保監局；</w:t>
      </w:r>
    </w:p>
    <w:p>
      <w:pPr>
        <w:pStyle w:val="Compact"/>
        <w:numPr>
          <w:ilvl w:val="0"/>
          <w:numId w:val="1493"/>
        </w:numPr>
      </w:pPr>
      <w:r>
        <w:rPr>
          <w:rFonts w:hint="eastAsia"/>
        </w:rPr>
        <w:t xml:space="preserve">受香港保監局規管且友邦保險控股有限公司須持續遵守香港保監局有關香港保險業條例第8(2)條控權人「合適及勝任」標</w:t>
      </w:r>
    </w:p>
    <w:p>
      <w:pPr>
        <w:pStyle w:val="FirstParagraph"/>
      </w:pPr>
      <w:r>
        <w:rPr>
          <w:rFonts w:hint="eastAsia"/>
        </w:rPr>
        <w:t xml:space="preserve">準的指引。香港保險業條例授權香港保監局，如認為任何人士不合適及不可勝任認可的保險公司控權人或董事可以提出</w:t>
      </w:r>
    </w:p>
    <w:p>
      <w:pPr>
        <w:pStyle w:val="BodyText"/>
      </w:pPr>
      <w:r>
        <w:rPr>
          <w:rFonts w:hint="eastAsia"/>
        </w:rPr>
        <w:t xml:space="preserve">反對。此等標準包括控股公司的財務資源是否充足；控股公司為其受香港保監局規管的保險附屬公司制訂的業務計劃的</w:t>
      </w:r>
    </w:p>
    <w:p>
      <w:pPr>
        <w:pStyle w:val="BodyText"/>
      </w:pPr>
      <w:r>
        <w:rPr>
          <w:rFonts w:hint="eastAsia"/>
        </w:rPr>
        <w:t xml:space="preserve">可行性；本集團法律架構、管理架構及經營架構的清晰度；任何其他控股公司或主要受規管附屬公司的身份；控股公</w:t>
      </w:r>
    </w:p>
    <w:p>
      <w:pPr>
        <w:pStyle w:val="BodyText"/>
      </w:pPr>
      <w:r>
        <w:rPr>
          <w:rFonts w:hint="eastAsia"/>
        </w:rPr>
        <w:t xml:space="preserve">司、其董事或控權人是否受破產管理、行政、清盤或其他類似訴訟影響，或未有遵守任何法院指令或刑事裁決的判定債</w:t>
      </w:r>
    </w:p>
    <w:p>
      <w:pPr>
        <w:pStyle w:val="BodyText"/>
      </w:pPr>
      <w:r>
        <w:rPr>
          <w:rFonts w:hint="eastAsia"/>
        </w:rPr>
        <w:t xml:space="preserve">務，或違反任何法定或監管規定；本集團企業管治的穩健程度；本集團風險管理架構的穩健程度；自其保險附屬公司</w:t>
      </w:r>
    </w:p>
    <w:p>
      <w:pPr>
        <w:pStyle w:val="BodyText"/>
      </w:pPr>
      <w:r>
        <w:rPr>
          <w:rFonts w:hint="eastAsia"/>
        </w:rPr>
        <w:t xml:space="preserve">（受香港保監局規管）取得資料，確保彼等符合適用法律、法規及規例管理；及監察和管理其保險附屬公司（受香港保監</w:t>
      </w:r>
    </w:p>
    <w:p>
      <w:pPr>
        <w:pStyle w:val="BodyText"/>
      </w:pPr>
      <w:r>
        <w:rPr>
          <w:rFonts w:hint="eastAsia"/>
        </w:rPr>
        <w:t xml:space="preserve">局規管）的營運；及</w:t>
      </w:r>
    </w:p>
    <w:p>
      <w:pPr>
        <w:pStyle w:val="Compact"/>
        <w:numPr>
          <w:ilvl w:val="0"/>
          <w:numId w:val="1494"/>
        </w:numPr>
      </w:pPr>
      <w:r>
        <w:rPr>
          <w:rFonts w:hint="eastAsia"/>
        </w:rPr>
        <w:t xml:space="preserve">履行以上(iii)分段所述指引的所有補充或改進，以及香港保監局不時發佈的管理措施或香港保監局根據香港保險業條例的</w:t>
      </w:r>
    </w:p>
    <w:p>
      <w:pPr>
        <w:pStyle w:val="FirstParagraph"/>
      </w:pPr>
      <w:r>
        <w:rPr>
          <w:rFonts w:hint="eastAsia"/>
        </w:rPr>
        <w:t xml:space="preserve">要求、香港保險業條例的規例制訂或香港保監局不時發佈的指引。</w:t>
      </w:r>
    </w:p>
    <w:p>
      <w:pPr>
        <w:pStyle w:val="BodyText"/>
      </w:pPr>
      <w:r>
        <w:t xml:space="preserve">233</w:t>
      </w:r>
    </w:p>
    <w:p>
      <w:pPr>
        <w:pStyle w:val="BodyText"/>
      </w:pPr>
      <w:r>
        <w:rPr>
          <w:rFonts w:hint="eastAsia"/>
        </w:rPr>
        <w:t xml:space="preserve">概覽財務及營運回顧企業管治其他資料財務報表2020年報</w:t>
      </w:r>
    </w:p>
    <w:p>
      <w:pPr>
        <w:pStyle w:val="Compact"/>
        <w:numPr>
          <w:ilvl w:val="0"/>
          <w:numId w:val="1495"/>
        </w:numPr>
      </w:pPr>
      <w:r>
        <w:rPr>
          <w:rFonts w:hint="eastAsia"/>
        </w:rPr>
        <w:t xml:space="preserve">風險管理</w:t>
      </w:r>
    </w:p>
    <w:p>
      <w:pPr>
        <w:pStyle w:val="FirstParagraph"/>
      </w:pPr>
      <w:r>
        <w:rPr>
          <w:rFonts w:hint="eastAsia"/>
        </w:rPr>
        <w:t xml:space="preserve">風險管理架構</w:t>
      </w:r>
    </w:p>
    <w:p>
      <w:pPr>
        <w:pStyle w:val="BodyText"/>
      </w:pPr>
      <w:r>
        <w:rPr>
          <w:rFonts w:hint="eastAsia"/>
        </w:rPr>
        <w:t xml:space="preserve">友邦保險深明健全的風險管理對我們業務及持份者的重要性。風險管理架構為本集團識別、量化及降低風險提供架構平台。</w:t>
      </w:r>
    </w:p>
    <w:p>
      <w:pPr>
        <w:pStyle w:val="BodyText"/>
      </w:pPr>
      <w:r>
        <w:rPr>
          <w:rFonts w:hint="eastAsia"/>
        </w:rPr>
        <w:t xml:space="preserve">有效的風險管理架構對於避免因業務上不適當或無效的風險控制所引起的財務及聲譽損毀至關重要。</w:t>
      </w:r>
    </w:p>
    <w:p>
      <w:pPr>
        <w:pStyle w:val="BodyText"/>
      </w:pPr>
      <w:r>
        <w:rPr>
          <w:rFonts w:hint="eastAsia"/>
        </w:rPr>
        <w:t xml:space="preserve">保險風險</w:t>
      </w:r>
    </w:p>
    <w:p>
      <w:pPr>
        <w:pStyle w:val="BodyText"/>
      </w:pPr>
      <w:r>
        <w:rPr>
          <w:rFonts w:hint="eastAsia"/>
        </w:rPr>
        <w:t xml:space="preserve">保險風險是因理賠經驗變動及與保險業務承保及續保率相關的整體風險增加所產生的風險。此項風險亦包括該等風險的未來</w:t>
      </w:r>
    </w:p>
    <w:p>
      <w:pPr>
        <w:pStyle w:val="BodyText"/>
      </w:pPr>
      <w:r>
        <w:rPr>
          <w:rFonts w:hint="eastAsia"/>
        </w:rPr>
        <w:t xml:space="preserve">經驗假設的變動。</w:t>
      </w:r>
    </w:p>
    <w:p>
      <w:pPr>
        <w:pStyle w:val="BodyText"/>
      </w:pPr>
      <w:r>
        <w:rPr>
          <w:rFonts w:hint="eastAsia"/>
        </w:rPr>
        <w:t xml:space="preserve">失效</w:t>
      </w:r>
    </w:p>
    <w:p>
      <w:pPr>
        <w:pStyle w:val="BodyText"/>
      </w:pPr>
      <w:r>
        <w:rPr>
          <w:rFonts w:hint="eastAsia"/>
        </w:rPr>
        <w:t xml:space="preserve">失效風險為保單失效時間平均早於定價或準備金假設中所設想時間的風險。</w:t>
      </w:r>
    </w:p>
    <w:p>
      <w:pPr>
        <w:pStyle w:val="BodyText"/>
      </w:pPr>
      <w:r>
        <w:rPr>
          <w:rFonts w:hint="eastAsia"/>
        </w:rPr>
        <w:t xml:space="preserve">確保客戶購買滿足其需求的產品是本集團經營理念的核心。透過業務質素框架的有效執行、全面的銷售培訓課程及積極監察</w:t>
      </w:r>
    </w:p>
    <w:p>
      <w:pPr>
        <w:pStyle w:val="BodyText"/>
      </w:pPr>
      <w:r>
        <w:rPr>
          <w:rFonts w:hint="eastAsia"/>
        </w:rPr>
        <w:t xml:space="preserve">和管理銷售活動及其續保率，本集團致力於確保適當產品乃由合資格銷售代表售出，及服務標準始終滿足客戶需求。</w:t>
      </w:r>
    </w:p>
    <w:p>
      <w:pPr>
        <w:pStyle w:val="BodyText"/>
      </w:pPr>
      <w:r>
        <w:rPr>
          <w:rFonts w:hint="eastAsia"/>
        </w:rPr>
        <w:t xml:space="preserve">開支</w:t>
      </w:r>
    </w:p>
    <w:p>
      <w:pPr>
        <w:pStyle w:val="BodyText"/>
      </w:pPr>
      <w:r>
        <w:rPr>
          <w:rFonts w:hint="eastAsia"/>
        </w:rPr>
        <w:t xml:space="preserve">開支風險為業務所產生的開支金額或時間出現超出預期的趨勢或受到意外衝擊的風險。</w:t>
      </w:r>
    </w:p>
    <w:p>
      <w:pPr>
        <w:pStyle w:val="BodyText"/>
      </w:pPr>
      <w:r>
        <w:rPr>
          <w:rFonts w:hint="eastAsia"/>
        </w:rPr>
        <w:t xml:space="preserve">日常營運遵循審慎的預算制訂和監控過程，從而可基於我們所營運市場內累積的豐富經驗管理開支。</w:t>
      </w:r>
    </w:p>
    <w:p>
      <w:pPr>
        <w:pStyle w:val="BodyText"/>
      </w:pPr>
      <w:r>
        <w:rPr>
          <w:rFonts w:hint="eastAsia"/>
        </w:rPr>
        <w:t xml:space="preserve">傷病率及死亡率</w:t>
      </w:r>
    </w:p>
    <w:p>
      <w:pPr>
        <w:pStyle w:val="BodyText"/>
      </w:pPr>
      <w:r>
        <w:rPr>
          <w:rFonts w:hint="eastAsia"/>
        </w:rPr>
        <w:t xml:space="preserve">傷病率及死亡率風險為醫療</w:t>
      </w:r>
      <w:r>
        <w:t xml:space="preserve"> </w:t>
      </w:r>
      <w:r>
        <w:rPr>
          <w:rFonts w:hint="eastAsia"/>
        </w:rPr>
        <w:t xml:space="preserve">∕死亡賠償的發生率及</w:t>
      </w:r>
      <w:r>
        <w:t xml:space="preserve"> </w:t>
      </w:r>
      <w:r>
        <w:rPr>
          <w:rFonts w:hint="eastAsia"/>
        </w:rPr>
        <w:t xml:space="preserve">∕或金額高於定價時所作假設及</w:t>
      </w:r>
      <w:r>
        <w:t xml:space="preserve"> </w:t>
      </w:r>
      <w:r>
        <w:rPr>
          <w:rFonts w:hint="eastAsia"/>
        </w:rPr>
        <w:t xml:space="preserve">∕或準備金的風險。</w:t>
      </w:r>
    </w:p>
    <w:p>
      <w:pPr>
        <w:pStyle w:val="BodyText"/>
      </w:pPr>
      <w:r>
        <w:rPr>
          <w:rFonts w:hint="eastAsia"/>
        </w:rPr>
        <w:t xml:space="preserve">本集團嚴守清晰界定且以市場為導向的核保和理賠指引及慣例，此等指引及慣例基於我們豐富的過往經驗並在專業再保險公</w:t>
      </w:r>
    </w:p>
    <w:p>
      <w:pPr>
        <w:pStyle w:val="BodyText"/>
      </w:pPr>
      <w:r>
        <w:rPr>
          <w:rFonts w:hint="eastAsia"/>
        </w:rPr>
        <w:t xml:space="preserve">司的協助下而制訂。</w:t>
      </w:r>
    </w:p>
    <w:p>
      <w:pPr>
        <w:pStyle w:val="BodyText"/>
      </w:pPr>
      <w:r>
        <w:rPr>
          <w:rFonts w:hint="eastAsia"/>
        </w:rPr>
        <w:t xml:space="preserve">本集團的精算團隊對其有效保單的所有保險風險因素進行定期經驗研究。此等內部研究及外部數據乃用於識別風險新趨勢，</w:t>
      </w:r>
    </w:p>
    <w:p>
      <w:pPr>
        <w:pStyle w:val="BodyText"/>
      </w:pPr>
      <w:r>
        <w:rPr>
          <w:rFonts w:hint="eastAsia"/>
        </w:rPr>
        <w:t xml:space="preserve">以用於產品設計、定價、核保、理賠管理及再保險需求。</w:t>
      </w:r>
    </w:p>
    <w:p>
      <w:pPr>
        <w:pStyle w:val="BodyText"/>
      </w:pPr>
      <w:r>
        <w:rPr>
          <w:rFonts w:hint="eastAsia"/>
        </w:rPr>
        <w:t xml:space="preserve">透過監察本地及全球的醫療技術、保健和健康趨勢對立法、一般社會、政治和經濟條件的影響，本集團將預測並適時應對其</w:t>
      </w:r>
    </w:p>
    <w:p>
      <w:pPr>
        <w:pStyle w:val="BodyText"/>
      </w:pPr>
      <w:r>
        <w:rPr>
          <w:rFonts w:hint="eastAsia"/>
        </w:rPr>
        <w:t xml:space="preserve">產品的潛在不利經驗的影響。</w:t>
      </w:r>
    </w:p>
    <w:p>
      <w:pPr>
        <w:pStyle w:val="BodyText"/>
      </w:pPr>
      <w:r>
        <w:rPr>
          <w:rFonts w:hint="eastAsia"/>
        </w:rPr>
        <w:t xml:space="preserve">本集團採用再保險乃用以減低過度集中及波動風險（尤其針對大宗保單或新風險）及應對災難風險（如流行病或自然災害）。</w:t>
      </w:r>
    </w:p>
    <w:p>
      <w:pPr>
        <w:pStyle w:val="BodyText"/>
      </w:pPr>
      <w:r>
        <w:t xml:space="preserve">234</w:t>
      </w:r>
    </w:p>
    <w:p>
      <w:pPr>
        <w:pStyle w:val="BodyText"/>
      </w:pPr>
      <w:r>
        <w:rPr>
          <w:rFonts w:hint="eastAsia"/>
        </w:rPr>
        <w:t xml:space="preserve">友邦保險控股有限公司</w:t>
      </w:r>
    </w:p>
    <w:p>
      <w:pPr>
        <w:pStyle w:val="Compact"/>
        <w:numPr>
          <w:ilvl w:val="0"/>
          <w:numId w:val="1496"/>
        </w:numPr>
      </w:pPr>
      <w:r>
        <w:rPr>
          <w:rFonts w:hint="eastAsia"/>
        </w:rPr>
        <w:t xml:space="preserve">風險管理（續）</w:t>
      </w:r>
    </w:p>
    <w:p>
      <w:pPr>
        <w:pStyle w:val="FirstParagraph"/>
      </w:pPr>
      <w:r>
        <w:rPr>
          <w:rFonts w:hint="eastAsia"/>
        </w:rPr>
        <w:t xml:space="preserve">投資及財務風險</w:t>
      </w:r>
    </w:p>
    <w:p>
      <w:pPr>
        <w:pStyle w:val="BodyText"/>
      </w:pPr>
      <w:r>
        <w:rPr>
          <w:rFonts w:hint="eastAsia"/>
        </w:rPr>
        <w:t xml:space="preserve">信貸風險</w:t>
      </w:r>
    </w:p>
    <w:p>
      <w:pPr>
        <w:pStyle w:val="BodyText"/>
      </w:pPr>
      <w:r>
        <w:rPr>
          <w:rFonts w:hint="eastAsia"/>
        </w:rPr>
        <w:t xml:space="preserve">信貸風險乃交易對手無法如期向本集團履行責任的風險。儘管信貸風險主要來自本集團的投資組合，該風險亦出現在再保</w:t>
      </w:r>
    </w:p>
    <w:p>
      <w:pPr>
        <w:pStyle w:val="BodyText"/>
      </w:pPr>
      <w:r>
        <w:rPr>
          <w:rFonts w:hint="eastAsia"/>
        </w:rPr>
        <w:t xml:space="preserve">險、採購及庫務活動。</w:t>
      </w:r>
    </w:p>
    <w:p>
      <w:pPr>
        <w:pStyle w:val="BodyText"/>
      </w:pPr>
      <w:r>
        <w:rPr>
          <w:rFonts w:hint="eastAsia"/>
        </w:rPr>
        <w:t xml:space="preserve">本集團集中管治其信貸風險管理監督流程，但允許防線的分散管理及問責。友邦保險信貸風險管理的關鍵之處在於嚴守受到</w:t>
      </w:r>
    </w:p>
    <w:p>
      <w:pPr>
        <w:pStyle w:val="BodyText"/>
      </w:pPr>
      <w:r>
        <w:rPr>
          <w:rFonts w:hint="eastAsia"/>
        </w:rPr>
        <w:t xml:space="preserve">有效控制的核保程序。本集團的信貸風險管理始於對所有交易對手的內部評級。投資團隊就各交易對手進行深入分析，並決</w:t>
      </w:r>
    </w:p>
    <w:p>
      <w:pPr>
        <w:pStyle w:val="BodyText"/>
      </w:pPr>
      <w:r>
        <w:rPr>
          <w:rFonts w:hint="eastAsia"/>
        </w:rPr>
        <w:t xml:space="preserve">定評級。本集團風險管理職能部門管理集團內部評級架構並定期進行評級檢討。信貸風險的計量及監測是一個持續的過程，</w:t>
      </w:r>
    </w:p>
    <w:p>
      <w:pPr>
        <w:pStyle w:val="BodyText"/>
      </w:pPr>
      <w:r>
        <w:rPr>
          <w:rFonts w:hint="eastAsia"/>
        </w:rPr>
        <w:t xml:space="preserve">及旨在幫助提前識別潛在風險。</w:t>
      </w:r>
    </w:p>
    <w:p>
      <w:pPr>
        <w:pStyle w:val="BodyText"/>
      </w:pPr>
      <w:r>
        <w:rPr>
          <w:rFonts w:hint="eastAsia"/>
        </w:rPr>
        <w:t xml:space="preserve">利率風險</w:t>
      </w:r>
    </w:p>
    <w:p>
      <w:pPr>
        <w:pStyle w:val="BodyText"/>
      </w:pPr>
      <w:r>
        <w:rPr>
          <w:rFonts w:hint="eastAsia"/>
        </w:rPr>
        <w:t xml:space="preserve">本集團面對的利率風險主要來自本集團負債與資產存續期之間的任何差距。由於大多數市場並不具備年期足以配對壽險負債</w:t>
      </w:r>
    </w:p>
    <w:p>
      <w:pPr>
        <w:pStyle w:val="BodyText"/>
      </w:pPr>
      <w:r>
        <w:rPr>
          <w:rFonts w:hint="eastAsia"/>
        </w:rPr>
        <w:t xml:space="preserve">的資產，故引發與為配對本集團的保險負債而將到期資產再投資有關的不確定性。</w:t>
      </w:r>
    </w:p>
    <w:p>
      <w:pPr>
        <w:pStyle w:val="BodyText"/>
      </w:pPr>
      <w:r>
        <w:rPr>
          <w:rFonts w:hint="eastAsia"/>
        </w:rPr>
        <w:t xml:space="preserve">友邦保險主要採用經濟基準管理利率風險，以釐定資產及負債存續期。當地方償付能力制度偏離經濟基準時，為業務單位採</w:t>
      </w:r>
    </w:p>
    <w:p>
      <w:pPr>
        <w:pStyle w:val="BodyText"/>
      </w:pPr>
      <w:r>
        <w:rPr>
          <w:rFonts w:hint="eastAsia"/>
        </w:rPr>
        <w:t xml:space="preserve">用地方償付能力作基準的利率風險亦納入考量。此外，就酌情給付的產品而言，則進行額外的利率風險模式，藉此為釐定妥</w:t>
      </w:r>
    </w:p>
    <w:p>
      <w:pPr>
        <w:pStyle w:val="BodyText"/>
      </w:pPr>
      <w:r>
        <w:rPr>
          <w:rFonts w:hint="eastAsia"/>
        </w:rPr>
        <w:t xml:space="preserve">善的管理行動提供指引。評估期權和擔保產品時，管理層亦考慮利率變動所造成的不對稱影響。</w:t>
      </w:r>
    </w:p>
    <w:p>
      <w:pPr>
        <w:pStyle w:val="BodyText"/>
      </w:pPr>
      <w:r>
        <w:rPr>
          <w:rFonts w:hint="eastAsia"/>
        </w:rPr>
        <w:t xml:space="preserve">承受利率風險</w:t>
      </w:r>
    </w:p>
    <w:p>
      <w:pPr>
        <w:pStyle w:val="BodyText"/>
      </w:pPr>
      <w:r>
        <w:rPr>
          <w:rFonts w:hint="eastAsia"/>
        </w:rPr>
        <w:t xml:space="preserve">下表概述與金融資產及金融負債有關的利率風險性質。於編製此項分析時，於報告日期12個月內到期或重新定價的固定利率</w:t>
      </w:r>
    </w:p>
    <w:p>
      <w:pPr>
        <w:pStyle w:val="BodyText"/>
      </w:pPr>
      <w:r>
        <w:rPr>
          <w:rFonts w:hint="eastAsia"/>
        </w:rPr>
        <w:t xml:space="preserve">計息工具已披露為浮動利率工具。</w:t>
      </w:r>
    </w:p>
    <w:p>
      <w:pPr>
        <w:pStyle w:val="BodyText"/>
      </w:pPr>
      <w:r>
        <w:rPr>
          <w:rFonts w:hint="eastAsia"/>
        </w:rPr>
        <w:t xml:space="preserve">百萬美元</w:t>
      </w:r>
    </w:p>
    <w:p>
      <w:pPr>
        <w:pStyle w:val="BodyText"/>
      </w:pPr>
      <w:r>
        <w:rPr>
          <w:rFonts w:hint="eastAsia"/>
        </w:rPr>
        <w:t xml:space="preserve">2020年12月31日</w:t>
      </w:r>
    </w:p>
    <w:p>
      <w:pPr>
        <w:pStyle w:val="BodyText"/>
      </w:pPr>
      <w:r>
        <w:rPr>
          <w:rFonts w:hint="eastAsia"/>
        </w:rPr>
        <w:t xml:space="preserve">金融資產</w:t>
      </w:r>
    </w:p>
    <w:p>
      <w:pPr>
        <w:pStyle w:val="BodyText"/>
      </w:pPr>
      <w:r>
        <w:rPr>
          <w:rFonts w:hint="eastAsia"/>
        </w:rPr>
        <w:t xml:space="preserve">貸款及存款</w:t>
      </w:r>
    </w:p>
    <w:p>
      <w:pPr>
        <w:pStyle w:val="BodyText"/>
      </w:pPr>
      <w:r>
        <w:rPr>
          <w:rFonts w:hint="eastAsia"/>
        </w:rPr>
        <w:t xml:space="preserve">其他應收款項</w:t>
      </w:r>
    </w:p>
    <w:p>
      <w:pPr>
        <w:pStyle w:val="BodyText"/>
      </w:pPr>
      <w:r>
        <w:rPr>
          <w:rFonts w:hint="eastAsia"/>
        </w:rPr>
        <w:t xml:space="preserve">債務證券</w:t>
      </w:r>
    </w:p>
    <w:p>
      <w:pPr>
        <w:pStyle w:val="BodyText"/>
      </w:pPr>
      <w:r>
        <w:rPr>
          <w:rFonts w:hint="eastAsia"/>
        </w:rPr>
        <w:t xml:space="preserve">股本證券</w:t>
      </w:r>
    </w:p>
    <w:p>
      <w:pPr>
        <w:pStyle w:val="BodyText"/>
      </w:pPr>
      <w:r>
        <w:rPr>
          <w:rFonts w:hint="eastAsia"/>
        </w:rPr>
        <w:t xml:space="preserve">再保險應收款項</w:t>
      </w:r>
    </w:p>
    <w:p>
      <w:pPr>
        <w:pStyle w:val="BodyText"/>
      </w:pPr>
      <w:r>
        <w:rPr>
          <w:rFonts w:hint="eastAsia"/>
        </w:rPr>
        <w:t xml:space="preserve">應計投資收入</w:t>
      </w:r>
    </w:p>
    <w:p>
      <w:pPr>
        <w:pStyle w:val="BodyText"/>
      </w:pPr>
      <w:r>
        <w:rPr>
          <w:rFonts w:hint="eastAsia"/>
        </w:rPr>
        <w:t xml:space="preserve">現金及現金等價物</w:t>
      </w:r>
    </w:p>
    <w:p>
      <w:pPr>
        <w:pStyle w:val="BodyText"/>
      </w:pPr>
      <w:r>
        <w:rPr>
          <w:rFonts w:hint="eastAsia"/>
        </w:rPr>
        <w:t xml:space="preserve">衍生金融工具</w:t>
      </w:r>
    </w:p>
    <w:p>
      <w:pPr>
        <w:pStyle w:val="BodyText"/>
      </w:pPr>
      <w:r>
        <w:rPr>
          <w:rFonts w:hint="eastAsia"/>
        </w:rPr>
        <w:t xml:space="preserve">金融資產總值</w:t>
      </w:r>
    </w:p>
    <w:p>
      <w:pPr>
        <w:pStyle w:val="BodyText"/>
      </w:pPr>
      <w:r>
        <w:rPr>
          <w:rFonts w:hint="eastAsia"/>
        </w:rPr>
        <w:t xml:space="preserve">金融負債</w:t>
      </w:r>
    </w:p>
    <w:p>
      <w:pPr>
        <w:pStyle w:val="BodyText"/>
      </w:pPr>
      <w:r>
        <w:rPr>
          <w:rFonts w:hint="eastAsia"/>
        </w:rPr>
        <w:t xml:space="preserve">投資合約負債</w:t>
      </w:r>
    </w:p>
    <w:p>
      <w:pPr>
        <w:pStyle w:val="BodyText"/>
      </w:pPr>
      <w:r>
        <w:rPr>
          <w:rFonts w:hint="eastAsia"/>
        </w:rPr>
        <w:t xml:space="preserve">借貸</w:t>
      </w:r>
    </w:p>
    <w:p>
      <w:pPr>
        <w:pStyle w:val="BodyText"/>
      </w:pPr>
      <w:r>
        <w:rPr>
          <w:rFonts w:hint="eastAsia"/>
        </w:rPr>
        <w:t xml:space="preserve">回購協議的債項</w:t>
      </w:r>
    </w:p>
    <w:p>
      <w:pPr>
        <w:pStyle w:val="BodyText"/>
      </w:pPr>
      <w:r>
        <w:rPr>
          <w:rFonts w:hint="eastAsia"/>
        </w:rPr>
        <w:t xml:space="preserve">其他負債</w:t>
      </w:r>
    </w:p>
    <w:p>
      <w:pPr>
        <w:pStyle w:val="BodyText"/>
      </w:pPr>
      <w:r>
        <w:rPr>
          <w:rFonts w:hint="eastAsia"/>
        </w:rPr>
        <w:t xml:space="preserve">衍生金融工具</w:t>
      </w:r>
    </w:p>
    <w:p>
      <w:pPr>
        <w:pStyle w:val="BodyText"/>
      </w:pPr>
      <w:r>
        <w:rPr>
          <w:rFonts w:hint="eastAsia"/>
        </w:rPr>
        <w:t xml:space="preserve">金融負債總值</w:t>
      </w:r>
    </w:p>
    <w:p>
      <w:pPr>
        <w:pStyle w:val="BodyText"/>
      </w:pPr>
      <w:r>
        <w:rPr>
          <w:rFonts w:hint="eastAsia"/>
        </w:rPr>
        <w:t xml:space="preserve">浮動利率</w:t>
      </w:r>
    </w:p>
    <w:p>
      <w:pPr>
        <w:pStyle w:val="BodyText"/>
      </w:pPr>
      <w:r>
        <w:rPr>
          <w:rFonts w:hint="eastAsia"/>
        </w:rPr>
        <w:t xml:space="preserve">固定利率</w:t>
      </w:r>
    </w:p>
    <w:p>
      <w:pPr>
        <w:pStyle w:val="BodyText"/>
      </w:pPr>
      <w:r>
        <w:rPr>
          <w:rFonts w:hint="eastAsia"/>
        </w:rPr>
        <w:t xml:space="preserve">不附利息</w:t>
      </w:r>
    </w:p>
    <w:p>
      <w:pPr>
        <w:pStyle w:val="BodyText"/>
      </w:pPr>
      <w:r>
        <w:rPr>
          <w:rFonts w:hint="eastAsia"/>
        </w:rPr>
        <w:t xml:space="preserve">總計</w:t>
      </w:r>
    </w:p>
    <w:p>
      <w:pPr>
        <w:pStyle w:val="BodyText"/>
      </w:pPr>
      <w:r>
        <w:t xml:space="preserve">1,020</w:t>
      </w:r>
    </w:p>
    <w:p>
      <w:pPr>
        <w:pStyle w:val="BodyText"/>
      </w:pPr>
      <w:r>
        <w:t xml:space="preserve">69</w:t>
      </w:r>
    </w:p>
    <w:p>
      <w:pPr>
        <w:pStyle w:val="BodyText"/>
      </w:pPr>
      <w:r>
        <w:t xml:space="preserve">7,421</w:t>
      </w:r>
    </w:p>
    <w:p>
      <w:pPr>
        <w:pStyle w:val="BodyText"/>
      </w:pPr>
      <w:r>
        <w:t xml:space="preserve">1</w:t>
      </w:r>
    </w:p>
    <w:p>
      <w:pPr>
        <w:pStyle w:val="BodyText"/>
      </w:pPr>
      <w:r>
        <w:t xml:space="preserve">10,735</w:t>
      </w:r>
    </w:p>
    <w:p>
      <w:pPr>
        <w:pStyle w:val="BodyText"/>
      </w:pPr>
      <w:r>
        <w:t xml:space="preserve">191,146</w:t>
      </w:r>
    </w:p>
    <w:p>
      <w:pPr>
        <w:pStyle w:val="BodyText"/>
      </w:pPr>
      <w:r>
        <w:t xml:space="preserve">–</w:t>
      </w:r>
    </w:p>
    <w:p>
      <w:pPr>
        <w:pStyle w:val="BodyText"/>
      </w:pPr>
      <w:r>
        <w:t xml:space="preserve">–</w:t>
      </w:r>
    </w:p>
    <w:p>
      <w:pPr>
        <w:pStyle w:val="BodyText"/>
      </w:pPr>
      <w:r>
        <w:t xml:space="preserve">–</w:t>
      </w:r>
    </w:p>
    <w:p>
      <w:pPr>
        <w:pStyle w:val="BodyText"/>
      </w:pPr>
      <w:r>
        <w:t xml:space="preserve">4,071</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894</w:t>
      </w:r>
    </w:p>
    <w:p>
      <w:pPr>
        <w:pStyle w:val="BodyText"/>
      </w:pPr>
      <w:r>
        <w:t xml:space="preserve">2,636</w:t>
      </w:r>
    </w:p>
    <w:p>
      <w:pPr>
        <w:pStyle w:val="BodyText"/>
      </w:pPr>
      <w:r>
        <w:t xml:space="preserve">–</w:t>
      </w:r>
    </w:p>
    <w:p>
      <w:pPr>
        <w:pStyle w:val="BodyText"/>
      </w:pPr>
      <w:r>
        <w:t xml:space="preserve">59,182</w:t>
      </w:r>
    </w:p>
    <w:p>
      <w:pPr>
        <w:pStyle w:val="BodyText"/>
      </w:pPr>
      <w:r>
        <w:t xml:space="preserve">671</w:t>
      </w:r>
    </w:p>
    <w:p>
      <w:pPr>
        <w:pStyle w:val="BodyText"/>
      </w:pPr>
      <w:r>
        <w:t xml:space="preserve">1,822</w:t>
      </w:r>
    </w:p>
    <w:p>
      <w:pPr>
        <w:pStyle w:val="BodyText"/>
      </w:pPr>
      <w:r>
        <w:t xml:space="preserve">1,548</w:t>
      </w:r>
    </w:p>
    <w:p>
      <w:pPr>
        <w:pStyle w:val="BodyText"/>
      </w:pPr>
      <w:r>
        <w:t xml:space="preserve">1,069</w:t>
      </w:r>
    </w:p>
    <w:p>
      <w:pPr>
        <w:pStyle w:val="BodyText"/>
      </w:pPr>
      <w:r>
        <w:t xml:space="preserve">9,335</w:t>
      </w:r>
    </w:p>
    <w:p>
      <w:pPr>
        <w:pStyle w:val="BodyText"/>
      </w:pPr>
      <w:r>
        <w:t xml:space="preserve">2,706</w:t>
      </w:r>
    </w:p>
    <w:p>
      <w:pPr>
        <w:pStyle w:val="BodyText"/>
      </w:pPr>
      <w:r>
        <w:t xml:space="preserve">201,881</w:t>
      </w:r>
    </w:p>
    <w:p>
      <w:pPr>
        <w:pStyle w:val="BodyText"/>
      </w:pPr>
      <w:r>
        <w:t xml:space="preserve">59,182</w:t>
      </w:r>
    </w:p>
    <w:p>
      <w:pPr>
        <w:pStyle w:val="BodyText"/>
      </w:pPr>
      <w:r>
        <w:t xml:space="preserve">671</w:t>
      </w:r>
    </w:p>
    <w:p>
      <w:pPr>
        <w:pStyle w:val="BodyText"/>
      </w:pPr>
      <w:r>
        <w:t xml:space="preserve">1,822</w:t>
      </w:r>
    </w:p>
    <w:p>
      <w:pPr>
        <w:pStyle w:val="BodyText"/>
      </w:pPr>
      <w:r>
        <w:t xml:space="preserve">5,619</w:t>
      </w:r>
    </w:p>
    <w:p>
      <w:pPr>
        <w:pStyle w:val="BodyText"/>
      </w:pPr>
      <w:r>
        <w:t xml:space="preserve">1,069</w:t>
      </w:r>
    </w:p>
    <w:p>
      <w:pPr>
        <w:pStyle w:val="BodyText"/>
      </w:pPr>
      <w:r>
        <w:t xml:space="preserve">15,895</w:t>
      </w:r>
    </w:p>
    <w:p>
      <w:pPr>
        <w:pStyle w:val="BodyText"/>
      </w:pPr>
      <w:r>
        <w:t xml:space="preserve">198,568</w:t>
      </w:r>
    </w:p>
    <w:p>
      <w:pPr>
        <w:pStyle w:val="BodyText"/>
      </w:pPr>
      <w:r>
        <w:t xml:space="preserve">67,822</w:t>
      </w:r>
    </w:p>
    <w:p>
      <w:pPr>
        <w:pStyle w:val="BodyText"/>
      </w:pPr>
      <w:r>
        <w:t xml:space="preserve">282,285</w:t>
      </w:r>
    </w:p>
    <w:p>
      <w:pPr>
        <w:pStyle w:val="BodyText"/>
      </w:pPr>
      <w:r>
        <w:t xml:space="preserve">–</w:t>
      </w:r>
    </w:p>
    <w:p>
      <w:pPr>
        <w:pStyle w:val="BodyText"/>
      </w:pPr>
      <w:r>
        <w:t xml:space="preserve">500</w:t>
      </w:r>
    </w:p>
    <w:p>
      <w:pPr>
        <w:pStyle w:val="BodyText"/>
      </w:pPr>
      <w:r>
        <w:t xml:space="preserve">1,664</w:t>
      </w:r>
    </w:p>
    <w:p>
      <w:pPr>
        <w:pStyle w:val="BodyText"/>
      </w:pPr>
      <w:r>
        <w:t xml:space="preserve">409</w:t>
      </w:r>
    </w:p>
    <w:p>
      <w:pPr>
        <w:pStyle w:val="BodyText"/>
      </w:pPr>
      <w:r>
        <w:t xml:space="preserve">–</w:t>
      </w:r>
    </w:p>
    <w:p>
      <w:pPr>
        <w:pStyle w:val="BodyText"/>
      </w:pPr>
      <w:r>
        <w:t xml:space="preserve">2,573</w:t>
      </w:r>
    </w:p>
    <w:p>
      <w:pPr>
        <w:pStyle w:val="BodyText"/>
      </w:pPr>
      <w:r>
        <w:t xml:space="preserve">–</w:t>
      </w:r>
    </w:p>
    <w:p>
      <w:pPr>
        <w:pStyle w:val="BodyText"/>
      </w:pPr>
      <w:r>
        <w:t xml:space="preserve">12,569</w:t>
      </w:r>
    </w:p>
    <w:p>
      <w:pPr>
        <w:pStyle w:val="BodyText"/>
      </w:pPr>
      <w:r>
        <w:t xml:space="preserve">12,569</w:t>
      </w:r>
    </w:p>
    <w:p>
      <w:pPr>
        <w:pStyle w:val="BodyText"/>
      </w:pPr>
      <w:r>
        <w:t xml:space="preserve">8,059</w:t>
      </w:r>
    </w:p>
    <w:p>
      <w:pPr>
        <w:pStyle w:val="BodyText"/>
      </w:pPr>
      <w:r>
        <w:t xml:space="preserve">–</w:t>
      </w:r>
    </w:p>
    <w:p>
      <w:pPr>
        <w:pStyle w:val="BodyText"/>
      </w:pPr>
      <w:r>
        <w:t xml:space="preserve">503</w:t>
      </w:r>
    </w:p>
    <w:p>
      <w:pPr>
        <w:pStyle w:val="BodyText"/>
      </w:pPr>
      <w:r>
        <w:t xml:space="preserve">–</w:t>
      </w:r>
    </w:p>
    <w:p>
      <w:pPr>
        <w:pStyle w:val="BodyText"/>
      </w:pPr>
      <w:r>
        <w:t xml:space="preserve">8,562</w:t>
      </w:r>
    </w:p>
    <w:p>
      <w:pPr>
        <w:pStyle w:val="BodyText"/>
      </w:pPr>
      <w:r>
        <w:t xml:space="preserve">–</w:t>
      </w:r>
    </w:p>
    <w:p>
      <w:pPr>
        <w:pStyle w:val="BodyText"/>
      </w:pPr>
      <w:r>
        <w:t xml:space="preserve">–</w:t>
      </w:r>
    </w:p>
    <w:p>
      <w:pPr>
        <w:pStyle w:val="BodyText"/>
      </w:pPr>
      <w:r>
        <w:t xml:space="preserve">6,885</w:t>
      </w:r>
    </w:p>
    <w:p>
      <w:pPr>
        <w:pStyle w:val="BodyText"/>
      </w:pPr>
      <w:r>
        <w:t xml:space="preserve">1,003</w:t>
      </w:r>
    </w:p>
    <w:p>
      <w:pPr>
        <w:pStyle w:val="BodyText"/>
      </w:pPr>
      <w:r>
        <w:t xml:space="preserve">20,457</w:t>
      </w:r>
    </w:p>
    <w:p>
      <w:pPr>
        <w:pStyle w:val="BodyText"/>
      </w:pPr>
      <w:r>
        <w:t xml:space="preserve">8,559</w:t>
      </w:r>
    </w:p>
    <w:p>
      <w:pPr>
        <w:pStyle w:val="BodyText"/>
      </w:pPr>
      <w:r>
        <w:t xml:space="preserve">1,664</w:t>
      </w:r>
    </w:p>
    <w:p>
      <w:pPr>
        <w:pStyle w:val="BodyText"/>
      </w:pPr>
      <w:r>
        <w:t xml:space="preserve">7,797</w:t>
      </w:r>
    </w:p>
    <w:p>
      <w:pPr>
        <w:pStyle w:val="BodyText"/>
      </w:pPr>
      <w:r>
        <w:t xml:space="preserve">1,003</w:t>
      </w:r>
    </w:p>
    <w:p>
      <w:pPr>
        <w:pStyle w:val="BodyText"/>
      </w:pPr>
      <w:r>
        <w:t xml:space="preserve">31,592</w:t>
      </w:r>
    </w:p>
    <w:p>
      <w:pPr>
        <w:pStyle w:val="BodyText"/>
      </w:pPr>
      <w:r>
        <w:t xml:space="preserve">235</w:t>
      </w:r>
    </w:p>
    <w:p>
      <w:pPr>
        <w:pStyle w:val="BodyText"/>
      </w:pPr>
      <w:r>
        <w:rPr>
          <w:rFonts w:hint="eastAsia"/>
        </w:rPr>
        <w:t xml:space="preserve">概覽財務及營運回顧企業管治其他資料財務報表2020年報</w:t>
      </w:r>
    </w:p>
    <w:p>
      <w:pPr>
        <w:pStyle w:val="Compact"/>
        <w:numPr>
          <w:ilvl w:val="0"/>
          <w:numId w:val="1497"/>
        </w:numPr>
      </w:pPr>
      <w:r>
        <w:rPr>
          <w:rFonts w:hint="eastAsia"/>
        </w:rPr>
        <w:t xml:space="preserve">風險管理（續）</w:t>
      </w:r>
    </w:p>
    <w:p>
      <w:pPr>
        <w:pStyle w:val="FirstParagraph"/>
      </w:pPr>
      <w:r>
        <w:rPr>
          <w:rFonts w:hint="eastAsia"/>
        </w:rPr>
        <w:t xml:space="preserve">投資及財務風險（續）</w:t>
      </w:r>
    </w:p>
    <w:p>
      <w:pPr>
        <w:pStyle w:val="BodyText"/>
      </w:pPr>
      <w:r>
        <w:rPr>
          <w:rFonts w:hint="eastAsia"/>
        </w:rPr>
        <w:t xml:space="preserve">承受利率風險（續）</w:t>
      </w:r>
    </w:p>
    <w:p>
      <w:pPr>
        <w:pStyle w:val="BodyText"/>
      </w:pPr>
      <w:r>
        <w:rPr>
          <w:rFonts w:hint="eastAsia"/>
        </w:rPr>
        <w:t xml:space="preserve">百萬美元</w:t>
      </w:r>
    </w:p>
    <w:p>
      <w:pPr>
        <w:pStyle w:val="BodyText"/>
      </w:pPr>
      <w:r>
        <w:rPr>
          <w:rFonts w:hint="eastAsia"/>
        </w:rPr>
        <w:t xml:space="preserve">2019年12月31日</w:t>
      </w:r>
    </w:p>
    <w:p>
      <w:pPr>
        <w:pStyle w:val="BodyText"/>
      </w:pPr>
      <w:r>
        <w:rPr>
          <w:rFonts w:hint="eastAsia"/>
        </w:rPr>
        <w:t xml:space="preserve">金融資產</w:t>
      </w:r>
    </w:p>
    <w:p>
      <w:pPr>
        <w:pStyle w:val="BodyText"/>
      </w:pPr>
      <w:r>
        <w:rPr>
          <w:rFonts w:hint="eastAsia"/>
        </w:rPr>
        <w:t xml:space="preserve">貸款及存款</w:t>
      </w:r>
    </w:p>
    <w:p>
      <w:pPr>
        <w:pStyle w:val="BodyText"/>
      </w:pPr>
      <w:r>
        <w:rPr>
          <w:rFonts w:hint="eastAsia"/>
        </w:rPr>
        <w:t xml:space="preserve">其他應收款項</w:t>
      </w:r>
    </w:p>
    <w:p>
      <w:pPr>
        <w:pStyle w:val="BodyText"/>
      </w:pPr>
      <w:r>
        <w:rPr>
          <w:rFonts w:hint="eastAsia"/>
        </w:rPr>
        <w:t xml:space="preserve">債務證券</w:t>
      </w:r>
    </w:p>
    <w:p>
      <w:pPr>
        <w:pStyle w:val="BodyText"/>
      </w:pPr>
      <w:r>
        <w:rPr>
          <w:rFonts w:hint="eastAsia"/>
        </w:rPr>
        <w:t xml:space="preserve">股本證券</w:t>
      </w:r>
    </w:p>
    <w:p>
      <w:pPr>
        <w:pStyle w:val="BodyText"/>
      </w:pPr>
      <w:r>
        <w:rPr>
          <w:rFonts w:hint="eastAsia"/>
        </w:rPr>
        <w:t xml:space="preserve">再保險應收款項</w:t>
      </w:r>
    </w:p>
    <w:p>
      <w:pPr>
        <w:pStyle w:val="BodyText"/>
      </w:pPr>
      <w:r>
        <w:rPr>
          <w:rFonts w:hint="eastAsia"/>
        </w:rPr>
        <w:t xml:space="preserve">應計投資收入</w:t>
      </w:r>
    </w:p>
    <w:p>
      <w:pPr>
        <w:pStyle w:val="BodyText"/>
      </w:pPr>
      <w:r>
        <w:rPr>
          <w:rFonts w:hint="eastAsia"/>
        </w:rPr>
        <w:t xml:space="preserve">現金及現金等價物</w:t>
      </w:r>
    </w:p>
    <w:p>
      <w:pPr>
        <w:pStyle w:val="BodyText"/>
      </w:pPr>
      <w:r>
        <w:rPr>
          <w:rFonts w:hint="eastAsia"/>
        </w:rPr>
        <w:t xml:space="preserve">衍生金融工具</w:t>
      </w:r>
    </w:p>
    <w:p>
      <w:pPr>
        <w:pStyle w:val="BodyText"/>
      </w:pPr>
      <w:r>
        <w:rPr>
          <w:rFonts w:hint="eastAsia"/>
        </w:rPr>
        <w:t xml:space="preserve">金融資產總值</w:t>
      </w:r>
    </w:p>
    <w:p>
      <w:pPr>
        <w:pStyle w:val="BodyText"/>
      </w:pPr>
      <w:r>
        <w:rPr>
          <w:rFonts w:hint="eastAsia"/>
        </w:rPr>
        <w:t xml:space="preserve">金融負債</w:t>
      </w:r>
    </w:p>
    <w:p>
      <w:pPr>
        <w:pStyle w:val="BodyText"/>
      </w:pPr>
      <w:r>
        <w:rPr>
          <w:rFonts w:hint="eastAsia"/>
        </w:rPr>
        <w:t xml:space="preserve">投資合約負債</w:t>
      </w:r>
    </w:p>
    <w:p>
      <w:pPr>
        <w:pStyle w:val="BodyText"/>
      </w:pPr>
      <w:r>
        <w:rPr>
          <w:rFonts w:hint="eastAsia"/>
        </w:rPr>
        <w:t xml:space="preserve">借貸</w:t>
      </w:r>
    </w:p>
    <w:p>
      <w:pPr>
        <w:pStyle w:val="BodyText"/>
      </w:pPr>
      <w:r>
        <w:rPr>
          <w:rFonts w:hint="eastAsia"/>
        </w:rPr>
        <w:t xml:space="preserve">回購協議的債項</w:t>
      </w:r>
    </w:p>
    <w:p>
      <w:pPr>
        <w:pStyle w:val="BodyText"/>
      </w:pPr>
      <w:r>
        <w:rPr>
          <w:rFonts w:hint="eastAsia"/>
        </w:rPr>
        <w:t xml:space="preserve">其他負債</w:t>
      </w:r>
    </w:p>
    <w:p>
      <w:pPr>
        <w:pStyle w:val="BodyText"/>
      </w:pPr>
      <w:r>
        <w:rPr>
          <w:rFonts w:hint="eastAsia"/>
        </w:rPr>
        <w:t xml:space="preserve">衍生金融工具</w:t>
      </w:r>
    </w:p>
    <w:p>
      <w:pPr>
        <w:pStyle w:val="BodyText"/>
      </w:pPr>
      <w:r>
        <w:rPr>
          <w:rFonts w:hint="eastAsia"/>
        </w:rPr>
        <w:t xml:space="preserve">金融負債總值</w:t>
      </w:r>
    </w:p>
    <w:p>
      <w:pPr>
        <w:pStyle w:val="BodyText"/>
      </w:pPr>
      <w:r>
        <w:rPr>
          <w:rFonts w:hint="eastAsia"/>
        </w:rPr>
        <w:t xml:space="preserve">股本價格風險</w:t>
      </w:r>
    </w:p>
    <w:p>
      <w:pPr>
        <w:pStyle w:val="BodyText"/>
      </w:pPr>
      <w:r>
        <w:rPr>
          <w:rFonts w:hint="eastAsia"/>
        </w:rPr>
        <w:t xml:space="preserve">浮動利率</w:t>
      </w:r>
    </w:p>
    <w:p>
      <w:pPr>
        <w:pStyle w:val="BodyText"/>
      </w:pPr>
      <w:r>
        <w:rPr>
          <w:rFonts w:hint="eastAsia"/>
        </w:rPr>
        <w:t xml:space="preserve">固定利率</w:t>
      </w:r>
    </w:p>
    <w:p>
      <w:pPr>
        <w:pStyle w:val="BodyText"/>
      </w:pPr>
      <w:r>
        <w:rPr>
          <w:rFonts w:hint="eastAsia"/>
        </w:rPr>
        <w:t xml:space="preserve">不附利息</w:t>
      </w:r>
    </w:p>
    <w:p>
      <w:pPr>
        <w:pStyle w:val="BodyText"/>
      </w:pPr>
      <w:r>
        <w:rPr>
          <w:rFonts w:hint="eastAsia"/>
        </w:rPr>
        <w:t xml:space="preserve">總計</w:t>
      </w:r>
    </w:p>
    <w:p>
      <w:pPr>
        <w:pStyle w:val="BodyText"/>
      </w:pPr>
      <w:r>
        <w:t xml:space="preserve">1,042</w:t>
      </w:r>
    </w:p>
    <w:p>
      <w:pPr>
        <w:pStyle w:val="BodyText"/>
      </w:pPr>
      <w:r>
        <w:t xml:space="preserve">2</w:t>
      </w:r>
    </w:p>
    <w:p>
      <w:pPr>
        <w:pStyle w:val="BodyText"/>
      </w:pPr>
      <w:r>
        <w:t xml:space="preserve">8,238</w:t>
      </w:r>
    </w:p>
    <w:p>
      <w:pPr>
        <w:pStyle w:val="BodyText"/>
      </w:pPr>
      <w:r>
        <w:t xml:space="preserve">1</w:t>
      </w:r>
    </w:p>
    <w:p>
      <w:pPr>
        <w:pStyle w:val="BodyText"/>
      </w:pPr>
      <w:r>
        <w:t xml:space="preserve">8,229</w:t>
      </w:r>
    </w:p>
    <w:p>
      <w:pPr>
        <w:pStyle w:val="BodyText"/>
      </w:pPr>
      <w:r>
        <w:t xml:space="preserve">163,755</w:t>
      </w:r>
    </w:p>
    <w:p>
      <w:pPr>
        <w:pStyle w:val="BodyText"/>
      </w:pPr>
      <w:r>
        <w:t xml:space="preserve">–</w:t>
      </w:r>
    </w:p>
    <w:p>
      <w:pPr>
        <w:pStyle w:val="BodyText"/>
      </w:pPr>
      <w:r>
        <w:t xml:space="preserve">–</w:t>
      </w:r>
    </w:p>
    <w:p>
      <w:pPr>
        <w:pStyle w:val="BodyText"/>
      </w:pPr>
      <w:r>
        <w:t xml:space="preserve">–</w:t>
      </w:r>
    </w:p>
    <w:p>
      <w:pPr>
        <w:pStyle w:val="BodyText"/>
      </w:pPr>
      <w:r>
        <w:t xml:space="preserve">3,639</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806</w:t>
      </w:r>
    </w:p>
    <w:p>
      <w:pPr>
        <w:pStyle w:val="BodyText"/>
      </w:pPr>
      <w:r>
        <w:t xml:space="preserve">2,677</w:t>
      </w:r>
    </w:p>
    <w:p>
      <w:pPr>
        <w:pStyle w:val="BodyText"/>
      </w:pPr>
      <w:r>
        <w:t xml:space="preserve">–</w:t>
      </w:r>
    </w:p>
    <w:p>
      <w:pPr>
        <w:pStyle w:val="BodyText"/>
      </w:pPr>
      <w:r>
        <w:t xml:space="preserve">50,322</w:t>
      </w:r>
    </w:p>
    <w:p>
      <w:pPr>
        <w:pStyle w:val="BodyText"/>
      </w:pPr>
      <w:r>
        <w:t xml:space="preserve">683</w:t>
      </w:r>
    </w:p>
    <w:p>
      <w:pPr>
        <w:pStyle w:val="BodyText"/>
      </w:pPr>
      <w:r>
        <w:t xml:space="preserve">1,710</w:t>
      </w:r>
    </w:p>
    <w:p>
      <w:pPr>
        <w:pStyle w:val="BodyText"/>
      </w:pPr>
      <w:r>
        <w:t xml:space="preserve">302</w:t>
      </w:r>
    </w:p>
    <w:p>
      <w:pPr>
        <w:pStyle w:val="BodyText"/>
      </w:pPr>
      <w:r>
        <w:t xml:space="preserve">971</w:t>
      </w:r>
    </w:p>
    <w:p>
      <w:pPr>
        <w:pStyle w:val="BodyText"/>
      </w:pPr>
      <w:r>
        <w:t xml:space="preserve">10,086</w:t>
      </w:r>
    </w:p>
    <w:p>
      <w:pPr>
        <w:pStyle w:val="BodyText"/>
      </w:pPr>
      <w:r>
        <w:t xml:space="preserve">2,680</w:t>
      </w:r>
    </w:p>
    <w:p>
      <w:pPr>
        <w:pStyle w:val="BodyText"/>
      </w:pPr>
      <w:r>
        <w:t xml:space="preserve">171,984</w:t>
      </w:r>
    </w:p>
    <w:p>
      <w:pPr>
        <w:pStyle w:val="BodyText"/>
      </w:pPr>
      <w:r>
        <w:t xml:space="preserve">50,322</w:t>
      </w:r>
    </w:p>
    <w:p>
      <w:pPr>
        <w:pStyle w:val="BodyText"/>
      </w:pPr>
      <w:r>
        <w:t xml:space="preserve">683</w:t>
      </w:r>
    </w:p>
    <w:p>
      <w:pPr>
        <w:pStyle w:val="BodyText"/>
      </w:pPr>
      <w:r>
        <w:t xml:space="preserve">1,710</w:t>
      </w:r>
    </w:p>
    <w:p>
      <w:pPr>
        <w:pStyle w:val="BodyText"/>
      </w:pPr>
      <w:r>
        <w:t xml:space="preserve">3,941</w:t>
      </w:r>
    </w:p>
    <w:p>
      <w:pPr>
        <w:pStyle w:val="BodyText"/>
      </w:pPr>
      <w:r>
        <w:t xml:space="preserve">971</w:t>
      </w:r>
    </w:p>
    <w:p>
      <w:pPr>
        <w:pStyle w:val="BodyText"/>
      </w:pPr>
      <w:r>
        <w:t xml:space="preserve">12,912</w:t>
      </w:r>
    </w:p>
    <w:p>
      <w:pPr>
        <w:pStyle w:val="BodyText"/>
      </w:pPr>
      <w:r>
        <w:t xml:space="preserve">171,994</w:t>
      </w:r>
    </w:p>
    <w:p>
      <w:pPr>
        <w:pStyle w:val="BodyText"/>
      </w:pPr>
      <w:r>
        <w:t xml:space="preserve">57,471</w:t>
      </w:r>
    </w:p>
    <w:p>
      <w:pPr>
        <w:pStyle w:val="BodyText"/>
      </w:pPr>
      <w:r>
        <w:t xml:space="preserve">242,377</w:t>
      </w:r>
    </w:p>
    <w:p>
      <w:pPr>
        <w:pStyle w:val="BodyText"/>
      </w:pPr>
      <w:r>
        <w:t xml:space="preserve">–</w:t>
      </w:r>
    </w:p>
    <w:p>
      <w:pPr>
        <w:pStyle w:val="BodyText"/>
      </w:pPr>
      <w:r>
        <w:t xml:space="preserve">500</w:t>
      </w:r>
    </w:p>
    <w:p>
      <w:pPr>
        <w:pStyle w:val="BodyText"/>
      </w:pPr>
      <w:r>
        <w:t xml:space="preserve">1,826</w:t>
      </w:r>
    </w:p>
    <w:p>
      <w:pPr>
        <w:pStyle w:val="BodyText"/>
      </w:pPr>
      <w:r>
        <w:t xml:space="preserve">682</w:t>
      </w:r>
    </w:p>
    <w:p>
      <w:pPr>
        <w:pStyle w:val="BodyText"/>
      </w:pPr>
      <w:r>
        <w:t xml:space="preserve">–</w:t>
      </w:r>
    </w:p>
    <w:p>
      <w:pPr>
        <w:pStyle w:val="BodyText"/>
      </w:pPr>
      <w:r>
        <w:t xml:space="preserve">3,008</w:t>
      </w:r>
    </w:p>
    <w:p>
      <w:pPr>
        <w:pStyle w:val="BodyText"/>
      </w:pPr>
      <w:r>
        <w:t xml:space="preserve">–</w:t>
      </w:r>
    </w:p>
    <w:p>
      <w:pPr>
        <w:pStyle w:val="BodyText"/>
      </w:pPr>
      <w:r>
        <w:t xml:space="preserve">5,257</w:t>
      </w:r>
    </w:p>
    <w:p>
      <w:pPr>
        <w:pStyle w:val="BodyText"/>
      </w:pPr>
      <w:r>
        <w:t xml:space="preserve">–</w:t>
      </w:r>
    </w:p>
    <w:p>
      <w:pPr>
        <w:pStyle w:val="BodyText"/>
      </w:pPr>
      <w:r>
        <w:t xml:space="preserve">141</w:t>
      </w:r>
    </w:p>
    <w:p>
      <w:pPr>
        <w:pStyle w:val="BodyText"/>
      </w:pPr>
      <w:r>
        <w:t xml:space="preserve">–</w:t>
      </w:r>
    </w:p>
    <w:p>
      <w:pPr>
        <w:pStyle w:val="BodyText"/>
      </w:pPr>
      <w:r>
        <w:t xml:space="preserve">5,398</w:t>
      </w:r>
    </w:p>
    <w:p>
      <w:pPr>
        <w:pStyle w:val="BodyText"/>
      </w:pPr>
      <w:r>
        <w:t xml:space="preserve">11,906</w:t>
      </w:r>
    </w:p>
    <w:p>
      <w:pPr>
        <w:pStyle w:val="BodyText"/>
      </w:pPr>
      <w:r>
        <w:t xml:space="preserve">11,906</w:t>
      </w:r>
    </w:p>
    <w:p>
      <w:pPr>
        <w:pStyle w:val="BodyText"/>
      </w:pPr>
      <w:r>
        <w:t xml:space="preserve">–</w:t>
      </w:r>
    </w:p>
    <w:p>
      <w:pPr>
        <w:pStyle w:val="BodyText"/>
      </w:pPr>
      <w:r>
        <w:t xml:space="preserve">–</w:t>
      </w:r>
    </w:p>
    <w:p>
      <w:pPr>
        <w:pStyle w:val="BodyText"/>
      </w:pPr>
      <w:r>
        <w:t xml:space="preserve">8,594</w:t>
      </w:r>
    </w:p>
    <w:p>
      <w:pPr>
        <w:pStyle w:val="BodyText"/>
      </w:pPr>
      <w:r>
        <w:t xml:space="preserve">412</w:t>
      </w:r>
    </w:p>
    <w:p>
      <w:pPr>
        <w:pStyle w:val="BodyText"/>
      </w:pPr>
      <w:r>
        <w:t xml:space="preserve">20,912</w:t>
      </w:r>
    </w:p>
    <w:p>
      <w:pPr>
        <w:pStyle w:val="BodyText"/>
      </w:pPr>
      <w:r>
        <w:t xml:space="preserve">5,757</w:t>
      </w:r>
    </w:p>
    <w:p>
      <w:pPr>
        <w:pStyle w:val="BodyText"/>
      </w:pPr>
      <w:r>
        <w:t xml:space="preserve">1,826</w:t>
      </w:r>
    </w:p>
    <w:p>
      <w:pPr>
        <w:pStyle w:val="BodyText"/>
      </w:pPr>
      <w:r>
        <w:t xml:space="preserve">9,417</w:t>
      </w:r>
    </w:p>
    <w:p>
      <w:pPr>
        <w:pStyle w:val="BodyText"/>
      </w:pPr>
      <w:r>
        <w:t xml:space="preserve">412</w:t>
      </w:r>
    </w:p>
    <w:p>
      <w:pPr>
        <w:pStyle w:val="BodyText"/>
      </w:pPr>
      <w:r>
        <w:t xml:space="preserve">29,318</w:t>
      </w:r>
    </w:p>
    <w:p>
      <w:pPr>
        <w:pStyle w:val="BodyText"/>
      </w:pPr>
      <w:r>
        <w:rPr>
          <w:rFonts w:hint="eastAsia"/>
        </w:rPr>
        <w:t xml:space="preserve">股本價格風險因股本證券的市值變動而產生。長期性股本證券的預期投資回報可與協調保單持有人的期望一致、提供分散風</w:t>
      </w:r>
    </w:p>
    <w:p>
      <w:pPr>
        <w:pStyle w:val="BodyText"/>
      </w:pPr>
      <w:r>
        <w:rPr>
          <w:rFonts w:hint="eastAsia"/>
        </w:rPr>
        <w:t xml:space="preserve">險效益及提高整體回報。在任何時候所承受的股本風險程度受本集團的策略性資產配置情況規限。</w:t>
      </w:r>
    </w:p>
    <w:p>
      <w:pPr>
        <w:pStyle w:val="BodyText"/>
      </w:pPr>
      <w:r>
        <w:rPr>
          <w:rFonts w:hint="eastAsia"/>
        </w:rPr>
        <w:t xml:space="preserve">股本價格風險首先透過個別投資委託界定各項基準和追蹤誤差目標以進行管理。股本限額亦適用於限制個別風險。股本風險</w:t>
      </w:r>
    </w:p>
    <w:p>
      <w:pPr>
        <w:pStyle w:val="BodyText"/>
      </w:pPr>
      <w:r>
        <w:rPr>
          <w:rFonts w:hint="eastAsia"/>
        </w:rPr>
        <w:t xml:space="preserve">會加入於各個別交易對手的風險總報告中，以確保避免風險過度集中。</w:t>
      </w:r>
    </w:p>
    <w:p>
      <w:pPr>
        <w:pStyle w:val="BodyText"/>
      </w:pPr>
      <w:r>
        <w:t xml:space="preserve">236</w:t>
      </w:r>
    </w:p>
    <w:p>
      <w:pPr>
        <w:pStyle w:val="BodyText"/>
      </w:pPr>
      <w:r>
        <w:rPr>
          <w:rFonts w:hint="eastAsia"/>
        </w:rPr>
        <w:t xml:space="preserve">友邦保險控股有限公司</w:t>
      </w:r>
    </w:p>
    <w:p>
      <w:pPr>
        <w:pStyle w:val="Compact"/>
        <w:numPr>
          <w:ilvl w:val="0"/>
          <w:numId w:val="1498"/>
        </w:numPr>
      </w:pPr>
      <w:r>
        <w:rPr>
          <w:rFonts w:hint="eastAsia"/>
        </w:rPr>
        <w:t xml:space="preserve">風險管理（續）</w:t>
      </w:r>
    </w:p>
    <w:p>
      <w:pPr>
        <w:pStyle w:val="FirstParagraph"/>
      </w:pPr>
      <w:r>
        <w:rPr>
          <w:rFonts w:hint="eastAsia"/>
        </w:rPr>
        <w:t xml:space="preserve">投資及財務風險（續）</w:t>
      </w:r>
    </w:p>
    <w:p>
      <w:pPr>
        <w:pStyle w:val="BodyText"/>
      </w:pPr>
      <w:r>
        <w:rPr>
          <w:rFonts w:hint="eastAsia"/>
        </w:rPr>
        <w:t xml:space="preserve">敏感度分析</w:t>
      </w:r>
    </w:p>
    <w:p>
      <w:pPr>
        <w:pStyle w:val="BodyText"/>
      </w:pPr>
      <w:r>
        <w:rPr>
          <w:rFonts w:hint="eastAsia"/>
        </w:rPr>
        <w:t xml:space="preserve">對影響金融資產及負債的主要變量的敏感度分析載列於下表。附帶酌情分紅特點的保險及投資合約的敏感度資料載於附註</w:t>
      </w:r>
    </w:p>
    <w:p>
      <w:pPr>
        <w:pStyle w:val="BodyText"/>
      </w:pPr>
      <w:r>
        <w:rPr>
          <w:rFonts w:hint="eastAsia"/>
        </w:rPr>
        <w:t xml:space="preserve">29。其他金融資產的賬面值不會因利率或股本價格變動而改變。於計算債務及股本工具對利率及股本價格變動的敏感度時，</w:t>
      </w:r>
    </w:p>
    <w:p>
      <w:pPr>
        <w:pStyle w:val="BodyText"/>
      </w:pPr>
      <w:r>
        <w:rPr>
          <w:rFonts w:hint="eastAsia"/>
        </w:rPr>
        <w:t xml:space="preserve">本集團已就資產估值對保單持有人的負債的相應影響作出假設。由於單位連結式合約的資產的公平值變動由保單持有人全數</w:t>
      </w:r>
    </w:p>
    <w:p>
      <w:pPr>
        <w:pStyle w:val="BodyText"/>
      </w:pPr>
      <w:r>
        <w:rPr>
          <w:rFonts w:hint="eastAsia"/>
        </w:rPr>
        <w:t xml:space="preserve">承擔，故與此類合約相關的資產已被剔除。計算以分紅基金所持有資產的敏感度分析時，已按附註2所述的適用最低保單持</w:t>
      </w:r>
    </w:p>
    <w:p>
      <w:pPr>
        <w:pStyle w:val="BodyText"/>
      </w:pPr>
      <w:r>
        <w:rPr>
          <w:rFonts w:hint="eastAsia"/>
        </w:rPr>
        <w:t xml:space="preserve">有人分紅比例扣除分配予保單持有人的回報。</w:t>
      </w:r>
    </w:p>
    <w:p>
      <w:pPr>
        <w:pStyle w:val="BodyText"/>
      </w:pPr>
      <w:r>
        <w:rPr>
          <w:rFonts w:hint="eastAsia"/>
        </w:rPr>
        <w:t xml:space="preserve">所呈列的資料旨在說明估計單一變量變動對計入稅項影響前的溢利及總權益的影響。</w:t>
      </w:r>
    </w:p>
    <w:p>
      <w:pPr>
        <w:pStyle w:val="BodyText"/>
      </w:pPr>
      <w:r>
        <w:rPr>
          <w:rFonts w:hint="eastAsia"/>
        </w:rPr>
        <w:t xml:space="preserve">就說明稅前溢利及總權益（不計稅項影響）對利率及股本價格變動的敏感度而言，由於違約事件反映個別發行人的特殊狀</w:t>
      </w:r>
    </w:p>
    <w:p>
      <w:pPr>
        <w:pStyle w:val="BodyText"/>
      </w:pPr>
      <w:r>
        <w:rPr>
          <w:rFonts w:hint="eastAsia"/>
        </w:rPr>
        <w:t xml:space="preserve">況，故無須考慮金融資產出現減值的影響。由於本集團的會計政策鎖定保單生效時的利率假設，及本集團加入逆差撥備的假</w:t>
      </w:r>
    </w:p>
    <w:p>
      <w:pPr>
        <w:pStyle w:val="BodyText"/>
      </w:pPr>
      <w:r>
        <w:rPr>
          <w:rFonts w:hint="eastAsia"/>
        </w:rPr>
        <w:t xml:space="preserve">設，故敏感度分析所述變動水平不會導致虧損確認，因此對負債並無任何相應影響。</w:t>
      </w:r>
    </w:p>
    <w:p>
      <w:pPr>
        <w:pStyle w:val="BodyText"/>
      </w:pPr>
      <w:r>
        <w:rPr>
          <w:rFonts w:hint="eastAsia"/>
        </w:rPr>
        <w:t xml:space="preserve">百萬美元</w:t>
      </w:r>
    </w:p>
    <w:p>
      <w:pPr>
        <w:pStyle w:val="BodyText"/>
      </w:pPr>
      <w:r>
        <w:rPr>
          <w:rFonts w:hint="eastAsia"/>
        </w:rPr>
        <w:t xml:space="preserve">股本價格風險</w:t>
      </w:r>
    </w:p>
    <w:p>
      <w:pPr>
        <w:pStyle w:val="BodyText"/>
      </w:pPr>
      <w:r>
        <w:rPr>
          <w:rFonts w:hint="eastAsia"/>
        </w:rPr>
        <w:t xml:space="preserve">股本價格上升10%</w:t>
      </w:r>
    </w:p>
    <w:p>
      <w:pPr>
        <w:pStyle w:val="BodyText"/>
      </w:pPr>
      <w:r>
        <w:rPr>
          <w:rFonts w:hint="eastAsia"/>
        </w:rPr>
        <w:t xml:space="preserve">股本價格下降10%</w:t>
      </w:r>
    </w:p>
    <w:p>
      <w:pPr>
        <w:pStyle w:val="BodyText"/>
      </w:pPr>
      <w:r>
        <w:rPr>
          <w:rFonts w:hint="eastAsia"/>
        </w:rPr>
        <w:t xml:space="preserve">利率風險</w:t>
      </w:r>
    </w:p>
    <w:p>
      <w:pPr>
        <w:pStyle w:val="BodyText"/>
      </w:pPr>
      <w:r>
        <w:rPr>
          <w:rFonts w:hint="eastAsia"/>
        </w:rPr>
        <w:t xml:space="preserve">2020年12月31日</w:t>
      </w:r>
    </w:p>
    <w:p>
      <w:pPr>
        <w:pStyle w:val="BodyText"/>
      </w:pPr>
      <w:r>
        <w:rPr>
          <w:rFonts w:hint="eastAsia"/>
        </w:rPr>
        <w:t xml:space="preserve">2019年12月31日</w:t>
      </w:r>
      <w:r>
        <w:t xml:space="preserve"> </w:t>
      </w:r>
      <w:r>
        <w:rPr>
          <w:rFonts w:hint="eastAsia"/>
        </w:rPr>
        <w:t xml:space="preserve">－</w:t>
      </w:r>
      <w:r>
        <w:t xml:space="preserve"> </w:t>
      </w:r>
      <w:r>
        <w:rPr>
          <w:rFonts w:hint="eastAsia"/>
        </w:rPr>
        <w:t xml:space="preserve">經調整</w:t>
      </w:r>
    </w:p>
    <w:p>
      <w:pPr>
        <w:pStyle w:val="BodyText"/>
      </w:pPr>
      <w:r>
        <w:rPr>
          <w:rFonts w:hint="eastAsia"/>
        </w:rPr>
        <w:t xml:space="preserve">對稅前</w:t>
      </w:r>
      <w:r>
        <w:br/>
      </w:r>
      <w:r>
        <w:rPr>
          <w:rFonts w:hint="eastAsia"/>
        </w:rPr>
        <w:t xml:space="preserve">溢利影響</w:t>
      </w:r>
    </w:p>
    <w:p>
      <w:pPr>
        <w:pStyle w:val="BodyText"/>
      </w:pPr>
      <w:r>
        <w:rPr>
          <w:rFonts w:hint="eastAsia"/>
        </w:rPr>
        <w:t xml:space="preserve">對總權益影響</w:t>
      </w:r>
      <w:r>
        <w:br/>
      </w:r>
      <w:r>
        <w:rPr>
          <w:rFonts w:hint="eastAsia"/>
        </w:rPr>
        <w:t xml:space="preserve">（不計稅項影響）</w:t>
      </w:r>
    </w:p>
    <w:p>
      <w:pPr>
        <w:pStyle w:val="BodyText"/>
      </w:pPr>
      <w:r>
        <w:rPr>
          <w:rFonts w:hint="eastAsia"/>
        </w:rPr>
        <w:t xml:space="preserve">對分配權益影響</w:t>
      </w:r>
      <w:r>
        <w:br/>
      </w:r>
      <w:r>
        <w:rPr>
          <w:rFonts w:hint="eastAsia"/>
        </w:rPr>
        <w:t xml:space="preserve">（不計稅項影響）</w:t>
      </w:r>
    </w:p>
    <w:p>
      <w:pPr>
        <w:pStyle w:val="BodyText"/>
      </w:pPr>
      <w:r>
        <w:rPr>
          <w:rFonts w:hint="eastAsia"/>
        </w:rPr>
        <w:t xml:space="preserve">對稅前</w:t>
      </w:r>
      <w:r>
        <w:br/>
      </w:r>
      <w:r>
        <w:rPr>
          <w:rFonts w:hint="eastAsia"/>
        </w:rPr>
        <w:t xml:space="preserve">溢利影響</w:t>
      </w:r>
    </w:p>
    <w:p>
      <w:pPr>
        <w:pStyle w:val="BodyText"/>
      </w:pPr>
      <w:r>
        <w:rPr>
          <w:rFonts w:hint="eastAsia"/>
        </w:rPr>
        <w:t xml:space="preserve">對總權益影響</w:t>
      </w:r>
      <w:r>
        <w:br/>
      </w:r>
      <w:r>
        <w:rPr>
          <w:rFonts w:hint="eastAsia"/>
        </w:rPr>
        <w:t xml:space="preserve">（不計稅項影響）</w:t>
      </w:r>
    </w:p>
    <w:p>
      <w:pPr>
        <w:pStyle w:val="BodyText"/>
      </w:pPr>
      <w:r>
        <w:rPr>
          <w:rFonts w:hint="eastAsia"/>
        </w:rPr>
        <w:t xml:space="preserve">對分配權益影響</w:t>
      </w:r>
      <w:r>
        <w:br/>
      </w:r>
      <w:r>
        <w:rPr>
          <w:rFonts w:hint="eastAsia"/>
        </w:rPr>
        <w:t xml:space="preserve">（不計稅項影響）</w:t>
      </w:r>
    </w:p>
    <w:p>
      <w:pPr>
        <w:pStyle w:val="BodyText"/>
      </w:pPr>
      <w:r>
        <w:t xml:space="preserve">1,091</w:t>
      </w:r>
    </w:p>
    <w:p>
      <w:pPr>
        <w:pStyle w:val="BodyText"/>
      </w:pPr>
      <w:r>
        <w:t xml:space="preserve">(1,091)</w:t>
      </w:r>
    </w:p>
    <w:p>
      <w:pPr>
        <w:pStyle w:val="BodyText"/>
      </w:pPr>
      <w:r>
        <w:t xml:space="preserve">1,091</w:t>
      </w:r>
    </w:p>
    <w:p>
      <w:pPr>
        <w:pStyle w:val="BodyText"/>
      </w:pPr>
      <w:r>
        <w:t xml:space="preserve">(1,091)</w:t>
      </w:r>
    </w:p>
    <w:p>
      <w:pPr>
        <w:pStyle w:val="BodyText"/>
      </w:pPr>
      <w:r>
        <w:t xml:space="preserve">1,091</w:t>
      </w:r>
    </w:p>
    <w:p>
      <w:pPr>
        <w:pStyle w:val="BodyText"/>
      </w:pPr>
      <w:r>
        <w:t xml:space="preserve">(1,091)</w:t>
      </w:r>
    </w:p>
    <w:p>
      <w:pPr>
        <w:pStyle w:val="BodyText"/>
      </w:pPr>
      <w:r>
        <w:t xml:space="preserve">1,050</w:t>
      </w:r>
    </w:p>
    <w:p>
      <w:pPr>
        <w:pStyle w:val="BodyText"/>
      </w:pPr>
      <w:r>
        <w:t xml:space="preserve">(1,050)</w:t>
      </w:r>
    </w:p>
    <w:p>
      <w:pPr>
        <w:pStyle w:val="BodyText"/>
      </w:pPr>
      <w:r>
        <w:t xml:space="preserve">1,050</w:t>
      </w:r>
    </w:p>
    <w:p>
      <w:pPr>
        <w:pStyle w:val="BodyText"/>
      </w:pPr>
      <w:r>
        <w:t xml:space="preserve">(1,050)</w:t>
      </w:r>
    </w:p>
    <w:p>
      <w:pPr>
        <w:pStyle w:val="BodyText"/>
      </w:pPr>
      <w:r>
        <w:t xml:space="preserve">1,050</w:t>
      </w:r>
    </w:p>
    <w:p>
      <w:pPr>
        <w:pStyle w:val="BodyText"/>
      </w:pPr>
      <w:r>
        <w:t xml:space="preserve">(1,050)</w:t>
      </w:r>
    </w:p>
    <w:p>
      <w:pPr>
        <w:pStyle w:val="BodyText"/>
      </w:pPr>
      <w:r>
        <w:rPr>
          <w:rFonts w:hint="eastAsia"/>
        </w:rPr>
        <w:t xml:space="preserve">收益率曲線上移50個基點</w:t>
      </w:r>
    </w:p>
    <w:p>
      <w:pPr>
        <w:pStyle w:val="BodyText"/>
      </w:pPr>
      <w:r>
        <w:rPr>
          <w:rFonts w:hint="eastAsia"/>
        </w:rPr>
        <w:t xml:space="preserve">收益率曲線下移50個基點</w:t>
      </w:r>
    </w:p>
    <w:p>
      <w:pPr>
        <w:pStyle w:val="FirstParagraph"/>
      </w:pPr>
      <w:r>
        <w:t xml:space="preserve">584</w:t>
      </w:r>
    </w:p>
    <w:p>
      <w:pPr>
        <w:pStyle w:val="BodyText"/>
      </w:pPr>
      <w:r>
        <w:t xml:space="preserve">(8,403)</w:t>
      </w:r>
    </w:p>
    <w:p>
      <w:pPr>
        <w:pStyle w:val="BodyText"/>
      </w:pPr>
      <w:r>
        <w:t xml:space="preserve">9,356</w:t>
      </w:r>
    </w:p>
    <w:p>
      <w:pPr>
        <w:pStyle w:val="FirstParagraph"/>
      </w:pPr>
      <w:r>
        <w:t xml:space="preserve">584</w:t>
      </w:r>
    </w:p>
    <w:p>
      <w:pPr>
        <w:pStyle w:val="FirstParagraph"/>
      </w:pPr>
      <w:r>
        <w:t xml:space="preserve">312</w:t>
      </w:r>
    </w:p>
    <w:p>
      <w:pPr>
        <w:pStyle w:val="BodyText"/>
      </w:pPr>
      <w:r>
        <w:t xml:space="preserve">(7,026)</w:t>
      </w:r>
    </w:p>
    <w:p>
      <w:pPr>
        <w:pStyle w:val="BodyText"/>
      </w:pPr>
      <w:r>
        <w:t xml:space="preserve">7,869</w:t>
      </w:r>
    </w:p>
    <w:p>
      <w:pPr>
        <w:pStyle w:val="FirstParagraph"/>
      </w:pPr>
      <w:r>
        <w:t xml:space="preserve">312</w:t>
      </w:r>
    </w:p>
    <w:p>
      <w:pPr>
        <w:pStyle w:val="BodyText"/>
      </w:pPr>
      <w:r>
        <w:t xml:space="preserve">237</w:t>
      </w:r>
    </w:p>
    <w:p>
      <w:pPr>
        <w:pStyle w:val="BodyText"/>
      </w:pPr>
      <w:r>
        <w:rPr>
          <w:rFonts w:hint="eastAsia"/>
        </w:rPr>
        <w:t xml:space="preserve">概覽財務及營運回顧企業管治其他資料財務報表2020年報</w:t>
      </w:r>
    </w:p>
    <w:p>
      <w:pPr>
        <w:pStyle w:val="Compact"/>
        <w:numPr>
          <w:ilvl w:val="0"/>
          <w:numId w:val="1503"/>
        </w:numPr>
      </w:pPr>
      <w:r>
        <w:rPr>
          <w:rFonts w:hint="eastAsia"/>
        </w:rPr>
        <w:t xml:space="preserve">風險管理（續）</w:t>
      </w:r>
    </w:p>
    <w:p>
      <w:pPr>
        <w:pStyle w:val="FirstParagraph"/>
      </w:pPr>
      <w:r>
        <w:rPr>
          <w:rFonts w:hint="eastAsia"/>
        </w:rPr>
        <w:t xml:space="preserve">投資及財務風險（續）</w:t>
      </w:r>
    </w:p>
    <w:p>
      <w:pPr>
        <w:pStyle w:val="BodyText"/>
      </w:pPr>
      <w:r>
        <w:rPr>
          <w:rFonts w:hint="eastAsia"/>
        </w:rPr>
        <w:t xml:space="preserve">匯率風險</w:t>
      </w:r>
    </w:p>
    <w:p>
      <w:pPr>
        <w:pStyle w:val="BodyText"/>
      </w:pPr>
      <w:r>
        <w:rPr>
          <w:rFonts w:hint="eastAsia"/>
        </w:rPr>
        <w:t xml:space="preserve">本集團的匯率風險主要是由於本集團在亞洲多個市場內經營業務，以及為編製財務報告而將多種貨幣換算為美元而產生。我</w:t>
      </w:r>
    </w:p>
    <w:p>
      <w:pPr>
        <w:pStyle w:val="BodyText"/>
      </w:pPr>
      <w:r>
        <w:rPr>
          <w:rFonts w:hint="eastAsia"/>
        </w:rPr>
        <w:t xml:space="preserve">們不會對沖營運單位及附屬公司的資產負債表成本集團的呈列貨幣（美元）。</w:t>
      </w:r>
    </w:p>
    <w:p>
      <w:pPr>
        <w:pStyle w:val="BodyText"/>
      </w:pPr>
      <w:r>
        <w:rPr>
          <w:rFonts w:hint="eastAsia"/>
        </w:rPr>
        <w:t xml:space="preserve">然而，各業務單位的資產、負債及地方監管資本及壓力資本通常以配對的貨幣入賬，惟以功能貨幣以外貨幣計值的股本，或</w:t>
      </w:r>
    </w:p>
    <w:p>
      <w:pPr>
        <w:pStyle w:val="BodyText"/>
      </w:pPr>
      <w:r>
        <w:rPr>
          <w:rFonts w:hint="eastAsia"/>
        </w:rPr>
        <w:t xml:space="preserve">於一年內可能有的資本變動才予以對沖。以功能貨幣以外貨幣計值的債券通常運用交叉貨幣掉期或遠期外匯合約進行對沖。</w:t>
      </w:r>
    </w:p>
    <w:p>
      <w:pPr>
        <w:pStyle w:val="BodyText"/>
      </w:pPr>
      <w:r>
        <w:rPr>
          <w:rFonts w:hint="eastAsia"/>
        </w:rPr>
        <w:t xml:space="preserve">匯率風險淨額</w:t>
      </w:r>
    </w:p>
    <w:p>
      <w:pPr>
        <w:pStyle w:val="BodyText"/>
      </w:pPr>
      <w:r>
        <w:rPr>
          <w:rFonts w:hint="eastAsia"/>
        </w:rPr>
        <w:t xml:space="preserve">百萬美元</w:t>
      </w:r>
    </w:p>
    <w:p>
      <w:pPr>
        <w:pStyle w:val="BodyText"/>
      </w:pPr>
      <w:r>
        <w:rPr>
          <w:rFonts w:hint="eastAsia"/>
        </w:rPr>
        <w:t xml:space="preserve">2020年12月31日</w:t>
      </w:r>
    </w:p>
    <w:p>
      <w:pPr>
        <w:pStyle w:val="BodyText"/>
      </w:pPr>
      <w:r>
        <w:rPr>
          <w:rFonts w:hint="eastAsia"/>
        </w:rPr>
        <w:t xml:space="preserve">按原有貨幣分析的權益</w:t>
      </w:r>
    </w:p>
    <w:p>
      <w:pPr>
        <w:pStyle w:val="BodyText"/>
      </w:pPr>
      <w:r>
        <w:rPr>
          <w:rFonts w:hint="eastAsia"/>
        </w:rPr>
        <w:t xml:space="preserve">貨幣衍生工具持倉的淨額</w:t>
      </w:r>
    </w:p>
    <w:p>
      <w:pPr>
        <w:pStyle w:val="BodyText"/>
      </w:pPr>
      <w:r>
        <w:rPr>
          <w:rFonts w:hint="eastAsia"/>
        </w:rPr>
        <w:t xml:space="preserve">貨幣風險</w:t>
      </w:r>
    </w:p>
    <w:p>
      <w:pPr>
        <w:pStyle w:val="BodyText"/>
      </w:pPr>
      <w:r>
        <w:rPr>
          <w:rFonts w:hint="eastAsia"/>
        </w:rPr>
        <w:t xml:space="preserve">原有貨幣升值5%</w:t>
      </w:r>
    </w:p>
    <w:p>
      <w:pPr>
        <w:pStyle w:val="BodyText"/>
      </w:pPr>
      <w:r>
        <w:rPr>
          <w:rFonts w:hint="eastAsia"/>
        </w:rPr>
        <w:t xml:space="preserve">對稅前溢利影響</w:t>
      </w:r>
    </w:p>
    <w:p>
      <w:pPr>
        <w:pStyle w:val="BodyText"/>
      </w:pPr>
      <w:r>
        <w:rPr>
          <w:rFonts w:hint="eastAsia"/>
        </w:rPr>
        <w:t xml:space="preserve">對其他全面收入影響</w:t>
      </w:r>
    </w:p>
    <w:p>
      <w:pPr>
        <w:pStyle w:val="BodyText"/>
      </w:pPr>
      <w:r>
        <w:rPr>
          <w:rFonts w:hint="eastAsia"/>
        </w:rPr>
        <w:t xml:space="preserve">對總權益影響</w:t>
      </w:r>
    </w:p>
    <w:p>
      <w:pPr>
        <w:pStyle w:val="BodyText"/>
      </w:pPr>
      <w:r>
        <w:rPr>
          <w:rFonts w:hint="eastAsia"/>
        </w:rPr>
        <w:t xml:space="preserve">美元升值5%</w:t>
      </w:r>
    </w:p>
    <w:p>
      <w:pPr>
        <w:pStyle w:val="BodyText"/>
      </w:pPr>
      <w:r>
        <w:rPr>
          <w:rFonts w:hint="eastAsia"/>
        </w:rPr>
        <w:t xml:space="preserve">對稅前溢利影響</w:t>
      </w:r>
    </w:p>
    <w:p>
      <w:pPr>
        <w:pStyle w:val="BodyText"/>
      </w:pPr>
      <w:r>
        <w:rPr>
          <w:rFonts w:hint="eastAsia"/>
        </w:rPr>
        <w:t xml:space="preserve">對其他全面收入影響</w:t>
      </w:r>
    </w:p>
    <w:p>
      <w:pPr>
        <w:pStyle w:val="BodyText"/>
      </w:pPr>
      <w:r>
        <w:rPr>
          <w:rFonts w:hint="eastAsia"/>
        </w:rPr>
        <w:t xml:space="preserve">對總權益影響</w:t>
      </w:r>
    </w:p>
    <w:p>
      <w:pPr>
        <w:pStyle w:val="BodyText"/>
      </w:pPr>
      <w:r>
        <w:rPr>
          <w:rFonts w:hint="eastAsia"/>
        </w:rPr>
        <w:t xml:space="preserve">美元</w:t>
      </w:r>
    </w:p>
    <w:p>
      <w:pPr>
        <w:pStyle w:val="BodyText"/>
      </w:pPr>
      <w:r>
        <w:rPr>
          <w:rFonts w:hint="eastAsia"/>
        </w:rPr>
        <w:t xml:space="preserve">港元</w:t>
      </w:r>
    </w:p>
    <w:p>
      <w:pPr>
        <w:pStyle w:val="BodyText"/>
      </w:pPr>
      <w:r>
        <w:rPr>
          <w:rFonts w:hint="eastAsia"/>
        </w:rPr>
        <w:t xml:space="preserve">泰銖</w:t>
      </w:r>
    </w:p>
    <w:p>
      <w:pPr>
        <w:pStyle w:val="BodyText"/>
      </w:pPr>
      <w:r>
        <w:rPr>
          <w:rFonts w:hint="eastAsia"/>
        </w:rPr>
        <w:t xml:space="preserve">新加坡元</w:t>
      </w:r>
    </w:p>
    <w:p>
      <w:pPr>
        <w:pStyle w:val="BodyText"/>
      </w:pPr>
      <w:r>
        <w:rPr>
          <w:rFonts w:hint="eastAsia"/>
        </w:rPr>
        <w:t xml:space="preserve">馬幣</w:t>
      </w:r>
    </w:p>
    <w:p>
      <w:pPr>
        <w:pStyle w:val="BodyText"/>
      </w:pPr>
      <w:r>
        <w:rPr>
          <w:rFonts w:hint="eastAsia"/>
        </w:rPr>
        <w:t xml:space="preserve">人民幣</w:t>
      </w:r>
    </w:p>
    <w:p>
      <w:pPr>
        <w:pStyle w:val="BodyText"/>
      </w:pPr>
      <w:r>
        <w:t xml:space="preserve">35,400</w:t>
      </w:r>
    </w:p>
    <w:p>
      <w:pPr>
        <w:pStyle w:val="BodyText"/>
      </w:pPr>
      <w:r>
        <w:t xml:space="preserve">(9,942)</w:t>
      </w:r>
    </w:p>
    <w:p>
      <w:pPr>
        <w:pStyle w:val="BodyText"/>
      </w:pPr>
      <w:r>
        <w:t xml:space="preserve">25,458</w:t>
      </w:r>
    </w:p>
    <w:p>
      <w:pPr>
        <w:pStyle w:val="BodyText"/>
      </w:pPr>
      <w:r>
        <w:t xml:space="preserve">4,617</w:t>
      </w:r>
    </w:p>
    <w:p>
      <w:pPr>
        <w:pStyle w:val="BodyText"/>
      </w:pPr>
      <w:r>
        <w:t xml:space="preserve">650</w:t>
      </w:r>
    </w:p>
    <w:p>
      <w:pPr>
        <w:pStyle w:val="BodyText"/>
      </w:pPr>
      <w:r>
        <w:t xml:space="preserve">5,267</w:t>
      </w:r>
    </w:p>
    <w:p>
      <w:pPr>
        <w:pStyle w:val="BodyText"/>
      </w:pPr>
      <w:r>
        <w:t xml:space="preserve">6,445</w:t>
      </w:r>
    </w:p>
    <w:p>
      <w:pPr>
        <w:pStyle w:val="BodyText"/>
      </w:pPr>
      <w:r>
        <w:t xml:space="preserve">3,457</w:t>
      </w:r>
    </w:p>
    <w:p>
      <w:pPr>
        <w:pStyle w:val="BodyText"/>
      </w:pPr>
      <w:r>
        <w:t xml:space="preserve">9,902</w:t>
      </w:r>
    </w:p>
    <w:p>
      <w:pPr>
        <w:pStyle w:val="BodyText"/>
      </w:pPr>
      <w:r>
        <w:t xml:space="preserve">(4,644)</w:t>
      </w:r>
    </w:p>
    <w:p>
      <w:pPr>
        <w:pStyle w:val="BodyText"/>
      </w:pPr>
      <w:r>
        <w:t xml:space="preserve">4,239</w:t>
      </w:r>
    </w:p>
    <w:p>
      <w:pPr>
        <w:pStyle w:val="FirstParagraph"/>
      </w:pPr>
      <w:r>
        <w:t xml:space="preserve">2,516</w:t>
      </w:r>
    </w:p>
    <w:p>
      <w:pPr>
        <w:pStyle w:val="BodyText"/>
      </w:pPr>
      <w:r>
        <w:t xml:space="preserve">135</w:t>
      </w:r>
    </w:p>
    <w:p>
      <w:pPr>
        <w:pStyle w:val="BodyText"/>
      </w:pPr>
      <w:r>
        <w:t xml:space="preserve">2,651</w:t>
      </w:r>
    </w:p>
    <w:p>
      <w:pPr>
        <w:pStyle w:val="BodyText"/>
      </w:pPr>
      <w:r>
        <w:t xml:space="preserve">5,862</w:t>
      </w:r>
    </w:p>
    <w:p>
      <w:pPr>
        <w:pStyle w:val="BodyText"/>
      </w:pPr>
      <w:r>
        <w:t xml:space="preserve">–</w:t>
      </w:r>
    </w:p>
    <w:p>
      <w:pPr>
        <w:pStyle w:val="BodyText"/>
      </w:pPr>
      <w:r>
        <w:t xml:space="preserve">5,862</w:t>
      </w:r>
    </w:p>
    <w:p>
      <w:pPr>
        <w:pStyle w:val="BodyText"/>
      </w:pPr>
      <w:r>
        <w:t xml:space="preserve">260</w:t>
      </w:r>
    </w:p>
    <w:p>
      <w:pPr>
        <w:pStyle w:val="FirstParagraph"/>
      </w:pPr>
      <w:r>
        <w:t xml:space="preserve">260</w:t>
      </w:r>
    </w:p>
    <w:p>
      <w:pPr>
        <w:pStyle w:val="FirstParagraph"/>
      </w:pPr>
      <w:r>
        <w:t xml:space="preserve">71</w:t>
      </w:r>
    </w:p>
    <w:p>
      <w:pPr>
        <w:pStyle w:val="BodyText"/>
      </w:pPr>
      <w:r>
        <w:t xml:space="preserve">141</w:t>
      </w:r>
    </w:p>
    <w:p>
      <w:pPr>
        <w:pStyle w:val="BodyText"/>
      </w:pPr>
      <w:r>
        <w:t xml:space="preserve">212</w:t>
      </w:r>
    </w:p>
    <w:p>
      <w:pPr>
        <w:pStyle w:val="FirstParagraph"/>
      </w:pPr>
      <w:r>
        <w:t xml:space="preserve">9</w:t>
      </w:r>
    </w:p>
    <w:p>
      <w:pPr>
        <w:pStyle w:val="BodyText"/>
      </w:pPr>
      <w:r>
        <w:t xml:space="preserve">485</w:t>
      </w:r>
    </w:p>
    <w:p>
      <w:pPr>
        <w:pStyle w:val="BodyText"/>
      </w:pPr>
      <w:r>
        <w:t xml:space="preserve">494</w:t>
      </w:r>
    </w:p>
    <w:p>
      <w:pPr>
        <w:pStyle w:val="FirstParagraph"/>
      </w:pPr>
      <w:r>
        <w:t xml:space="preserve">25</w:t>
      </w:r>
    </w:p>
    <w:p>
      <w:pPr>
        <w:pStyle w:val="FirstParagraph"/>
      </w:pPr>
      <w:r>
        <w:t xml:space="preserve">29</w:t>
      </w:r>
    </w:p>
    <w:p>
      <w:pPr>
        <w:pStyle w:val="BodyText"/>
      </w:pPr>
      <w:r>
        <w:t xml:space="preserve">20</w:t>
      </w:r>
    </w:p>
    <w:p>
      <w:pPr>
        <w:pStyle w:val="BodyText"/>
      </w:pPr>
      <w:r>
        <w:t xml:space="preserve">5</w:t>
      </w:r>
    </w:p>
    <w:p>
      <w:pPr>
        <w:pStyle w:val="BodyText"/>
      </w:pPr>
      <w:r>
        <w:t xml:space="preserve">128</w:t>
      </w:r>
    </w:p>
    <w:p>
      <w:pPr>
        <w:pStyle w:val="BodyText"/>
      </w:pPr>
      <w:r>
        <w:t xml:space="preserve">133</w:t>
      </w:r>
    </w:p>
    <w:p>
      <w:pPr>
        <w:pStyle w:val="FirstParagraph"/>
      </w:pPr>
      <w:r>
        <w:t xml:space="preserve">41</w:t>
      </w:r>
    </w:p>
    <w:p>
      <w:pPr>
        <w:pStyle w:val="BodyText"/>
      </w:pPr>
      <w:r>
        <w:t xml:space="preserve">252</w:t>
      </w:r>
    </w:p>
    <w:p>
      <w:pPr>
        <w:pStyle w:val="BodyText"/>
      </w:pPr>
      <w:r>
        <w:t xml:space="preserve">293</w:t>
      </w:r>
    </w:p>
    <w:p>
      <w:pPr>
        <w:pStyle w:val="FirstParagraph"/>
      </w:pPr>
      <w:r>
        <w:rPr>
          <w:rFonts w:hint="eastAsia"/>
        </w:rPr>
        <w:t xml:space="preserve">百萬美元</w:t>
      </w:r>
    </w:p>
    <w:p>
      <w:pPr>
        <w:pStyle w:val="BodyText"/>
      </w:pPr>
      <w:r>
        <w:rPr>
          <w:rFonts w:hint="eastAsia"/>
        </w:rPr>
        <w:t xml:space="preserve">美元</w:t>
      </w:r>
    </w:p>
    <w:p>
      <w:pPr>
        <w:pStyle w:val="BodyText"/>
      </w:pPr>
      <w:r>
        <w:rPr>
          <w:rFonts w:hint="eastAsia"/>
        </w:rPr>
        <w:t xml:space="preserve">港元</w:t>
      </w:r>
    </w:p>
    <w:p>
      <w:pPr>
        <w:pStyle w:val="BodyText"/>
      </w:pPr>
      <w:r>
        <w:rPr>
          <w:rFonts w:hint="eastAsia"/>
        </w:rPr>
        <w:t xml:space="preserve">泰銖</w:t>
      </w:r>
    </w:p>
    <w:p>
      <w:pPr>
        <w:pStyle w:val="BodyText"/>
      </w:pPr>
      <w:r>
        <w:rPr>
          <w:rFonts w:hint="eastAsia"/>
        </w:rPr>
        <w:t xml:space="preserve">新加坡元</w:t>
      </w:r>
    </w:p>
    <w:p>
      <w:pPr>
        <w:pStyle w:val="BodyText"/>
      </w:pPr>
      <w:r>
        <w:rPr>
          <w:rFonts w:hint="eastAsia"/>
        </w:rPr>
        <w:t xml:space="preserve">馬幣</w:t>
      </w:r>
    </w:p>
    <w:p>
      <w:pPr>
        <w:pStyle w:val="BodyText"/>
      </w:pPr>
      <w:r>
        <w:rPr>
          <w:rFonts w:hint="eastAsia"/>
        </w:rPr>
        <w:t xml:space="preserve">人民幣</w:t>
      </w:r>
    </w:p>
    <w:p>
      <w:pPr>
        <w:pStyle w:val="BodyText"/>
      </w:pPr>
      <w:r>
        <w:t xml:space="preserve">29,978</w:t>
      </w:r>
    </w:p>
    <w:p>
      <w:pPr>
        <w:pStyle w:val="BodyText"/>
      </w:pPr>
      <w:r>
        <w:t xml:space="preserve">(8,371)</w:t>
      </w:r>
    </w:p>
    <w:p>
      <w:pPr>
        <w:pStyle w:val="BodyText"/>
      </w:pPr>
      <w:r>
        <w:t xml:space="preserve">21,607</w:t>
      </w:r>
    </w:p>
    <w:p>
      <w:pPr>
        <w:pStyle w:val="BodyText"/>
      </w:pPr>
      <w:r>
        <w:t xml:space="preserve">3,483</w:t>
      </w:r>
    </w:p>
    <w:p>
      <w:pPr>
        <w:pStyle w:val="BodyText"/>
      </w:pPr>
      <w:r>
        <w:t xml:space="preserve">592</w:t>
      </w:r>
    </w:p>
    <w:p>
      <w:pPr>
        <w:pStyle w:val="BodyText"/>
      </w:pPr>
      <w:r>
        <w:t xml:space="preserve">4,075</w:t>
      </w:r>
    </w:p>
    <w:p>
      <w:pPr>
        <w:pStyle w:val="BodyText"/>
      </w:pPr>
      <w:r>
        <w:t xml:space="preserve">6,703</w:t>
      </w:r>
    </w:p>
    <w:p>
      <w:pPr>
        <w:pStyle w:val="BodyText"/>
      </w:pPr>
      <w:r>
        <w:t xml:space="preserve">3,349</w:t>
      </w:r>
    </w:p>
    <w:p>
      <w:pPr>
        <w:pStyle w:val="BodyText"/>
      </w:pPr>
      <w:r>
        <w:t xml:space="preserve">10,052</w:t>
      </w:r>
    </w:p>
    <w:p>
      <w:pPr>
        <w:pStyle w:val="BodyText"/>
      </w:pPr>
      <w:r>
        <w:t xml:space="preserve">(2,604)</w:t>
      </w:r>
    </w:p>
    <w:p>
      <w:pPr>
        <w:pStyle w:val="BodyText"/>
      </w:pPr>
      <w:r>
        <w:t xml:space="preserve">3,274</w:t>
      </w:r>
    </w:p>
    <w:p>
      <w:pPr>
        <w:pStyle w:val="BodyText"/>
      </w:pPr>
      <w:r>
        <w:t xml:space="preserve">670</w:t>
      </w:r>
    </w:p>
    <w:p>
      <w:pPr>
        <w:pStyle w:val="BodyText"/>
      </w:pPr>
      <w:r>
        <w:t xml:space="preserve">2,312</w:t>
      </w:r>
    </w:p>
    <w:p>
      <w:pPr>
        <w:pStyle w:val="FirstParagraph"/>
      </w:pPr>
      <w:r>
        <w:t xml:space="preserve">2,189</w:t>
      </w:r>
    </w:p>
    <w:p>
      <w:pPr>
        <w:pStyle w:val="BodyText"/>
      </w:pPr>
      <w:r>
        <w:t xml:space="preserve">4,612</w:t>
      </w:r>
    </w:p>
    <w:p>
      <w:pPr>
        <w:pStyle w:val="FirstParagraph"/>
      </w:pPr>
      <w:r>
        <w:t xml:space="preserve">3,983</w:t>
      </w:r>
    </w:p>
    <w:p>
      <w:pPr>
        <w:pStyle w:val="BodyText"/>
      </w:pPr>
      <w:r>
        <w:t xml:space="preserve">152</w:t>
      </w:r>
    </w:p>
    <w:p>
      <w:pPr>
        <w:pStyle w:val="FirstParagraph"/>
      </w:pPr>
      <w:r>
        <w:t xml:space="preserve">152</w:t>
      </w:r>
    </w:p>
    <w:p>
      <w:pPr>
        <w:pStyle w:val="FirstParagraph"/>
      </w:pPr>
      <w:r>
        <w:t xml:space="preserve">151</w:t>
      </w:r>
    </w:p>
    <w:p>
      <w:pPr>
        <w:pStyle w:val="BodyText"/>
      </w:pPr>
      <w:r>
        <w:t xml:space="preserve">149</w:t>
      </w:r>
    </w:p>
    <w:p>
      <w:pPr>
        <w:pStyle w:val="BodyText"/>
      </w:pPr>
      <w:r>
        <w:t xml:space="preserve">46</w:t>
      </w:r>
    </w:p>
    <w:p>
      <w:pPr>
        <w:pStyle w:val="FirstParagraph"/>
      </w:pPr>
      <w:r>
        <w:t xml:space="preserve">519</w:t>
      </w:r>
    </w:p>
    <w:p>
      <w:pPr>
        <w:pStyle w:val="BodyText"/>
      </w:pPr>
      <w:r>
        <w:t xml:space="preserve">502</w:t>
      </w:r>
    </w:p>
    <w:p>
      <w:pPr>
        <w:pStyle w:val="BodyText"/>
      </w:pPr>
      <w:r>
        <w:t xml:space="preserve">20</w:t>
      </w:r>
    </w:p>
    <w:p>
      <w:pPr>
        <w:pStyle w:val="FirstParagraph"/>
      </w:pPr>
      <w:r>
        <w:t xml:space="preserve">11</w:t>
      </w:r>
    </w:p>
    <w:p>
      <w:pPr>
        <w:pStyle w:val="BodyText"/>
      </w:pPr>
      <w:r>
        <w:t xml:space="preserve">23</w:t>
      </w:r>
    </w:p>
    <w:p>
      <w:pPr>
        <w:pStyle w:val="BodyText"/>
      </w:pPr>
      <w:r>
        <w:t xml:space="preserve">34</w:t>
      </w:r>
    </w:p>
    <w:p>
      <w:pPr>
        <w:pStyle w:val="BodyText"/>
      </w:pPr>
      <w:r>
        <w:t xml:space="preserve">4</w:t>
      </w:r>
    </w:p>
    <w:p>
      <w:pPr>
        <w:pStyle w:val="FirstParagraph"/>
      </w:pPr>
      <w:r>
        <w:t xml:space="preserve">118</w:t>
      </w:r>
    </w:p>
    <w:p>
      <w:pPr>
        <w:pStyle w:val="BodyText"/>
      </w:pPr>
      <w:r>
        <w:t xml:space="preserve">110</w:t>
      </w:r>
    </w:p>
    <w:p>
      <w:pPr>
        <w:pStyle w:val="BodyText"/>
      </w:pPr>
      <w:r>
        <w:t xml:space="preserve">9</w:t>
      </w:r>
    </w:p>
    <w:p>
      <w:pPr>
        <w:pStyle w:val="FirstParagraph"/>
      </w:pPr>
      <w:r>
        <w:t xml:space="preserve">224</w:t>
      </w:r>
    </w:p>
    <w:p>
      <w:pPr>
        <w:pStyle w:val="BodyText"/>
      </w:pPr>
      <w:r>
        <w:t xml:space="preserve">199</w:t>
      </w:r>
    </w:p>
    <w:p>
      <w:pPr>
        <w:pStyle w:val="BodyText"/>
      </w:pPr>
      <w:r>
        <w:t xml:space="preserve">26</w:t>
      </w:r>
    </w:p>
    <w:p>
      <w:pPr>
        <w:pStyle w:val="FirstParagraph"/>
      </w:pPr>
      <w:r>
        <w:rPr>
          <w:rFonts w:hint="eastAsia"/>
        </w:rPr>
        <w:t xml:space="preserve">2019年12月31日</w:t>
      </w:r>
      <w:r>
        <w:t xml:space="preserve"> </w:t>
      </w:r>
      <w:r>
        <w:rPr>
          <w:rFonts w:hint="eastAsia"/>
        </w:rPr>
        <w:t xml:space="preserve">－</w:t>
      </w:r>
      <w:r>
        <w:t xml:space="preserve"> </w:t>
      </w:r>
      <w:r>
        <w:rPr>
          <w:rFonts w:hint="eastAsia"/>
        </w:rPr>
        <w:t xml:space="preserve">經調整</w:t>
      </w:r>
    </w:p>
    <w:p>
      <w:pPr>
        <w:pStyle w:val="BodyText"/>
      </w:pPr>
      <w:r>
        <w:rPr>
          <w:rFonts w:hint="eastAsia"/>
        </w:rPr>
        <w:t xml:space="preserve">按原有貨幣分析的權益</w:t>
      </w:r>
    </w:p>
    <w:p>
      <w:pPr>
        <w:pStyle w:val="BodyText"/>
      </w:pPr>
      <w:r>
        <w:rPr>
          <w:rFonts w:hint="eastAsia"/>
        </w:rPr>
        <w:t xml:space="preserve">貨幣衍生工具持倉的淨額</w:t>
      </w:r>
    </w:p>
    <w:p>
      <w:pPr>
        <w:pStyle w:val="BodyText"/>
      </w:pPr>
      <w:r>
        <w:rPr>
          <w:rFonts w:hint="eastAsia"/>
        </w:rPr>
        <w:t xml:space="preserve">貨幣風險</w:t>
      </w:r>
    </w:p>
    <w:p>
      <w:pPr>
        <w:pStyle w:val="BodyText"/>
      </w:pPr>
      <w:r>
        <w:rPr>
          <w:rFonts w:hint="eastAsia"/>
        </w:rPr>
        <w:t xml:space="preserve">原有貨幣升值5%</w:t>
      </w:r>
    </w:p>
    <w:p>
      <w:pPr>
        <w:pStyle w:val="BodyText"/>
      </w:pPr>
      <w:r>
        <w:rPr>
          <w:rFonts w:hint="eastAsia"/>
        </w:rPr>
        <w:t xml:space="preserve">對稅前溢利影響</w:t>
      </w:r>
    </w:p>
    <w:p>
      <w:pPr>
        <w:pStyle w:val="BodyText"/>
      </w:pPr>
      <w:r>
        <w:rPr>
          <w:rFonts w:hint="eastAsia"/>
        </w:rPr>
        <w:t xml:space="preserve">對其他全面收入影響</w:t>
      </w:r>
    </w:p>
    <w:p>
      <w:pPr>
        <w:pStyle w:val="BodyText"/>
      </w:pPr>
      <w:r>
        <w:rPr>
          <w:rFonts w:hint="eastAsia"/>
        </w:rPr>
        <w:t xml:space="preserve">對總權益影響</w:t>
      </w:r>
    </w:p>
    <w:p>
      <w:pPr>
        <w:pStyle w:val="BodyText"/>
      </w:pPr>
      <w:r>
        <w:rPr>
          <w:rFonts w:hint="eastAsia"/>
        </w:rPr>
        <w:t xml:space="preserve">美元升值5%</w:t>
      </w:r>
    </w:p>
    <w:p>
      <w:pPr>
        <w:pStyle w:val="BodyText"/>
      </w:pPr>
      <w:r>
        <w:rPr>
          <w:rFonts w:hint="eastAsia"/>
        </w:rPr>
        <w:t xml:space="preserve">對稅前溢利影響</w:t>
      </w:r>
    </w:p>
    <w:p>
      <w:pPr>
        <w:pStyle w:val="BodyText"/>
      </w:pPr>
      <w:r>
        <w:rPr>
          <w:rFonts w:hint="eastAsia"/>
        </w:rPr>
        <w:t xml:space="preserve">對其他全面收入影響</w:t>
      </w:r>
    </w:p>
    <w:p>
      <w:pPr>
        <w:pStyle w:val="BodyText"/>
      </w:pPr>
      <w:r>
        <w:rPr>
          <w:rFonts w:hint="eastAsia"/>
        </w:rPr>
        <w:t xml:space="preserve">對總權益影響</w:t>
      </w:r>
    </w:p>
    <w:p>
      <w:pPr>
        <w:pStyle w:val="BodyText"/>
      </w:pPr>
      <w:r>
        <w:t xml:space="preserve">238</w:t>
      </w:r>
    </w:p>
    <w:p>
      <w:pPr>
        <w:pStyle w:val="BodyText"/>
      </w:pPr>
      <w:r>
        <w:rPr>
          <w:rFonts w:hint="eastAsia"/>
        </w:rPr>
        <w:t xml:space="preserve">友邦保險控股有限公司</w:t>
      </w:r>
    </w:p>
    <w:p>
      <w:pPr>
        <w:pStyle w:val="Compact"/>
        <w:numPr>
          <w:ilvl w:val="0"/>
          <w:numId w:val="1521"/>
        </w:numPr>
      </w:pPr>
      <w:r>
        <w:rPr>
          <w:rFonts w:hint="eastAsia"/>
        </w:rPr>
        <w:t xml:space="preserve">風險管理（續）</w:t>
      </w:r>
    </w:p>
    <w:p>
      <w:pPr>
        <w:pStyle w:val="FirstParagraph"/>
      </w:pPr>
      <w:r>
        <w:rPr>
          <w:rFonts w:hint="eastAsia"/>
        </w:rPr>
        <w:t xml:space="preserve">投資及財務風險（續）</w:t>
      </w:r>
    </w:p>
    <w:p>
      <w:pPr>
        <w:pStyle w:val="BodyText"/>
      </w:pPr>
      <w:r>
        <w:rPr>
          <w:rFonts w:hint="eastAsia"/>
        </w:rPr>
        <w:t xml:space="preserve">流動性風險</w:t>
      </w:r>
    </w:p>
    <w:p>
      <w:pPr>
        <w:pStyle w:val="BodyText"/>
      </w:pPr>
      <w:r>
        <w:rPr>
          <w:rFonts w:hint="eastAsia"/>
        </w:rPr>
        <w:t xml:space="preserve">集團董事會採用的流動性原則是「我們將維持足夠的流動性以能如期承擔財務償付需求」，因此，友邦保險將流動性風險定</w:t>
      </w:r>
    </w:p>
    <w:p>
      <w:pPr>
        <w:pStyle w:val="BodyText"/>
      </w:pPr>
      <w:r>
        <w:rPr>
          <w:rFonts w:hint="eastAsia"/>
        </w:rPr>
        <w:t xml:space="preserve">義為未能如期承擔當前及未來財務償付需求的風險。此包括於日常營運中因現金流入及流出的時間表不匹配所導致的風險</w:t>
      </w:r>
    </w:p>
    <w:p>
      <w:pPr>
        <w:pStyle w:val="BodyText"/>
      </w:pPr>
      <w:r>
        <w:rPr>
          <w:rFonts w:hint="eastAsia"/>
        </w:rPr>
        <w:t xml:space="preserve">（包括抵押要求）及保單持有人負債所需資產的市場流動性。</w:t>
      </w:r>
    </w:p>
    <w:p>
      <w:pPr>
        <w:pStyle w:val="BodyText"/>
      </w:pPr>
      <w:r>
        <w:rPr>
          <w:rFonts w:hint="eastAsia"/>
        </w:rPr>
        <w:t xml:space="preserve">友邦保險根據集團的流動性框架管理流動性風險。該框架包含集團在每日至12個月的多個時間段內的基準及壓力條件下用於</w:t>
      </w:r>
    </w:p>
    <w:p>
      <w:pPr>
        <w:pStyle w:val="BodyText"/>
      </w:pPr>
      <w:r>
        <w:rPr>
          <w:rFonts w:hint="eastAsia"/>
        </w:rPr>
        <w:t xml:space="preserve">監控及管理流動性風險的標準、程序及工具。友邦保險透過集團的全球中期票據及證券計劃下可獲取的債務市場，承諾信貸</w:t>
      </w:r>
    </w:p>
    <w:p>
      <w:pPr>
        <w:pStyle w:val="BodyText"/>
      </w:pPr>
      <w:r>
        <w:rPr>
          <w:rFonts w:hint="eastAsia"/>
        </w:rPr>
        <w:t xml:space="preserve">融資及善用債券回購市場以進一步支持其流動性。</w:t>
      </w:r>
    </w:p>
    <w:p>
      <w:pPr>
        <w:pStyle w:val="BodyText"/>
      </w:pPr>
      <w:r>
        <w:rPr>
          <w:rFonts w:hint="eastAsia"/>
        </w:rPr>
        <w:t xml:space="preserve">百萬美元</w:t>
      </w:r>
    </w:p>
    <w:p>
      <w:pPr>
        <w:pStyle w:val="BodyText"/>
      </w:pPr>
      <w:r>
        <w:rPr>
          <w:rFonts w:hint="eastAsia"/>
        </w:rPr>
        <w:t xml:space="preserve">2020年12月31日</w:t>
      </w:r>
    </w:p>
    <w:p>
      <w:pPr>
        <w:pStyle w:val="BodyText"/>
      </w:pPr>
      <w:r>
        <w:rPr>
          <w:rFonts w:hint="eastAsia"/>
        </w:rPr>
        <w:t xml:space="preserve">金融資產（保單持有人及股東投資）</w:t>
      </w:r>
    </w:p>
    <w:p>
      <w:pPr>
        <w:pStyle w:val="BodyText"/>
      </w:pPr>
      <w:r>
        <w:rPr>
          <w:rFonts w:hint="eastAsia"/>
        </w:rPr>
        <w:t xml:space="preserve">貸款及存款</w:t>
      </w:r>
    </w:p>
    <w:p>
      <w:pPr>
        <w:pStyle w:val="BodyText"/>
      </w:pPr>
      <w:r>
        <w:rPr>
          <w:rFonts w:hint="eastAsia"/>
        </w:rPr>
        <w:t xml:space="preserve">其他應收款項</w:t>
      </w:r>
    </w:p>
    <w:p>
      <w:pPr>
        <w:pStyle w:val="BodyText"/>
      </w:pPr>
      <w:r>
        <w:rPr>
          <w:rFonts w:hint="eastAsia"/>
        </w:rPr>
        <w:t xml:space="preserve">債務證券</w:t>
      </w:r>
    </w:p>
    <w:p>
      <w:pPr>
        <w:pStyle w:val="BodyText"/>
      </w:pPr>
      <w:r>
        <w:rPr>
          <w:rFonts w:hint="eastAsia"/>
        </w:rPr>
        <w:t xml:space="preserve">股本證券</w:t>
      </w:r>
    </w:p>
    <w:p>
      <w:pPr>
        <w:pStyle w:val="BodyText"/>
      </w:pPr>
      <w:r>
        <w:rPr>
          <w:rFonts w:hint="eastAsia"/>
        </w:rPr>
        <w:t xml:space="preserve">再保險應收款項</w:t>
      </w:r>
    </w:p>
    <w:p>
      <w:pPr>
        <w:pStyle w:val="BodyText"/>
      </w:pPr>
      <w:r>
        <w:rPr>
          <w:rFonts w:hint="eastAsia"/>
        </w:rPr>
        <w:t xml:space="preserve">應計投資收入</w:t>
      </w:r>
    </w:p>
    <w:p>
      <w:pPr>
        <w:pStyle w:val="BodyText"/>
      </w:pPr>
      <w:r>
        <w:rPr>
          <w:rFonts w:hint="eastAsia"/>
        </w:rPr>
        <w:t xml:space="preserve">現金及現金等價物</w:t>
      </w:r>
    </w:p>
    <w:p>
      <w:pPr>
        <w:pStyle w:val="BodyText"/>
      </w:pPr>
      <w:r>
        <w:rPr>
          <w:rFonts w:hint="eastAsia"/>
        </w:rPr>
        <w:t xml:space="preserve">衍生金融工具</w:t>
      </w:r>
    </w:p>
    <w:p>
      <w:pPr>
        <w:pStyle w:val="BodyText"/>
      </w:pPr>
      <w:r>
        <w:rPr>
          <w:rFonts w:hint="eastAsia"/>
        </w:rPr>
        <w:t xml:space="preserve">小計</w:t>
      </w:r>
    </w:p>
    <w:p>
      <w:pPr>
        <w:pStyle w:val="BodyText"/>
      </w:pPr>
      <w:r>
        <w:rPr>
          <w:rFonts w:hint="eastAsia"/>
        </w:rPr>
        <w:t xml:space="preserve">總計</w:t>
      </w:r>
    </w:p>
    <w:p>
      <w:pPr>
        <w:pStyle w:val="BodyText"/>
      </w:pPr>
      <w:r>
        <w:rPr>
          <w:rFonts w:hint="eastAsia"/>
        </w:rPr>
        <w:t xml:space="preserve">一年或以下</w:t>
      </w:r>
      <w:r>
        <w:br/>
      </w:r>
      <w:r>
        <w:rPr>
          <w:rFonts w:hint="eastAsia"/>
        </w:rPr>
        <w:t xml:space="preserve">到期</w:t>
      </w:r>
    </w:p>
    <w:p>
      <w:pPr>
        <w:pStyle w:val="BodyText"/>
      </w:pPr>
      <w:r>
        <w:rPr>
          <w:rFonts w:hint="eastAsia"/>
        </w:rPr>
        <w:t xml:space="preserve">一年後至</w:t>
      </w:r>
      <w:r>
        <w:br/>
      </w:r>
      <w:r>
        <w:rPr>
          <w:rFonts w:hint="eastAsia"/>
        </w:rPr>
        <w:t xml:space="preserve">五年內到期</w:t>
      </w:r>
    </w:p>
    <w:p>
      <w:pPr>
        <w:pStyle w:val="BodyText"/>
      </w:pPr>
      <w:r>
        <w:rPr>
          <w:rFonts w:hint="eastAsia"/>
        </w:rPr>
        <w:t xml:space="preserve">五年後至</w:t>
      </w:r>
      <w:r>
        <w:br/>
      </w:r>
      <w:r>
        <w:rPr>
          <w:rFonts w:hint="eastAsia"/>
        </w:rPr>
        <w:t xml:space="preserve">十年內到期</w:t>
      </w:r>
    </w:p>
    <w:p>
      <w:pPr>
        <w:pStyle w:val="BodyText"/>
      </w:pPr>
      <w:r>
        <w:rPr>
          <w:rFonts w:hint="eastAsia"/>
        </w:rPr>
        <w:t xml:space="preserve">十年後</w:t>
      </w:r>
      <w:r>
        <w:br/>
      </w:r>
      <w:r>
        <w:rPr>
          <w:rFonts w:hint="eastAsia"/>
        </w:rPr>
        <w:t xml:space="preserve">到期</w:t>
      </w:r>
    </w:p>
    <w:p>
      <w:pPr>
        <w:pStyle w:val="BodyText"/>
      </w:pPr>
      <w:r>
        <w:rPr>
          <w:rFonts w:hint="eastAsia"/>
        </w:rPr>
        <w:t xml:space="preserve">無固定</w:t>
      </w:r>
      <w:r>
        <w:br/>
      </w:r>
      <w:r>
        <w:rPr>
          <w:rFonts w:hint="eastAsia"/>
        </w:rPr>
        <w:t xml:space="preserve">到期日(2)</w:t>
      </w:r>
    </w:p>
    <w:p>
      <w:pPr>
        <w:pStyle w:val="BodyText"/>
      </w:pPr>
      <w:r>
        <w:t xml:space="preserve">8,940</w:t>
      </w:r>
    </w:p>
    <w:p>
      <w:pPr>
        <w:pStyle w:val="BodyText"/>
      </w:pPr>
      <w:r>
        <w:t xml:space="preserve">2,574</w:t>
      </w:r>
    </w:p>
    <w:p>
      <w:pPr>
        <w:pStyle w:val="BodyText"/>
      </w:pPr>
      <w:r>
        <w:t xml:space="preserve">195,478</w:t>
      </w:r>
    </w:p>
    <w:p>
      <w:pPr>
        <w:pStyle w:val="BodyText"/>
      </w:pPr>
      <w:r>
        <w:t xml:space="preserve">30,950</w:t>
      </w:r>
    </w:p>
    <w:p>
      <w:pPr>
        <w:pStyle w:val="BodyText"/>
      </w:pPr>
      <w:r>
        <w:t xml:space="preserve">671</w:t>
      </w:r>
    </w:p>
    <w:p>
      <w:pPr>
        <w:pStyle w:val="BodyText"/>
      </w:pPr>
      <w:r>
        <w:t xml:space="preserve">1,757</w:t>
      </w:r>
    </w:p>
    <w:p>
      <w:pPr>
        <w:pStyle w:val="BodyText"/>
      </w:pPr>
      <w:r>
        <w:t xml:space="preserve">4,400</w:t>
      </w:r>
    </w:p>
    <w:p>
      <w:pPr>
        <w:pStyle w:val="BodyText"/>
      </w:pPr>
      <w:r>
        <w:t xml:space="preserve">1,016</w:t>
      </w:r>
    </w:p>
    <w:p>
      <w:pPr>
        <w:pStyle w:val="BodyText"/>
      </w:pPr>
      <w:r>
        <w:t xml:space="preserve">1,997</w:t>
      </w:r>
    </w:p>
    <w:p>
      <w:pPr>
        <w:pStyle w:val="BodyText"/>
      </w:pPr>
      <w:r>
        <w:t xml:space="preserve">2,477</w:t>
      </w:r>
    </w:p>
    <w:p>
      <w:pPr>
        <w:pStyle w:val="BodyText"/>
      </w:pPr>
      <w:r>
        <w:t xml:space="preserve">3,973</w:t>
      </w:r>
    </w:p>
    <w:p>
      <w:pPr>
        <w:pStyle w:val="BodyText"/>
      </w:pPr>
      <w:r>
        <w:t xml:space="preserve">–</w:t>
      </w:r>
    </w:p>
    <w:p>
      <w:pPr>
        <w:pStyle w:val="BodyText"/>
      </w:pPr>
      <w:r>
        <w:t xml:space="preserve">671</w:t>
      </w:r>
    </w:p>
    <w:p>
      <w:pPr>
        <w:pStyle w:val="BodyText"/>
      </w:pPr>
      <w:r>
        <w:t xml:space="preserve">1,756</w:t>
      </w:r>
    </w:p>
    <w:p>
      <w:pPr>
        <w:pStyle w:val="BodyText"/>
      </w:pPr>
      <w:r>
        <w:t xml:space="preserve">4,400</w:t>
      </w:r>
    </w:p>
    <w:p>
      <w:pPr>
        <w:pStyle w:val="BodyText"/>
      </w:pPr>
      <w:r>
        <w:t xml:space="preserve">189</w:t>
      </w:r>
    </w:p>
    <w:p>
      <w:pPr>
        <w:pStyle w:val="BodyText"/>
      </w:pPr>
      <w:r>
        <w:t xml:space="preserve">1,013</w:t>
      </w:r>
    </w:p>
    <w:p>
      <w:pPr>
        <w:pStyle w:val="BodyText"/>
      </w:pPr>
      <w:r>
        <w:t xml:space="preserve">50</w:t>
      </w:r>
    </w:p>
    <w:p>
      <w:pPr>
        <w:pStyle w:val="BodyText"/>
      </w:pPr>
      <w:r>
        <w:t xml:space="preserve">580</w:t>
      </w:r>
    </w:p>
    <w:p>
      <w:pPr>
        <w:pStyle w:val="BodyText"/>
      </w:pPr>
      <w:r>
        <w:t xml:space="preserve">13</w:t>
      </w:r>
    </w:p>
    <w:p>
      <w:pPr>
        <w:pStyle w:val="BodyText"/>
      </w:pPr>
      <w:r>
        <w:t xml:space="preserve">1,793</w:t>
      </w:r>
    </w:p>
    <w:p>
      <w:pPr>
        <w:pStyle w:val="BodyText"/>
      </w:pPr>
      <w:r>
        <w:t xml:space="preserve">3,557</w:t>
      </w:r>
    </w:p>
    <w:p>
      <w:pPr>
        <w:pStyle w:val="BodyText"/>
      </w:pPr>
      <w:r>
        <w:t xml:space="preserve">–</w:t>
      </w:r>
    </w:p>
    <w:p>
      <w:pPr>
        <w:pStyle w:val="BodyText"/>
      </w:pPr>
      <w:r>
        <w:t xml:space="preserve">21,353</w:t>
      </w:r>
    </w:p>
    <w:p>
      <w:pPr>
        <w:pStyle w:val="BodyText"/>
      </w:pPr>
      <w:r>
        <w:t xml:space="preserve">31,072</w:t>
      </w:r>
    </w:p>
    <w:p>
      <w:pPr>
        <w:pStyle w:val="BodyText"/>
      </w:pPr>
      <w:r>
        <w:t xml:space="preserve">139,080</w:t>
      </w:r>
    </w:p>
    <w:p>
      <w:pPr>
        <w:pStyle w:val="BodyText"/>
      </w:pPr>
      <w:r>
        <w:t xml:space="preserve">–</w:t>
      </w:r>
    </w:p>
    <w:p>
      <w:pPr>
        <w:pStyle w:val="BodyText"/>
      </w:pPr>
      <w:r>
        <w:t xml:space="preserve">–</w:t>
      </w:r>
    </w:p>
    <w:p>
      <w:pPr>
        <w:pStyle w:val="BodyText"/>
      </w:pPr>
      <w:r>
        <w:t xml:space="preserve">1</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189</w:t>
      </w:r>
    </w:p>
    <w:p>
      <w:pPr>
        <w:pStyle w:val="BodyText"/>
      </w:pPr>
      <w:r>
        <w:t xml:space="preserve">249</w:t>
      </w:r>
    </w:p>
    <w:p>
      <w:pPr>
        <w:pStyle w:val="BodyText"/>
      </w:pPr>
      <w:r>
        <w:t xml:space="preserve">389</w:t>
      </w:r>
    </w:p>
    <w:p>
      <w:pPr>
        <w:pStyle w:val="BodyText"/>
      </w:pPr>
      <w:r>
        <w:t xml:space="preserve">34</w:t>
      </w:r>
    </w:p>
    <w:p>
      <w:pPr>
        <w:pStyle w:val="BodyText"/>
      </w:pPr>
      <w:r>
        <w:t xml:space="preserve">–</w:t>
      </w:r>
    </w:p>
    <w:p>
      <w:pPr>
        <w:pStyle w:val="BodyText"/>
      </w:pPr>
      <w:r>
        <w:t xml:space="preserve">30,950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245,786</w:t>
      </w:r>
    </w:p>
    <w:p>
      <w:pPr>
        <w:pStyle w:val="BodyText"/>
      </w:pPr>
      <w:r>
        <w:t xml:space="preserve">15,463</w:t>
      </w:r>
    </w:p>
    <w:p>
      <w:pPr>
        <w:pStyle w:val="BodyText"/>
      </w:pPr>
      <w:r>
        <w:t xml:space="preserve">22,606</w:t>
      </w:r>
    </w:p>
    <w:p>
      <w:pPr>
        <w:pStyle w:val="BodyText"/>
      </w:pPr>
      <w:r>
        <w:t xml:space="preserve">31,914</w:t>
      </w:r>
    </w:p>
    <w:p>
      <w:pPr>
        <w:pStyle w:val="BodyText"/>
      </w:pPr>
      <w:r>
        <w:t xml:space="preserve">141,262</w:t>
      </w:r>
    </w:p>
    <w:p>
      <w:pPr>
        <w:pStyle w:val="BodyText"/>
      </w:pPr>
      <w:r>
        <w:t xml:space="preserve">34,541</w:t>
      </w:r>
    </w:p>
    <w:p>
      <w:pPr>
        <w:pStyle w:val="BodyText"/>
      </w:pPr>
      <w:r>
        <w:rPr>
          <w:rFonts w:hint="eastAsia"/>
        </w:rPr>
        <w:t xml:space="preserve">金融資產（單位連結式合約及合併投資基金）</w:t>
      </w:r>
    </w:p>
    <w:p>
      <w:pPr>
        <w:pStyle w:val="BodyText"/>
      </w:pPr>
      <w:r>
        <w:t xml:space="preserve">36,499</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36,499(3)</w:t>
      </w:r>
    </w:p>
    <w:p>
      <w:pPr>
        <w:pStyle w:val="BodyText"/>
      </w:pPr>
      <w:r>
        <w:rPr>
          <w:rFonts w:hint="eastAsia"/>
        </w:rPr>
        <w:t xml:space="preserve">總計</w:t>
      </w:r>
    </w:p>
    <w:p>
      <w:pPr>
        <w:pStyle w:val="BodyText"/>
      </w:pPr>
      <w:r>
        <w:t xml:space="preserve">282,285</w:t>
      </w:r>
    </w:p>
    <w:p>
      <w:pPr>
        <w:pStyle w:val="BodyText"/>
      </w:pPr>
      <w:r>
        <w:t xml:space="preserve">15,463</w:t>
      </w:r>
    </w:p>
    <w:p>
      <w:pPr>
        <w:pStyle w:val="BodyText"/>
      </w:pPr>
      <w:r>
        <w:t xml:space="preserve">22,606</w:t>
      </w:r>
    </w:p>
    <w:p>
      <w:pPr>
        <w:pStyle w:val="BodyText"/>
      </w:pPr>
      <w:r>
        <w:t xml:space="preserve">31,914</w:t>
      </w:r>
    </w:p>
    <w:p>
      <w:pPr>
        <w:pStyle w:val="BodyText"/>
      </w:pPr>
      <w:r>
        <w:t xml:space="preserve">141,262</w:t>
      </w:r>
    </w:p>
    <w:p>
      <w:pPr>
        <w:pStyle w:val="BodyText"/>
      </w:pPr>
      <w:r>
        <w:t xml:space="preserve">71,040</w:t>
      </w:r>
    </w:p>
    <w:p>
      <w:pPr>
        <w:pStyle w:val="BodyText"/>
      </w:pPr>
      <w:r>
        <w:rPr>
          <w:rFonts w:hint="eastAsia"/>
        </w:rPr>
        <w:t xml:space="preserve">金融及保險合約負債</w:t>
      </w:r>
      <w:r>
        <w:br/>
      </w:r>
      <w:r>
        <w:rPr>
          <w:rFonts w:hint="eastAsia"/>
        </w:rPr>
        <w:t xml:space="preserve">（保單持有人及股東投資）</w:t>
      </w:r>
    </w:p>
    <w:p>
      <w:pPr>
        <w:pStyle w:val="BodyText"/>
      </w:pPr>
      <w:r>
        <w:rPr>
          <w:rFonts w:hint="eastAsia"/>
        </w:rPr>
        <w:t xml:space="preserve">保險及投資合約負債</w:t>
      </w:r>
    </w:p>
    <w:p>
      <w:pPr>
        <w:pStyle w:val="BodyText"/>
      </w:pPr>
      <w:r>
        <w:rPr>
          <w:rFonts w:hint="eastAsia"/>
        </w:rPr>
        <w:t xml:space="preserve">（已扣除遞延承保及啟動成本，及再保險）</w:t>
      </w:r>
      <w:r>
        <w:t xml:space="preserve"> 169,477</w:t>
      </w:r>
    </w:p>
    <w:p>
      <w:pPr>
        <w:pStyle w:val="BodyText"/>
      </w:pPr>
      <w:r>
        <w:rPr>
          <w:rFonts w:hint="eastAsia"/>
        </w:rPr>
        <w:t xml:space="preserve">借貸</w:t>
      </w:r>
    </w:p>
    <w:p>
      <w:pPr>
        <w:pStyle w:val="BodyText"/>
      </w:pPr>
      <w:r>
        <w:rPr>
          <w:rFonts w:hint="eastAsia"/>
        </w:rPr>
        <w:t xml:space="preserve">回購協議的債項</w:t>
      </w:r>
    </w:p>
    <w:p>
      <w:pPr>
        <w:pStyle w:val="BodyText"/>
      </w:pPr>
      <w:r>
        <w:rPr>
          <w:rFonts w:hint="eastAsia"/>
        </w:rPr>
        <w:t xml:space="preserve">租賃負債除外的其他負債</w:t>
      </w:r>
    </w:p>
    <w:p>
      <w:pPr>
        <w:pStyle w:val="BodyText"/>
      </w:pPr>
      <w:r>
        <w:rPr>
          <w:rFonts w:hint="eastAsia"/>
        </w:rPr>
        <w:t xml:space="preserve">租賃負債</w:t>
      </w:r>
    </w:p>
    <w:p>
      <w:pPr>
        <w:pStyle w:val="BodyText"/>
      </w:pPr>
      <w:r>
        <w:rPr>
          <w:rFonts w:hint="eastAsia"/>
        </w:rPr>
        <w:t xml:space="preserve">衍生金融工具</w:t>
      </w:r>
    </w:p>
    <w:p>
      <w:pPr>
        <w:pStyle w:val="BodyText"/>
      </w:pPr>
      <w:r>
        <w:rPr>
          <w:rFonts w:hint="eastAsia"/>
        </w:rPr>
        <w:t xml:space="preserve">小計</w:t>
      </w:r>
    </w:p>
    <w:p>
      <w:pPr>
        <w:pStyle w:val="BodyText"/>
      </w:pPr>
      <w:r>
        <w:rPr>
          <w:rFonts w:hint="eastAsia"/>
        </w:rPr>
        <w:t xml:space="preserve">金融及保險合約負債</w:t>
      </w:r>
      <w:r>
        <w:br/>
      </w:r>
      <w:r>
        <w:rPr>
          <w:rFonts w:hint="eastAsia"/>
        </w:rPr>
        <w:t xml:space="preserve">（單位連結式合約及合併投資基金）</w:t>
      </w:r>
    </w:p>
    <w:p>
      <w:pPr>
        <w:pStyle w:val="BodyText"/>
      </w:pPr>
      <w:r>
        <w:rPr>
          <w:rFonts w:hint="eastAsia"/>
        </w:rPr>
        <w:t xml:space="preserve">總計</w:t>
      </w:r>
    </w:p>
    <w:p>
      <w:pPr>
        <w:pStyle w:val="BodyText"/>
      </w:pPr>
      <w:r>
        <w:rPr>
          <w:rFonts w:hint="eastAsia"/>
        </w:rPr>
        <w:t xml:space="preserve">附註：</w:t>
      </w:r>
    </w:p>
    <w:p>
      <w:pPr>
        <w:pStyle w:val="Compact"/>
        <w:numPr>
          <w:ilvl w:val="0"/>
          <w:numId w:val="1522"/>
        </w:numPr>
      </w:pPr>
      <w:r>
        <w:rPr>
          <w:rFonts w:hint="eastAsia"/>
        </w:rPr>
        <w:t xml:space="preserve">包括兩年後至五年內到期的12.46億美元。</w:t>
      </w:r>
    </w:p>
    <w:p>
      <w:pPr>
        <w:pStyle w:val="FirstParagraph"/>
      </w:pPr>
      <w:r>
        <w:t xml:space="preserve">8,559</w:t>
      </w:r>
    </w:p>
    <w:p>
      <w:pPr>
        <w:pStyle w:val="BodyText"/>
      </w:pPr>
      <w:r>
        <w:t xml:space="preserve">1,664</w:t>
      </w:r>
    </w:p>
    <w:p>
      <w:pPr>
        <w:pStyle w:val="BodyText"/>
      </w:pPr>
      <w:r>
        <w:t xml:space="preserve">4,025</w:t>
      </w:r>
    </w:p>
    <w:p>
      <w:pPr>
        <w:pStyle w:val="BodyText"/>
      </w:pPr>
      <w:r>
        <w:t xml:space="preserve">539</w:t>
      </w:r>
    </w:p>
    <w:p>
      <w:pPr>
        <w:pStyle w:val="BodyText"/>
      </w:pPr>
      <w:r>
        <w:t xml:space="preserve">991</w:t>
      </w:r>
    </w:p>
    <w:p>
      <w:pPr>
        <w:pStyle w:val="BodyText"/>
      </w:pPr>
      <w:r>
        <w:t xml:space="preserve">4,316</w:t>
      </w:r>
    </w:p>
    <w:p>
      <w:pPr>
        <w:pStyle w:val="BodyText"/>
      </w:pPr>
      <w:r>
        <w:t xml:space="preserve">1,002</w:t>
      </w:r>
    </w:p>
    <w:p>
      <w:pPr>
        <w:pStyle w:val="BodyText"/>
      </w:pPr>
      <w:r>
        <w:t xml:space="preserve">1,664</w:t>
      </w:r>
    </w:p>
    <w:p>
      <w:pPr>
        <w:pStyle w:val="BodyText"/>
      </w:pPr>
      <w:r>
        <w:t xml:space="preserve">2,305</w:t>
      </w:r>
    </w:p>
    <w:p>
      <w:pPr>
        <w:pStyle w:val="BodyText"/>
      </w:pPr>
      <w:r>
        <w:t xml:space="preserve">177</w:t>
      </w:r>
    </w:p>
    <w:p>
      <w:pPr>
        <w:pStyle w:val="BodyText"/>
      </w:pPr>
      <w:r>
        <w:t xml:space="preserve">135</w:t>
      </w:r>
    </w:p>
    <w:p>
      <w:pPr>
        <w:pStyle w:val="BodyText"/>
      </w:pPr>
      <w:r>
        <w:t xml:space="preserve">15,559</w:t>
      </w:r>
    </w:p>
    <w:p>
      <w:pPr>
        <w:pStyle w:val="BodyText"/>
      </w:pPr>
      <w:r>
        <w:t xml:space="preserve">17,309</w:t>
      </w:r>
    </w:p>
    <w:p>
      <w:pPr>
        <w:pStyle w:val="BodyText"/>
      </w:pPr>
      <w:r>
        <w:t xml:space="preserve">132,293</w:t>
      </w:r>
    </w:p>
    <w:p>
      <w:pPr>
        <w:pStyle w:val="BodyText"/>
      </w:pPr>
      <w:r>
        <w:t xml:space="preserve">1,414(1)</w:t>
      </w:r>
    </w:p>
    <w:p>
      <w:pPr>
        <w:pStyle w:val="BodyText"/>
      </w:pPr>
      <w:r>
        <w:t xml:space="preserve">2,548</w:t>
      </w:r>
    </w:p>
    <w:p>
      <w:pPr>
        <w:pStyle w:val="BodyText"/>
      </w:pPr>
      <w:r>
        <w:t xml:space="preserve">3,595</w:t>
      </w:r>
    </w:p>
    <w:p>
      <w:pPr>
        <w:pStyle w:val="BodyText"/>
      </w:pPr>
      <w:r>
        <w:t xml:space="preserve">–</w:t>
      </w:r>
    </w:p>
    <w:p>
      <w:pPr>
        <w:pStyle w:val="BodyText"/>
      </w:pPr>
      <w:r>
        <w:t xml:space="preserve">240</w:t>
      </w:r>
    </w:p>
    <w:p>
      <w:pPr>
        <w:pStyle w:val="BodyText"/>
      </w:pPr>
      <w:r>
        <w:t xml:space="preserve">325</w:t>
      </w:r>
    </w:p>
    <w:p>
      <w:pPr>
        <w:pStyle w:val="BodyText"/>
      </w:pPr>
      <w:r>
        <w:t xml:space="preserve">534</w:t>
      </w:r>
    </w:p>
    <w:p>
      <w:pPr>
        <w:pStyle w:val="BodyText"/>
      </w:pPr>
      <w:r>
        <w:t xml:space="preserve">–</w:t>
      </w:r>
    </w:p>
    <w:p>
      <w:pPr>
        <w:pStyle w:val="BodyText"/>
      </w:pPr>
      <w:r>
        <w:t xml:space="preserve">150</w:t>
      </w:r>
    </w:p>
    <w:p>
      <w:pPr>
        <w:pStyle w:val="BodyText"/>
      </w:pPr>
      <w:r>
        <w:t xml:space="preserve">35</w:t>
      </w:r>
    </w:p>
    <w:p>
      <w:pPr>
        <w:pStyle w:val="BodyText"/>
      </w:pPr>
      <w:r>
        <w:t xml:space="preserve">109</w:t>
      </w:r>
    </w:p>
    <w:p>
      <w:pPr>
        <w:pStyle w:val="BodyText"/>
      </w:pPr>
      <w:r>
        <w:t xml:space="preserve">–</w:t>
      </w:r>
    </w:p>
    <w:p>
      <w:pPr>
        <w:pStyle w:val="BodyText"/>
      </w:pPr>
      <w:r>
        <w:t xml:space="preserve">171</w:t>
      </w:r>
    </w:p>
    <w:p>
      <w:pPr>
        <w:pStyle w:val="BodyText"/>
      </w:pPr>
      <w:r>
        <w:t xml:space="preserve">2</w:t>
      </w:r>
    </w:p>
    <w:p>
      <w:pPr>
        <w:pStyle w:val="BodyText"/>
      </w:pPr>
      <w:r>
        <w:t xml:space="preserve">213</w:t>
      </w:r>
    </w:p>
    <w:p>
      <w:pPr>
        <w:pStyle w:val="BodyText"/>
      </w:pPr>
      <w:r>
        <w:t xml:space="preserve">–</w:t>
      </w:r>
    </w:p>
    <w:p>
      <w:pPr>
        <w:pStyle w:val="BodyText"/>
      </w:pPr>
      <w:r>
        <w:t xml:space="preserve">–</w:t>
      </w:r>
    </w:p>
    <w:p>
      <w:pPr>
        <w:pStyle w:val="BodyText"/>
      </w:pPr>
      <w:r>
        <w:t xml:space="preserve">–</w:t>
      </w:r>
    </w:p>
    <w:p>
      <w:pPr>
        <w:pStyle w:val="BodyText"/>
      </w:pPr>
      <w:r>
        <w:t xml:space="preserve">1,159</w:t>
      </w:r>
    </w:p>
    <w:p>
      <w:pPr>
        <w:pStyle w:val="BodyText"/>
      </w:pPr>
      <w:r>
        <w:t xml:space="preserve">–</w:t>
      </w:r>
    </w:p>
    <w:p>
      <w:pPr>
        <w:pStyle w:val="BodyText"/>
      </w:pPr>
      <w:r>
        <w:t xml:space="preserve">–</w:t>
      </w:r>
    </w:p>
    <w:p>
      <w:pPr>
        <w:pStyle w:val="BodyText"/>
      </w:pPr>
      <w:r>
        <w:t xml:space="preserve">185,255</w:t>
      </w:r>
    </w:p>
    <w:p>
      <w:pPr>
        <w:pStyle w:val="BodyText"/>
      </w:pPr>
      <w:r>
        <w:t xml:space="preserve">9,599</w:t>
      </w:r>
    </w:p>
    <w:p>
      <w:pPr>
        <w:pStyle w:val="BodyText"/>
      </w:pPr>
      <w:r>
        <w:t xml:space="preserve">18,072</w:t>
      </w:r>
    </w:p>
    <w:p>
      <w:pPr>
        <w:pStyle w:val="BodyText"/>
      </w:pPr>
      <w:r>
        <w:t xml:space="preserve">20,151</w:t>
      </w:r>
    </w:p>
    <w:p>
      <w:pPr>
        <w:pStyle w:val="BodyText"/>
      </w:pPr>
      <w:r>
        <w:t xml:space="preserve">136,274</w:t>
      </w:r>
    </w:p>
    <w:p>
      <w:pPr>
        <w:pStyle w:val="BodyText"/>
      </w:pPr>
      <w:r>
        <w:t xml:space="preserve">1,159</w:t>
      </w:r>
    </w:p>
    <w:p>
      <w:pPr>
        <w:pStyle w:val="BodyText"/>
      </w:pPr>
      <w:r>
        <w:t xml:space="preserve">35,125</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220,380</w:t>
      </w:r>
    </w:p>
    <w:p>
      <w:pPr>
        <w:pStyle w:val="BodyText"/>
      </w:pPr>
      <w:r>
        <w:t xml:space="preserve">9,599</w:t>
      </w:r>
    </w:p>
    <w:p>
      <w:pPr>
        <w:pStyle w:val="BodyText"/>
      </w:pPr>
      <w:r>
        <w:t xml:space="preserve">18,072</w:t>
      </w:r>
    </w:p>
    <w:p>
      <w:pPr>
        <w:pStyle w:val="BodyText"/>
      </w:pPr>
      <w:r>
        <w:t xml:space="preserve">20,151</w:t>
      </w:r>
    </w:p>
    <w:p>
      <w:pPr>
        <w:pStyle w:val="BodyText"/>
      </w:pPr>
      <w:r>
        <w:t xml:space="preserve">136,274</w:t>
      </w:r>
    </w:p>
    <w:p>
      <w:pPr>
        <w:pStyle w:val="BodyText"/>
      </w:pPr>
      <w:r>
        <w:t xml:space="preserve">35,125</w:t>
      </w:r>
    </w:p>
    <w:p>
      <w:pPr>
        <w:pStyle w:val="BodyText"/>
      </w:pPr>
      <w:r>
        <w:t xml:space="preserve">36,284</w:t>
      </w:r>
    </w:p>
    <w:p>
      <w:pPr>
        <w:pStyle w:val="BodyText"/>
      </w:pPr>
      <w:r>
        <w:t xml:space="preserve">239</w:t>
      </w:r>
    </w:p>
    <w:p>
      <w:pPr>
        <w:pStyle w:val="BodyText"/>
      </w:pPr>
      <w:r>
        <w:rPr>
          <w:rFonts w:hint="eastAsia"/>
        </w:rPr>
        <w:t xml:space="preserve">概覽財務及營運回顧企業管治其他資料財務報表2020年報</w:t>
      </w:r>
    </w:p>
    <w:p>
      <w:pPr>
        <w:pStyle w:val="BodyText"/>
      </w:pPr>
      <w:r>
        <w:t xml:space="preserve">28</w:t>
      </w:r>
    </w:p>
    <w:p>
      <w:pPr>
        <w:pStyle w:val="BodyText"/>
      </w:pPr>
      <w:r>
        <w:t xml:space="preserve">–</w:t>
      </w:r>
    </w:p>
    <w:p>
      <w:pPr>
        <w:pStyle w:val="BodyText"/>
      </w:pPr>
      <w:r>
        <w:t xml:space="preserve">26,221</w:t>
      </w:r>
    </w:p>
    <w:p>
      <w:pPr>
        <w:pStyle w:val="BodyText"/>
      </w:pPr>
      <w:r>
        <w:t xml:space="preserve">–</w:t>
      </w:r>
    </w:p>
    <w:p>
      <w:pPr>
        <w:pStyle w:val="BodyText"/>
      </w:pPr>
      <w:r>
        <w:t xml:space="preserve">9</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1,223</w:t>
      </w:r>
    </w:p>
    <w:p>
      <w:pPr>
        <w:pStyle w:val="BodyText"/>
      </w:pPr>
      <w:r>
        <w:t xml:space="preserve">–</w:t>
      </w:r>
    </w:p>
    <w:p>
      <w:pPr>
        <w:pStyle w:val="BodyText"/>
      </w:pPr>
      <w:r>
        <w:t xml:space="preserve">–</w:t>
      </w:r>
    </w:p>
    <w:p>
      <w:pPr>
        <w:pStyle w:val="Compact"/>
        <w:numPr>
          <w:ilvl w:val="0"/>
          <w:numId w:val="1523"/>
        </w:numPr>
      </w:pPr>
      <w:r>
        <w:rPr>
          <w:rFonts w:hint="eastAsia"/>
        </w:rPr>
        <w:t xml:space="preserve">風險管理（續）</w:t>
      </w:r>
    </w:p>
    <w:p>
      <w:pPr>
        <w:pStyle w:val="FirstParagraph"/>
      </w:pPr>
      <w:r>
        <w:rPr>
          <w:rFonts w:hint="eastAsia"/>
        </w:rPr>
        <w:t xml:space="preserve">投資及財務風險（續）</w:t>
      </w:r>
    </w:p>
    <w:p>
      <w:pPr>
        <w:pStyle w:val="BodyText"/>
      </w:pPr>
      <w:r>
        <w:rPr>
          <w:rFonts w:hint="eastAsia"/>
        </w:rPr>
        <w:t xml:space="preserve">流動性風險（續）</w:t>
      </w:r>
    </w:p>
    <w:p>
      <w:pPr>
        <w:pStyle w:val="BodyText"/>
      </w:pPr>
      <w:r>
        <w:rPr>
          <w:rFonts w:hint="eastAsia"/>
        </w:rPr>
        <w:t xml:space="preserve">百萬美元</w:t>
      </w:r>
    </w:p>
    <w:p>
      <w:pPr>
        <w:pStyle w:val="BodyText"/>
      </w:pPr>
      <w:r>
        <w:rPr>
          <w:rFonts w:hint="eastAsia"/>
        </w:rPr>
        <w:t xml:space="preserve">2019年12月31日</w:t>
      </w:r>
      <w:r>
        <w:t xml:space="preserve"> </w:t>
      </w:r>
      <w:r>
        <w:rPr>
          <w:rFonts w:hint="eastAsia"/>
        </w:rPr>
        <w:t xml:space="preserve">－</w:t>
      </w:r>
      <w:r>
        <w:t xml:space="preserve"> </w:t>
      </w:r>
      <w:r>
        <w:rPr>
          <w:rFonts w:hint="eastAsia"/>
        </w:rPr>
        <w:t xml:space="preserve">經調整</w:t>
      </w:r>
    </w:p>
    <w:p>
      <w:pPr>
        <w:pStyle w:val="BodyText"/>
      </w:pPr>
      <w:r>
        <w:rPr>
          <w:rFonts w:hint="eastAsia"/>
        </w:rPr>
        <w:t xml:space="preserve">金融資產（保單持有人及股東投資）</w:t>
      </w:r>
    </w:p>
    <w:p>
      <w:pPr>
        <w:pStyle w:val="BodyText"/>
      </w:pPr>
      <w:r>
        <w:rPr>
          <w:rFonts w:hint="eastAsia"/>
        </w:rPr>
        <w:t xml:space="preserve">貸款及存款</w:t>
      </w:r>
    </w:p>
    <w:p>
      <w:pPr>
        <w:pStyle w:val="BodyText"/>
      </w:pPr>
      <w:r>
        <w:rPr>
          <w:rFonts w:hint="eastAsia"/>
        </w:rPr>
        <w:t xml:space="preserve">其他應收款項</w:t>
      </w:r>
    </w:p>
    <w:p>
      <w:pPr>
        <w:pStyle w:val="BodyText"/>
      </w:pPr>
      <w:r>
        <w:rPr>
          <w:rFonts w:hint="eastAsia"/>
        </w:rPr>
        <w:t xml:space="preserve">債務證券</w:t>
      </w:r>
    </w:p>
    <w:p>
      <w:pPr>
        <w:pStyle w:val="BodyText"/>
      </w:pPr>
      <w:r>
        <w:rPr>
          <w:rFonts w:hint="eastAsia"/>
        </w:rPr>
        <w:t xml:space="preserve">股本證券</w:t>
      </w:r>
    </w:p>
    <w:p>
      <w:pPr>
        <w:pStyle w:val="BodyText"/>
      </w:pPr>
      <w:r>
        <w:rPr>
          <w:rFonts w:hint="eastAsia"/>
        </w:rPr>
        <w:t xml:space="preserve">再保險應收款項</w:t>
      </w:r>
    </w:p>
    <w:p>
      <w:pPr>
        <w:pStyle w:val="BodyText"/>
      </w:pPr>
      <w:r>
        <w:rPr>
          <w:rFonts w:hint="eastAsia"/>
        </w:rPr>
        <w:t xml:space="preserve">應計投資收入</w:t>
      </w:r>
    </w:p>
    <w:p>
      <w:pPr>
        <w:pStyle w:val="BodyText"/>
      </w:pPr>
      <w:r>
        <w:rPr>
          <w:rFonts w:hint="eastAsia"/>
        </w:rPr>
        <w:t xml:space="preserve">現金及現金等價物</w:t>
      </w:r>
    </w:p>
    <w:p>
      <w:pPr>
        <w:pStyle w:val="BodyText"/>
      </w:pPr>
      <w:r>
        <w:rPr>
          <w:rFonts w:hint="eastAsia"/>
        </w:rPr>
        <w:t xml:space="preserve">衍生金融工具</w:t>
      </w:r>
    </w:p>
    <w:p>
      <w:pPr>
        <w:pStyle w:val="BodyText"/>
      </w:pPr>
      <w:r>
        <w:rPr>
          <w:rFonts w:hint="eastAsia"/>
        </w:rPr>
        <w:t xml:space="preserve">小計</w:t>
      </w:r>
    </w:p>
    <w:p>
      <w:pPr>
        <w:pStyle w:val="BodyText"/>
      </w:pPr>
      <w:r>
        <w:rPr>
          <w:rFonts w:hint="eastAsia"/>
        </w:rPr>
        <w:t xml:space="preserve">總計</w:t>
      </w:r>
    </w:p>
    <w:p>
      <w:pPr>
        <w:pStyle w:val="BodyText"/>
      </w:pPr>
      <w:r>
        <w:rPr>
          <w:rFonts w:hint="eastAsia"/>
        </w:rPr>
        <w:t xml:space="preserve">一年或以下</w:t>
      </w:r>
      <w:r>
        <w:br/>
      </w:r>
      <w:r>
        <w:rPr>
          <w:rFonts w:hint="eastAsia"/>
        </w:rPr>
        <w:t xml:space="preserve">到期</w:t>
      </w:r>
    </w:p>
    <w:p>
      <w:pPr>
        <w:pStyle w:val="BodyText"/>
      </w:pPr>
      <w:r>
        <w:rPr>
          <w:rFonts w:hint="eastAsia"/>
        </w:rPr>
        <w:t xml:space="preserve">一年後至</w:t>
      </w:r>
      <w:r>
        <w:br/>
      </w:r>
      <w:r>
        <w:rPr>
          <w:rFonts w:hint="eastAsia"/>
        </w:rPr>
        <w:t xml:space="preserve">五年內到期</w:t>
      </w:r>
    </w:p>
    <w:p>
      <w:pPr>
        <w:pStyle w:val="BodyText"/>
      </w:pPr>
      <w:r>
        <w:rPr>
          <w:rFonts w:hint="eastAsia"/>
        </w:rPr>
        <w:t xml:space="preserve">五年後至</w:t>
      </w:r>
      <w:r>
        <w:br/>
      </w:r>
      <w:r>
        <w:rPr>
          <w:rFonts w:hint="eastAsia"/>
        </w:rPr>
        <w:t xml:space="preserve">十年內到期</w:t>
      </w:r>
    </w:p>
    <w:p>
      <w:pPr>
        <w:pStyle w:val="BodyText"/>
      </w:pPr>
      <w:r>
        <w:rPr>
          <w:rFonts w:hint="eastAsia"/>
        </w:rPr>
        <w:t xml:space="preserve">十年後</w:t>
      </w:r>
      <w:r>
        <w:br/>
      </w:r>
      <w:r>
        <w:rPr>
          <w:rFonts w:hint="eastAsia"/>
        </w:rPr>
        <w:t xml:space="preserve">到期</w:t>
      </w:r>
    </w:p>
    <w:p>
      <w:pPr>
        <w:pStyle w:val="BodyText"/>
      </w:pPr>
      <w:r>
        <w:rPr>
          <w:rFonts w:hint="eastAsia"/>
        </w:rPr>
        <w:t xml:space="preserve">無固定</w:t>
      </w:r>
      <w:r>
        <w:br/>
      </w:r>
      <w:r>
        <w:rPr>
          <w:rFonts w:hint="eastAsia"/>
        </w:rPr>
        <w:t xml:space="preserve">到期日(2)</w:t>
      </w:r>
    </w:p>
    <w:p>
      <w:pPr>
        <w:pStyle w:val="BodyText"/>
      </w:pPr>
      <w:r>
        <w:t xml:space="preserve">9,383</w:t>
      </w:r>
    </w:p>
    <w:p>
      <w:pPr>
        <w:pStyle w:val="BodyText"/>
      </w:pPr>
      <w:r>
        <w:t xml:space="preserve">2,598</w:t>
      </w:r>
    </w:p>
    <w:p>
      <w:pPr>
        <w:pStyle w:val="BodyText"/>
      </w:pPr>
      <w:r>
        <w:t xml:space="preserve">166,118</w:t>
      </w:r>
    </w:p>
    <w:p>
      <w:pPr>
        <w:pStyle w:val="BodyText"/>
      </w:pPr>
      <w:r>
        <w:t xml:space="preserve">26,221</w:t>
      </w:r>
    </w:p>
    <w:p>
      <w:pPr>
        <w:pStyle w:val="BodyText"/>
      </w:pPr>
      <w:r>
        <w:t xml:space="preserve">683</w:t>
      </w:r>
    </w:p>
    <w:p>
      <w:pPr>
        <w:pStyle w:val="BodyText"/>
      </w:pPr>
      <w:r>
        <w:t xml:space="preserve">1,644</w:t>
      </w:r>
    </w:p>
    <w:p>
      <w:pPr>
        <w:pStyle w:val="BodyText"/>
      </w:pPr>
      <w:r>
        <w:t xml:space="preserve">3,189</w:t>
      </w:r>
    </w:p>
    <w:p>
      <w:pPr>
        <w:pStyle w:val="BodyText"/>
      </w:pPr>
      <w:r>
        <w:t xml:space="preserve">937</w:t>
      </w:r>
    </w:p>
    <w:p>
      <w:pPr>
        <w:pStyle w:val="BodyText"/>
      </w:pPr>
      <w:r>
        <w:t xml:space="preserve">2,657</w:t>
      </w:r>
    </w:p>
    <w:p>
      <w:pPr>
        <w:pStyle w:val="BodyText"/>
      </w:pPr>
      <w:r>
        <w:t xml:space="preserve">2,488</w:t>
      </w:r>
    </w:p>
    <w:p>
      <w:pPr>
        <w:pStyle w:val="BodyText"/>
      </w:pPr>
      <w:r>
        <w:t xml:space="preserve">2,849</w:t>
      </w:r>
    </w:p>
    <w:p>
      <w:pPr>
        <w:pStyle w:val="BodyText"/>
      </w:pPr>
      <w:r>
        <w:t xml:space="preserve">–</w:t>
      </w:r>
    </w:p>
    <w:p>
      <w:pPr>
        <w:pStyle w:val="BodyText"/>
      </w:pPr>
      <w:r>
        <w:t xml:space="preserve">683</w:t>
      </w:r>
    </w:p>
    <w:p>
      <w:pPr>
        <w:pStyle w:val="BodyText"/>
      </w:pPr>
      <w:r>
        <w:t xml:space="preserve">1,635</w:t>
      </w:r>
    </w:p>
    <w:p>
      <w:pPr>
        <w:pStyle w:val="BodyText"/>
      </w:pPr>
      <w:r>
        <w:t xml:space="preserve">3,189</w:t>
      </w:r>
    </w:p>
    <w:p>
      <w:pPr>
        <w:pStyle w:val="BodyText"/>
      </w:pPr>
      <w:r>
        <w:t xml:space="preserve">167</w:t>
      </w:r>
    </w:p>
    <w:p>
      <w:pPr>
        <w:pStyle w:val="BodyText"/>
      </w:pPr>
      <w:r>
        <w:t xml:space="preserve">1,048</w:t>
      </w:r>
    </w:p>
    <w:p>
      <w:pPr>
        <w:pStyle w:val="BodyText"/>
      </w:pPr>
      <w:r>
        <w:t xml:space="preserve">75</w:t>
      </w:r>
    </w:p>
    <w:p>
      <w:pPr>
        <w:pStyle w:val="BodyText"/>
      </w:pPr>
      <w:r>
        <w:t xml:space="preserve">594</w:t>
      </w:r>
    </w:p>
    <w:p>
      <w:pPr>
        <w:pStyle w:val="BodyText"/>
      </w:pPr>
      <w:r>
        <w:t xml:space="preserve">7</w:t>
      </w:r>
    </w:p>
    <w:p>
      <w:pPr>
        <w:pStyle w:val="BodyText"/>
      </w:pPr>
      <w:r>
        <w:t xml:space="preserve">1,828</w:t>
      </w:r>
    </w:p>
    <w:p>
      <w:pPr>
        <w:pStyle w:val="BodyText"/>
      </w:pPr>
      <w:r>
        <w:t xml:space="preserve">3,256</w:t>
      </w:r>
    </w:p>
    <w:p>
      <w:pPr>
        <w:pStyle w:val="BodyText"/>
      </w:pPr>
      <w:r>
        <w:t xml:space="preserve">–</w:t>
      </w:r>
    </w:p>
    <w:p>
      <w:pPr>
        <w:pStyle w:val="BodyText"/>
      </w:pPr>
      <w:r>
        <w:t xml:space="preserve">19,404</w:t>
      </w:r>
    </w:p>
    <w:p>
      <w:pPr>
        <w:pStyle w:val="BodyText"/>
      </w:pPr>
      <w:r>
        <w:t xml:space="preserve">31,219</w:t>
      </w:r>
    </w:p>
    <w:p>
      <w:pPr>
        <w:pStyle w:val="BodyText"/>
      </w:pPr>
      <w:r>
        <w:t xml:space="preserve">112,646</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189</w:t>
      </w:r>
    </w:p>
    <w:p>
      <w:pPr>
        <w:pStyle w:val="BodyText"/>
      </w:pPr>
      <w:r>
        <w:t xml:space="preserve">196</w:t>
      </w:r>
    </w:p>
    <w:p>
      <w:pPr>
        <w:pStyle w:val="BodyText"/>
      </w:pPr>
      <w:r>
        <w:t xml:space="preserve">385</w:t>
      </w:r>
    </w:p>
    <w:p>
      <w:pPr>
        <w:pStyle w:val="BodyText"/>
      </w:pPr>
      <w:r>
        <w:rPr>
          <w:rFonts w:hint="eastAsia"/>
        </w:rPr>
        <w:t xml:space="preserve">金融資產（單位連結式合約及合併投資基金）</w:t>
      </w:r>
    </w:p>
    <w:p>
      <w:pPr>
        <w:pStyle w:val="BodyText"/>
      </w:pPr>
      <w:r>
        <w:t xml:space="preserve">31,604</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31,604(3)</w:t>
      </w:r>
    </w:p>
    <w:p>
      <w:pPr>
        <w:pStyle w:val="BodyText"/>
      </w:pPr>
      <w:r>
        <w:rPr>
          <w:rFonts w:hint="eastAsia"/>
        </w:rPr>
        <w:t xml:space="preserve">總計</w:t>
      </w:r>
    </w:p>
    <w:p>
      <w:pPr>
        <w:pStyle w:val="BodyText"/>
      </w:pPr>
      <w:r>
        <w:t xml:space="preserve">242,377</w:t>
      </w:r>
    </w:p>
    <w:p>
      <w:pPr>
        <w:pStyle w:val="BodyText"/>
      </w:pPr>
      <w:r>
        <w:t xml:space="preserve">13,668</w:t>
      </w:r>
    </w:p>
    <w:p>
      <w:pPr>
        <w:pStyle w:val="BodyText"/>
      </w:pPr>
      <w:r>
        <w:t xml:space="preserve">20,716</w:t>
      </w:r>
    </w:p>
    <w:p>
      <w:pPr>
        <w:pStyle w:val="BodyText"/>
      </w:pPr>
      <w:r>
        <w:t xml:space="preserve">32,016</w:t>
      </w:r>
    </w:p>
    <w:p>
      <w:pPr>
        <w:pStyle w:val="BodyText"/>
      </w:pPr>
      <w:r>
        <w:t xml:space="preserve">114,859</w:t>
      </w:r>
    </w:p>
    <w:p>
      <w:pPr>
        <w:pStyle w:val="BodyText"/>
      </w:pPr>
      <w:r>
        <w:t xml:space="preserve">61,118</w:t>
      </w:r>
    </w:p>
    <w:p>
      <w:pPr>
        <w:pStyle w:val="BodyText"/>
      </w:pPr>
      <w:r>
        <w:t xml:space="preserve">210,773</w:t>
      </w:r>
    </w:p>
    <w:p>
      <w:pPr>
        <w:pStyle w:val="BodyText"/>
      </w:pPr>
      <w:r>
        <w:t xml:space="preserve">13,668</w:t>
      </w:r>
    </w:p>
    <w:p>
      <w:pPr>
        <w:pStyle w:val="BodyText"/>
      </w:pPr>
      <w:r>
        <w:t xml:space="preserve">20,716</w:t>
      </w:r>
    </w:p>
    <w:p>
      <w:pPr>
        <w:pStyle w:val="BodyText"/>
      </w:pPr>
      <w:r>
        <w:t xml:space="preserve">32,016</w:t>
      </w:r>
    </w:p>
    <w:p>
      <w:pPr>
        <w:pStyle w:val="BodyText"/>
      </w:pPr>
      <w:r>
        <w:t xml:space="preserve">114,859</w:t>
      </w:r>
    </w:p>
    <w:p>
      <w:pPr>
        <w:pStyle w:val="BodyText"/>
      </w:pPr>
      <w:r>
        <w:t xml:space="preserve">29,514</w:t>
      </w:r>
    </w:p>
    <w:p>
      <w:pPr>
        <w:pStyle w:val="BodyText"/>
      </w:pPr>
      <w:r>
        <w:rPr>
          <w:rFonts w:hint="eastAsia"/>
        </w:rPr>
        <w:t xml:space="preserve">金融及保險合約負債</w:t>
      </w:r>
      <w:r>
        <w:br/>
      </w:r>
      <w:r>
        <w:rPr>
          <w:rFonts w:hint="eastAsia"/>
        </w:rPr>
        <w:t xml:space="preserve">（保單持有人及股東投資）</w:t>
      </w:r>
    </w:p>
    <w:p>
      <w:pPr>
        <w:pStyle w:val="BodyText"/>
      </w:pPr>
      <w:r>
        <w:rPr>
          <w:rFonts w:hint="eastAsia"/>
        </w:rPr>
        <w:t xml:space="preserve">保險及投資合約負債</w:t>
      </w:r>
    </w:p>
    <w:p>
      <w:pPr>
        <w:pStyle w:val="BodyText"/>
      </w:pPr>
      <w:r>
        <w:rPr>
          <w:rFonts w:hint="eastAsia"/>
        </w:rPr>
        <w:t xml:space="preserve">（已扣除遞延承保及啟動成本，及再保險）</w:t>
      </w:r>
      <w:r>
        <w:t xml:space="preserve"> 144,801</w:t>
      </w:r>
    </w:p>
    <w:p>
      <w:pPr>
        <w:pStyle w:val="BodyText"/>
      </w:pPr>
      <w:r>
        <w:t xml:space="preserve">3,297</w:t>
      </w:r>
    </w:p>
    <w:p>
      <w:pPr>
        <w:pStyle w:val="BodyText"/>
      </w:pPr>
      <w:r>
        <w:t xml:space="preserve">12,025</w:t>
      </w:r>
    </w:p>
    <w:p>
      <w:pPr>
        <w:pStyle w:val="BodyText"/>
      </w:pPr>
      <w:r>
        <w:t xml:space="preserve">13,676</w:t>
      </w:r>
    </w:p>
    <w:p>
      <w:pPr>
        <w:pStyle w:val="BodyText"/>
      </w:pPr>
      <w:r>
        <w:t xml:space="preserve">115,803</w:t>
      </w:r>
    </w:p>
    <w:p>
      <w:pPr>
        <w:pStyle w:val="BodyText"/>
      </w:pPr>
      <w:r>
        <w:rPr>
          <w:rFonts w:hint="eastAsia"/>
        </w:rPr>
        <w:t xml:space="preserve">借貸</w:t>
      </w:r>
    </w:p>
    <w:p>
      <w:pPr>
        <w:pStyle w:val="BodyText"/>
      </w:pPr>
      <w:r>
        <w:rPr>
          <w:rFonts w:hint="eastAsia"/>
        </w:rPr>
        <w:t xml:space="preserve">回購協議的債項</w:t>
      </w:r>
    </w:p>
    <w:p>
      <w:pPr>
        <w:pStyle w:val="BodyText"/>
      </w:pPr>
      <w:r>
        <w:rPr>
          <w:rFonts w:hint="eastAsia"/>
        </w:rPr>
        <w:t xml:space="preserve">租賃負債除外的其他負債</w:t>
      </w:r>
    </w:p>
    <w:p>
      <w:pPr>
        <w:pStyle w:val="BodyText"/>
      </w:pPr>
      <w:r>
        <w:rPr>
          <w:rFonts w:hint="eastAsia"/>
        </w:rPr>
        <w:t xml:space="preserve">租賃負債</w:t>
      </w:r>
    </w:p>
    <w:p>
      <w:pPr>
        <w:pStyle w:val="BodyText"/>
      </w:pPr>
      <w:r>
        <w:rPr>
          <w:rFonts w:hint="eastAsia"/>
        </w:rPr>
        <w:t xml:space="preserve">衍生金融工具</w:t>
      </w:r>
    </w:p>
    <w:p>
      <w:pPr>
        <w:pStyle w:val="BodyText"/>
      </w:pPr>
      <w:r>
        <w:rPr>
          <w:rFonts w:hint="eastAsia"/>
        </w:rPr>
        <w:t xml:space="preserve">小計</w:t>
      </w:r>
    </w:p>
    <w:p>
      <w:pPr>
        <w:pStyle w:val="BodyText"/>
      </w:pPr>
      <w:r>
        <w:rPr>
          <w:rFonts w:hint="eastAsia"/>
        </w:rPr>
        <w:t xml:space="preserve">金融及保險合約負債</w:t>
      </w:r>
      <w:r>
        <w:br/>
      </w:r>
      <w:r>
        <w:rPr>
          <w:rFonts w:hint="eastAsia"/>
        </w:rPr>
        <w:t xml:space="preserve">（單位連結式合約及合併投資基金）</w:t>
      </w:r>
    </w:p>
    <w:p>
      <w:pPr>
        <w:pStyle w:val="BodyText"/>
      </w:pPr>
      <w:r>
        <w:rPr>
          <w:rFonts w:hint="eastAsia"/>
        </w:rPr>
        <w:t xml:space="preserve">總計</w:t>
      </w:r>
    </w:p>
    <w:p>
      <w:pPr>
        <w:pStyle w:val="BodyText"/>
      </w:pPr>
      <w:r>
        <w:rPr>
          <w:rFonts w:hint="eastAsia"/>
        </w:rPr>
        <w:t xml:space="preserve">附註：</w:t>
      </w:r>
    </w:p>
    <w:p>
      <w:pPr>
        <w:pStyle w:val="BodyText"/>
      </w:pPr>
      <w:r>
        <w:t xml:space="preserve">5,757</w:t>
      </w:r>
    </w:p>
    <w:p>
      <w:pPr>
        <w:pStyle w:val="BodyText"/>
      </w:pPr>
      <w:r>
        <w:t xml:space="preserve">1,826</w:t>
      </w:r>
    </w:p>
    <w:p>
      <w:pPr>
        <w:pStyle w:val="BodyText"/>
      </w:pPr>
      <w:r>
        <w:t xml:space="preserve">7,716</w:t>
      </w:r>
    </w:p>
    <w:p>
      <w:pPr>
        <w:pStyle w:val="BodyText"/>
      </w:pPr>
      <w:r>
        <w:t xml:space="preserve">605</w:t>
      </w:r>
    </w:p>
    <w:p>
      <w:pPr>
        <w:pStyle w:val="BodyText"/>
      </w:pPr>
      <w:r>
        <w:t xml:space="preserve">397</w:t>
      </w:r>
    </w:p>
    <w:p>
      <w:pPr>
        <w:pStyle w:val="BodyText"/>
      </w:pPr>
      <w:r>
        <w:t xml:space="preserve">–</w:t>
      </w:r>
    </w:p>
    <w:p>
      <w:pPr>
        <w:pStyle w:val="BodyText"/>
      </w:pPr>
      <w:r>
        <w:t xml:space="preserve">1,665(4)</w:t>
      </w:r>
    </w:p>
    <w:p>
      <w:pPr>
        <w:pStyle w:val="BodyText"/>
      </w:pPr>
      <w:r>
        <w:t xml:space="preserve">2,233</w:t>
      </w:r>
    </w:p>
    <w:p>
      <w:pPr>
        <w:pStyle w:val="BodyText"/>
      </w:pPr>
      <w:r>
        <w:t xml:space="preserve">1,859</w:t>
      </w:r>
    </w:p>
    <w:p>
      <w:pPr>
        <w:pStyle w:val="BodyText"/>
      </w:pPr>
      <w:r>
        <w:t xml:space="preserve">1,826</w:t>
      </w:r>
    </w:p>
    <w:p>
      <w:pPr>
        <w:pStyle w:val="BodyText"/>
      </w:pPr>
      <w:r>
        <w:t xml:space="preserve">5,868</w:t>
      </w:r>
    </w:p>
    <w:p>
      <w:pPr>
        <w:pStyle w:val="BodyText"/>
      </w:pPr>
      <w:r>
        <w:t xml:space="preserve">178</w:t>
      </w:r>
    </w:p>
    <w:p>
      <w:pPr>
        <w:pStyle w:val="BodyText"/>
      </w:pPr>
      <w:r>
        <w:t xml:space="preserve">40</w:t>
      </w:r>
    </w:p>
    <w:p>
      <w:pPr>
        <w:pStyle w:val="BodyText"/>
      </w:pPr>
      <w:r>
        <w:t xml:space="preserve">–</w:t>
      </w:r>
    </w:p>
    <w:p>
      <w:pPr>
        <w:pStyle w:val="BodyText"/>
      </w:pPr>
      <w:r>
        <w:t xml:space="preserve">234</w:t>
      </w:r>
    </w:p>
    <w:p>
      <w:pPr>
        <w:pStyle w:val="BodyText"/>
      </w:pPr>
      <w:r>
        <w:t xml:space="preserve">368</w:t>
      </w:r>
    </w:p>
    <w:p>
      <w:pPr>
        <w:pStyle w:val="BodyText"/>
      </w:pPr>
      <w:r>
        <w:t xml:space="preserve">165</w:t>
      </w:r>
    </w:p>
    <w:p>
      <w:pPr>
        <w:pStyle w:val="BodyText"/>
      </w:pPr>
      <w:r>
        <w:t xml:space="preserve">–</w:t>
      </w:r>
    </w:p>
    <w:p>
      <w:pPr>
        <w:pStyle w:val="BodyText"/>
      </w:pPr>
      <w:r>
        <w:t xml:space="preserve">162</w:t>
      </w:r>
    </w:p>
    <w:p>
      <w:pPr>
        <w:pStyle w:val="BodyText"/>
      </w:pPr>
      <w:r>
        <w:t xml:space="preserve">55</w:t>
      </w:r>
    </w:p>
    <w:p>
      <w:pPr>
        <w:pStyle w:val="BodyText"/>
      </w:pPr>
      <w:r>
        <w:t xml:space="preserve">79</w:t>
      </w:r>
    </w:p>
    <w:p>
      <w:pPr>
        <w:pStyle w:val="BodyText"/>
      </w:pPr>
      <w:r>
        <w:t xml:space="preserve">–</w:t>
      </w:r>
    </w:p>
    <w:p>
      <w:pPr>
        <w:pStyle w:val="BodyText"/>
      </w:pPr>
      <w:r>
        <w:t xml:space="preserve">229</w:t>
      </w:r>
    </w:p>
    <w:p>
      <w:pPr>
        <w:pStyle w:val="BodyText"/>
      </w:pPr>
      <w:r>
        <w:t xml:space="preserve">4</w:t>
      </w:r>
    </w:p>
    <w:p>
      <w:pPr>
        <w:pStyle w:val="BodyText"/>
      </w:pPr>
      <w:r>
        <w:t xml:space="preserve">113</w:t>
      </w:r>
    </w:p>
    <w:p>
      <w:pPr>
        <w:pStyle w:val="BodyText"/>
      </w:pPr>
      <w:r>
        <w:t xml:space="preserve">161,102</w:t>
      </w:r>
    </w:p>
    <w:p>
      <w:pPr>
        <w:pStyle w:val="BodyText"/>
      </w:pPr>
      <w:r>
        <w:t xml:space="preserve">11,209</w:t>
      </w:r>
    </w:p>
    <w:p>
      <w:pPr>
        <w:pStyle w:val="BodyText"/>
      </w:pPr>
      <w:r>
        <w:t xml:space="preserve">14,457</w:t>
      </w:r>
    </w:p>
    <w:p>
      <w:pPr>
        <w:pStyle w:val="BodyText"/>
      </w:pPr>
      <w:r>
        <w:t xml:space="preserve">16,205</w:t>
      </w:r>
    </w:p>
    <w:p>
      <w:pPr>
        <w:pStyle w:val="BodyText"/>
      </w:pPr>
      <w:r>
        <w:t xml:space="preserve">118,008</w:t>
      </w:r>
    </w:p>
    <w:p>
      <w:pPr>
        <w:pStyle w:val="BodyText"/>
      </w:pPr>
      <w:r>
        <w:t xml:space="preserve">1,223</w:t>
      </w:r>
    </w:p>
    <w:p>
      <w:pPr>
        <w:pStyle w:val="BodyText"/>
      </w:pPr>
      <w:r>
        <w:t xml:space="preserve">31,098</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192,200</w:t>
      </w:r>
    </w:p>
    <w:p>
      <w:pPr>
        <w:pStyle w:val="BodyText"/>
      </w:pPr>
      <w:r>
        <w:t xml:space="preserve">11,209</w:t>
      </w:r>
    </w:p>
    <w:p>
      <w:pPr>
        <w:pStyle w:val="BodyText"/>
      </w:pPr>
      <w:r>
        <w:t xml:space="preserve">14,457</w:t>
      </w:r>
    </w:p>
    <w:p>
      <w:pPr>
        <w:pStyle w:val="BodyText"/>
      </w:pPr>
      <w:r>
        <w:t xml:space="preserve">16,205</w:t>
      </w:r>
    </w:p>
    <w:p>
      <w:pPr>
        <w:pStyle w:val="BodyText"/>
      </w:pPr>
      <w:r>
        <w:t xml:space="preserve">118,008</w:t>
      </w:r>
    </w:p>
    <w:p>
      <w:pPr>
        <w:pStyle w:val="BodyText"/>
      </w:pPr>
      <w:r>
        <w:t xml:space="preserve">31,098</w:t>
      </w:r>
    </w:p>
    <w:p>
      <w:pPr>
        <w:pStyle w:val="BodyText"/>
      </w:pPr>
      <w:r>
        <w:t xml:space="preserve">32,321</w:t>
      </w:r>
    </w:p>
    <w:p>
      <w:pPr>
        <w:pStyle w:val="Compact"/>
        <w:numPr>
          <w:ilvl w:val="0"/>
          <w:numId w:val="1524"/>
        </w:numPr>
      </w:pPr>
      <w:r>
        <w:rPr>
          <w:rFonts w:hint="eastAsia"/>
        </w:rPr>
        <w:t xml:space="preserve">無固定到期日的金融資產為本集團可選擇收回時間的須按要求收回的款項或權益。類似地，無固定到期日的金融負債為交易對手可選擇付款時間</w:t>
      </w:r>
    </w:p>
    <w:p>
      <w:pPr>
        <w:pStyle w:val="FirstParagraph"/>
      </w:pPr>
      <w:r>
        <w:rPr>
          <w:rFonts w:hint="eastAsia"/>
        </w:rPr>
        <w:t xml:space="preserve">的須按要求支付的款項。</w:t>
      </w:r>
    </w:p>
    <w:p>
      <w:pPr>
        <w:numPr>
          <w:ilvl w:val="0"/>
          <w:numId w:val="1525"/>
        </w:numPr>
      </w:pPr>
      <w:r>
        <w:rPr>
          <w:rFonts w:hint="eastAsia"/>
        </w:rPr>
        <w:t xml:space="preserve">金融資產（單位連結式合約及合併投資基金）整體價值計入無固定到期日類別，以與金融及保險合約負債（單位連結式合約及合併投資基金）的相</w:t>
      </w:r>
      <w:r>
        <w:br/>
      </w:r>
      <w:r>
        <w:rPr>
          <w:rFonts w:hint="eastAsia"/>
        </w:rPr>
        <w:t xml:space="preserve">應整體價值進行比較。債務證券一年或以下到期的4.33億美元（2019年：6.68億美元）、一年後至五年內到期的26.22億美元（2019年：23.92億美</w:t>
      </w:r>
      <w:r>
        <w:br/>
      </w:r>
      <w:r>
        <w:rPr>
          <w:rFonts w:hint="eastAsia"/>
        </w:rPr>
        <w:t xml:space="preserve">元）、五年後至十年內到期的19.34億美元（2019年：17.92億美元）及十年後到期的14.14億美元（2019年：10.14億美元）根據金融投資的合約條款</w:t>
      </w:r>
      <w:r>
        <w:br/>
      </w:r>
      <w:r>
        <w:rPr>
          <w:rFonts w:hint="eastAsia"/>
        </w:rPr>
        <w:t xml:space="preserve">計入金融資產（單位連結式合約及合併投資基金）。</w:t>
      </w:r>
    </w:p>
    <w:p>
      <w:pPr>
        <w:numPr>
          <w:ilvl w:val="0"/>
          <w:numId w:val="1525"/>
        </w:numPr>
      </w:pPr>
      <w:r>
        <w:rPr>
          <w:rFonts w:hint="eastAsia"/>
        </w:rPr>
        <w:t xml:space="preserve">包括兩年後至五年內到期的6.65億美元。</w:t>
      </w:r>
    </w:p>
    <w:p>
      <w:pPr>
        <w:pStyle w:val="FirstParagraph"/>
      </w:pPr>
      <w:r>
        <w:t xml:space="preserve">240</w:t>
      </w:r>
    </w:p>
    <w:p>
      <w:pPr>
        <w:pStyle w:val="BodyText"/>
      </w:pPr>
      <w:r>
        <w:rPr>
          <w:rFonts w:hint="eastAsia"/>
        </w:rPr>
        <w:t xml:space="preserve">友邦保險控股有限公司</w:t>
      </w:r>
    </w:p>
    <w:p>
      <w:pPr>
        <w:pStyle w:val="Compact"/>
        <w:numPr>
          <w:ilvl w:val="0"/>
          <w:numId w:val="1526"/>
        </w:numPr>
      </w:pPr>
      <w:r>
        <w:rPr>
          <w:rFonts w:hint="eastAsia"/>
        </w:rPr>
        <w:t xml:space="preserve">僱員福利</w:t>
      </w:r>
    </w:p>
    <w:p>
      <w:pPr>
        <w:pStyle w:val="FirstParagraph"/>
      </w:pPr>
      <w:r>
        <w:rPr>
          <w:rFonts w:hint="eastAsia"/>
        </w:rPr>
        <w:t xml:space="preserve">界定福利計劃</w:t>
      </w:r>
    </w:p>
    <w:p>
      <w:pPr>
        <w:pStyle w:val="BodyText"/>
      </w:pPr>
      <w:r>
        <w:rPr>
          <w:rFonts w:hint="eastAsia"/>
        </w:rPr>
        <w:t xml:space="preserve">本集團實施供款及非供款界定福利計劃，為參與計劃的僱員提供退休後的人壽及醫療福利，以及僱傭關係結束後的一次性給</w:t>
      </w:r>
    </w:p>
    <w:p>
      <w:pPr>
        <w:pStyle w:val="BodyText"/>
      </w:pPr>
      <w:r>
        <w:rPr>
          <w:rFonts w:hint="eastAsia"/>
        </w:rPr>
        <w:t xml:space="preserve">付。此等計劃涵蓋的地區包括香港、新加坡、馬來西亞、泰國、印尼、南韓、菲律賓、斯里蘭卡、中國台灣及越南。此等計</w:t>
      </w:r>
    </w:p>
    <w:p>
      <w:pPr>
        <w:pStyle w:val="BodyText"/>
      </w:pPr>
      <w:r>
        <w:rPr>
          <w:rFonts w:hint="eastAsia"/>
        </w:rPr>
        <w:t xml:space="preserve">劃的最新獨立精算估值日期為2020年12月31日，乃由合資格的精算師韜睿惠悅香港有限公司編製。所有精算意見均為專業精</w:t>
      </w:r>
    </w:p>
    <w:p>
      <w:pPr>
        <w:pStyle w:val="BodyText"/>
      </w:pPr>
      <w:r>
        <w:rPr>
          <w:rFonts w:hint="eastAsia"/>
        </w:rPr>
        <w:t xml:space="preserve">算師協會的合資格精算師所提供。精算估值顯示，本集團於此等界定福利退休計劃下的責任，有39%（2019年：40%）是以</w:t>
      </w:r>
    </w:p>
    <w:p>
      <w:pPr>
        <w:pStyle w:val="BodyText"/>
      </w:pPr>
      <w:r>
        <w:rPr>
          <w:rFonts w:hint="eastAsia"/>
        </w:rPr>
        <w:t xml:space="preserve">信託人持有的計劃資產履行。計劃資產於年末估值日期的公平值為9,600萬美元（2019年：8,800萬美元）。此等計劃的總開支</w:t>
      </w:r>
    </w:p>
    <w:p>
      <w:pPr>
        <w:pStyle w:val="BodyText"/>
      </w:pPr>
      <w:r>
        <w:rPr>
          <w:rFonts w:hint="eastAsia"/>
        </w:rPr>
        <w:t xml:space="preserve">於合併收入表內為1,400萬美元（2019年：1,300萬美元）。</w:t>
      </w:r>
    </w:p>
    <w:p>
      <w:pPr>
        <w:pStyle w:val="BodyText"/>
      </w:pPr>
      <w:r>
        <w:rPr>
          <w:rFonts w:hint="eastAsia"/>
        </w:rPr>
        <w:t xml:space="preserve">界定供款計劃</w:t>
      </w:r>
    </w:p>
    <w:p>
      <w:pPr>
        <w:pStyle w:val="BodyText"/>
      </w:pPr>
      <w:r>
        <w:rPr>
          <w:rFonts w:hint="eastAsia"/>
        </w:rPr>
        <w:t xml:space="preserve">本集團實施多個界定供款退休金計劃。於當前年度，此等計劃的總開支為9,300萬美元（2019年：9,000萬美元）。僱員及僱主</w:t>
      </w:r>
    </w:p>
    <w:p>
      <w:pPr>
        <w:pStyle w:val="BodyText"/>
      </w:pPr>
      <w:r>
        <w:rPr>
          <w:rFonts w:hint="eastAsia"/>
        </w:rPr>
        <w:t xml:space="preserve">按規定須每月以僱員每月基本工資的1%至22%作出供款，而供款百分比視乎服務年期而定及受不同司法權區每月相關收入</w:t>
      </w:r>
    </w:p>
    <w:p>
      <w:pPr>
        <w:pStyle w:val="BodyText"/>
      </w:pPr>
      <w:r>
        <w:rPr>
          <w:rFonts w:hint="eastAsia"/>
        </w:rPr>
        <w:t xml:space="preserve">的適用上限所限。就附帶歸屬條件的界定供款退休金計劃而言，由僱主為僱員所作出的任何供款，於僱員在此供款悉數歸屬</w:t>
      </w:r>
    </w:p>
    <w:p>
      <w:pPr>
        <w:pStyle w:val="BodyText"/>
      </w:pPr>
      <w:r>
        <w:rPr>
          <w:rFonts w:hint="eastAsia"/>
        </w:rPr>
        <w:t xml:space="preserve">前退出此計劃時失效並由僱主使用，以減少任何未來供款。用於減少現有供款水平的已失效供款金額並不重大。</w:t>
      </w:r>
    </w:p>
    <w:p>
      <w:pPr>
        <w:pStyle w:val="Compact"/>
        <w:numPr>
          <w:ilvl w:val="0"/>
          <w:numId w:val="1527"/>
        </w:numPr>
      </w:pPr>
      <w:r>
        <w:rPr>
          <w:rFonts w:hint="eastAsia"/>
        </w:rPr>
        <w:t xml:space="preserve">以股份為基礎的報酬</w:t>
      </w:r>
    </w:p>
    <w:p>
      <w:pPr>
        <w:pStyle w:val="FirstParagraph"/>
      </w:pPr>
      <w:r>
        <w:rPr>
          <w:rFonts w:hint="eastAsia"/>
        </w:rPr>
        <w:t xml:space="preserve">以股份為基礎的報酬計劃</w:t>
      </w:r>
    </w:p>
    <w:p>
      <w:pPr>
        <w:pStyle w:val="BodyText"/>
      </w:pPr>
      <w:r>
        <w:rPr>
          <w:rFonts w:hint="eastAsia"/>
        </w:rPr>
        <w:t xml:space="preserve">於截至2020年12月31日止年度，本集團再次根據購股權計劃（2010年購股權計劃）及受限制股份單位計劃（2010年受限制股</w:t>
      </w:r>
    </w:p>
    <w:p>
      <w:pPr>
        <w:pStyle w:val="BodyText"/>
      </w:pPr>
      <w:r>
        <w:rPr>
          <w:rFonts w:hint="eastAsia"/>
        </w:rPr>
        <w:t xml:space="preserve">份單位計劃）以及僱員購股計劃（2011年僱員購股計劃），向本集團若干董事、主管及僱員授出購股權、受限制股份單位及受</w:t>
      </w:r>
    </w:p>
    <w:p>
      <w:pPr>
        <w:pStyle w:val="BodyText"/>
      </w:pPr>
      <w:r>
        <w:rPr>
          <w:rFonts w:hint="eastAsia"/>
        </w:rPr>
        <w:t xml:space="preserve">限制股份購買單位。此外，本集團亦根據代理購股計劃向合資格代理進一步授出受限制股份認購單位。</w:t>
      </w:r>
    </w:p>
    <w:p>
      <w:pPr>
        <w:pStyle w:val="BodyText"/>
      </w:pPr>
      <w:r>
        <w:rPr>
          <w:rFonts w:hint="eastAsia"/>
        </w:rPr>
        <w:t xml:space="preserve">由於2010年購股權計劃於2020年到期，本公司已在於2020年5月29日舉行的股東週年大會（2020年股東週年大會）上就終</w:t>
      </w:r>
    </w:p>
    <w:p>
      <w:pPr>
        <w:pStyle w:val="BodyText"/>
      </w:pPr>
      <w:r>
        <w:rPr>
          <w:rFonts w:hint="eastAsia"/>
        </w:rPr>
        <w:t xml:space="preserve">止2010年購股權計劃及採納新購股權計劃（2020年購股權計劃）尋求並獲得其股東批准，終止及採納均於2020年5月29日完</w:t>
      </w:r>
    </w:p>
    <w:p>
      <w:pPr>
        <w:pStyle w:val="BodyText"/>
      </w:pPr>
      <w:r>
        <w:rPr>
          <w:rFonts w:hint="eastAsia"/>
        </w:rPr>
        <w:t xml:space="preserve">成。2020年購股權計劃由採納日期起10年有效。在終止2010年購股權計劃及採納2020年購股權計劃後，不得再據此授出購</w:t>
      </w:r>
    </w:p>
    <w:p>
      <w:pPr>
        <w:pStyle w:val="BodyText"/>
      </w:pPr>
      <w:r>
        <w:rPr>
          <w:rFonts w:hint="eastAsia"/>
        </w:rPr>
        <w:t xml:space="preserve">股權。然而，2010年購股權計劃於計劃終止前授出的所有購股權仍具十足效力，而行使該購股權須受限於及遵守其根據2010</w:t>
      </w:r>
    </w:p>
    <w:p>
      <w:pPr>
        <w:pStyle w:val="BodyText"/>
      </w:pPr>
      <w:r>
        <w:rPr>
          <w:rFonts w:hint="eastAsia"/>
        </w:rPr>
        <w:t xml:space="preserve">年購股權計劃授出的條款及上市規則。</w:t>
      </w:r>
    </w:p>
    <w:p>
      <w:pPr>
        <w:pStyle w:val="BodyText"/>
      </w:pPr>
      <w:r>
        <w:rPr>
          <w:rFonts w:hint="eastAsia"/>
        </w:rPr>
        <w:t xml:space="preserve">此外，本公司已於2020年8月1日採納一項新的受限制股份單位計劃（2020年受限制股份單位計劃）及一項新的僱員購股計劃</w:t>
      </w:r>
    </w:p>
    <w:p>
      <w:pPr>
        <w:pStyle w:val="BodyText"/>
      </w:pPr>
      <w:r>
        <w:rPr>
          <w:rFonts w:hint="eastAsia"/>
        </w:rPr>
        <w:t xml:space="preserve">（2020年僱員購股計劃），以取代2010年受限制股份單位計劃及2011年僱員購股計劃，分別於2020年7月31日及2020年10月31</w:t>
      </w:r>
    </w:p>
    <w:p>
      <w:pPr>
        <w:pStyle w:val="BodyText"/>
      </w:pPr>
      <w:r>
        <w:rPr>
          <w:rFonts w:hint="eastAsia"/>
        </w:rPr>
        <w:t xml:space="preserve">日終止。2020年受限制股份單位計劃及2020年僱員購股計劃有效期由採納日期起10年有效。終止2010年受限制股份單位計</w:t>
      </w:r>
    </w:p>
    <w:p>
      <w:pPr>
        <w:pStyle w:val="BodyText"/>
      </w:pPr>
      <w:r>
        <w:rPr>
          <w:rFonts w:hint="eastAsia"/>
        </w:rPr>
        <w:t xml:space="preserve">劃及2011年僱員購股計劃後，不得再據此授出受限制股份單位及受限制股份購買單位。然而，2010年受限制股份單位計劃及</w:t>
      </w:r>
    </w:p>
    <w:p>
      <w:pPr>
        <w:pStyle w:val="BodyText"/>
      </w:pPr>
      <w:r>
        <w:rPr>
          <w:rFonts w:hint="eastAsia"/>
        </w:rPr>
        <w:t xml:space="preserve">2011年僱員購股計劃於計劃終止前授出的所有受限制股份單位及受限制股份購買單位仍具十足效力，而行使該受限制股份單</w:t>
      </w:r>
    </w:p>
    <w:p>
      <w:pPr>
        <w:pStyle w:val="BodyText"/>
      </w:pPr>
      <w:r>
        <w:rPr>
          <w:rFonts w:hint="eastAsia"/>
        </w:rPr>
        <w:t xml:space="preserve">位及受限制股份購買單位須受限於及遵守其根據2010年受限制股份單位及2011年僱員購股計劃授出的條款。</w:t>
      </w:r>
    </w:p>
    <w:p>
      <w:pPr>
        <w:pStyle w:val="BodyText"/>
      </w:pPr>
      <w:r>
        <w:t xml:space="preserve">241</w:t>
      </w:r>
    </w:p>
    <w:p>
      <w:pPr>
        <w:pStyle w:val="BodyText"/>
      </w:pPr>
      <w:r>
        <w:rPr>
          <w:rFonts w:hint="eastAsia"/>
        </w:rPr>
        <w:t xml:space="preserve">概覽財務及營運回顧企業管治其他資料財務報表2020年報</w:t>
      </w:r>
    </w:p>
    <w:p>
      <w:pPr>
        <w:pStyle w:val="Compact"/>
        <w:numPr>
          <w:ilvl w:val="0"/>
          <w:numId w:val="1528"/>
        </w:numPr>
      </w:pPr>
      <w:r>
        <w:rPr>
          <w:rFonts w:hint="eastAsia"/>
        </w:rPr>
        <w:t xml:space="preserve">以股份為基礎的報酬（續）</w:t>
      </w:r>
    </w:p>
    <w:p>
      <w:pPr>
        <w:pStyle w:val="FirstParagraph"/>
      </w:pPr>
      <w:r>
        <w:rPr>
          <w:rFonts w:hint="eastAsia"/>
        </w:rPr>
        <w:t xml:space="preserve">以股份為基礎的報酬計劃（續）</w:t>
      </w:r>
    </w:p>
    <w:p>
      <w:pPr>
        <w:pStyle w:val="BodyText"/>
      </w:pPr>
      <w:r>
        <w:rPr>
          <w:rFonts w:hint="eastAsia"/>
        </w:rPr>
        <w:t xml:space="preserve">受限制股份單位計劃</w:t>
      </w:r>
    </w:p>
    <w:p>
      <w:pPr>
        <w:pStyle w:val="BodyText"/>
      </w:pPr>
      <w:r>
        <w:rPr>
          <w:rFonts w:hint="eastAsia"/>
        </w:rPr>
        <w:t xml:space="preserve">根據2010年及2020年受限制股份單位計劃，已授出的受限制股份單位在合資格參與者於有關歸屬期間維持與本集團的僱傭關</w:t>
      </w:r>
    </w:p>
    <w:p>
      <w:pPr>
        <w:pStyle w:val="BodyText"/>
      </w:pPr>
      <w:r>
        <w:rPr>
          <w:rFonts w:hint="eastAsia"/>
        </w:rPr>
        <w:t xml:space="preserve">係情況下，方可進行歸屬。已授出的受限制股份單位授出於特定時期後全部歸屬或於合資格參與者維持與本集團的僱傭關係</w:t>
      </w:r>
    </w:p>
    <w:p>
      <w:pPr>
        <w:pStyle w:val="BodyText"/>
      </w:pPr>
      <w:r>
        <w:rPr>
          <w:rFonts w:hint="eastAsia"/>
        </w:rPr>
        <w:t xml:space="preserve">的情況下於歸屬期間按批次進行歸屬。就按批次歸屬的受限制股份單位授出而言，每批歸屬均為獨立授出處理並於有關歸屬</w:t>
      </w:r>
    </w:p>
    <w:p>
      <w:pPr>
        <w:pStyle w:val="BodyText"/>
      </w:pPr>
      <w:r>
        <w:rPr>
          <w:rFonts w:hint="eastAsia"/>
        </w:rPr>
        <w:t xml:space="preserve">期間確認為開支。多數受限制股份單位亦附帶表現條件，包括市場及非市場條件。受表現條件所規限的受限制股份單位在表</w:t>
      </w:r>
    </w:p>
    <w:p>
      <w:pPr>
        <w:pStyle w:val="BodyText"/>
      </w:pPr>
      <w:r>
        <w:rPr>
          <w:rFonts w:hint="eastAsia"/>
        </w:rPr>
        <w:t xml:space="preserve">現條件實際達成後於歸屬期末發放予參與者。於歸屬期間，參與者無權享有相關股份的股息。除了受司法權區所限制外，已</w:t>
      </w:r>
    </w:p>
    <w:p>
      <w:pPr>
        <w:pStyle w:val="BodyText"/>
      </w:pPr>
      <w:r>
        <w:rPr>
          <w:rFonts w:hint="eastAsia"/>
        </w:rPr>
        <w:t xml:space="preserve">授出受限制股份單位預期將以股權結算。根據此計劃可以授出的股份最大數目為302,264,978股（2019年：301,100,000股），</w:t>
      </w:r>
    </w:p>
    <w:p>
      <w:pPr>
        <w:pStyle w:val="BodyText"/>
      </w:pPr>
      <w:r>
        <w:rPr>
          <w:rFonts w:hint="eastAsia"/>
        </w:rPr>
        <w:t xml:space="preserve">相當於基準日（即2020年股東週年大會日期）已發行股份數目2.5%。</w:t>
      </w:r>
    </w:p>
    <w:p>
      <w:pPr>
        <w:pStyle w:val="BodyText"/>
      </w:pPr>
      <w:r>
        <w:rPr>
          <w:rFonts w:hint="eastAsia"/>
        </w:rPr>
        <w:t xml:space="preserve">股份數目</w:t>
      </w:r>
    </w:p>
    <w:p>
      <w:pPr>
        <w:pStyle w:val="BodyText"/>
      </w:pPr>
      <w:r>
        <w:rPr>
          <w:rFonts w:hint="eastAsia"/>
        </w:rPr>
        <w:t xml:space="preserve">受限制股份單位</w:t>
      </w:r>
    </w:p>
    <w:p>
      <w:pPr>
        <w:pStyle w:val="BodyText"/>
      </w:pPr>
      <w:r>
        <w:rPr>
          <w:rFonts w:hint="eastAsia"/>
        </w:rPr>
        <w:t xml:space="preserve">於財政年初尚未歸屬</w:t>
      </w:r>
    </w:p>
    <w:p>
      <w:pPr>
        <w:pStyle w:val="BodyText"/>
      </w:pPr>
      <w:r>
        <w:rPr>
          <w:rFonts w:hint="eastAsia"/>
        </w:rPr>
        <w:t xml:space="preserve">已授出</w:t>
      </w:r>
    </w:p>
    <w:p>
      <w:pPr>
        <w:pStyle w:val="BodyText"/>
      </w:pPr>
      <w:r>
        <w:rPr>
          <w:rFonts w:hint="eastAsia"/>
        </w:rPr>
        <w:t xml:space="preserve">失效</w:t>
      </w:r>
    </w:p>
    <w:p>
      <w:pPr>
        <w:pStyle w:val="BodyText"/>
      </w:pPr>
      <w:r>
        <w:rPr>
          <w:rFonts w:hint="eastAsia"/>
        </w:rPr>
        <w:t xml:space="preserve">已歸屬</w:t>
      </w:r>
    </w:p>
    <w:p>
      <w:pPr>
        <w:pStyle w:val="BodyText"/>
      </w:pPr>
      <w:r>
        <w:rPr>
          <w:rFonts w:hint="eastAsia"/>
        </w:rPr>
        <w:t xml:space="preserve">於財政年末尚未歸屬</w:t>
      </w:r>
    </w:p>
    <w:p>
      <w:pPr>
        <w:pStyle w:val="BodyText"/>
      </w:pPr>
      <w:r>
        <w:rPr>
          <w:rFonts w:hint="eastAsia"/>
        </w:rPr>
        <w:t xml:space="preserve">購股權計劃</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32,733,981</w:t>
      </w:r>
    </w:p>
    <w:p>
      <w:pPr>
        <w:pStyle w:val="BodyText"/>
      </w:pPr>
      <w:r>
        <w:t xml:space="preserve">37,801,324</w:t>
      </w:r>
    </w:p>
    <w:p>
      <w:pPr>
        <w:pStyle w:val="BodyText"/>
      </w:pPr>
      <w:r>
        <w:t xml:space="preserve">13,451,940</w:t>
      </w:r>
    </w:p>
    <w:p>
      <w:pPr>
        <w:pStyle w:val="BodyText"/>
      </w:pPr>
      <w:r>
        <w:t xml:space="preserve">10,672,622</w:t>
      </w:r>
    </w:p>
    <w:p>
      <w:pPr>
        <w:pStyle w:val="BodyText"/>
      </w:pPr>
      <w:r>
        <w:t xml:space="preserve">(2,836,395)</w:t>
      </w:r>
    </w:p>
    <w:p>
      <w:pPr>
        <w:pStyle w:val="BodyText"/>
      </w:pPr>
      <w:r>
        <w:t xml:space="preserve">(2,202,873)</w:t>
      </w:r>
    </w:p>
    <w:p>
      <w:pPr>
        <w:pStyle w:val="BodyText"/>
      </w:pPr>
      <w:r>
        <w:t xml:space="preserve">(11,562,459)</w:t>
      </w:r>
    </w:p>
    <w:p>
      <w:pPr>
        <w:pStyle w:val="BodyText"/>
      </w:pPr>
      <w:r>
        <w:t xml:space="preserve">(13,537,092)</w:t>
      </w:r>
    </w:p>
    <w:p>
      <w:pPr>
        <w:pStyle w:val="BodyText"/>
      </w:pPr>
      <w:r>
        <w:t xml:space="preserve">31,787,067</w:t>
      </w:r>
    </w:p>
    <w:p>
      <w:pPr>
        <w:pStyle w:val="BodyText"/>
      </w:pPr>
      <w:r>
        <w:t xml:space="preserve">32,733,981</w:t>
      </w:r>
    </w:p>
    <w:p>
      <w:pPr>
        <w:pStyle w:val="BodyText"/>
      </w:pPr>
      <w:r>
        <w:rPr>
          <w:rFonts w:hint="eastAsia"/>
        </w:rPr>
        <w:t xml:space="preserve">2010年及2020年購股權計劃的目標旨在透過允許合資格參與者在行使其購股權時，分享彼等所創造的價值以致合資格參與者</w:t>
      </w:r>
    </w:p>
    <w:p>
      <w:pPr>
        <w:pStyle w:val="BodyText"/>
      </w:pPr>
      <w:r>
        <w:rPr>
          <w:rFonts w:hint="eastAsia"/>
        </w:rPr>
        <w:t xml:space="preserve">的利益與本公司股東利益一致。已授出的購股權會於特定時期後全部歸屬或於大約三到五年的歸屬期間按批次進行歸屬。於</w:t>
      </w:r>
    </w:p>
    <w:p>
      <w:pPr>
        <w:pStyle w:val="BodyText"/>
      </w:pPr>
      <w:r>
        <w:rPr>
          <w:rFonts w:hint="eastAsia"/>
        </w:rPr>
        <w:t xml:space="preserve">有關時期內，合資格參與者須維持與本集團的僱傭關係。就按批次歸屬的購股權授出而言，每批歸屬均為獨立授出處理並於</w:t>
      </w:r>
    </w:p>
    <w:p>
      <w:pPr>
        <w:pStyle w:val="BodyText"/>
      </w:pPr>
      <w:r>
        <w:rPr>
          <w:rFonts w:hint="eastAsia"/>
        </w:rPr>
        <w:t xml:space="preserve">有關歸屬期間確認為開支。已授出的購股權自授出日期起計十年後屆滿，而每份購股權賦予合資格參與者可認購一股普通股</w:t>
      </w:r>
    </w:p>
    <w:p>
      <w:pPr>
        <w:pStyle w:val="BodyText"/>
      </w:pPr>
      <w:r>
        <w:rPr>
          <w:rFonts w:hint="eastAsia"/>
        </w:rPr>
        <w:t xml:space="preserve">的權利。在有關司法權區適用的法律、法規和規則的規限下，已授出購股權預期將以股權結算。根據此計劃可以授出的股份</w:t>
      </w:r>
    </w:p>
    <w:p>
      <w:pPr>
        <w:pStyle w:val="BodyText"/>
      </w:pPr>
      <w:r>
        <w:rPr>
          <w:rFonts w:hint="eastAsia"/>
        </w:rPr>
        <w:t xml:space="preserve">最大數目為302,264,978股（2019年：301,100,000股），相當於採納日期已發行股份數目2.5%。</w:t>
      </w:r>
    </w:p>
    <w:p>
      <w:pPr>
        <w:pStyle w:val="BodyText"/>
      </w:pPr>
      <w:r>
        <w:rPr>
          <w:rFonts w:hint="eastAsia"/>
        </w:rPr>
        <w:t xml:space="preserve">於報告期末，本集團僱員及董事尚未行使及可行使的購股權資料如下：</w:t>
      </w:r>
    </w:p>
    <w:p>
      <w:pPr>
        <w:pStyle w:val="BodyText"/>
      </w:pPr>
      <w:r>
        <w:rPr>
          <w:rFonts w:hint="eastAsia"/>
        </w:rPr>
        <w:t xml:space="preserve">購股權</w:t>
      </w:r>
    </w:p>
    <w:p>
      <w:pPr>
        <w:pStyle w:val="BodyText"/>
      </w:pPr>
      <w:r>
        <w:rPr>
          <w:rFonts w:hint="eastAsia"/>
        </w:rPr>
        <w:t xml:space="preserve">於財政年初尚未行使</w:t>
      </w:r>
    </w:p>
    <w:p>
      <w:pPr>
        <w:pStyle w:val="BodyText"/>
      </w:pPr>
      <w:r>
        <w:rPr>
          <w:rFonts w:hint="eastAsia"/>
        </w:rPr>
        <w:t xml:space="preserve">已授出</w:t>
      </w:r>
    </w:p>
    <w:p>
      <w:pPr>
        <w:pStyle w:val="BodyText"/>
      </w:pPr>
      <w:r>
        <w:rPr>
          <w:rFonts w:hint="eastAsia"/>
        </w:rPr>
        <w:t xml:space="preserve">已行使</w:t>
      </w:r>
    </w:p>
    <w:p>
      <w:pPr>
        <w:pStyle w:val="BodyText"/>
      </w:pPr>
      <w:r>
        <w:rPr>
          <w:rFonts w:hint="eastAsia"/>
        </w:rPr>
        <w:t xml:space="preserve">失效或逾期</w:t>
      </w:r>
    </w:p>
    <w:p>
      <w:pPr>
        <w:pStyle w:val="BodyText"/>
      </w:pPr>
      <w:r>
        <w:rPr>
          <w:rFonts w:hint="eastAsia"/>
        </w:rPr>
        <w:t xml:space="preserve">於財政年末尚未行使</w:t>
      </w:r>
    </w:p>
    <w:p>
      <w:pPr>
        <w:pStyle w:val="BodyText"/>
      </w:pPr>
      <w:r>
        <w:rPr>
          <w:rFonts w:hint="eastAsia"/>
        </w:rPr>
        <w:t xml:space="preserve">於財政年末可行使的購股權</w:t>
      </w:r>
    </w:p>
    <w:p>
      <w:pPr>
        <w:pStyle w:val="BodyText"/>
      </w:pPr>
      <w:r>
        <w:rPr>
          <w:rFonts w:hint="eastAsia"/>
        </w:rPr>
        <w:t xml:space="preserve">截至2020年12月31日止年度</w:t>
      </w:r>
    </w:p>
    <w:p>
      <w:pPr>
        <w:pStyle w:val="BodyText"/>
      </w:pPr>
      <w:r>
        <w:rPr>
          <w:rFonts w:hint="eastAsia"/>
        </w:rPr>
        <w:t xml:space="preserve">截至2019年12月31日止年度</w:t>
      </w:r>
    </w:p>
    <w:p>
      <w:pPr>
        <w:pStyle w:val="BodyText"/>
      </w:pPr>
      <w:r>
        <w:rPr>
          <w:rFonts w:hint="eastAsia"/>
        </w:rPr>
        <w:t xml:space="preserve">購股權數目</w:t>
      </w:r>
    </w:p>
    <w:p>
      <w:pPr>
        <w:pStyle w:val="BodyText"/>
      </w:pPr>
      <w:r>
        <w:rPr>
          <w:rFonts w:hint="eastAsia"/>
        </w:rPr>
        <w:t xml:space="preserve">加權平均行使價</w:t>
      </w:r>
      <w:r>
        <w:br/>
      </w:r>
      <w:r>
        <w:rPr>
          <w:rFonts w:hint="eastAsia"/>
        </w:rPr>
        <w:t xml:space="preserve">（港元）</w:t>
      </w:r>
    </w:p>
    <w:p>
      <w:pPr>
        <w:pStyle w:val="BodyText"/>
      </w:pPr>
      <w:r>
        <w:rPr>
          <w:rFonts w:hint="eastAsia"/>
        </w:rPr>
        <w:t xml:space="preserve">購股權數目</w:t>
      </w:r>
    </w:p>
    <w:p>
      <w:pPr>
        <w:pStyle w:val="BodyText"/>
      </w:pPr>
      <w:r>
        <w:rPr>
          <w:rFonts w:hint="eastAsia"/>
        </w:rPr>
        <w:t xml:space="preserve">加權平均行使價</w:t>
      </w:r>
      <w:r>
        <w:br/>
      </w:r>
      <w:r>
        <w:rPr>
          <w:rFonts w:hint="eastAsia"/>
        </w:rPr>
        <w:t xml:space="preserve">（港元）</w:t>
      </w:r>
    </w:p>
    <w:p>
      <w:pPr>
        <w:pStyle w:val="BodyText"/>
      </w:pPr>
      <w:r>
        <w:t xml:space="preserve">23,798,042</w:t>
      </w:r>
    </w:p>
    <w:p>
      <w:pPr>
        <w:pStyle w:val="BodyText"/>
      </w:pPr>
      <w:r>
        <w:t xml:space="preserve">5,856,668</w:t>
      </w:r>
    </w:p>
    <w:p>
      <w:pPr>
        <w:pStyle w:val="BodyText"/>
      </w:pPr>
      <w:r>
        <w:t xml:space="preserve">(4,876,916)</w:t>
      </w:r>
    </w:p>
    <w:p>
      <w:pPr>
        <w:pStyle w:val="BodyText"/>
      </w:pPr>
      <w:r>
        <w:t xml:space="preserve">(1,073,985)</w:t>
      </w:r>
    </w:p>
    <w:p>
      <w:pPr>
        <w:pStyle w:val="BodyText"/>
      </w:pPr>
      <w:r>
        <w:t xml:space="preserve">23,703,809</w:t>
      </w:r>
    </w:p>
    <w:p>
      <w:pPr>
        <w:pStyle w:val="BodyText"/>
      </w:pPr>
      <w:r>
        <w:t xml:space="preserve">10,115,925</w:t>
      </w:r>
    </w:p>
    <w:p>
      <w:pPr>
        <w:pStyle w:val="BodyText"/>
      </w:pPr>
      <w:r>
        <w:t xml:space="preserve">53.86</w:t>
      </w:r>
    </w:p>
    <w:p>
      <w:pPr>
        <w:pStyle w:val="BodyText"/>
      </w:pPr>
      <w:r>
        <w:t xml:space="preserve">68.10</w:t>
      </w:r>
    </w:p>
    <w:p>
      <w:pPr>
        <w:pStyle w:val="BodyText"/>
      </w:pPr>
      <w:r>
        <w:t xml:space="preserve">40.01</w:t>
      </w:r>
    </w:p>
    <w:p>
      <w:pPr>
        <w:pStyle w:val="BodyText"/>
      </w:pPr>
      <w:r>
        <w:t xml:space="preserve">69.34</w:t>
      </w:r>
    </w:p>
    <w:p>
      <w:pPr>
        <w:pStyle w:val="BodyText"/>
      </w:pPr>
      <w:r>
        <w:t xml:space="preserve">59.53</w:t>
      </w:r>
    </w:p>
    <w:p>
      <w:pPr>
        <w:pStyle w:val="BodyText"/>
      </w:pPr>
      <w:r>
        <w:t xml:space="preserve">45.22</w:t>
      </w:r>
    </w:p>
    <w:p>
      <w:pPr>
        <w:pStyle w:val="BodyText"/>
      </w:pPr>
      <w:r>
        <w:t xml:space="preserve">30,403,944</w:t>
      </w:r>
    </w:p>
    <w:p>
      <w:pPr>
        <w:pStyle w:val="BodyText"/>
      </w:pPr>
      <w:r>
        <w:t xml:space="preserve">4,412,153</w:t>
      </w:r>
    </w:p>
    <w:p>
      <w:pPr>
        <w:pStyle w:val="BodyText"/>
      </w:pPr>
      <w:r>
        <w:t xml:space="preserve">(10,552,614)</w:t>
      </w:r>
    </w:p>
    <w:p>
      <w:pPr>
        <w:pStyle w:val="BodyText"/>
      </w:pPr>
      <w:r>
        <w:t xml:space="preserve">(465,441)</w:t>
      </w:r>
    </w:p>
    <w:p>
      <w:pPr>
        <w:pStyle w:val="BodyText"/>
      </w:pPr>
      <w:r>
        <w:t xml:space="preserve">23,798,042</w:t>
      </w:r>
    </w:p>
    <w:p>
      <w:pPr>
        <w:pStyle w:val="BodyText"/>
      </w:pPr>
      <w:r>
        <w:t xml:space="preserve">9,119,636</w:t>
      </w:r>
    </w:p>
    <w:p>
      <w:pPr>
        <w:pStyle w:val="BodyText"/>
      </w:pPr>
      <w:r>
        <w:t xml:space="preserve">46.22</w:t>
      </w:r>
    </w:p>
    <w:p>
      <w:pPr>
        <w:pStyle w:val="BodyText"/>
      </w:pPr>
      <w:r>
        <w:t xml:space="preserve">76.42</w:t>
      </w:r>
    </w:p>
    <w:p>
      <w:pPr>
        <w:pStyle w:val="BodyText"/>
      </w:pPr>
      <w:r>
        <w:t xml:space="preserve">40.71</w:t>
      </w:r>
    </w:p>
    <w:p>
      <w:pPr>
        <w:pStyle w:val="BodyText"/>
      </w:pPr>
      <w:r>
        <w:t xml:space="preserve">66.45</w:t>
      </w:r>
    </w:p>
    <w:p>
      <w:pPr>
        <w:pStyle w:val="BodyText"/>
      </w:pPr>
      <w:r>
        <w:t xml:space="preserve">53.86</w:t>
      </w:r>
    </w:p>
    <w:p>
      <w:pPr>
        <w:pStyle w:val="BodyText"/>
      </w:pPr>
      <w:r>
        <w:t xml:space="preserve">37.93</w:t>
      </w:r>
    </w:p>
    <w:p>
      <w:pPr>
        <w:pStyle w:val="BodyText"/>
      </w:pPr>
      <w:r>
        <w:rPr>
          <w:rFonts w:hint="eastAsia"/>
        </w:rPr>
        <w:t xml:space="preserve">截至2020年12月31日止年度，本公司於各購股權行使日期的加權平均股份價格為80.73港元（2019年：78.65港元）。</w:t>
      </w:r>
    </w:p>
    <w:p>
      <w:pPr>
        <w:pStyle w:val="BodyText"/>
      </w:pPr>
      <w:r>
        <w:t xml:space="preserve">242</w:t>
      </w:r>
    </w:p>
    <w:p>
      <w:pPr>
        <w:pStyle w:val="BodyText"/>
      </w:pPr>
      <w:r>
        <w:rPr>
          <w:rFonts w:hint="eastAsia"/>
        </w:rPr>
        <w:t xml:space="preserve">友邦保險控股有限公司</w:t>
      </w:r>
    </w:p>
    <w:p>
      <w:pPr>
        <w:pStyle w:val="Compact"/>
        <w:numPr>
          <w:ilvl w:val="0"/>
          <w:numId w:val="1529"/>
        </w:numPr>
      </w:pPr>
      <w:r>
        <w:rPr>
          <w:rFonts w:hint="eastAsia"/>
        </w:rPr>
        <w:t xml:space="preserve">以股份為基礎的報酬（續）</w:t>
      </w:r>
    </w:p>
    <w:p>
      <w:pPr>
        <w:pStyle w:val="FirstParagraph"/>
      </w:pPr>
      <w:r>
        <w:rPr>
          <w:rFonts w:hint="eastAsia"/>
        </w:rPr>
        <w:t xml:space="preserve">以股份為基礎的報酬計劃（續）</w:t>
      </w:r>
    </w:p>
    <w:p>
      <w:pPr>
        <w:pStyle w:val="BodyText"/>
      </w:pPr>
      <w:r>
        <w:rPr>
          <w:rFonts w:hint="eastAsia"/>
        </w:rPr>
        <w:t xml:space="preserve">購股權計劃（續）</w:t>
      </w:r>
    </w:p>
    <w:p>
      <w:pPr>
        <w:pStyle w:val="BodyText"/>
      </w:pPr>
      <w:r>
        <w:rPr>
          <w:rFonts w:hint="eastAsia"/>
        </w:rPr>
        <w:t xml:space="preserve">於2020年及2019年12月31日尚未行使購股權的行使價範圍於下表中概述。</w:t>
      </w:r>
    </w:p>
    <w:p>
      <w:pPr>
        <w:pStyle w:val="BodyText"/>
      </w:pPr>
      <w:r>
        <w:rPr>
          <w:rFonts w:hint="eastAsia"/>
        </w:rPr>
        <w:t xml:space="preserve">截至2020年12月31日止年度</w:t>
      </w:r>
    </w:p>
    <w:p>
      <w:pPr>
        <w:pStyle w:val="BodyText"/>
      </w:pPr>
      <w:r>
        <w:rPr>
          <w:rFonts w:hint="eastAsia"/>
        </w:rPr>
        <w:t xml:space="preserve">截至2019年12月31日止年度</w:t>
      </w:r>
    </w:p>
    <w:p>
      <w:pPr>
        <w:pStyle w:val="BodyText"/>
      </w:pPr>
      <w:r>
        <w:rPr>
          <w:rFonts w:hint="eastAsia"/>
        </w:rPr>
        <w:t xml:space="preserve">尚未行使購</w:t>
      </w:r>
      <w:r>
        <w:br/>
      </w:r>
      <w:r>
        <w:rPr>
          <w:rFonts w:hint="eastAsia"/>
        </w:rPr>
        <w:t xml:space="preserve">股權數目</w:t>
      </w:r>
    </w:p>
    <w:p>
      <w:pPr>
        <w:pStyle w:val="BodyText"/>
      </w:pPr>
      <w:r>
        <w:rPr>
          <w:rFonts w:hint="eastAsia"/>
        </w:rPr>
        <w:t xml:space="preserve">加權平均</w:t>
      </w:r>
      <w:r>
        <w:br/>
      </w:r>
      <w:r>
        <w:rPr>
          <w:rFonts w:hint="eastAsia"/>
        </w:rPr>
        <w:t xml:space="preserve">剩餘合約年期</w:t>
      </w:r>
      <w:r>
        <w:br/>
      </w:r>
      <w:r>
        <w:rPr>
          <w:rFonts w:hint="eastAsia"/>
        </w:rPr>
        <w:t xml:space="preserve">（年）</w:t>
      </w:r>
    </w:p>
    <w:p>
      <w:pPr>
        <w:pStyle w:val="BodyText"/>
      </w:pPr>
      <w:r>
        <w:rPr>
          <w:rFonts w:hint="eastAsia"/>
        </w:rPr>
        <w:t xml:space="preserve">尚未行使購</w:t>
      </w:r>
      <w:r>
        <w:br/>
      </w:r>
      <w:r>
        <w:rPr>
          <w:rFonts w:hint="eastAsia"/>
        </w:rPr>
        <w:t xml:space="preserve">股權數目</w:t>
      </w:r>
    </w:p>
    <w:p>
      <w:pPr>
        <w:pStyle w:val="BodyText"/>
      </w:pPr>
      <w:r>
        <w:rPr>
          <w:rFonts w:hint="eastAsia"/>
        </w:rPr>
        <w:t xml:space="preserve">加權平均</w:t>
      </w:r>
      <w:r>
        <w:br/>
      </w:r>
      <w:r>
        <w:rPr>
          <w:rFonts w:hint="eastAsia"/>
        </w:rPr>
        <w:t xml:space="preserve">剩餘合約年期</w:t>
      </w:r>
      <w:r>
        <w:br/>
      </w:r>
      <w:r>
        <w:rPr>
          <w:rFonts w:hint="eastAsia"/>
        </w:rPr>
        <w:t xml:space="preserve">（年）</w:t>
      </w:r>
    </w:p>
    <w:p>
      <w:pPr>
        <w:pStyle w:val="BodyText"/>
      </w:pPr>
      <w:r>
        <w:t xml:space="preserve">1,542,961</w:t>
      </w:r>
    </w:p>
    <w:p>
      <w:pPr>
        <w:pStyle w:val="BodyText"/>
      </w:pPr>
      <w:r>
        <w:t xml:space="preserve">2,633,722</w:t>
      </w:r>
    </w:p>
    <w:p>
      <w:pPr>
        <w:pStyle w:val="BodyText"/>
      </w:pPr>
      <w:r>
        <w:t xml:space="preserve">5,108,806</w:t>
      </w:r>
    </w:p>
    <w:p>
      <w:pPr>
        <w:pStyle w:val="BodyText"/>
      </w:pPr>
      <w:r>
        <w:t xml:space="preserve">830,436</w:t>
      </w:r>
    </w:p>
    <w:p>
      <w:pPr>
        <w:pStyle w:val="BodyText"/>
      </w:pPr>
      <w:r>
        <w:t xml:space="preserve">9,759,038</w:t>
      </w:r>
    </w:p>
    <w:p>
      <w:pPr>
        <w:pStyle w:val="BodyText"/>
      </w:pPr>
      <w:r>
        <w:t xml:space="preserve">3,828,846</w:t>
      </w:r>
    </w:p>
    <w:p>
      <w:pPr>
        <w:pStyle w:val="BodyText"/>
      </w:pPr>
      <w:r>
        <w:t xml:space="preserve">23,703,809</w:t>
      </w:r>
    </w:p>
    <w:p>
      <w:pPr>
        <w:pStyle w:val="BodyText"/>
      </w:pPr>
      <w:r>
        <w:t xml:space="preserve">1.30</w:t>
      </w:r>
    </w:p>
    <w:p>
      <w:pPr>
        <w:pStyle w:val="BodyText"/>
      </w:pPr>
      <w:r>
        <w:t xml:space="preserve">4.57</w:t>
      </w:r>
    </w:p>
    <w:p>
      <w:pPr>
        <w:pStyle w:val="BodyText"/>
      </w:pPr>
      <w:r>
        <w:t xml:space="preserve">5.60</w:t>
      </w:r>
    </w:p>
    <w:p>
      <w:pPr>
        <w:pStyle w:val="BodyText"/>
      </w:pPr>
      <w:r>
        <w:t xml:space="preserve">6.58</w:t>
      </w:r>
    </w:p>
    <w:p>
      <w:pPr>
        <w:pStyle w:val="BodyText"/>
      </w:pPr>
      <w:r>
        <w:t xml:space="preserve">8.42</w:t>
      </w:r>
    </w:p>
    <w:p>
      <w:pPr>
        <w:pStyle w:val="BodyText"/>
      </w:pPr>
      <w:r>
        <w:t xml:space="preserve">8.24</w:t>
      </w:r>
    </w:p>
    <w:p>
      <w:pPr>
        <w:pStyle w:val="BodyText"/>
      </w:pPr>
      <w:r>
        <w:t xml:space="preserve">6.83</w:t>
      </w:r>
    </w:p>
    <w:p>
      <w:pPr>
        <w:pStyle w:val="BodyText"/>
      </w:pPr>
      <w:r>
        <w:t xml:space="preserve">3,167,121</w:t>
      </w:r>
    </w:p>
    <w:p>
      <w:pPr>
        <w:pStyle w:val="BodyText"/>
      </w:pPr>
      <w:r>
        <w:t xml:space="preserve">4,436,084</w:t>
      </w:r>
    </w:p>
    <w:p>
      <w:pPr>
        <w:pStyle w:val="BodyText"/>
      </w:pPr>
      <w:r>
        <w:t xml:space="preserve">6,387,390</w:t>
      </w:r>
    </w:p>
    <w:p>
      <w:pPr>
        <w:pStyle w:val="BodyText"/>
      </w:pPr>
      <w:r>
        <w:t xml:space="preserve">1,336,469</w:t>
      </w:r>
    </w:p>
    <w:p>
      <w:pPr>
        <w:pStyle w:val="BodyText"/>
      </w:pPr>
      <w:r>
        <w:t xml:space="preserve">4,221,746</w:t>
      </w:r>
    </w:p>
    <w:p>
      <w:pPr>
        <w:pStyle w:val="BodyText"/>
      </w:pPr>
      <w:r>
        <w:t xml:space="preserve">4,249,232</w:t>
      </w:r>
    </w:p>
    <w:p>
      <w:pPr>
        <w:pStyle w:val="BodyText"/>
      </w:pPr>
      <w:r>
        <w:t xml:space="preserve">23,798,042</w:t>
      </w:r>
    </w:p>
    <w:p>
      <w:pPr>
        <w:pStyle w:val="BodyText"/>
      </w:pPr>
      <w:r>
        <w:t xml:space="preserve">2.27</w:t>
      </w:r>
    </w:p>
    <w:p>
      <w:pPr>
        <w:pStyle w:val="BodyText"/>
      </w:pPr>
      <w:r>
        <w:t xml:space="preserve">5.42</w:t>
      </w:r>
    </w:p>
    <w:p>
      <w:pPr>
        <w:pStyle w:val="BodyText"/>
      </w:pPr>
      <w:r>
        <w:t xml:space="preserve">6.71</w:t>
      </w:r>
    </w:p>
    <w:p>
      <w:pPr>
        <w:pStyle w:val="BodyText"/>
      </w:pPr>
      <w:r>
        <w:t xml:space="preserve">7.72</w:t>
      </w:r>
    </w:p>
    <w:p>
      <w:pPr>
        <w:pStyle w:val="BodyText"/>
      </w:pPr>
      <w:r>
        <w:t xml:space="preserve">8.20</w:t>
      </w:r>
    </w:p>
    <w:p>
      <w:pPr>
        <w:pStyle w:val="BodyText"/>
      </w:pPr>
      <w:r>
        <w:t xml:space="preserve">9.24</w:t>
      </w:r>
    </w:p>
    <w:p>
      <w:pPr>
        <w:pStyle w:val="BodyText"/>
      </w:pPr>
      <w:r>
        <w:t xml:space="preserve">6.65</w:t>
      </w:r>
    </w:p>
    <w:p>
      <w:pPr>
        <w:pStyle w:val="BodyText"/>
      </w:pPr>
      <w:r>
        <w:rPr>
          <w:rFonts w:hint="eastAsia"/>
        </w:rPr>
        <w:t xml:space="preserve">行使價範圍</w:t>
      </w:r>
    </w:p>
    <w:p>
      <w:pPr>
        <w:pStyle w:val="BodyText"/>
      </w:pPr>
      <w:r>
        <w:rPr>
          <w:rFonts w:hint="eastAsia"/>
        </w:rPr>
        <w:t xml:space="preserve">26港元至35港元</w:t>
      </w:r>
    </w:p>
    <w:p>
      <w:pPr>
        <w:pStyle w:val="BodyText"/>
      </w:pPr>
      <w:r>
        <w:rPr>
          <w:rFonts w:hint="eastAsia"/>
        </w:rPr>
        <w:t xml:space="preserve">36港元至45港元</w:t>
      </w:r>
    </w:p>
    <w:p>
      <w:pPr>
        <w:pStyle w:val="BodyText"/>
      </w:pPr>
      <w:r>
        <w:rPr>
          <w:rFonts w:hint="eastAsia"/>
        </w:rPr>
        <w:t xml:space="preserve">46港元至55港元</w:t>
      </w:r>
    </w:p>
    <w:p>
      <w:pPr>
        <w:pStyle w:val="BodyText"/>
      </w:pPr>
      <w:r>
        <w:rPr>
          <w:rFonts w:hint="eastAsia"/>
        </w:rPr>
        <w:t xml:space="preserve">56港元至65港元</w:t>
      </w:r>
    </w:p>
    <w:p>
      <w:pPr>
        <w:pStyle w:val="BodyText"/>
      </w:pPr>
      <w:r>
        <w:rPr>
          <w:rFonts w:hint="eastAsia"/>
        </w:rPr>
        <w:t xml:space="preserve">66港元至75港元</w:t>
      </w:r>
    </w:p>
    <w:p>
      <w:pPr>
        <w:pStyle w:val="BodyText"/>
      </w:pPr>
      <w:r>
        <w:rPr>
          <w:rFonts w:hint="eastAsia"/>
        </w:rPr>
        <w:t xml:space="preserve">76港元至85港元</w:t>
      </w:r>
    </w:p>
    <w:p>
      <w:pPr>
        <w:pStyle w:val="BodyText"/>
      </w:pPr>
      <w:r>
        <w:rPr>
          <w:rFonts w:hint="eastAsia"/>
        </w:rPr>
        <w:t xml:space="preserve">於財政年末尚未行使</w:t>
      </w:r>
    </w:p>
    <w:p>
      <w:pPr>
        <w:pStyle w:val="BodyText"/>
      </w:pPr>
      <w:r>
        <w:rPr>
          <w:rFonts w:hint="eastAsia"/>
        </w:rPr>
        <w:t xml:space="preserve">僱員購股計劃</w:t>
      </w:r>
    </w:p>
    <w:p>
      <w:pPr>
        <w:pStyle w:val="BodyText"/>
      </w:pPr>
      <w:r>
        <w:rPr>
          <w:rFonts w:hint="eastAsia"/>
        </w:rPr>
        <w:t xml:space="preserve">根據2011年及2020年僱員購股計劃，本集團的合資格僱員可以以合資格僱員供款購買本公司的普通股，而本公司將於歸屬期</w:t>
      </w:r>
    </w:p>
    <w:p>
      <w:pPr>
        <w:pStyle w:val="BodyText"/>
      </w:pPr>
      <w:r>
        <w:rPr>
          <w:rFonts w:hint="eastAsia"/>
        </w:rPr>
        <w:t xml:space="preserve">末就透過合資格僱員供款購買的每兩股股份（供款股份）授予彼等一份相應的受限制股份購買單位。供款股份乃自公開市場</w:t>
      </w:r>
    </w:p>
    <w:p>
      <w:pPr>
        <w:pStyle w:val="BodyText"/>
      </w:pPr>
      <w:r>
        <w:rPr>
          <w:rFonts w:hint="eastAsia"/>
        </w:rPr>
        <w:t xml:space="preserve">購買。於有關歸屬期間，合資格僱員須持有所購買的供款股份並繼續受僱於本集團，以符合資格於相應的受限制股份購買單</w:t>
      </w:r>
    </w:p>
    <w:p>
      <w:pPr>
        <w:pStyle w:val="BodyText"/>
      </w:pPr>
      <w:r>
        <w:rPr>
          <w:rFonts w:hint="eastAsia"/>
        </w:rPr>
        <w:t xml:space="preserve">位歸屬時收取相應的股份。已授出的相應受限制股份購買單位預期將以股權結算。根據2010年僱員購股計劃，合資格僱員供</w:t>
      </w:r>
    </w:p>
    <w:p>
      <w:pPr>
        <w:pStyle w:val="BodyText"/>
      </w:pPr>
      <w:r>
        <w:rPr>
          <w:rFonts w:hint="eastAsia"/>
        </w:rPr>
        <w:t xml:space="preserve">款水平最高金額為基本月薪的8%或每月9,750港元（或當地貨幣等值）兩者中的較低者。根據2020年僱員購股計劃，合資格</w:t>
      </w:r>
    </w:p>
    <w:p>
      <w:pPr>
        <w:pStyle w:val="BodyText"/>
      </w:pPr>
      <w:r>
        <w:rPr>
          <w:rFonts w:hint="eastAsia"/>
        </w:rPr>
        <w:t xml:space="preserve">僱員供款水平最高金額為基本月薪的10%或每月12,500港元（或當地貨幣等值）兩者中的較低者。於截至2020年12月31日止</w:t>
      </w:r>
    </w:p>
    <w:p>
      <w:pPr>
        <w:pStyle w:val="BodyText"/>
      </w:pPr>
      <w:r>
        <w:rPr>
          <w:rFonts w:hint="eastAsia"/>
        </w:rPr>
        <w:t xml:space="preserve">年度，合資格僱員支付3,200萬美元（2019年：2,700萬美元）以根據2011年僱員購股計劃及2020年僱員購股計劃購買本公司</w:t>
      </w:r>
    </w:p>
    <w:p>
      <w:pPr>
        <w:pStyle w:val="BodyText"/>
      </w:pPr>
      <w:r>
        <w:rPr>
          <w:rFonts w:hint="eastAsia"/>
        </w:rPr>
        <w:t xml:space="preserve">3,126,641股（2019年：2,640,834股）的普通股。</w:t>
      </w:r>
    </w:p>
    <w:p>
      <w:pPr>
        <w:pStyle w:val="BodyText"/>
      </w:pPr>
      <w:r>
        <w:rPr>
          <w:rFonts w:hint="eastAsia"/>
        </w:rPr>
        <w:t xml:space="preserve">代理購股計劃</w:t>
      </w:r>
    </w:p>
    <w:p>
      <w:pPr>
        <w:pStyle w:val="BodyText"/>
      </w:pPr>
      <w:r>
        <w:rPr>
          <w:rFonts w:hint="eastAsia"/>
        </w:rPr>
        <w:t xml:space="preserve">代理購股計劃的架構大致與僱員購股計劃一致，主要區別在於合資格代理須於歸屬期末就認購本公司新股份時支付認購價每</w:t>
      </w:r>
    </w:p>
    <w:p>
      <w:pPr>
        <w:pStyle w:val="BodyText"/>
      </w:pPr>
      <w:r>
        <w:rPr>
          <w:rFonts w:hint="eastAsia"/>
        </w:rPr>
        <w:t xml:space="preserve">股1美元。根據計劃，本集團的合資格代理可以以合資格代理供款購買本公司的普通股，而本公司將於歸屬期末就透過合資</w:t>
      </w:r>
    </w:p>
    <w:p>
      <w:pPr>
        <w:pStyle w:val="BodyText"/>
      </w:pPr>
      <w:r>
        <w:rPr>
          <w:rFonts w:hint="eastAsia"/>
        </w:rPr>
        <w:t xml:space="preserve">格代理供款購買的每兩股股份（代理供款股份）授予彼等一份相應的受限制股份認購單位。每份受限制股份認購單位授權合</w:t>
      </w:r>
    </w:p>
    <w:p>
      <w:pPr>
        <w:pStyle w:val="BodyText"/>
      </w:pPr>
      <w:r>
        <w:rPr>
          <w:rFonts w:hint="eastAsia"/>
        </w:rPr>
        <w:t xml:space="preserve">資格代理認購本公司一股新股份。代理供款股份乃自公開市場購買。於有關歸屬期間，合資格代理須持有所購買的供款股份</w:t>
      </w:r>
    </w:p>
    <w:p>
      <w:pPr>
        <w:pStyle w:val="BodyText"/>
      </w:pPr>
      <w:r>
        <w:rPr>
          <w:rFonts w:hint="eastAsia"/>
        </w:rPr>
        <w:t xml:space="preserve">並保持與本集團訂立代理合約，以符合資格於相應的受限制股份認購單位歸屬時收取相應的股份。已授出的相應受限制股份</w:t>
      </w:r>
    </w:p>
    <w:p>
      <w:pPr>
        <w:pStyle w:val="BodyText"/>
      </w:pPr>
      <w:r>
        <w:rPr>
          <w:rFonts w:hint="eastAsia"/>
        </w:rPr>
        <w:t xml:space="preserve">認購單位預期將以股權結算。合資格代理供款水平最高金額為每年15,000美元。於截至2020年12月31日止年度，合資格代理</w:t>
      </w:r>
    </w:p>
    <w:p>
      <w:pPr>
        <w:pStyle w:val="BodyText"/>
      </w:pPr>
      <w:r>
        <w:rPr>
          <w:rFonts w:hint="eastAsia"/>
        </w:rPr>
        <w:t xml:space="preserve">支付2,400萬美元（2019年：2,500萬美元）以購買本公司2,411,360股（2019年：2,501,196股）的普通股。</w:t>
      </w:r>
    </w:p>
    <w:p>
      <w:pPr>
        <w:pStyle w:val="BodyText"/>
      </w:pPr>
      <w:r>
        <w:t xml:space="preserve">243</w:t>
      </w:r>
    </w:p>
    <w:p>
      <w:pPr>
        <w:pStyle w:val="BodyText"/>
      </w:pPr>
      <w:r>
        <w:rPr>
          <w:rFonts w:hint="eastAsia"/>
        </w:rPr>
        <w:t xml:space="preserve">概覽財務及營運回顧企業管治其他資料財務報表2020年報</w:t>
      </w:r>
    </w:p>
    <w:p>
      <w:pPr>
        <w:pStyle w:val="Compact"/>
        <w:numPr>
          <w:ilvl w:val="0"/>
          <w:numId w:val="1530"/>
        </w:numPr>
      </w:pPr>
      <w:r>
        <w:rPr>
          <w:rFonts w:hint="eastAsia"/>
        </w:rPr>
        <w:t xml:space="preserve">以股份為基礎的報酬（續）</w:t>
      </w:r>
    </w:p>
    <w:p>
      <w:pPr>
        <w:pStyle w:val="FirstParagraph"/>
      </w:pPr>
      <w:r>
        <w:rPr>
          <w:rFonts w:hint="eastAsia"/>
        </w:rPr>
        <w:t xml:space="preserve">估值法</w:t>
      </w:r>
    </w:p>
    <w:p>
      <w:pPr>
        <w:pStyle w:val="BodyText"/>
      </w:pPr>
      <w:r>
        <w:rPr>
          <w:rFonts w:hint="eastAsia"/>
        </w:rPr>
        <w:t xml:space="preserve">本集團採用二項式點陣法模型計算授出的購股權的公平值，採用蒙地卡羅模擬模型及</w:t>
      </w:r>
      <w:r>
        <w:t xml:space="preserve"> </w:t>
      </w:r>
      <w:r>
        <w:rPr>
          <w:rFonts w:hint="eastAsia"/>
        </w:rPr>
        <w:t xml:space="preserve">∕或貼現現金流量法計算授出的受限制</w:t>
      </w:r>
    </w:p>
    <w:p>
      <w:pPr>
        <w:pStyle w:val="BodyText"/>
      </w:pPr>
      <w:r>
        <w:rPr>
          <w:rFonts w:hint="eastAsia"/>
        </w:rPr>
        <w:t xml:space="preserve">股份單位、受限制股份購買單位及受限制股份認購單位的公平值，並於計算中考慮已作出授出的條款及條件。價格波動乃基</w:t>
      </w:r>
    </w:p>
    <w:p>
      <w:pPr>
        <w:pStyle w:val="BodyText"/>
      </w:pPr>
      <w:r>
        <w:rPr>
          <w:rFonts w:hint="eastAsia"/>
        </w:rPr>
        <w:t xml:space="preserve">於根據本公司的股份自香港聯交所進行交易以來的過往數據分析所得的引申波幅估計得出。購股權的預期年期乃取決於估值</w:t>
      </w:r>
    </w:p>
    <w:p>
      <w:pPr>
        <w:pStyle w:val="BodyText"/>
      </w:pPr>
      <w:r>
        <w:rPr>
          <w:rFonts w:hint="eastAsia"/>
        </w:rPr>
        <w:t xml:space="preserve">模型所得的數據及按照本公司僱員的預期行使情況分析計算。有關基於受限制股份單位表現的市場條件乃根據授出日期前一</w:t>
      </w:r>
    </w:p>
    <w:p>
      <w:pPr>
        <w:pStyle w:val="BodyText"/>
      </w:pPr>
      <w:r>
        <w:rPr>
          <w:rFonts w:hint="eastAsia"/>
        </w:rPr>
        <w:t xml:space="preserve">年的數據作出估計。對此等授出進行估值時並無考慮歸屬前就失效計提的撥備。</w:t>
      </w:r>
    </w:p>
    <w:p>
      <w:pPr>
        <w:pStyle w:val="BodyText"/>
      </w:pPr>
      <w:r>
        <w:rPr>
          <w:rFonts w:hint="eastAsia"/>
        </w:rPr>
        <w:t xml:space="preserve">由於所作假設及所用模型的限制，故購股權所計算的公平值難免有主觀成分。</w:t>
      </w:r>
    </w:p>
    <w:p>
      <w:pPr>
        <w:pStyle w:val="BodyText"/>
      </w:pPr>
      <w:r>
        <w:rPr>
          <w:rFonts w:hint="eastAsia"/>
        </w:rPr>
        <w:t xml:space="preserve">截至2020年12月31日止年度</w:t>
      </w:r>
    </w:p>
    <w:p>
      <w:pPr>
        <w:pStyle w:val="BodyText"/>
      </w:pPr>
      <w:r>
        <w:rPr>
          <w:rFonts w:hint="eastAsia"/>
        </w:rPr>
        <w:t xml:space="preserve">購股權</w:t>
      </w:r>
    </w:p>
    <w:p>
      <w:pPr>
        <w:pStyle w:val="BodyText"/>
      </w:pPr>
      <w:r>
        <w:rPr>
          <w:rFonts w:hint="eastAsia"/>
        </w:rPr>
        <w:t xml:space="preserve">受限制</w:t>
      </w:r>
      <w:r>
        <w:br/>
      </w:r>
      <w:r>
        <w:rPr>
          <w:rFonts w:hint="eastAsia"/>
        </w:rPr>
        <w:t xml:space="preserve">股份單位</w:t>
      </w:r>
    </w:p>
    <w:p>
      <w:pPr>
        <w:pStyle w:val="BodyText"/>
      </w:pPr>
      <w:r>
        <w:rPr>
          <w:rFonts w:hint="eastAsia"/>
        </w:rPr>
        <w:t xml:space="preserve">僱員購股計劃</w:t>
      </w:r>
      <w:r>
        <w:br/>
      </w:r>
      <w:r>
        <w:rPr>
          <w:rFonts w:hint="eastAsia"/>
        </w:rPr>
        <w:t xml:space="preserve">受限制股份</w:t>
      </w:r>
      <w:r>
        <w:br/>
      </w:r>
      <w:r>
        <w:rPr>
          <w:rFonts w:hint="eastAsia"/>
        </w:rPr>
        <w:t xml:space="preserve">購買單位</w:t>
      </w:r>
    </w:p>
    <w:p>
      <w:pPr>
        <w:pStyle w:val="BodyText"/>
      </w:pPr>
      <w:r>
        <w:rPr>
          <w:rFonts w:hint="eastAsia"/>
        </w:rPr>
        <w:t xml:space="preserve">代理購股計劃</w:t>
      </w:r>
      <w:r>
        <w:br/>
      </w:r>
      <w:r>
        <w:rPr>
          <w:rFonts w:hint="eastAsia"/>
        </w:rPr>
        <w:t xml:space="preserve">受限制股份</w:t>
      </w:r>
      <w:r>
        <w:br/>
      </w:r>
      <w:r>
        <w:rPr>
          <w:rFonts w:hint="eastAsia"/>
        </w:rPr>
        <w:t xml:space="preserve">認購單位</w:t>
      </w:r>
    </w:p>
    <w:p>
      <w:pPr>
        <w:pStyle w:val="BodyText"/>
      </w:pPr>
      <w:r>
        <w:rPr>
          <w:rFonts w:hint="eastAsia"/>
        </w:rPr>
        <w:t xml:space="preserve">假設</w:t>
      </w:r>
    </w:p>
    <w:p>
      <w:pPr>
        <w:pStyle w:val="BodyText"/>
      </w:pPr>
      <w:r>
        <w:rPr>
          <w:rFonts w:hint="eastAsia"/>
        </w:rPr>
        <w:t xml:space="preserve">無風險利率</w:t>
      </w:r>
    </w:p>
    <w:p>
      <w:pPr>
        <w:pStyle w:val="BodyText"/>
      </w:pPr>
      <w:r>
        <w:rPr>
          <w:rFonts w:hint="eastAsia"/>
        </w:rPr>
        <w:t xml:space="preserve">波幅</w:t>
      </w:r>
    </w:p>
    <w:p>
      <w:pPr>
        <w:pStyle w:val="BodyText"/>
      </w:pPr>
      <w:r>
        <w:rPr>
          <w:rFonts w:hint="eastAsia"/>
        </w:rPr>
        <w:t xml:space="preserve">股息率</w:t>
      </w:r>
    </w:p>
    <w:p>
      <w:pPr>
        <w:pStyle w:val="BodyText"/>
      </w:pPr>
      <w:r>
        <w:rPr>
          <w:rFonts w:hint="eastAsia"/>
        </w:rPr>
        <w:t xml:space="preserve">行使價（港元）</w:t>
      </w:r>
    </w:p>
    <w:p>
      <w:pPr>
        <w:pStyle w:val="BodyText"/>
      </w:pPr>
      <w:r>
        <w:rPr>
          <w:rFonts w:hint="eastAsia"/>
        </w:rPr>
        <w:t xml:space="preserve">購股權期限（以年計）</w:t>
      </w:r>
    </w:p>
    <w:p>
      <w:pPr>
        <w:pStyle w:val="BodyText"/>
      </w:pPr>
      <w:r>
        <w:rPr>
          <w:rFonts w:hint="eastAsia"/>
        </w:rPr>
        <w:t xml:space="preserve">預期期限（以年計）</w:t>
      </w:r>
    </w:p>
    <w:p>
      <w:pPr>
        <w:pStyle w:val="BodyText"/>
      </w:pPr>
      <w:r>
        <w:rPr>
          <w:rFonts w:hint="eastAsia"/>
        </w:rPr>
        <w:t xml:space="preserve">每份購股權</w:t>
      </w:r>
      <w:r>
        <w:t xml:space="preserve"> </w:t>
      </w:r>
      <w:r>
        <w:rPr>
          <w:rFonts w:hint="eastAsia"/>
        </w:rPr>
        <w:t xml:space="preserve">∕單位於計量日期的加權</w:t>
      </w:r>
      <w:r>
        <w:br/>
      </w:r>
      <w:r>
        <w:rPr>
          <w:rFonts w:hint="eastAsia"/>
        </w:rPr>
        <w:t xml:space="preserve">平均公平值（港元）</w:t>
      </w:r>
    </w:p>
    <w:p>
      <w:pPr>
        <w:pStyle w:val="BodyText"/>
      </w:pPr>
      <w:r>
        <w:rPr>
          <w:rFonts w:hint="eastAsia"/>
        </w:rPr>
        <w:t xml:space="preserve">假設</w:t>
      </w:r>
    </w:p>
    <w:p>
      <w:pPr>
        <w:pStyle w:val="BodyText"/>
      </w:pPr>
      <w:r>
        <w:rPr>
          <w:rFonts w:hint="eastAsia"/>
        </w:rPr>
        <w:t xml:space="preserve">無風險利率</w:t>
      </w:r>
    </w:p>
    <w:p>
      <w:pPr>
        <w:pStyle w:val="BodyText"/>
      </w:pPr>
      <w:r>
        <w:rPr>
          <w:rFonts w:hint="eastAsia"/>
        </w:rPr>
        <w:t xml:space="preserve">波幅</w:t>
      </w:r>
    </w:p>
    <w:p>
      <w:pPr>
        <w:pStyle w:val="BodyText"/>
      </w:pPr>
      <w:r>
        <w:rPr>
          <w:rFonts w:hint="eastAsia"/>
        </w:rPr>
        <w:t xml:space="preserve">股息率</w:t>
      </w:r>
    </w:p>
    <w:p>
      <w:pPr>
        <w:pStyle w:val="BodyText"/>
      </w:pPr>
      <w:r>
        <w:rPr>
          <w:rFonts w:hint="eastAsia"/>
        </w:rPr>
        <w:t xml:space="preserve">行使價（港元）</w:t>
      </w:r>
    </w:p>
    <w:p>
      <w:pPr>
        <w:pStyle w:val="BodyText"/>
      </w:pPr>
      <w:r>
        <w:rPr>
          <w:rFonts w:hint="eastAsia"/>
        </w:rPr>
        <w:t xml:space="preserve">購股權期限（以年計）</w:t>
      </w:r>
    </w:p>
    <w:p>
      <w:pPr>
        <w:pStyle w:val="BodyText"/>
      </w:pPr>
      <w:r>
        <w:rPr>
          <w:rFonts w:hint="eastAsia"/>
        </w:rPr>
        <w:t xml:space="preserve">預期期限（以年計）</w:t>
      </w:r>
    </w:p>
    <w:p>
      <w:pPr>
        <w:pStyle w:val="BodyText"/>
      </w:pPr>
      <w:r>
        <w:rPr>
          <w:rFonts w:hint="eastAsia"/>
        </w:rPr>
        <w:t xml:space="preserve">每份購股權</w:t>
      </w:r>
      <w:r>
        <w:t xml:space="preserve"> </w:t>
      </w:r>
      <w:r>
        <w:rPr>
          <w:rFonts w:hint="eastAsia"/>
        </w:rPr>
        <w:t xml:space="preserve">∕單位於計量日期的加權</w:t>
      </w:r>
      <w:r>
        <w:br/>
      </w:r>
      <w:r>
        <w:rPr>
          <w:rFonts w:hint="eastAsia"/>
        </w:rPr>
        <w:t xml:space="preserve">平均公平值（港元）</w:t>
      </w:r>
    </w:p>
    <w:p>
      <w:pPr>
        <w:pStyle w:val="Compact"/>
        <w:numPr>
          <w:ilvl w:val="0"/>
          <w:numId w:val="1531"/>
        </w:numPr>
      </w:pPr>
      <w:r>
        <w:rPr>
          <w:rFonts w:hint="eastAsia"/>
        </w:rPr>
        <w:t xml:space="preserve">適用於有市場條件的受限制股份單位。</w:t>
      </w:r>
    </w:p>
    <w:p>
      <w:pPr>
        <w:pStyle w:val="FirstParagraph"/>
      </w:pPr>
      <w:r>
        <w:t xml:space="preserve">0.85% 0.31% – 0.78%* 0.09% – 1.68%</w:t>
      </w:r>
    </w:p>
    <w:p>
      <w:pPr>
        <w:pStyle w:val="BodyText"/>
      </w:pPr>
      <w:r>
        <w:t xml:space="preserve">24%</w:t>
      </w:r>
    </w:p>
    <w:p>
      <w:pPr>
        <w:pStyle w:val="BodyText"/>
      </w:pPr>
      <w:r>
        <w:t xml:space="preserve">1.60%</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t xml:space="preserve">1.60%</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t xml:space="preserve">0.87%</w:t>
      </w:r>
    </w:p>
    <w:p>
      <w:pPr>
        <w:pStyle w:val="BodyText"/>
      </w:pPr>
      <w:r>
        <w:rPr>
          <w:rFonts w:hint="eastAsia"/>
        </w:rPr>
        <w:t xml:space="preserve">不適用</w:t>
      </w:r>
    </w:p>
    <w:p>
      <w:pPr>
        <w:pStyle w:val="BodyText"/>
      </w:pPr>
      <w:r>
        <w:t xml:space="preserve">1.60%</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t xml:space="preserve">24%</w:t>
      </w:r>
    </w:p>
    <w:p>
      <w:pPr>
        <w:pStyle w:val="BodyText"/>
      </w:pPr>
      <w:r>
        <w:t xml:space="preserve">1.60%</w:t>
      </w:r>
    </w:p>
    <w:p>
      <w:pPr>
        <w:pStyle w:val="BodyText"/>
      </w:pPr>
      <w:r>
        <w:t xml:space="preserve">68.10</w:t>
      </w:r>
    </w:p>
    <w:p>
      <w:pPr>
        <w:pStyle w:val="BodyText"/>
      </w:pPr>
      <w:r>
        <w:t xml:space="preserve">10</w:t>
      </w:r>
    </w:p>
    <w:p>
      <w:pPr>
        <w:pStyle w:val="BodyText"/>
      </w:pPr>
      <w:r>
        <w:t xml:space="preserve">7.84</w:t>
      </w:r>
    </w:p>
    <w:p>
      <w:pPr>
        <w:pStyle w:val="BodyText"/>
      </w:pPr>
      <w:r>
        <w:t xml:space="preserve">15.51</w:t>
      </w:r>
    </w:p>
    <w:p>
      <w:pPr>
        <w:pStyle w:val="BodyText"/>
      </w:pPr>
      <w:r>
        <w:t xml:space="preserve">63.20</w:t>
      </w:r>
    </w:p>
    <w:p>
      <w:pPr>
        <w:pStyle w:val="BodyText"/>
      </w:pPr>
      <w:r>
        <w:t xml:space="preserve">79.07</w:t>
      </w:r>
    </w:p>
    <w:p>
      <w:pPr>
        <w:pStyle w:val="BodyText"/>
      </w:pPr>
      <w:r>
        <w:t xml:space="preserve">59.48</w:t>
      </w:r>
    </w:p>
    <w:p>
      <w:pPr>
        <w:pStyle w:val="BodyText"/>
      </w:pPr>
      <w:r>
        <w:rPr>
          <w:rFonts w:hint="eastAsia"/>
        </w:rPr>
        <w:t xml:space="preserve">截至2019年12月31日止年度</w:t>
      </w:r>
    </w:p>
    <w:p>
      <w:pPr>
        <w:pStyle w:val="BodyText"/>
      </w:pPr>
      <w:r>
        <w:rPr>
          <w:rFonts w:hint="eastAsia"/>
        </w:rPr>
        <w:t xml:space="preserve">購股權</w:t>
      </w:r>
    </w:p>
    <w:p>
      <w:pPr>
        <w:pStyle w:val="BodyText"/>
      </w:pPr>
      <w:r>
        <w:rPr>
          <w:rFonts w:hint="eastAsia"/>
        </w:rPr>
        <w:t xml:space="preserve">受限制</w:t>
      </w:r>
      <w:r>
        <w:br/>
      </w:r>
      <w:r>
        <w:rPr>
          <w:rFonts w:hint="eastAsia"/>
        </w:rPr>
        <w:t xml:space="preserve">股份單位</w:t>
      </w:r>
    </w:p>
    <w:p>
      <w:pPr>
        <w:pStyle w:val="BodyText"/>
      </w:pPr>
      <w:r>
        <w:rPr>
          <w:rFonts w:hint="eastAsia"/>
        </w:rPr>
        <w:t xml:space="preserve">僱員購股計劃</w:t>
      </w:r>
      <w:r>
        <w:br/>
      </w:r>
      <w:r>
        <w:rPr>
          <w:rFonts w:hint="eastAsia"/>
        </w:rPr>
        <w:t xml:space="preserve">受限制股份</w:t>
      </w:r>
      <w:r>
        <w:br/>
      </w:r>
      <w:r>
        <w:rPr>
          <w:rFonts w:hint="eastAsia"/>
        </w:rPr>
        <w:t xml:space="preserve">購買單位</w:t>
      </w:r>
    </w:p>
    <w:p>
      <w:pPr>
        <w:pStyle w:val="BodyText"/>
      </w:pPr>
      <w:r>
        <w:rPr>
          <w:rFonts w:hint="eastAsia"/>
        </w:rPr>
        <w:t xml:space="preserve">代理購股計劃</w:t>
      </w:r>
      <w:r>
        <w:br/>
      </w:r>
      <w:r>
        <w:rPr>
          <w:rFonts w:hint="eastAsia"/>
        </w:rPr>
        <w:t xml:space="preserve">受限制股份</w:t>
      </w:r>
      <w:r>
        <w:br/>
      </w:r>
      <w:r>
        <w:rPr>
          <w:rFonts w:hint="eastAsia"/>
        </w:rPr>
        <w:t xml:space="preserve">認購單位</w:t>
      </w:r>
    </w:p>
    <w:p>
      <w:pPr>
        <w:pStyle w:val="BodyText"/>
      </w:pPr>
      <w:r>
        <w:t xml:space="preserve">1.44% – 1.59%</w:t>
      </w:r>
    </w:p>
    <w:p>
      <w:pPr>
        <w:pStyle w:val="BodyText"/>
      </w:pPr>
      <w:r>
        <w:t xml:space="preserve">1.36% – 1.67%*</w:t>
      </w:r>
    </w:p>
    <w:p>
      <w:pPr>
        <w:pStyle w:val="BodyText"/>
      </w:pPr>
      <w:r>
        <w:t xml:space="preserve">1.44% – 1.76%</w:t>
      </w:r>
    </w:p>
    <w:p>
      <w:pPr>
        <w:pStyle w:val="BodyText"/>
      </w:pPr>
      <w:r>
        <w:t xml:space="preserve">20%</w:t>
      </w:r>
    </w:p>
    <w:p>
      <w:pPr>
        <w:pStyle w:val="BodyText"/>
      </w:pPr>
      <w:r>
        <w:t xml:space="preserve">20%</w:t>
      </w:r>
    </w:p>
    <w:p>
      <w:pPr>
        <w:pStyle w:val="BodyText"/>
      </w:pPr>
      <w:r>
        <w:rPr>
          <w:rFonts w:hint="eastAsia"/>
        </w:rPr>
        <w:t xml:space="preserve">不適用</w:t>
      </w:r>
    </w:p>
    <w:p>
      <w:pPr>
        <w:pStyle w:val="BodyText"/>
      </w:pPr>
      <w:r>
        <w:t xml:space="preserve">1.50%</w:t>
      </w:r>
    </w:p>
    <w:p>
      <w:pPr>
        <w:pStyle w:val="BodyText"/>
      </w:pPr>
      <w:r>
        <w:t xml:space="preserve">1.50% – 1.60%</w:t>
      </w:r>
    </w:p>
    <w:p>
      <w:pPr>
        <w:pStyle w:val="BodyText"/>
      </w:pPr>
      <w:r>
        <w:t xml:space="preserve">1.50% – 1.60%</w:t>
      </w:r>
    </w:p>
    <w:p>
      <w:pPr>
        <w:pStyle w:val="BodyText"/>
      </w:pPr>
      <w:r>
        <w:t xml:space="preserve">76.38 – 78.70</w:t>
      </w:r>
    </w:p>
    <w:p>
      <w:pPr>
        <w:pStyle w:val="BodyText"/>
      </w:pPr>
      <w:r>
        <w:t xml:space="preserve">10</w:t>
      </w:r>
    </w:p>
    <w:p>
      <w:pPr>
        <w:pStyle w:val="BodyText"/>
      </w:pPr>
      <w:r>
        <w:t xml:space="preserve">7.97</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t xml:space="preserve">1.59%</w:t>
      </w:r>
    </w:p>
    <w:p>
      <w:pPr>
        <w:pStyle w:val="BodyText"/>
      </w:pPr>
      <w:r>
        <w:rPr>
          <w:rFonts w:hint="eastAsia"/>
        </w:rPr>
        <w:t xml:space="preserve">不適用</w:t>
      </w:r>
    </w:p>
    <w:p>
      <w:pPr>
        <w:pStyle w:val="BodyText"/>
      </w:pPr>
      <w:r>
        <w:t xml:space="preserve">1.50%</w:t>
      </w:r>
    </w:p>
    <w:p>
      <w:pPr>
        <w:pStyle w:val="BodyText"/>
      </w:pPr>
      <w:r>
        <w:rPr>
          <w:rFonts w:hint="eastAsia"/>
        </w:rPr>
        <w:t xml:space="preserve">不適用</w:t>
      </w:r>
    </w:p>
    <w:p>
      <w:pPr>
        <w:pStyle w:val="BodyText"/>
      </w:pPr>
      <w:r>
        <w:rPr>
          <w:rFonts w:hint="eastAsia"/>
        </w:rPr>
        <w:t xml:space="preserve">不適用</w:t>
      </w:r>
    </w:p>
    <w:p>
      <w:pPr>
        <w:pStyle w:val="BodyText"/>
      </w:pPr>
      <w:r>
        <w:rPr>
          <w:rFonts w:hint="eastAsia"/>
        </w:rPr>
        <w:t xml:space="preserve">不適用</w:t>
      </w:r>
    </w:p>
    <w:p>
      <w:pPr>
        <w:pStyle w:val="BodyText"/>
      </w:pPr>
      <w:r>
        <w:t xml:space="preserve">15.55</w:t>
      </w:r>
    </w:p>
    <w:p>
      <w:pPr>
        <w:pStyle w:val="BodyText"/>
      </w:pPr>
      <w:r>
        <w:t xml:space="preserve">67.32</w:t>
      </w:r>
    </w:p>
    <w:p>
      <w:pPr>
        <w:pStyle w:val="BodyText"/>
      </w:pPr>
      <w:r>
        <w:t xml:space="preserve">75.36</w:t>
      </w:r>
    </w:p>
    <w:p>
      <w:pPr>
        <w:pStyle w:val="BodyText"/>
      </w:pPr>
      <w:r>
        <w:t xml:space="preserve">65.08</w:t>
      </w:r>
    </w:p>
    <w:p>
      <w:pPr>
        <w:pStyle w:val="BodyText"/>
      </w:pPr>
      <w:r>
        <w:rPr>
          <w:rFonts w:hint="eastAsia"/>
        </w:rPr>
        <w:t xml:space="preserve">於截至2020年12月31日止年度所授出的購股權，其用作估值的加權平均股份價格為68.10港元（2019年：76.37港元）。於截至</w:t>
      </w:r>
    </w:p>
    <w:p>
      <w:pPr>
        <w:pStyle w:val="BodyText"/>
      </w:pPr>
      <w:r>
        <w:rPr>
          <w:rFonts w:hint="eastAsia"/>
        </w:rPr>
        <w:t xml:space="preserve">2020年12月31日止年度所授出的購股權公平值總額為1,200萬美元（2019年：900萬美元）。</w:t>
      </w:r>
    </w:p>
    <w:p>
      <w:pPr>
        <w:pStyle w:val="BodyText"/>
      </w:pPr>
      <w:r>
        <w:rPr>
          <w:rFonts w:hint="eastAsia"/>
        </w:rPr>
        <w:t xml:space="preserve">已確認報酬成本</w:t>
      </w:r>
    </w:p>
    <w:p>
      <w:pPr>
        <w:pStyle w:val="BodyText"/>
      </w:pPr>
      <w:r>
        <w:rPr>
          <w:rFonts w:hint="eastAsia"/>
        </w:rPr>
        <w:t xml:space="preserve">於截至2020年12月31日止年度，本集團作出的各項以股份為基礎的報酬授出相關的已確認報酬成本總額（已扣除預計失效）</w:t>
      </w:r>
    </w:p>
    <w:p>
      <w:pPr>
        <w:pStyle w:val="BodyText"/>
      </w:pPr>
      <w:r>
        <w:rPr>
          <w:rFonts w:hint="eastAsia"/>
        </w:rPr>
        <w:t xml:space="preserve">為8,000萬美元（2019年：8,800萬美元）。</w:t>
      </w:r>
    </w:p>
    <w:p>
      <w:pPr>
        <w:pStyle w:val="BodyText"/>
      </w:pPr>
      <w:r>
        <w:t xml:space="preserve">244</w:t>
      </w:r>
    </w:p>
    <w:p>
      <w:pPr>
        <w:pStyle w:val="BodyText"/>
      </w:pPr>
      <w:r>
        <w:rPr>
          <w:rFonts w:hint="eastAsia"/>
        </w:rPr>
        <w:t xml:space="preserve">友邦保險控股有限公司</w:t>
      </w:r>
    </w:p>
    <w:p>
      <w:pPr>
        <w:pStyle w:val="Compact"/>
        <w:numPr>
          <w:ilvl w:val="0"/>
          <w:numId w:val="1532"/>
        </w:numPr>
      </w:pPr>
      <w:r>
        <w:rPr>
          <w:rFonts w:hint="eastAsia"/>
        </w:rPr>
        <w:t xml:space="preserve">董事及主要管理人員酬金</w:t>
      </w:r>
    </w:p>
    <w:p>
      <w:pPr>
        <w:pStyle w:val="FirstParagraph"/>
      </w:pPr>
      <w:r>
        <w:rPr>
          <w:rFonts w:hint="eastAsia"/>
        </w:rPr>
        <w:t xml:space="preserve">董事酬金</w:t>
      </w:r>
    </w:p>
    <w:p>
      <w:pPr>
        <w:pStyle w:val="BodyText"/>
      </w:pPr>
      <w:r>
        <w:rPr>
          <w:rFonts w:hint="eastAsia"/>
        </w:rPr>
        <w:t xml:space="preserve">執行董事以薪金、花紅、退休金計劃供款、長期獎勵、房屋及其他津貼，以及非現金利益等形式收取報酬，須受適用法律、</w:t>
      </w:r>
    </w:p>
    <w:p>
      <w:pPr>
        <w:pStyle w:val="BodyText"/>
      </w:pPr>
      <w:r>
        <w:rPr>
          <w:rFonts w:hint="eastAsia"/>
        </w:rPr>
        <w:t xml:space="preserve">規則及規例所限。花紅及長期獎勵乃執行董事報酬中的可變部分，並與本集團及執行董事的表現掛鈎。有關以股份為基礎的</w:t>
      </w:r>
    </w:p>
    <w:p>
      <w:pPr>
        <w:pStyle w:val="BodyText"/>
      </w:pPr>
      <w:r>
        <w:rPr>
          <w:rFonts w:hint="eastAsia"/>
        </w:rPr>
        <w:t xml:space="preserve">支付計劃詳情載於附註40。</w:t>
      </w:r>
    </w:p>
    <w:p>
      <w:pPr>
        <w:pStyle w:val="BodyText"/>
      </w:pPr>
      <w:r>
        <w:rPr>
          <w:rFonts w:hint="eastAsia"/>
        </w:rPr>
        <w:t xml:space="preserve">美元</w:t>
      </w:r>
    </w:p>
    <w:p>
      <w:pPr>
        <w:pStyle w:val="BodyText"/>
      </w:pPr>
      <w:r>
        <w:rPr>
          <w:rFonts w:hint="eastAsia"/>
        </w:rPr>
        <w:t xml:space="preserve">董事袍金</w:t>
      </w:r>
    </w:p>
    <w:p>
      <w:pPr>
        <w:pStyle w:val="BodyText"/>
      </w:pPr>
      <w:r>
        <w:rPr>
          <w:rFonts w:hint="eastAsia"/>
        </w:rPr>
        <w:t xml:space="preserve">利益(1)</w:t>
      </w:r>
    </w:p>
    <w:p>
      <w:pPr>
        <w:pStyle w:val="BodyText"/>
      </w:pPr>
      <w:r>
        <w:rPr>
          <w:rFonts w:hint="eastAsia"/>
        </w:rPr>
        <w:t xml:space="preserve">花紅</w:t>
      </w:r>
    </w:p>
    <w:p>
      <w:pPr>
        <w:pStyle w:val="BodyText"/>
      </w:pPr>
      <w:r>
        <w:rPr>
          <w:rFonts w:hint="eastAsia"/>
        </w:rPr>
        <w:t xml:space="preserve">支付(2)</w:t>
      </w:r>
    </w:p>
    <w:p>
      <w:pPr>
        <w:pStyle w:val="BodyText"/>
      </w:pPr>
      <w:r>
        <w:rPr>
          <w:rFonts w:hint="eastAsia"/>
        </w:rPr>
        <w:t xml:space="preserve">計劃供款</w:t>
      </w:r>
      <w:r>
        <w:t xml:space="preserve"> </w:t>
      </w:r>
      <w:r>
        <w:rPr>
          <w:rFonts w:hint="eastAsia"/>
        </w:rPr>
        <w:t xml:space="preserve">其他福利(3)</w:t>
      </w:r>
      <w:r>
        <w:t xml:space="preserve"> </w:t>
      </w:r>
      <w:r>
        <w:rPr>
          <w:rFonts w:hint="eastAsia"/>
        </w:rPr>
        <w:t xml:space="preserve">其他支付(4)</w:t>
      </w:r>
    </w:p>
    <w:p>
      <w:pPr>
        <w:pStyle w:val="BodyText"/>
      </w:pPr>
      <w:r>
        <w:rPr>
          <w:rFonts w:hint="eastAsia"/>
        </w:rPr>
        <w:t xml:space="preserve">總計</w:t>
      </w:r>
    </w:p>
    <w:p>
      <w:pPr>
        <w:pStyle w:val="BodyText"/>
      </w:pPr>
      <w:r>
        <w:rPr>
          <w:rFonts w:hint="eastAsia"/>
        </w:rPr>
        <w:t xml:space="preserve">薪金、津貼</w:t>
      </w:r>
      <w:r>
        <w:br/>
      </w:r>
      <w:r>
        <w:rPr>
          <w:rFonts w:hint="eastAsia"/>
        </w:rPr>
        <w:t xml:space="preserve">及非現金</w:t>
      </w:r>
    </w:p>
    <w:p>
      <w:pPr>
        <w:pStyle w:val="BodyText"/>
      </w:pPr>
      <w:r>
        <w:rPr>
          <w:rFonts w:hint="eastAsia"/>
        </w:rPr>
        <w:t xml:space="preserve">以股份為</w:t>
      </w:r>
      <w:r>
        <w:br/>
      </w:r>
      <w:r>
        <w:rPr>
          <w:rFonts w:hint="eastAsia"/>
        </w:rPr>
        <w:t xml:space="preserve">基礎的</w:t>
      </w:r>
    </w:p>
    <w:p>
      <w:pPr>
        <w:pStyle w:val="BodyText"/>
      </w:pPr>
      <w:r>
        <w:rPr>
          <w:rFonts w:hint="eastAsia"/>
        </w:rPr>
        <w:t xml:space="preserve">退休金</w:t>
      </w:r>
    </w:p>
    <w:p>
      <w:pPr>
        <w:pStyle w:val="BodyText"/>
      </w:pPr>
      <w:r>
        <w:rPr>
          <w:rFonts w:hint="eastAsia"/>
        </w:rPr>
        <w:t xml:space="preserve">截至2020年12月31日止年度</w:t>
      </w:r>
    </w:p>
    <w:p>
      <w:pPr>
        <w:pStyle w:val="BodyText"/>
      </w:pPr>
      <w:r>
        <w:rPr>
          <w:rFonts w:hint="eastAsia"/>
        </w:rPr>
        <w:t xml:space="preserve">執行董事</w:t>
      </w:r>
    </w:p>
    <w:p>
      <w:pPr>
        <w:pStyle w:val="BodyText"/>
      </w:pPr>
      <w:r>
        <w:t xml:space="preserve">Ng Keng </w:t>
      </w:r>
      <w:r>
        <w:rPr>
          <w:rFonts w:hint="eastAsia"/>
        </w:rPr>
        <w:t xml:space="preserve">Hooi先生(5)</w:t>
      </w:r>
    </w:p>
    <w:p>
      <w:pPr>
        <w:pStyle w:val="BodyText"/>
      </w:pPr>
      <w:r>
        <w:rPr>
          <w:rFonts w:hint="eastAsia"/>
        </w:rPr>
        <w:t xml:space="preserve">李源祥先生(6)</w:t>
      </w:r>
    </w:p>
    <w:p>
      <w:pPr>
        <w:pStyle w:val="BodyText"/>
      </w:pPr>
      <w:r>
        <w:rPr>
          <w:rFonts w:hint="eastAsia"/>
        </w:rPr>
        <w:t xml:space="preserve">總計</w:t>
      </w:r>
    </w:p>
    <w:p>
      <w:pPr>
        <w:pStyle w:val="BodyText"/>
      </w:pPr>
      <w:r>
        <w:t xml:space="preserve">–</w:t>
      </w:r>
    </w:p>
    <w:p>
      <w:pPr>
        <w:pStyle w:val="BodyText"/>
      </w:pPr>
      <w:r>
        <w:t xml:space="preserve">–</w:t>
      </w:r>
    </w:p>
    <w:p>
      <w:pPr>
        <w:pStyle w:val="BodyText"/>
      </w:pPr>
      <w:r>
        <w:t xml:space="preserve">–</w:t>
      </w:r>
    </w:p>
    <w:p>
      <w:pPr>
        <w:pStyle w:val="BodyText"/>
      </w:pPr>
      <w:r>
        <w:t xml:space="preserve">688,987</w:t>
      </w:r>
    </w:p>
    <w:p>
      <w:pPr>
        <w:pStyle w:val="BodyText"/>
      </w:pPr>
      <w:r>
        <w:t xml:space="preserve">2,839,400</w:t>
      </w:r>
    </w:p>
    <w:p>
      <w:pPr>
        <w:pStyle w:val="BodyText"/>
      </w:pPr>
      <w:r>
        <w:t xml:space="preserve">7,631,345</w:t>
      </w:r>
    </w:p>
    <w:p>
      <w:pPr>
        <w:pStyle w:val="BodyText"/>
      </w:pPr>
      <w:r>
        <w:t xml:space="preserve">40,933</w:t>
      </w:r>
    </w:p>
    <w:p>
      <w:pPr>
        <w:pStyle w:val="BodyText"/>
      </w:pPr>
      <w:r>
        <w:t xml:space="preserve">112,203</w:t>
      </w:r>
    </w:p>
    <w:p>
      <w:pPr>
        <w:pStyle w:val="BodyText"/>
      </w:pPr>
      <w:r>
        <w:t xml:space="preserve">–</w:t>
      </w:r>
    </w:p>
    <w:p>
      <w:pPr>
        <w:pStyle w:val="BodyText"/>
      </w:pPr>
      <w:r>
        <w:t xml:space="preserve">11,312,868</w:t>
      </w:r>
    </w:p>
    <w:p>
      <w:pPr>
        <w:pStyle w:val="BodyText"/>
      </w:pPr>
      <w:r>
        <w:t xml:space="preserve">1,428,337</w:t>
      </w:r>
    </w:p>
    <w:p>
      <w:pPr>
        <w:pStyle w:val="BodyText"/>
      </w:pPr>
      <w:r>
        <w:t xml:space="preserve">3,960,000</w:t>
      </w:r>
    </w:p>
    <w:p>
      <w:pPr>
        <w:pStyle w:val="BodyText"/>
      </w:pPr>
      <w:r>
        <w:t xml:space="preserve">1,493,396</w:t>
      </w:r>
    </w:p>
    <w:p>
      <w:pPr>
        <w:pStyle w:val="BodyText"/>
      </w:pPr>
      <w:r>
        <w:t xml:space="preserve">56,271</w:t>
      </w:r>
    </w:p>
    <w:p>
      <w:pPr>
        <w:pStyle w:val="BodyText"/>
      </w:pPr>
      <w:r>
        <w:t xml:space="preserve">– 10,892,303</w:t>
      </w:r>
    </w:p>
    <w:p>
      <w:pPr>
        <w:pStyle w:val="BodyText"/>
      </w:pPr>
      <w:r>
        <w:t xml:space="preserve">17,830,307</w:t>
      </w:r>
    </w:p>
    <w:p>
      <w:pPr>
        <w:pStyle w:val="BodyText"/>
      </w:pPr>
      <w:r>
        <w:t xml:space="preserve">2,117,324</w:t>
      </w:r>
    </w:p>
    <w:p>
      <w:pPr>
        <w:pStyle w:val="BodyText"/>
      </w:pPr>
      <w:r>
        <w:t xml:space="preserve">6,799,400</w:t>
      </w:r>
    </w:p>
    <w:p>
      <w:pPr>
        <w:pStyle w:val="BodyText"/>
      </w:pPr>
      <w:r>
        <w:t xml:space="preserve">9,124,741</w:t>
      </w:r>
    </w:p>
    <w:p>
      <w:pPr>
        <w:pStyle w:val="BodyText"/>
      </w:pPr>
      <w:r>
        <w:t xml:space="preserve">97,204</w:t>
      </w:r>
    </w:p>
    <w:p>
      <w:pPr>
        <w:pStyle w:val="BodyText"/>
      </w:pPr>
      <w:r>
        <w:t xml:space="preserve">112,203 10,892,303</w:t>
      </w:r>
    </w:p>
    <w:p>
      <w:pPr>
        <w:pStyle w:val="BodyText"/>
      </w:pPr>
      <w:r>
        <w:t xml:space="preserve">29,143,175</w:t>
      </w:r>
    </w:p>
    <w:p>
      <w:pPr>
        <w:pStyle w:val="BodyText"/>
      </w:pPr>
      <w:r>
        <w:rPr>
          <w:rFonts w:hint="eastAsia"/>
        </w:rPr>
        <w:t xml:space="preserve">美元</w:t>
      </w:r>
    </w:p>
    <w:p>
      <w:pPr>
        <w:pStyle w:val="BodyText"/>
      </w:pPr>
      <w:r>
        <w:rPr>
          <w:rFonts w:hint="eastAsia"/>
        </w:rPr>
        <w:t xml:space="preserve">董事袍金</w:t>
      </w:r>
    </w:p>
    <w:p>
      <w:pPr>
        <w:pStyle w:val="BodyText"/>
      </w:pPr>
      <w:r>
        <w:rPr>
          <w:rFonts w:hint="eastAsia"/>
        </w:rPr>
        <w:t xml:space="preserve">利益(1)</w:t>
      </w:r>
    </w:p>
    <w:p>
      <w:pPr>
        <w:pStyle w:val="BodyText"/>
      </w:pPr>
      <w:r>
        <w:rPr>
          <w:rFonts w:hint="eastAsia"/>
        </w:rPr>
        <w:t xml:space="preserve">花紅</w:t>
      </w:r>
    </w:p>
    <w:p>
      <w:pPr>
        <w:pStyle w:val="BodyText"/>
      </w:pPr>
      <w:r>
        <w:rPr>
          <w:rFonts w:hint="eastAsia"/>
        </w:rPr>
        <w:t xml:space="preserve">支付(2)</w:t>
      </w:r>
    </w:p>
    <w:p>
      <w:pPr>
        <w:pStyle w:val="BodyText"/>
      </w:pPr>
      <w:r>
        <w:rPr>
          <w:rFonts w:hint="eastAsia"/>
        </w:rPr>
        <w:t xml:space="preserve">計劃供款</w:t>
      </w:r>
      <w:r>
        <w:t xml:space="preserve"> </w:t>
      </w:r>
      <w:r>
        <w:rPr>
          <w:rFonts w:hint="eastAsia"/>
        </w:rPr>
        <w:t xml:space="preserve">其他福利(3)</w:t>
      </w:r>
      <w:r>
        <w:t xml:space="preserve"> </w:t>
      </w:r>
      <w:r>
        <w:rPr>
          <w:rFonts w:hint="eastAsia"/>
        </w:rPr>
        <w:t xml:space="preserve">其他支付</w:t>
      </w:r>
    </w:p>
    <w:p>
      <w:pPr>
        <w:pStyle w:val="BodyText"/>
      </w:pPr>
      <w:r>
        <w:rPr>
          <w:rFonts w:hint="eastAsia"/>
        </w:rPr>
        <w:t xml:space="preserve">總計</w:t>
      </w:r>
    </w:p>
    <w:p>
      <w:pPr>
        <w:pStyle w:val="BodyText"/>
      </w:pPr>
      <w:r>
        <w:rPr>
          <w:rFonts w:hint="eastAsia"/>
        </w:rPr>
        <w:t xml:space="preserve">薪金、津貼</w:t>
      </w:r>
      <w:r>
        <w:br/>
      </w:r>
      <w:r>
        <w:rPr>
          <w:rFonts w:hint="eastAsia"/>
        </w:rPr>
        <w:t xml:space="preserve">及非現金</w:t>
      </w:r>
    </w:p>
    <w:p>
      <w:pPr>
        <w:pStyle w:val="BodyText"/>
      </w:pPr>
      <w:r>
        <w:rPr>
          <w:rFonts w:hint="eastAsia"/>
        </w:rPr>
        <w:t xml:space="preserve">以股份為</w:t>
      </w:r>
      <w:r>
        <w:br/>
      </w:r>
      <w:r>
        <w:rPr>
          <w:rFonts w:hint="eastAsia"/>
        </w:rPr>
        <w:t xml:space="preserve">基礎的</w:t>
      </w:r>
    </w:p>
    <w:p>
      <w:pPr>
        <w:pStyle w:val="BodyText"/>
      </w:pPr>
      <w:r>
        <w:rPr>
          <w:rFonts w:hint="eastAsia"/>
        </w:rPr>
        <w:t xml:space="preserve">退休金</w:t>
      </w:r>
    </w:p>
    <w:p>
      <w:pPr>
        <w:pStyle w:val="BodyText"/>
      </w:pPr>
      <w:r>
        <w:rPr>
          <w:rFonts w:hint="eastAsia"/>
        </w:rPr>
        <w:t xml:space="preserve">截至2019年12月31日止年度</w:t>
      </w:r>
    </w:p>
    <w:p>
      <w:pPr>
        <w:pStyle w:val="BodyText"/>
      </w:pPr>
      <w:r>
        <w:rPr>
          <w:rFonts w:hint="eastAsia"/>
        </w:rPr>
        <w:t xml:space="preserve">執行董事</w:t>
      </w:r>
    </w:p>
    <w:p>
      <w:pPr>
        <w:pStyle w:val="BodyText"/>
      </w:pPr>
      <w:r>
        <w:t xml:space="preserve">Ng Keng </w:t>
      </w:r>
      <w:r>
        <w:rPr>
          <w:rFonts w:hint="eastAsia"/>
        </w:rPr>
        <w:t xml:space="preserve">Hooi先生(5)</w:t>
      </w:r>
    </w:p>
    <w:p>
      <w:pPr>
        <w:pStyle w:val="BodyText"/>
      </w:pPr>
      <w:r>
        <w:rPr>
          <w:rFonts w:hint="eastAsia"/>
        </w:rPr>
        <w:t xml:space="preserve">總計</w:t>
      </w:r>
    </w:p>
    <w:p>
      <w:pPr>
        <w:pStyle w:val="BodyText"/>
      </w:pPr>
      <w:r>
        <w:rPr>
          <w:rFonts w:hint="eastAsia"/>
        </w:rPr>
        <w:t xml:space="preserve">附註：</w:t>
      </w:r>
    </w:p>
    <w:p>
      <w:pPr>
        <w:pStyle w:val="BodyText"/>
      </w:pPr>
      <w:r>
        <w:t xml:space="preserve">–</w:t>
      </w:r>
    </w:p>
    <w:p>
      <w:pPr>
        <w:pStyle w:val="BodyText"/>
      </w:pPr>
      <w:r>
        <w:t xml:space="preserve">–</w:t>
      </w:r>
    </w:p>
    <w:p>
      <w:pPr>
        <w:pStyle w:val="BodyText"/>
      </w:pPr>
      <w:r>
        <w:t xml:space="preserve">1,617,677</w:t>
      </w:r>
    </w:p>
    <w:p>
      <w:pPr>
        <w:pStyle w:val="BodyText"/>
      </w:pPr>
      <w:r>
        <w:t xml:space="preserve">3,267,000</w:t>
      </w:r>
    </w:p>
    <w:p>
      <w:pPr>
        <w:pStyle w:val="BodyText"/>
      </w:pPr>
      <w:r>
        <w:t xml:space="preserve">4,816,710</w:t>
      </w:r>
    </w:p>
    <w:p>
      <w:pPr>
        <w:pStyle w:val="BodyText"/>
      </w:pPr>
      <w:r>
        <w:t xml:space="preserve">96,476</w:t>
      </w:r>
    </w:p>
    <w:p>
      <w:pPr>
        <w:pStyle w:val="BodyText"/>
      </w:pPr>
      <w:r>
        <w:t xml:space="preserve">697,485</w:t>
      </w:r>
    </w:p>
    <w:p>
      <w:pPr>
        <w:pStyle w:val="BodyText"/>
      </w:pPr>
      <w:r>
        <w:t xml:space="preserve">1,617,677</w:t>
      </w:r>
    </w:p>
    <w:p>
      <w:pPr>
        <w:pStyle w:val="BodyText"/>
      </w:pPr>
      <w:r>
        <w:t xml:space="preserve">3,267,000</w:t>
      </w:r>
    </w:p>
    <w:p>
      <w:pPr>
        <w:pStyle w:val="BodyText"/>
      </w:pPr>
      <w:r>
        <w:t xml:space="preserve">4,816,710</w:t>
      </w:r>
    </w:p>
    <w:p>
      <w:pPr>
        <w:pStyle w:val="BodyText"/>
      </w:pPr>
      <w:r>
        <w:t xml:space="preserve">96,476</w:t>
      </w:r>
    </w:p>
    <w:p>
      <w:pPr>
        <w:pStyle w:val="BodyText"/>
      </w:pPr>
      <w:r>
        <w:t xml:space="preserve">697,485</w:t>
      </w:r>
    </w:p>
    <w:p>
      <w:pPr>
        <w:pStyle w:val="BodyText"/>
      </w:pPr>
      <w:r>
        <w:t xml:space="preserve">–</w:t>
      </w:r>
    </w:p>
    <w:p>
      <w:pPr>
        <w:pStyle w:val="BodyText"/>
      </w:pPr>
      <w:r>
        <w:t xml:space="preserve">–</w:t>
      </w:r>
    </w:p>
    <w:p>
      <w:pPr>
        <w:pStyle w:val="BodyText"/>
      </w:pPr>
      <w:r>
        <w:t xml:space="preserve">10,495,348</w:t>
      </w:r>
    </w:p>
    <w:p>
      <w:pPr>
        <w:pStyle w:val="BodyText"/>
      </w:pPr>
      <w:r>
        <w:t xml:space="preserve">10,495,348</w:t>
      </w:r>
    </w:p>
    <w:p>
      <w:pPr>
        <w:numPr>
          <w:ilvl w:val="0"/>
          <w:numId w:val="1533"/>
        </w:numPr>
      </w:pPr>
      <w:r>
        <w:rPr>
          <w:rFonts w:hint="eastAsia"/>
        </w:rPr>
        <w:t xml:space="preserve">包括有關房屋、醫療及人壽保險、俱樂部及專業會籍、公司汽車及額外補貼的非現金利益。</w:t>
      </w:r>
    </w:p>
    <w:p>
      <w:pPr>
        <w:numPr>
          <w:ilvl w:val="0"/>
          <w:numId w:val="1533"/>
        </w:numPr>
      </w:pPr>
      <w:r>
        <w:rPr>
          <w:rFonts w:hint="eastAsia"/>
        </w:rPr>
        <w:t xml:space="preserve">包括未歸屬購股權、受限制股份單位及僱員購股計劃相應股份的攤銷開支（根據有關授出日期的公平值計算）。</w:t>
      </w:r>
    </w:p>
    <w:p>
      <w:pPr>
        <w:numPr>
          <w:ilvl w:val="0"/>
          <w:numId w:val="1533"/>
        </w:numPr>
      </w:pPr>
      <w:r>
        <w:rPr>
          <w:rFonts w:hint="eastAsia"/>
        </w:rPr>
        <w:t xml:space="preserve">截至2020年12月31日止年度的其他福利包括退休花紅、長期服務金及有薪年假。截至2019年12月31日止年度的其他福利包括以減免新加坡和香</w:t>
      </w:r>
    </w:p>
    <w:p>
      <w:pPr>
        <w:pStyle w:val="FirstParagraph"/>
      </w:pPr>
      <w:r>
        <w:rPr>
          <w:rFonts w:hint="eastAsia"/>
        </w:rPr>
        <w:t xml:space="preserve">港雙重稅收的退稅。</w:t>
      </w:r>
    </w:p>
    <w:p>
      <w:pPr>
        <w:numPr>
          <w:ilvl w:val="0"/>
          <w:numId w:val="1534"/>
        </w:numPr>
      </w:pPr>
      <w:r>
        <w:rPr>
          <w:rFonts w:hint="eastAsia"/>
        </w:rPr>
        <w:t xml:space="preserve">指就李源祥先生因離開前任工作而失效的未歸屬之長期獎勵金及延期付款所作出的補償有關的攤銷開支。</w:t>
      </w:r>
    </w:p>
    <w:p>
      <w:pPr>
        <w:numPr>
          <w:ilvl w:val="0"/>
          <w:numId w:val="1534"/>
        </w:numPr>
      </w:pPr>
      <w:r>
        <w:t xml:space="preserve">Ng Keng </w:t>
      </w:r>
      <w:r>
        <w:rPr>
          <w:rFonts w:hint="eastAsia"/>
        </w:rPr>
        <w:t xml:space="preserve">Hooi先生的薪酬包括其退任集團首席執行官兼總裁及董事（於2020年5月31日生效）前享有的薪酬及福利，以及截至2020年12月31日止</w:t>
      </w:r>
    </w:p>
    <w:p>
      <w:pPr>
        <w:pStyle w:val="FirstParagraph"/>
      </w:pPr>
      <w:r>
        <w:rPr>
          <w:rFonts w:hint="eastAsia"/>
        </w:rPr>
        <w:t xml:space="preserve">將按完整年度支付且視乎實際表現評估的花紅。</w:t>
      </w:r>
    </w:p>
    <w:p>
      <w:pPr>
        <w:pStyle w:val="Compact"/>
        <w:numPr>
          <w:ilvl w:val="0"/>
          <w:numId w:val="1535"/>
        </w:numPr>
      </w:pPr>
      <w:r>
        <w:rPr>
          <w:rFonts w:hint="eastAsia"/>
        </w:rPr>
        <w:t xml:space="preserve">李源祥先生現任本公司集團首席執行官兼總裁。彼僅就擔任本公司集團首席執行官兼總裁獲得薪酬，並不會就擔任本公司董事或本公司任何附屬</w:t>
      </w:r>
    </w:p>
    <w:p>
      <w:pPr>
        <w:pStyle w:val="FirstParagraph"/>
      </w:pPr>
      <w:r>
        <w:rPr>
          <w:rFonts w:hint="eastAsia"/>
        </w:rPr>
        <w:t xml:space="preserve">公司董事獲得額外袍金。</w:t>
      </w:r>
    </w:p>
    <w:p>
      <w:pPr>
        <w:pStyle w:val="BodyText"/>
      </w:pPr>
      <w:r>
        <w:t xml:space="preserve">245</w:t>
      </w:r>
    </w:p>
    <w:p>
      <w:pPr>
        <w:pStyle w:val="BodyText"/>
      </w:pPr>
      <w:r>
        <w:rPr>
          <w:rFonts w:hint="eastAsia"/>
        </w:rPr>
        <w:t xml:space="preserve">概覽財務及營運回顧企業管治其他資料財務報表2020年報</w:t>
      </w:r>
    </w:p>
    <w:p>
      <w:pPr>
        <w:pStyle w:val="Compact"/>
        <w:numPr>
          <w:ilvl w:val="0"/>
          <w:numId w:val="1536"/>
        </w:numPr>
      </w:pPr>
      <w:r>
        <w:rPr>
          <w:rFonts w:hint="eastAsia"/>
        </w:rPr>
        <w:t xml:space="preserve">董事及主要管理人員酬金（續）</w:t>
      </w:r>
    </w:p>
    <w:p>
      <w:pPr>
        <w:pStyle w:val="FirstParagraph"/>
      </w:pPr>
      <w:r>
        <w:rPr>
          <w:rFonts w:hint="eastAsia"/>
        </w:rPr>
        <w:t xml:space="preserve">董事酬金（續）</w:t>
      </w:r>
    </w:p>
    <w:p>
      <w:pPr>
        <w:pStyle w:val="BodyText"/>
      </w:pPr>
      <w:r>
        <w:rPr>
          <w:rFonts w:hint="eastAsia"/>
        </w:rPr>
        <w:t xml:space="preserve">本公司的獨立非執行董事於2020年及2019年12月31日的酬金載於下表：</w:t>
      </w:r>
    </w:p>
    <w:p>
      <w:pPr>
        <w:pStyle w:val="BodyText"/>
      </w:pPr>
      <w:r>
        <w:rPr>
          <w:rFonts w:hint="eastAsia"/>
        </w:rPr>
        <w:t xml:space="preserve">美元</w:t>
      </w:r>
    </w:p>
    <w:p>
      <w:pPr>
        <w:pStyle w:val="BodyText"/>
      </w:pPr>
      <w:r>
        <w:rPr>
          <w:rFonts w:hint="eastAsia"/>
        </w:rPr>
        <w:t xml:space="preserve">董事袍金(1)</w:t>
      </w:r>
    </w:p>
    <w:p>
      <w:pPr>
        <w:pStyle w:val="BodyText"/>
      </w:pPr>
      <w:r>
        <w:rPr>
          <w:rFonts w:hint="eastAsia"/>
        </w:rPr>
        <w:t xml:space="preserve">利益(2)</w:t>
      </w:r>
    </w:p>
    <w:p>
      <w:pPr>
        <w:pStyle w:val="BodyText"/>
      </w:pPr>
      <w:r>
        <w:rPr>
          <w:rFonts w:hint="eastAsia"/>
        </w:rPr>
        <w:t xml:space="preserve">花紅</w:t>
      </w:r>
    </w:p>
    <w:p>
      <w:pPr>
        <w:pStyle w:val="BodyText"/>
      </w:pPr>
      <w:r>
        <w:rPr>
          <w:rFonts w:hint="eastAsia"/>
        </w:rPr>
        <w:t xml:space="preserve">薪金、津貼</w:t>
      </w:r>
      <w:r>
        <w:br/>
      </w:r>
      <w:r>
        <w:rPr>
          <w:rFonts w:hint="eastAsia"/>
        </w:rPr>
        <w:t xml:space="preserve">及非現金</w:t>
      </w:r>
    </w:p>
    <w:p>
      <w:pPr>
        <w:pStyle w:val="BodyText"/>
      </w:pPr>
      <w:r>
        <w:rPr>
          <w:rFonts w:hint="eastAsia"/>
        </w:rPr>
        <w:t xml:space="preserve">以股份為</w:t>
      </w:r>
      <w:r>
        <w:br/>
      </w:r>
      <w:r>
        <w:rPr>
          <w:rFonts w:hint="eastAsia"/>
        </w:rPr>
        <w:t xml:space="preserve">基礎的</w:t>
      </w:r>
      <w:r>
        <w:br/>
      </w:r>
      <w:r>
        <w:rPr>
          <w:rFonts w:hint="eastAsia"/>
        </w:rPr>
        <w:t xml:space="preserve">支付</w:t>
      </w:r>
    </w:p>
    <w:p>
      <w:pPr>
        <w:pStyle w:val="BodyText"/>
      </w:pPr>
      <w:r>
        <w:rPr>
          <w:rFonts w:hint="eastAsia"/>
        </w:rPr>
        <w:t xml:space="preserve">退休金</w:t>
      </w:r>
    </w:p>
    <w:p>
      <w:pPr>
        <w:pStyle w:val="BodyText"/>
      </w:pPr>
      <w:r>
        <w:rPr>
          <w:rFonts w:hint="eastAsia"/>
        </w:rPr>
        <w:t xml:space="preserve">計劃供款</w:t>
      </w:r>
      <w:r>
        <w:t xml:space="preserve"> </w:t>
      </w:r>
      <w:r>
        <w:rPr>
          <w:rFonts w:hint="eastAsia"/>
        </w:rPr>
        <w:t xml:space="preserve">其他福利</w:t>
      </w:r>
      <w:r>
        <w:t xml:space="preserve"> </w:t>
      </w:r>
      <w:r>
        <w:rPr>
          <w:rFonts w:hint="eastAsia"/>
        </w:rPr>
        <w:t xml:space="preserve">其他支付</w:t>
      </w:r>
    </w:p>
    <w:p>
      <w:pPr>
        <w:pStyle w:val="BodyText"/>
      </w:pPr>
      <w:r>
        <w:rPr>
          <w:rFonts w:hint="eastAsia"/>
        </w:rPr>
        <w:t xml:space="preserve">總計</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828,315</w:t>
      </w:r>
    </w:p>
    <w:p>
      <w:pPr>
        <w:pStyle w:val="BodyText"/>
      </w:pPr>
      <w:r>
        <w:t xml:space="preserve">268,000</w:t>
      </w:r>
    </w:p>
    <w:p>
      <w:pPr>
        <w:pStyle w:val="BodyText"/>
      </w:pPr>
      <w:r>
        <w:t xml:space="preserve">228,000</w:t>
      </w:r>
    </w:p>
    <w:p>
      <w:pPr>
        <w:pStyle w:val="BodyText"/>
      </w:pPr>
      <w:r>
        <w:t xml:space="preserve">268,000</w:t>
      </w:r>
    </w:p>
    <w:p>
      <w:pPr>
        <w:pStyle w:val="BodyText"/>
      </w:pPr>
      <w:r>
        <w:t xml:space="preserve">253,000</w:t>
      </w:r>
    </w:p>
    <w:p>
      <w:pPr>
        <w:pStyle w:val="BodyText"/>
      </w:pPr>
      <w:r>
        <w:t xml:space="preserve">87,295</w:t>
      </w:r>
    </w:p>
    <w:p>
      <w:pPr>
        <w:pStyle w:val="BodyText"/>
      </w:pPr>
      <w:r>
        <w:t xml:space="preserve">213,000</w:t>
      </w:r>
    </w:p>
    <w:p>
      <w:pPr>
        <w:pStyle w:val="BodyText"/>
      </w:pPr>
      <w:r>
        <w:t xml:space="preserve">213,000</w:t>
      </w:r>
    </w:p>
    <w:p>
      <w:pPr>
        <w:pStyle w:val="BodyText"/>
      </w:pPr>
      <w:r>
        <w:t xml:space="preserve">281,333</w:t>
      </w:r>
    </w:p>
    <w:p>
      <w:pPr>
        <w:pStyle w:val="BodyText"/>
      </w:pPr>
      <w:r>
        <w:t xml:space="preserve">183,000</w:t>
      </w:r>
    </w:p>
    <w:p>
      <w:pPr>
        <w:pStyle w:val="BodyText"/>
      </w:pPr>
      <w:r>
        <w:t xml:space="preserve">– 2,822,943</w:t>
      </w:r>
    </w:p>
    <w:p>
      <w:pPr>
        <w:pStyle w:val="BodyText"/>
      </w:pPr>
      <w:r>
        <w:t xml:space="preserve">685,000</w:t>
      </w:r>
    </w:p>
    <w:p>
      <w:pPr>
        <w:pStyle w:val="BodyText"/>
      </w:pPr>
      <w:r>
        <w:t xml:space="preserve">143,315</w:t>
      </w:r>
    </w:p>
    <w:p>
      <w:pPr>
        <w:pStyle w:val="BodyText"/>
      </w:pPr>
      <w:r>
        <w:rPr>
          <w:rFonts w:hint="eastAsia"/>
        </w:rPr>
        <w:t xml:space="preserve">截至2020年12月31日止年度</w:t>
      </w:r>
    </w:p>
    <w:p>
      <w:pPr>
        <w:pStyle w:val="BodyText"/>
      </w:pPr>
      <w:r>
        <w:rPr>
          <w:rFonts w:hint="eastAsia"/>
        </w:rPr>
        <w:t xml:space="preserve">獨立非執行董事</w:t>
      </w:r>
    </w:p>
    <w:p>
      <w:pPr>
        <w:pStyle w:val="BodyText"/>
      </w:pPr>
      <w:r>
        <w:rPr>
          <w:rFonts w:hint="eastAsia"/>
        </w:rPr>
        <w:t xml:space="preserve">謝仕榮先生</w:t>
      </w:r>
    </w:p>
    <w:p>
      <w:pPr>
        <w:pStyle w:val="BodyText"/>
      </w:pPr>
      <w:r>
        <w:rPr>
          <w:rFonts w:hint="eastAsia"/>
        </w:rPr>
        <w:t xml:space="preserve">蘇澤光先生</w:t>
      </w:r>
    </w:p>
    <w:p>
      <w:pPr>
        <w:pStyle w:val="BodyText"/>
      </w:pPr>
      <w:r>
        <w:rPr>
          <w:rFonts w:hint="eastAsia"/>
        </w:rPr>
        <w:t xml:space="preserve">周松崗先生</w:t>
      </w:r>
    </w:p>
    <w:p>
      <w:pPr>
        <w:pStyle w:val="BodyText"/>
      </w:pPr>
      <w:r>
        <w:t xml:space="preserve">John Barrie </w:t>
      </w:r>
      <w:r>
        <w:rPr>
          <w:rFonts w:hint="eastAsia"/>
        </w:rPr>
        <w:t xml:space="preserve">Harrison先生</w:t>
      </w:r>
    </w:p>
    <w:p>
      <w:pPr>
        <w:pStyle w:val="BodyText"/>
      </w:pPr>
      <w:r>
        <w:rPr>
          <w:rFonts w:hint="eastAsia"/>
        </w:rPr>
        <w:t xml:space="preserve">楊榮文先生</w:t>
      </w:r>
    </w:p>
    <w:p>
      <w:pPr>
        <w:pStyle w:val="BodyText"/>
      </w:pPr>
      <w:r>
        <w:t xml:space="preserve">Mohamed Azman </w:t>
      </w:r>
      <w:r>
        <w:rPr>
          <w:rFonts w:hint="eastAsia"/>
        </w:rPr>
        <w:t xml:space="preserve">Yahya先生(3)</w:t>
      </w:r>
    </w:p>
    <w:p>
      <w:pPr>
        <w:pStyle w:val="BodyText"/>
      </w:pPr>
      <w:r>
        <w:rPr>
          <w:rFonts w:hint="eastAsia"/>
        </w:rPr>
        <w:t xml:space="preserve">劉遵義教授</w:t>
      </w:r>
    </w:p>
    <w:p>
      <w:pPr>
        <w:pStyle w:val="BodyText"/>
      </w:pPr>
      <w:r>
        <w:t xml:space="preserve">Swee-Lian </w:t>
      </w:r>
      <w:r>
        <w:rPr>
          <w:rFonts w:hint="eastAsia"/>
        </w:rPr>
        <w:t xml:space="preserve">Teo女士</w:t>
      </w:r>
    </w:p>
    <w:p>
      <w:pPr>
        <w:pStyle w:val="BodyText"/>
      </w:pPr>
      <w:r>
        <w:t xml:space="preserve">Narongchai </w:t>
      </w:r>
      <w:r>
        <w:rPr>
          <w:rFonts w:hint="eastAsia"/>
        </w:rPr>
        <w:t xml:space="preserve">Akrasanee博士(4)</w:t>
      </w:r>
    </w:p>
    <w:p>
      <w:pPr>
        <w:pStyle w:val="BodyText"/>
      </w:pPr>
      <w:r>
        <w:t xml:space="preserve">268,000</w:t>
      </w:r>
    </w:p>
    <w:p>
      <w:pPr>
        <w:pStyle w:val="BodyText"/>
      </w:pPr>
      <w:r>
        <w:t xml:space="preserve">228,000</w:t>
      </w:r>
    </w:p>
    <w:p>
      <w:pPr>
        <w:pStyle w:val="BodyText"/>
      </w:pPr>
      <w:r>
        <w:t xml:space="preserve">268,000</w:t>
      </w:r>
    </w:p>
    <w:p>
      <w:pPr>
        <w:pStyle w:val="BodyText"/>
      </w:pPr>
      <w:r>
        <w:t xml:space="preserve">253,000</w:t>
      </w:r>
    </w:p>
    <w:p>
      <w:pPr>
        <w:pStyle w:val="BodyText"/>
      </w:pPr>
      <w:r>
        <w:t xml:space="preserve">87,295</w:t>
      </w:r>
    </w:p>
    <w:p>
      <w:pPr>
        <w:pStyle w:val="BodyText"/>
      </w:pPr>
      <w:r>
        <w:t xml:space="preserve">213,000</w:t>
      </w:r>
    </w:p>
    <w:p>
      <w:pPr>
        <w:pStyle w:val="BodyText"/>
      </w:pPr>
      <w:r>
        <w:t xml:space="preserve">213,000</w:t>
      </w:r>
    </w:p>
    <w:p>
      <w:pPr>
        <w:pStyle w:val="BodyText"/>
      </w:pPr>
      <w:r>
        <w:t xml:space="preserve">281,333</w:t>
      </w:r>
    </w:p>
    <w:p>
      <w:pPr>
        <w:pStyle w:val="BodyText"/>
      </w:pPr>
      <w:r>
        <w:t xml:space="preserve">Cesar Velasquez </w:t>
      </w:r>
      <w:r>
        <w:rPr>
          <w:rFonts w:hint="eastAsia"/>
        </w:rPr>
        <w:t xml:space="preserve">Purisima先生</w:t>
      </w:r>
      <w:r>
        <w:t xml:space="preserve"> 183,000</w:t>
      </w:r>
    </w:p>
    <w:p>
      <w:pPr>
        <w:pStyle w:val="BodyText"/>
      </w:pPr>
      <w:r>
        <w:rPr>
          <w:rFonts w:hint="eastAsia"/>
        </w:rPr>
        <w:t xml:space="preserve">總計</w:t>
      </w:r>
    </w:p>
    <w:p>
      <w:pPr>
        <w:pStyle w:val="BodyText"/>
      </w:pPr>
      <w:r>
        <w:t xml:space="preserve">2,679,628</w:t>
      </w:r>
    </w:p>
    <w:p>
      <w:pPr>
        <w:pStyle w:val="BodyText"/>
      </w:pPr>
      <w:r>
        <w:t xml:space="preserve">143,315</w:t>
      </w:r>
    </w:p>
    <w:p>
      <w:pPr>
        <w:pStyle w:val="BodyText"/>
      </w:pPr>
      <w:r>
        <w:t xml:space="preserve">246</w:t>
      </w:r>
    </w:p>
    <w:p>
      <w:pPr>
        <w:pStyle w:val="BodyText"/>
      </w:pPr>
      <w:r>
        <w:rPr>
          <w:rFonts w:hint="eastAsia"/>
        </w:rPr>
        <w:t xml:space="preserve">友邦保險控股有限公司</w:t>
      </w:r>
    </w:p>
    <w:p>
      <w:pPr>
        <w:pStyle w:val="Compact"/>
        <w:numPr>
          <w:ilvl w:val="0"/>
          <w:numId w:val="1537"/>
        </w:numPr>
      </w:pPr>
      <w:r>
        <w:rPr>
          <w:rFonts w:hint="eastAsia"/>
        </w:rPr>
        <w:t xml:space="preserve">董事及主要管理人員酬金（續）</w:t>
      </w:r>
    </w:p>
    <w:p>
      <w:pPr>
        <w:pStyle w:val="FirstParagraph"/>
      </w:pPr>
      <w:r>
        <w:rPr>
          <w:rFonts w:hint="eastAsia"/>
        </w:rPr>
        <w:t xml:space="preserve">董事酬金（續）</w:t>
      </w:r>
    </w:p>
    <w:p>
      <w:pPr>
        <w:pStyle w:val="BodyText"/>
      </w:pPr>
      <w:r>
        <w:rPr>
          <w:rFonts w:hint="eastAsia"/>
        </w:rPr>
        <w:t xml:space="preserve">美元</w:t>
      </w:r>
    </w:p>
    <w:p>
      <w:pPr>
        <w:pStyle w:val="BodyText"/>
      </w:pPr>
      <w:r>
        <w:rPr>
          <w:rFonts w:hint="eastAsia"/>
        </w:rPr>
        <w:t xml:space="preserve">董事袍金(1)</w:t>
      </w:r>
    </w:p>
    <w:p>
      <w:pPr>
        <w:pStyle w:val="BodyText"/>
      </w:pPr>
      <w:r>
        <w:rPr>
          <w:rFonts w:hint="eastAsia"/>
        </w:rPr>
        <w:t xml:space="preserve">利益(2)</w:t>
      </w:r>
    </w:p>
    <w:p>
      <w:pPr>
        <w:pStyle w:val="BodyText"/>
      </w:pPr>
      <w:r>
        <w:rPr>
          <w:rFonts w:hint="eastAsia"/>
        </w:rPr>
        <w:t xml:space="preserve">花紅</w:t>
      </w:r>
    </w:p>
    <w:p>
      <w:pPr>
        <w:pStyle w:val="BodyText"/>
      </w:pPr>
      <w:r>
        <w:rPr>
          <w:rFonts w:hint="eastAsia"/>
        </w:rPr>
        <w:t xml:space="preserve">薪金、津貼</w:t>
      </w:r>
      <w:r>
        <w:br/>
      </w:r>
      <w:r>
        <w:rPr>
          <w:rFonts w:hint="eastAsia"/>
        </w:rPr>
        <w:t xml:space="preserve">及非現金</w:t>
      </w:r>
    </w:p>
    <w:p>
      <w:pPr>
        <w:pStyle w:val="BodyText"/>
      </w:pPr>
      <w:r>
        <w:rPr>
          <w:rFonts w:hint="eastAsia"/>
        </w:rPr>
        <w:t xml:space="preserve">以股份為</w:t>
      </w:r>
      <w:r>
        <w:br/>
      </w:r>
      <w:r>
        <w:rPr>
          <w:rFonts w:hint="eastAsia"/>
        </w:rPr>
        <w:t xml:space="preserve">基礎的</w:t>
      </w:r>
      <w:r>
        <w:br/>
      </w:r>
      <w:r>
        <w:rPr>
          <w:rFonts w:hint="eastAsia"/>
        </w:rPr>
        <w:t xml:space="preserve">支付</w:t>
      </w:r>
    </w:p>
    <w:p>
      <w:pPr>
        <w:pStyle w:val="BodyText"/>
      </w:pPr>
      <w:r>
        <w:rPr>
          <w:rFonts w:hint="eastAsia"/>
        </w:rPr>
        <w:t xml:space="preserve">退休金</w:t>
      </w:r>
    </w:p>
    <w:p>
      <w:pPr>
        <w:pStyle w:val="BodyText"/>
      </w:pPr>
      <w:r>
        <w:rPr>
          <w:rFonts w:hint="eastAsia"/>
        </w:rPr>
        <w:t xml:space="preserve">計劃供款</w:t>
      </w:r>
      <w:r>
        <w:t xml:space="preserve"> </w:t>
      </w:r>
      <w:r>
        <w:rPr>
          <w:rFonts w:hint="eastAsia"/>
        </w:rPr>
        <w:t xml:space="preserve">其他福利</w:t>
      </w:r>
      <w:r>
        <w:t xml:space="preserve"> </w:t>
      </w:r>
      <w:r>
        <w:rPr>
          <w:rFonts w:hint="eastAsia"/>
        </w:rPr>
        <w:t xml:space="preserve">其他支付</w:t>
      </w:r>
    </w:p>
    <w:p>
      <w:pPr>
        <w:pStyle w:val="BodyText"/>
      </w:pPr>
      <w:r>
        <w:rPr>
          <w:rFonts w:hint="eastAsia"/>
        </w:rPr>
        <w:t xml:space="preserve">總計</w:t>
      </w:r>
    </w:p>
    <w:p>
      <w:pPr>
        <w:pStyle w:val="BodyText"/>
      </w:pPr>
      <w:r>
        <w:rPr>
          <w:rFonts w:hint="eastAsia"/>
        </w:rPr>
        <w:t xml:space="preserve">截至2019年12月31日止年度</w:t>
      </w:r>
    </w:p>
    <w:p>
      <w:pPr>
        <w:pStyle w:val="BodyText"/>
      </w:pPr>
      <w:r>
        <w:rPr>
          <w:rFonts w:hint="eastAsia"/>
        </w:rPr>
        <w:t xml:space="preserve">獨立非執行董事</w:t>
      </w:r>
    </w:p>
    <w:p>
      <w:pPr>
        <w:pStyle w:val="BodyText"/>
      </w:pPr>
      <w:r>
        <w:rPr>
          <w:rFonts w:hint="eastAsia"/>
        </w:rPr>
        <w:t xml:space="preserve">謝仕榮先生</w:t>
      </w:r>
    </w:p>
    <w:p>
      <w:pPr>
        <w:pStyle w:val="BodyText"/>
      </w:pPr>
      <w:r>
        <w:rPr>
          <w:rFonts w:hint="eastAsia"/>
        </w:rPr>
        <w:t xml:space="preserve">蘇澤光先生</w:t>
      </w:r>
    </w:p>
    <w:p>
      <w:pPr>
        <w:pStyle w:val="BodyText"/>
      </w:pPr>
      <w:r>
        <w:rPr>
          <w:rFonts w:hint="eastAsia"/>
        </w:rPr>
        <w:t xml:space="preserve">周松崗先生</w:t>
      </w:r>
    </w:p>
    <w:p>
      <w:pPr>
        <w:pStyle w:val="BodyText"/>
      </w:pPr>
      <w:r>
        <w:t xml:space="preserve">John Barrie </w:t>
      </w:r>
      <w:r>
        <w:rPr>
          <w:rFonts w:hint="eastAsia"/>
        </w:rPr>
        <w:t xml:space="preserve">Harrison先生</w:t>
      </w:r>
    </w:p>
    <w:p>
      <w:pPr>
        <w:pStyle w:val="BodyText"/>
      </w:pPr>
      <w:r>
        <w:rPr>
          <w:rFonts w:hint="eastAsia"/>
        </w:rPr>
        <w:t xml:space="preserve">楊榮文先生</w:t>
      </w:r>
    </w:p>
    <w:p>
      <w:pPr>
        <w:pStyle w:val="BodyText"/>
      </w:pPr>
      <w:r>
        <w:t xml:space="preserve">Mohamed Azman </w:t>
      </w:r>
      <w:r>
        <w:rPr>
          <w:rFonts w:hint="eastAsia"/>
        </w:rPr>
        <w:t xml:space="preserve">Yahya先生(3)</w:t>
      </w:r>
    </w:p>
    <w:p>
      <w:pPr>
        <w:pStyle w:val="BodyText"/>
      </w:pPr>
      <w:r>
        <w:rPr>
          <w:rFonts w:hint="eastAsia"/>
        </w:rPr>
        <w:t xml:space="preserve">劉遵義教授</w:t>
      </w:r>
    </w:p>
    <w:p>
      <w:pPr>
        <w:pStyle w:val="BodyText"/>
      </w:pPr>
      <w:r>
        <w:t xml:space="preserve">Swee-Lian </w:t>
      </w:r>
      <w:r>
        <w:rPr>
          <w:rFonts w:hint="eastAsia"/>
        </w:rPr>
        <w:t xml:space="preserve">Teo女士</w:t>
      </w:r>
    </w:p>
    <w:p>
      <w:pPr>
        <w:pStyle w:val="BodyText"/>
      </w:pPr>
      <w:r>
        <w:t xml:space="preserve">Narongchai </w:t>
      </w:r>
      <w:r>
        <w:rPr>
          <w:rFonts w:hint="eastAsia"/>
        </w:rPr>
        <w:t xml:space="preserve">Akrasanee博士(4)</w:t>
      </w:r>
    </w:p>
    <w:p>
      <w:pPr>
        <w:pStyle w:val="BodyText"/>
      </w:pPr>
      <w:r>
        <w:t xml:space="preserve">Cesar Velasquez </w:t>
      </w:r>
      <w:r>
        <w:rPr>
          <w:rFonts w:hint="eastAsia"/>
        </w:rPr>
        <w:t xml:space="preserve">Purisima先生</w:t>
      </w:r>
    </w:p>
    <w:p>
      <w:pPr>
        <w:pStyle w:val="BodyText"/>
      </w:pPr>
      <w:r>
        <w:rPr>
          <w:rFonts w:hint="eastAsia"/>
        </w:rPr>
        <w:t xml:space="preserve">總計</w:t>
      </w:r>
    </w:p>
    <w:p>
      <w:pPr>
        <w:pStyle w:val="BodyText"/>
      </w:pPr>
      <w:r>
        <w:rPr>
          <w:rFonts w:hint="eastAsia"/>
        </w:rPr>
        <w:t xml:space="preserve">附註：</w:t>
      </w:r>
    </w:p>
    <w:p>
      <w:pPr>
        <w:pStyle w:val="BodyText"/>
      </w:pPr>
      <w:r>
        <w:t xml:space="preserve">627,500</w:t>
      </w:r>
    </w:p>
    <w:p>
      <w:pPr>
        <w:pStyle w:val="BodyText"/>
      </w:pPr>
      <w:r>
        <w:t xml:space="preserve">149,080</w:t>
      </w:r>
    </w:p>
    <w:p>
      <w:pPr>
        <w:pStyle w:val="BodyText"/>
      </w:pPr>
      <w:r>
        <w:t xml:space="preserve">268,000</w:t>
      </w:r>
    </w:p>
    <w:p>
      <w:pPr>
        <w:pStyle w:val="BodyText"/>
      </w:pPr>
      <w:r>
        <w:t xml:space="preserve">228,000</w:t>
      </w:r>
    </w:p>
    <w:p>
      <w:pPr>
        <w:pStyle w:val="BodyText"/>
      </w:pPr>
      <w:r>
        <w:t xml:space="preserve">268,000</w:t>
      </w:r>
    </w:p>
    <w:p>
      <w:pPr>
        <w:pStyle w:val="BodyText"/>
      </w:pPr>
      <w:r>
        <w:t xml:space="preserve">253,000</w:t>
      </w:r>
    </w:p>
    <w:p>
      <w:pPr>
        <w:pStyle w:val="BodyText"/>
      </w:pPr>
      <w:r>
        <w:t xml:space="preserve">213,000</w:t>
      </w:r>
    </w:p>
    <w:p>
      <w:pPr>
        <w:pStyle w:val="BodyText"/>
      </w:pPr>
      <w:r>
        <w:t xml:space="preserve">213,000</w:t>
      </w:r>
    </w:p>
    <w:p>
      <w:pPr>
        <w:pStyle w:val="BodyText"/>
      </w:pPr>
      <w:r>
        <w:t xml:space="preserve">213,000</w:t>
      </w:r>
    </w:p>
    <w:p>
      <w:pPr>
        <w:pStyle w:val="BodyText"/>
      </w:pPr>
      <w:r>
        <w:t xml:space="preserve">273,000</w:t>
      </w:r>
    </w:p>
    <w:p>
      <w:pPr>
        <w:pStyle w:val="BodyText"/>
      </w:pPr>
      <w:r>
        <w:t xml:space="preserve">183,000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2,739,500</w:t>
      </w:r>
    </w:p>
    <w:p>
      <w:pPr>
        <w:pStyle w:val="BodyText"/>
      </w:pPr>
      <w:r>
        <w:t xml:space="preserve">149,080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776,580</w:t>
      </w:r>
    </w:p>
    <w:p>
      <w:pPr>
        <w:pStyle w:val="BodyText"/>
      </w:pPr>
      <w:r>
        <w:t xml:space="preserve">268,000</w:t>
      </w:r>
    </w:p>
    <w:p>
      <w:pPr>
        <w:pStyle w:val="BodyText"/>
      </w:pPr>
      <w:r>
        <w:t xml:space="preserve">228,000</w:t>
      </w:r>
    </w:p>
    <w:p>
      <w:pPr>
        <w:pStyle w:val="BodyText"/>
      </w:pPr>
      <w:r>
        <w:t xml:space="preserve">268,000</w:t>
      </w:r>
    </w:p>
    <w:p>
      <w:pPr>
        <w:pStyle w:val="BodyText"/>
      </w:pPr>
      <w:r>
        <w:t xml:space="preserve">253,000</w:t>
      </w:r>
    </w:p>
    <w:p>
      <w:pPr>
        <w:pStyle w:val="BodyText"/>
      </w:pPr>
      <w:r>
        <w:t xml:space="preserve">213,000</w:t>
      </w:r>
    </w:p>
    <w:p>
      <w:pPr>
        <w:pStyle w:val="BodyText"/>
      </w:pPr>
      <w:r>
        <w:t xml:space="preserve">213,000</w:t>
      </w:r>
    </w:p>
    <w:p>
      <w:pPr>
        <w:pStyle w:val="BodyText"/>
      </w:pPr>
      <w:r>
        <w:t xml:space="preserve">213,000</w:t>
      </w:r>
    </w:p>
    <w:p>
      <w:pPr>
        <w:pStyle w:val="BodyText"/>
      </w:pPr>
      <w:r>
        <w:t xml:space="preserve">273,000</w:t>
      </w:r>
    </w:p>
    <w:p>
      <w:pPr>
        <w:pStyle w:val="BodyText"/>
      </w:pPr>
      <w:r>
        <w:t xml:space="preserve">183,000</w:t>
      </w:r>
    </w:p>
    <w:p>
      <w:pPr>
        <w:pStyle w:val="BodyText"/>
      </w:pPr>
      <w:r>
        <w:t xml:space="preserve">2,888,580</w:t>
      </w:r>
    </w:p>
    <w:p>
      <w:pPr>
        <w:numPr>
          <w:ilvl w:val="0"/>
          <w:numId w:val="1538"/>
        </w:numPr>
      </w:pPr>
      <w:r>
        <w:rPr>
          <w:rFonts w:hint="eastAsia"/>
        </w:rPr>
        <w:t xml:space="preserve">除下文所披露者外，所有董事就擔任本公司董事而非擔任本公司任何附屬公司董事獲得袍金。</w:t>
      </w:r>
    </w:p>
    <w:p>
      <w:pPr>
        <w:numPr>
          <w:ilvl w:val="0"/>
          <w:numId w:val="1538"/>
        </w:numPr>
      </w:pPr>
      <w:r>
        <w:rPr>
          <w:rFonts w:hint="eastAsia"/>
        </w:rPr>
        <w:t xml:space="preserve">包括有關房屋、俱樂部及專業會籍、醫療保險及公司汽車的非現金利益。</w:t>
      </w:r>
    </w:p>
    <w:p>
      <w:pPr>
        <w:numPr>
          <w:ilvl w:val="0"/>
          <w:numId w:val="1538"/>
        </w:numPr>
      </w:pPr>
      <w:r>
        <w:t xml:space="preserve">Mohamed Azman </w:t>
      </w:r>
      <w:r>
        <w:rPr>
          <w:rFonts w:hint="eastAsia"/>
        </w:rPr>
        <w:t xml:space="preserve">Yahya先生於2020年5月30日退任本公司獨立非執行董事。</w:t>
      </w:r>
    </w:p>
    <w:p>
      <w:pPr>
        <w:numPr>
          <w:ilvl w:val="0"/>
          <w:numId w:val="1538"/>
        </w:numPr>
      </w:pPr>
      <w:r>
        <w:t xml:space="preserve">Narongchai </w:t>
      </w:r>
      <w:r>
        <w:rPr>
          <w:rFonts w:hint="eastAsia"/>
        </w:rPr>
        <w:t xml:space="preserve">Akrasanee博士的上述袍金包括其就截至2020年及2019年12月31日止年度擔任AIA泰國顧問委員會主席而分別獲得的58,333美元及</w:t>
      </w:r>
    </w:p>
    <w:p>
      <w:pPr>
        <w:pStyle w:val="FirstParagraph"/>
      </w:pPr>
      <w:r>
        <w:rPr>
          <w:rFonts w:hint="eastAsia"/>
        </w:rPr>
        <w:t xml:space="preserve">50,000美元酬金。</w:t>
      </w:r>
    </w:p>
    <w:p>
      <w:pPr>
        <w:pStyle w:val="BodyText"/>
      </w:pPr>
      <w:r>
        <w:rPr>
          <w:rFonts w:hint="eastAsia"/>
        </w:rPr>
        <w:t xml:space="preserve">五大最高薪人士的酬金</w:t>
      </w:r>
    </w:p>
    <w:p>
      <w:pPr>
        <w:pStyle w:val="BodyText"/>
      </w:pPr>
      <w:r>
        <w:rPr>
          <w:rFonts w:hint="eastAsia"/>
        </w:rPr>
        <w:t xml:space="preserve">本集團僱用的五大最高薪人士截至2020年及2019年12月31日止年度各年的酬金總額呈列於下表。</w:t>
      </w:r>
    </w:p>
    <w:p>
      <w:pPr>
        <w:pStyle w:val="BodyText"/>
      </w:pPr>
      <w:r>
        <w:rPr>
          <w:rFonts w:hint="eastAsia"/>
        </w:rPr>
        <w:t xml:space="preserve">美元</w:t>
      </w:r>
    </w:p>
    <w:p>
      <w:pPr>
        <w:pStyle w:val="BodyText"/>
      </w:pPr>
      <w:r>
        <w:rPr>
          <w:rFonts w:hint="eastAsia"/>
        </w:rPr>
        <w:t xml:space="preserve">董事袍金</w:t>
      </w:r>
    </w:p>
    <w:p>
      <w:pPr>
        <w:pStyle w:val="BodyText"/>
      </w:pPr>
      <w:r>
        <w:rPr>
          <w:rFonts w:hint="eastAsia"/>
        </w:rPr>
        <w:t xml:space="preserve">利益(1)</w:t>
      </w:r>
    </w:p>
    <w:p>
      <w:pPr>
        <w:pStyle w:val="BodyText"/>
      </w:pPr>
      <w:r>
        <w:rPr>
          <w:rFonts w:hint="eastAsia"/>
        </w:rPr>
        <w:t xml:space="preserve">花紅</w:t>
      </w:r>
    </w:p>
    <w:p>
      <w:pPr>
        <w:pStyle w:val="BodyText"/>
      </w:pPr>
      <w:r>
        <w:rPr>
          <w:rFonts w:hint="eastAsia"/>
        </w:rPr>
        <w:t xml:space="preserve">薪金、津貼</w:t>
      </w:r>
      <w:r>
        <w:br/>
      </w:r>
      <w:r>
        <w:rPr>
          <w:rFonts w:hint="eastAsia"/>
        </w:rPr>
        <w:t xml:space="preserve">及非現金</w:t>
      </w:r>
    </w:p>
    <w:p>
      <w:pPr>
        <w:pStyle w:val="BodyText"/>
      </w:pPr>
      <w:r>
        <w:rPr>
          <w:rFonts w:hint="eastAsia"/>
        </w:rPr>
        <w:t xml:space="preserve">以股份為</w:t>
      </w:r>
      <w:r>
        <w:br/>
      </w:r>
      <w:r>
        <w:rPr>
          <w:rFonts w:hint="eastAsia"/>
        </w:rPr>
        <w:t xml:space="preserve">基礎的</w:t>
      </w:r>
    </w:p>
    <w:p>
      <w:pPr>
        <w:pStyle w:val="BodyText"/>
      </w:pPr>
      <w:r>
        <w:rPr>
          <w:rFonts w:hint="eastAsia"/>
        </w:rPr>
        <w:t xml:space="preserve">支付(2)</w:t>
      </w:r>
    </w:p>
    <w:p>
      <w:pPr>
        <w:pStyle w:val="BodyText"/>
      </w:pPr>
      <w:r>
        <w:rPr>
          <w:rFonts w:hint="eastAsia"/>
        </w:rPr>
        <w:t xml:space="preserve">退休金</w:t>
      </w:r>
      <w:r>
        <w:br/>
      </w:r>
      <w:r>
        <w:rPr>
          <w:rFonts w:hint="eastAsia"/>
        </w:rPr>
        <w:t xml:space="preserve">計劃供款</w:t>
      </w:r>
    </w:p>
    <w:p>
      <w:pPr>
        <w:pStyle w:val="BodyText"/>
      </w:pPr>
      <w:r>
        <w:rPr>
          <w:rFonts w:hint="eastAsia"/>
        </w:rPr>
        <w:t xml:space="preserve">其他福利(3)</w:t>
      </w:r>
    </w:p>
    <w:p>
      <w:pPr>
        <w:pStyle w:val="BodyText"/>
      </w:pPr>
      <w:r>
        <w:rPr>
          <w:rFonts w:hint="eastAsia"/>
        </w:rPr>
        <w:t xml:space="preserve">其他支付(4)</w:t>
      </w:r>
    </w:p>
    <w:p>
      <w:pPr>
        <w:pStyle w:val="BodyText"/>
      </w:pPr>
      <w:r>
        <w:rPr>
          <w:rFonts w:hint="eastAsia"/>
        </w:rPr>
        <w:t xml:space="preserve">總計</w:t>
      </w:r>
    </w:p>
    <w:p>
      <w:pPr>
        <w:pStyle w:val="BodyText"/>
      </w:pPr>
      <w:r>
        <w:rPr>
          <w:rFonts w:hint="eastAsia"/>
        </w:rPr>
        <w:t xml:space="preserve">截至2020年</w:t>
      </w:r>
      <w:r>
        <w:br/>
      </w:r>
      <w:r>
        <w:rPr>
          <w:rFonts w:hint="eastAsia"/>
        </w:rPr>
        <w:t xml:space="preserve">12月31日止年度</w:t>
      </w:r>
    </w:p>
    <w:p>
      <w:pPr>
        <w:pStyle w:val="BodyText"/>
      </w:pPr>
      <w:r>
        <w:rPr>
          <w:rFonts w:hint="eastAsia"/>
        </w:rPr>
        <w:t xml:space="preserve">截至2019年</w:t>
      </w:r>
      <w:r>
        <w:br/>
      </w:r>
      <w:r>
        <w:rPr>
          <w:rFonts w:hint="eastAsia"/>
        </w:rPr>
        <w:t xml:space="preserve">12月31日止年度</w:t>
      </w:r>
    </w:p>
    <w:p>
      <w:pPr>
        <w:pStyle w:val="BodyText"/>
      </w:pPr>
      <w:r>
        <w:rPr>
          <w:rFonts w:hint="eastAsia"/>
        </w:rPr>
        <w:t xml:space="preserve">附註：</w:t>
      </w:r>
    </w:p>
    <w:p>
      <w:pPr>
        <w:pStyle w:val="BodyText"/>
      </w:pPr>
      <w:r>
        <w:t xml:space="preserve">–</w:t>
      </w:r>
    </w:p>
    <w:p>
      <w:pPr>
        <w:pStyle w:val="BodyText"/>
      </w:pPr>
      <w:r>
        <w:t xml:space="preserve">–</w:t>
      </w:r>
    </w:p>
    <w:p>
      <w:pPr>
        <w:pStyle w:val="BodyText"/>
      </w:pPr>
      <w:r>
        <w:t xml:space="preserve">5,367,242</w:t>
      </w:r>
    </w:p>
    <w:p>
      <w:pPr>
        <w:pStyle w:val="BodyText"/>
      </w:pPr>
      <w:r>
        <w:t xml:space="preserve">9,502,800 15,162,153</w:t>
      </w:r>
    </w:p>
    <w:p>
      <w:pPr>
        <w:pStyle w:val="BodyText"/>
      </w:pPr>
      <w:r>
        <w:t xml:space="preserve">303,157</w:t>
      </w:r>
    </w:p>
    <w:p>
      <w:pPr>
        <w:pStyle w:val="BodyText"/>
      </w:pPr>
      <w:r>
        <w:t xml:space="preserve">112,203 10,892,303 41,339,858</w:t>
      </w:r>
    </w:p>
    <w:p>
      <w:pPr>
        <w:pStyle w:val="BodyText"/>
      </w:pPr>
      <w:r>
        <w:t xml:space="preserve">5,806,998</w:t>
      </w:r>
    </w:p>
    <w:p>
      <w:pPr>
        <w:pStyle w:val="BodyText"/>
      </w:pPr>
      <w:r>
        <w:t xml:space="preserve">5,878,400 10,892,582</w:t>
      </w:r>
    </w:p>
    <w:p>
      <w:pPr>
        <w:pStyle w:val="BodyText"/>
      </w:pPr>
      <w:r>
        <w:t xml:space="preserve">313,044</w:t>
      </w:r>
    </w:p>
    <w:p>
      <w:pPr>
        <w:pStyle w:val="BodyText"/>
      </w:pPr>
      <w:r>
        <w:t xml:space="preserve">765,257</w:t>
      </w:r>
    </w:p>
    <w:p>
      <w:pPr>
        <w:pStyle w:val="BodyText"/>
      </w:pPr>
      <w:r>
        <w:t xml:space="preserve">– 23,656,281</w:t>
      </w:r>
    </w:p>
    <w:p>
      <w:pPr>
        <w:numPr>
          <w:ilvl w:val="0"/>
          <w:numId w:val="1539"/>
        </w:numPr>
      </w:pPr>
      <w:r>
        <w:rPr>
          <w:rFonts w:hint="eastAsia"/>
        </w:rPr>
        <w:t xml:space="preserve">2020年及2019年非現金利益包括房屋、醫療及人壽保險、醫療體檢、子女教育、俱樂部及專業會籍、公司汽車及額外補貼。</w:t>
      </w:r>
    </w:p>
    <w:p>
      <w:pPr>
        <w:numPr>
          <w:ilvl w:val="0"/>
          <w:numId w:val="1539"/>
        </w:numPr>
      </w:pPr>
      <w:r>
        <w:rPr>
          <w:rFonts w:hint="eastAsia"/>
        </w:rPr>
        <w:t xml:space="preserve">包括授予五大最高薪人士的未歸屬購股權、受限制股份單位及僱員購股計劃相應股份的攤銷開支（根據有關授出日期的公平值計算）。</w:t>
      </w:r>
    </w:p>
    <w:p>
      <w:pPr>
        <w:numPr>
          <w:ilvl w:val="0"/>
          <w:numId w:val="1539"/>
        </w:numPr>
      </w:pPr>
      <w:r>
        <w:rPr>
          <w:rFonts w:hint="eastAsia"/>
        </w:rPr>
        <w:t xml:space="preserve">截至2020年12月31日止年度的其他福利包括退休花紅、長期服務金及有薪年假。截至2019年12月31日止年度的其他福利包括減免雙重稅收安排。</w:t>
      </w:r>
    </w:p>
    <w:p>
      <w:pPr>
        <w:numPr>
          <w:ilvl w:val="0"/>
          <w:numId w:val="1539"/>
        </w:numPr>
      </w:pPr>
      <w:r>
        <w:rPr>
          <w:rFonts w:hint="eastAsia"/>
        </w:rPr>
        <w:t xml:space="preserve">指就李源祥先生因離開前任工作而失效的未歸屬之長期獎勵金及延期付款所作出的補償有關的攤銷開支。</w:t>
      </w:r>
    </w:p>
    <w:p>
      <w:pPr>
        <w:pStyle w:val="FirstParagraph"/>
      </w:pPr>
      <w:r>
        <w:t xml:space="preserve">247</w:t>
      </w:r>
    </w:p>
    <w:p>
      <w:pPr>
        <w:pStyle w:val="BodyText"/>
      </w:pPr>
      <w:r>
        <w:rPr>
          <w:rFonts w:hint="eastAsia"/>
        </w:rPr>
        <w:t xml:space="preserve">概覽財務及營運回顧企業管治其他資料財務報表2020年報</w:t>
      </w:r>
    </w:p>
    <w:p>
      <w:pPr>
        <w:pStyle w:val="Compact"/>
        <w:numPr>
          <w:ilvl w:val="0"/>
          <w:numId w:val="1540"/>
        </w:numPr>
      </w:pPr>
      <w:r>
        <w:rPr>
          <w:rFonts w:hint="eastAsia"/>
        </w:rPr>
        <w:t xml:space="preserve">董事及主要管理人員酬金（續）</w:t>
      </w:r>
    </w:p>
    <w:p>
      <w:pPr>
        <w:pStyle w:val="FirstParagraph"/>
      </w:pPr>
      <w:r>
        <w:rPr>
          <w:rFonts w:hint="eastAsia"/>
        </w:rPr>
        <w:t xml:space="preserve">五大最高薪人士的酬金（續）</w:t>
      </w:r>
    </w:p>
    <w:p>
      <w:pPr>
        <w:pStyle w:val="BodyText"/>
      </w:pPr>
      <w:r>
        <w:rPr>
          <w:rFonts w:hint="eastAsia"/>
        </w:rPr>
        <w:t xml:space="preserve">五大最高薪人士的酬金介於以下範圍：</w:t>
      </w:r>
    </w:p>
    <w:p>
      <w:pPr>
        <w:pStyle w:val="BodyText"/>
      </w:pPr>
      <w:r>
        <w:rPr>
          <w:rFonts w:hint="eastAsia"/>
        </w:rPr>
        <w:t xml:space="preserve">港元</w:t>
      </w:r>
    </w:p>
    <w:p>
      <w:pPr>
        <w:pStyle w:val="BodyText"/>
      </w:pPr>
      <w:r>
        <w:rPr>
          <w:rFonts w:hint="eastAsia"/>
        </w:rPr>
        <w:t xml:space="preserve">23,500,001至24,000,000</w:t>
      </w:r>
    </w:p>
    <w:p>
      <w:pPr>
        <w:pStyle w:val="BodyText"/>
      </w:pPr>
      <w:r>
        <w:rPr>
          <w:rFonts w:hint="eastAsia"/>
        </w:rPr>
        <w:t xml:space="preserve">25,000,001至25,500,000</w:t>
      </w:r>
    </w:p>
    <w:p>
      <w:pPr>
        <w:pStyle w:val="BodyText"/>
      </w:pPr>
      <w:r>
        <w:rPr>
          <w:rFonts w:hint="eastAsia"/>
        </w:rPr>
        <w:t xml:space="preserve">26,500,001至27,000,000</w:t>
      </w:r>
    </w:p>
    <w:p>
      <w:pPr>
        <w:pStyle w:val="BodyText"/>
      </w:pPr>
      <w:r>
        <w:rPr>
          <w:rFonts w:hint="eastAsia"/>
        </w:rPr>
        <w:t xml:space="preserve">27,500,001至28,000,000</w:t>
      </w:r>
    </w:p>
    <w:p>
      <w:pPr>
        <w:pStyle w:val="BodyText"/>
      </w:pPr>
      <w:r>
        <w:rPr>
          <w:rFonts w:hint="eastAsia"/>
        </w:rPr>
        <w:t xml:space="preserve">28,500,001至29,000,000</w:t>
      </w:r>
    </w:p>
    <w:p>
      <w:pPr>
        <w:pStyle w:val="BodyText"/>
      </w:pPr>
      <w:r>
        <w:rPr>
          <w:rFonts w:hint="eastAsia"/>
        </w:rPr>
        <w:t xml:space="preserve">30,500,001至31,000,000</w:t>
      </w:r>
    </w:p>
    <w:p>
      <w:pPr>
        <w:pStyle w:val="BodyText"/>
      </w:pPr>
      <w:r>
        <w:rPr>
          <w:rFonts w:hint="eastAsia"/>
        </w:rPr>
        <w:t xml:space="preserve">35,000,001至35,500,000</w:t>
      </w:r>
    </w:p>
    <w:p>
      <w:pPr>
        <w:pStyle w:val="BodyText"/>
      </w:pPr>
      <w:r>
        <w:rPr>
          <w:rFonts w:hint="eastAsia"/>
        </w:rPr>
        <w:t xml:space="preserve">82,000,001至82,500,000</w:t>
      </w:r>
    </w:p>
    <w:p>
      <w:pPr>
        <w:pStyle w:val="BodyText"/>
      </w:pPr>
      <w:r>
        <w:rPr>
          <w:rFonts w:hint="eastAsia"/>
        </w:rPr>
        <w:t xml:space="preserve">87,500,001至88,000,000</w:t>
      </w:r>
    </w:p>
    <w:p>
      <w:pPr>
        <w:pStyle w:val="BodyText"/>
      </w:pPr>
      <w:r>
        <w:rPr>
          <w:rFonts w:hint="eastAsia"/>
        </w:rPr>
        <w:t xml:space="preserve">138,000,001至138,500,000</w:t>
      </w:r>
    </w:p>
    <w:p>
      <w:pPr>
        <w:pStyle w:val="BodyText"/>
      </w:pPr>
      <w:r>
        <w:rPr>
          <w:rFonts w:hint="eastAsia"/>
        </w:rPr>
        <w:t xml:space="preserve">主要管理人員酬金</w:t>
      </w:r>
    </w:p>
    <w:p>
      <w:pPr>
        <w:pStyle w:val="BodyText"/>
      </w:pPr>
      <w:r>
        <w:rPr>
          <w:rFonts w:hint="eastAsia"/>
        </w:rPr>
        <w:t xml:space="preserve">主要管理人員已列為本集團執行委員會成員。</w:t>
      </w:r>
    </w:p>
    <w:p>
      <w:pPr>
        <w:pStyle w:val="BodyText"/>
      </w:pPr>
      <w:r>
        <w:rPr>
          <w:rFonts w:hint="eastAsia"/>
        </w:rPr>
        <w:t xml:space="preserve">美元</w:t>
      </w:r>
    </w:p>
    <w:p>
      <w:pPr>
        <w:pStyle w:val="BodyText"/>
      </w:pPr>
      <w:r>
        <w:rPr>
          <w:rFonts w:hint="eastAsia"/>
        </w:rPr>
        <w:t xml:space="preserve">主要管理人員酬金及其他開支</w:t>
      </w:r>
    </w:p>
    <w:p>
      <w:pPr>
        <w:pStyle w:val="BodyText"/>
      </w:pPr>
      <w:r>
        <w:rPr>
          <w:rFonts w:hint="eastAsia"/>
        </w:rPr>
        <w:t xml:space="preserve">薪金及其他短期僱員福利</w:t>
      </w:r>
    </w:p>
    <w:p>
      <w:pPr>
        <w:pStyle w:val="BodyText"/>
      </w:pPr>
      <w:r>
        <w:rPr>
          <w:rFonts w:hint="eastAsia"/>
        </w:rPr>
        <w:t xml:space="preserve">離職後福利</w:t>
      </w:r>
    </w:p>
    <w:p>
      <w:pPr>
        <w:pStyle w:val="BodyText"/>
      </w:pPr>
      <w:r>
        <w:rPr>
          <w:rFonts w:hint="eastAsia"/>
        </w:rPr>
        <w:t xml:space="preserve">以股份為基礎的支付(1)</w:t>
      </w:r>
    </w:p>
    <w:p>
      <w:pPr>
        <w:pStyle w:val="BodyText"/>
      </w:pPr>
      <w:r>
        <w:rPr>
          <w:rFonts w:hint="eastAsia"/>
        </w:rPr>
        <w:t xml:space="preserve">終止僱傭福利</w:t>
      </w:r>
    </w:p>
    <w:p>
      <w:pPr>
        <w:pStyle w:val="BodyText"/>
      </w:pPr>
      <w:r>
        <w:rPr>
          <w:rFonts w:hint="eastAsia"/>
        </w:rPr>
        <w:t xml:space="preserve">總計</w:t>
      </w:r>
    </w:p>
    <w:p>
      <w:pPr>
        <w:pStyle w:val="BodyText"/>
      </w:pPr>
      <w:r>
        <w:rPr>
          <w:rFonts w:hint="eastAsia"/>
        </w:rPr>
        <w:t xml:space="preserve">附註：</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w:t>
      </w:r>
    </w:p>
    <w:p>
      <w:pPr>
        <w:pStyle w:val="BodyText"/>
      </w:pPr>
      <w:r>
        <w:t xml:space="preserve">1</w:t>
      </w:r>
    </w:p>
    <w:p>
      <w:pPr>
        <w:pStyle w:val="BodyText"/>
      </w:pPr>
      <w:r>
        <w:t xml:space="preserve">1</w:t>
      </w:r>
    </w:p>
    <w:p>
      <w:pPr>
        <w:pStyle w:val="BodyText"/>
      </w:pPr>
      <w:r>
        <w:t xml:space="preserve">–</w:t>
      </w:r>
    </w:p>
    <w:p>
      <w:pPr>
        <w:pStyle w:val="BodyText"/>
      </w:pPr>
      <w:r>
        <w:t xml:space="preserve">1</w:t>
      </w:r>
    </w:p>
    <w:p>
      <w:pPr>
        <w:pStyle w:val="BodyText"/>
      </w:pPr>
      <w:r>
        <w:t xml:space="preserve">1</w:t>
      </w:r>
    </w:p>
    <w:p>
      <w:pPr>
        <w:pStyle w:val="BodyText"/>
      </w:pPr>
      <w:r>
        <w:t xml:space="preserve">1</w:t>
      </w:r>
    </w:p>
    <w:p>
      <w:pPr>
        <w:pStyle w:val="BodyText"/>
      </w:pPr>
      <w:r>
        <w:t xml:space="preserve">1</w:t>
      </w:r>
    </w:p>
    <w:p>
      <w:pPr>
        <w:pStyle w:val="BodyText"/>
      </w:pPr>
      <w:r>
        <w:t xml:space="preserve">1</w:t>
      </w:r>
    </w:p>
    <w:p>
      <w:pPr>
        <w:pStyle w:val="BodyText"/>
      </w:pPr>
      <w:r>
        <w:t xml:space="preserve">1</w:t>
      </w:r>
    </w:p>
    <w:p>
      <w:pPr>
        <w:pStyle w:val="BodyText"/>
      </w:pPr>
      <w:r>
        <w:t xml:space="preserve">–</w:t>
      </w:r>
    </w:p>
    <w:p>
      <w:pPr>
        <w:pStyle w:val="BodyText"/>
      </w:pPr>
      <w:r>
        <w:t xml:space="preserve">–</w:t>
      </w:r>
    </w:p>
    <w:p>
      <w:pPr>
        <w:pStyle w:val="BodyText"/>
      </w:pPr>
      <w:r>
        <w:t xml:space="preserve">–</w:t>
      </w:r>
    </w:p>
    <w:p>
      <w:pPr>
        <w:pStyle w:val="BodyText"/>
      </w:pPr>
      <w:r>
        <w:t xml:space="preserve">1</w:t>
      </w:r>
    </w:p>
    <w:p>
      <w:pPr>
        <w:pStyle w:val="BodyText"/>
      </w:pPr>
      <w:r>
        <w:t xml:space="preserve">–</w:t>
      </w:r>
    </w:p>
    <w:p>
      <w:pPr>
        <w:pStyle w:val="BodyText"/>
      </w:pPr>
      <w:r>
        <w:t xml:space="preserve">–</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30,844,469</w:t>
      </w:r>
    </w:p>
    <w:p>
      <w:pPr>
        <w:pStyle w:val="BodyText"/>
      </w:pPr>
      <w:r>
        <w:t xml:space="preserve">23,633,256</w:t>
      </w:r>
    </w:p>
    <w:p>
      <w:pPr>
        <w:pStyle w:val="BodyText"/>
      </w:pPr>
      <w:r>
        <w:t xml:space="preserve">1,118,468</w:t>
      </w:r>
    </w:p>
    <w:p>
      <w:pPr>
        <w:pStyle w:val="BodyText"/>
      </w:pPr>
      <w:r>
        <w:t xml:space="preserve">1,422,732</w:t>
      </w:r>
    </w:p>
    <w:p>
      <w:pPr>
        <w:pStyle w:val="BodyText"/>
      </w:pPr>
      <w:r>
        <w:t xml:space="preserve">28,808,491</w:t>
      </w:r>
    </w:p>
    <w:p>
      <w:pPr>
        <w:pStyle w:val="BodyText"/>
      </w:pPr>
      <w:r>
        <w:t xml:space="preserve">16,552,154</w:t>
      </w:r>
    </w:p>
    <w:p>
      <w:pPr>
        <w:pStyle w:val="BodyText"/>
      </w:pPr>
      <w:r>
        <w:t xml:space="preserve">1,707,434</w:t>
      </w:r>
    </w:p>
    <w:p>
      <w:pPr>
        <w:pStyle w:val="BodyText"/>
      </w:pPr>
      <w:r>
        <w:t xml:space="preserve">618,081</w:t>
      </w:r>
    </w:p>
    <w:p>
      <w:pPr>
        <w:pStyle w:val="BodyText"/>
      </w:pPr>
      <w:r>
        <w:t xml:space="preserve">62,478,862</w:t>
      </w:r>
    </w:p>
    <w:p>
      <w:pPr>
        <w:pStyle w:val="BodyText"/>
      </w:pPr>
      <w:r>
        <w:t xml:space="preserve">42,226,223</w:t>
      </w:r>
    </w:p>
    <w:p>
      <w:pPr>
        <w:pStyle w:val="Compact"/>
        <w:numPr>
          <w:ilvl w:val="0"/>
          <w:numId w:val="1541"/>
        </w:numPr>
      </w:pPr>
      <w:r>
        <w:rPr>
          <w:rFonts w:hint="eastAsia"/>
        </w:rPr>
        <w:t xml:space="preserve">包括授予主要管理人員的未歸屬購股權、受限制股份單位及僱員購股計劃相應股份的攤銷開支（根據有關授出日期的公平值計算）。</w:t>
      </w:r>
    </w:p>
    <w:p>
      <w:pPr>
        <w:pStyle w:val="FirstParagraph"/>
      </w:pPr>
      <w:r>
        <w:rPr>
          <w:rFonts w:hint="eastAsia"/>
        </w:rPr>
        <w:t xml:space="preserve">主要管理人員的酬金介於以下範圍：</w:t>
      </w:r>
    </w:p>
    <w:p>
      <w:pPr>
        <w:pStyle w:val="BodyText"/>
      </w:pPr>
      <w:r>
        <w:rPr>
          <w:rFonts w:hint="eastAsia"/>
        </w:rPr>
        <w:t xml:space="preserve">美元</w:t>
      </w:r>
    </w:p>
    <w:p>
      <w:pPr>
        <w:pStyle w:val="BodyText"/>
      </w:pPr>
      <w:r>
        <w:rPr>
          <w:rFonts w:hint="eastAsia"/>
        </w:rPr>
        <w:t xml:space="preserve">低於1,000,000</w:t>
      </w:r>
    </w:p>
    <w:p>
      <w:pPr>
        <w:pStyle w:val="BodyText"/>
      </w:pPr>
      <w:r>
        <w:rPr>
          <w:rFonts w:hint="eastAsia"/>
        </w:rPr>
        <w:t xml:space="preserve">1,000,001至2,000,000</w:t>
      </w:r>
    </w:p>
    <w:p>
      <w:pPr>
        <w:pStyle w:val="BodyText"/>
      </w:pPr>
      <w:r>
        <w:rPr>
          <w:rFonts w:hint="eastAsia"/>
        </w:rPr>
        <w:t xml:space="preserve">2,000,001至3,000,000</w:t>
      </w:r>
    </w:p>
    <w:p>
      <w:pPr>
        <w:pStyle w:val="BodyText"/>
      </w:pPr>
      <w:r>
        <w:rPr>
          <w:rFonts w:hint="eastAsia"/>
        </w:rPr>
        <w:t xml:space="preserve">3,000,001至4,000,000</w:t>
      </w:r>
    </w:p>
    <w:p>
      <w:pPr>
        <w:pStyle w:val="BodyText"/>
      </w:pPr>
      <w:r>
        <w:rPr>
          <w:rFonts w:hint="eastAsia"/>
        </w:rPr>
        <w:t xml:space="preserve">4,000,001至5,000,000</w:t>
      </w:r>
    </w:p>
    <w:p>
      <w:pPr>
        <w:pStyle w:val="BodyText"/>
      </w:pPr>
      <w:r>
        <w:rPr>
          <w:rFonts w:hint="eastAsia"/>
        </w:rPr>
        <w:t xml:space="preserve">超過10,000,000</w:t>
      </w:r>
    </w:p>
    <w:p>
      <w:pPr>
        <w:pStyle w:val="BodyText"/>
      </w:pPr>
      <w:r>
        <w:t xml:space="preserve">248</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t xml:space="preserve">1</w:t>
      </w:r>
    </w:p>
    <w:p>
      <w:pPr>
        <w:pStyle w:val="BodyText"/>
      </w:pPr>
      <w:r>
        <w:t xml:space="preserve">–</w:t>
      </w:r>
    </w:p>
    <w:p>
      <w:pPr>
        <w:pStyle w:val="BodyText"/>
      </w:pPr>
      <w:r>
        <w:t xml:space="preserve">6</w:t>
      </w:r>
    </w:p>
    <w:p>
      <w:pPr>
        <w:pStyle w:val="BodyText"/>
      </w:pPr>
      <w:r>
        <w:t xml:space="preserve">4</w:t>
      </w:r>
    </w:p>
    <w:p>
      <w:pPr>
        <w:pStyle w:val="BodyText"/>
      </w:pPr>
      <w:r>
        <w:t xml:space="preserve">1</w:t>
      </w:r>
    </w:p>
    <w:p>
      <w:pPr>
        <w:pStyle w:val="BodyText"/>
      </w:pPr>
      <w:r>
        <w:t xml:space="preserve">2</w:t>
      </w:r>
    </w:p>
    <w:p>
      <w:pPr>
        <w:pStyle w:val="BodyText"/>
      </w:pPr>
      <w:r>
        <w:t xml:space="preserve">2</w:t>
      </w:r>
    </w:p>
    <w:p>
      <w:pPr>
        <w:pStyle w:val="BodyText"/>
      </w:pPr>
      <w:r>
        <w:t xml:space="preserve">4</w:t>
      </w:r>
    </w:p>
    <w:p>
      <w:pPr>
        <w:pStyle w:val="BodyText"/>
      </w:pPr>
      <w:r>
        <w:t xml:space="preserve">4</w:t>
      </w:r>
    </w:p>
    <w:p>
      <w:pPr>
        <w:pStyle w:val="BodyText"/>
      </w:pPr>
      <w:r>
        <w:t xml:space="preserve">4</w:t>
      </w:r>
    </w:p>
    <w:p>
      <w:pPr>
        <w:pStyle w:val="BodyText"/>
      </w:pPr>
      <w:r>
        <w:t xml:space="preserve">–</w:t>
      </w:r>
    </w:p>
    <w:p>
      <w:pPr>
        <w:pStyle w:val="BodyText"/>
      </w:pPr>
      <w:r>
        <w:t xml:space="preserve">1</w:t>
      </w:r>
    </w:p>
    <w:p>
      <w:pPr>
        <w:pStyle w:val="BodyText"/>
      </w:pPr>
      <w:r>
        <w:rPr>
          <w:rFonts w:hint="eastAsia"/>
        </w:rPr>
        <w:t xml:space="preserve">友邦保險控股有限公司</w:t>
      </w:r>
    </w:p>
    <w:p>
      <w:pPr>
        <w:pStyle w:val="Compact"/>
        <w:numPr>
          <w:ilvl w:val="0"/>
          <w:numId w:val="1542"/>
        </w:numPr>
      </w:pPr>
      <w:r>
        <w:rPr>
          <w:rFonts w:hint="eastAsia"/>
        </w:rPr>
        <w:t xml:space="preserve">關連方交易</w:t>
      </w:r>
    </w:p>
    <w:p>
      <w:pPr>
        <w:pStyle w:val="FirstParagraph"/>
      </w:pPr>
      <w:r>
        <w:rPr>
          <w:rFonts w:hint="eastAsia"/>
        </w:rPr>
        <w:t xml:space="preserve">董事及主要管理人員的酬金於附註41披露。</w:t>
      </w:r>
    </w:p>
    <w:p>
      <w:pPr>
        <w:pStyle w:val="Compact"/>
        <w:numPr>
          <w:ilvl w:val="0"/>
          <w:numId w:val="1543"/>
        </w:numPr>
      </w:pPr>
      <w:r>
        <w:rPr>
          <w:rFonts w:hint="eastAsia"/>
        </w:rPr>
        <w:t xml:space="preserve">承擔及或有事項</w:t>
      </w:r>
    </w:p>
    <w:p>
      <w:pPr>
        <w:pStyle w:val="FirstParagraph"/>
      </w:pPr>
      <w:r>
        <w:rPr>
          <w:rFonts w:hint="eastAsia"/>
        </w:rPr>
        <w:t xml:space="preserve">投資和資本承擔</w:t>
      </w:r>
    </w:p>
    <w:p>
      <w:pPr>
        <w:pStyle w:val="BodyText"/>
      </w:pPr>
      <w:r>
        <w:rPr>
          <w:rFonts w:hint="eastAsia"/>
        </w:rPr>
        <w:t xml:space="preserve">百萬美元</w:t>
      </w:r>
    </w:p>
    <w:p>
      <w:pPr>
        <w:pStyle w:val="BodyText"/>
      </w:pPr>
      <w:r>
        <w:rPr>
          <w:rFonts w:hint="eastAsia"/>
        </w:rPr>
        <w:t xml:space="preserve">不超過一年</w:t>
      </w:r>
    </w:p>
    <w:p>
      <w:pPr>
        <w:pStyle w:val="BodyText"/>
      </w:pPr>
      <w:r>
        <w:rPr>
          <w:rFonts w:hint="eastAsia"/>
        </w:rPr>
        <w:t xml:space="preserve">超過一年但不超過五年</w:t>
      </w:r>
    </w:p>
    <w:p>
      <w:pPr>
        <w:pStyle w:val="BodyText"/>
      </w:pPr>
      <w:r>
        <w:rPr>
          <w:rFonts w:hint="eastAsia"/>
        </w:rPr>
        <w:t xml:space="preserve">超過五年</w:t>
      </w:r>
    </w:p>
    <w:p>
      <w:pPr>
        <w:pStyle w:val="BodyText"/>
      </w:pPr>
      <w:r>
        <w:rPr>
          <w:rFonts w:hint="eastAsia"/>
        </w:rPr>
        <w:t xml:space="preserve">總計</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2,504</w:t>
      </w:r>
    </w:p>
    <w:p>
      <w:pPr>
        <w:pStyle w:val="BodyText"/>
      </w:pPr>
      <w:r>
        <w:t xml:space="preserve">174</w:t>
      </w:r>
    </w:p>
    <w:p>
      <w:pPr>
        <w:pStyle w:val="BodyText"/>
      </w:pPr>
      <w:r>
        <w:t xml:space="preserve">16</w:t>
      </w:r>
    </w:p>
    <w:p>
      <w:pPr>
        <w:pStyle w:val="BodyText"/>
      </w:pPr>
      <w:r>
        <w:t xml:space="preserve">2,694</w:t>
      </w:r>
    </w:p>
    <w:p>
      <w:pPr>
        <w:pStyle w:val="BodyText"/>
      </w:pPr>
      <w:r>
        <w:t xml:space="preserve">1,911</w:t>
      </w:r>
    </w:p>
    <w:p>
      <w:pPr>
        <w:pStyle w:val="BodyText"/>
      </w:pPr>
      <w:r>
        <w:t xml:space="preserve">8</w:t>
      </w:r>
    </w:p>
    <w:p>
      <w:pPr>
        <w:pStyle w:val="BodyText"/>
      </w:pPr>
      <w:r>
        <w:t xml:space="preserve">–</w:t>
      </w:r>
    </w:p>
    <w:p>
      <w:pPr>
        <w:pStyle w:val="BodyText"/>
      </w:pPr>
      <w:r>
        <w:t xml:space="preserve">1,919</w:t>
      </w:r>
    </w:p>
    <w:p>
      <w:pPr>
        <w:pStyle w:val="BodyText"/>
      </w:pPr>
      <w:r>
        <w:rPr>
          <w:rFonts w:hint="eastAsia"/>
        </w:rPr>
        <w:t xml:space="preserve">投資和資本承擔包括投資於私人股權合作夥伴及其他資產的承擔。</w:t>
      </w:r>
    </w:p>
    <w:p>
      <w:pPr>
        <w:pStyle w:val="BodyText"/>
      </w:pPr>
      <w:r>
        <w:rPr>
          <w:rFonts w:hint="eastAsia"/>
        </w:rPr>
        <w:t xml:space="preserve">或有事項</w:t>
      </w:r>
    </w:p>
    <w:p>
      <w:pPr>
        <w:pStyle w:val="BodyText"/>
      </w:pPr>
      <w:r>
        <w:rPr>
          <w:rFonts w:hint="eastAsia"/>
        </w:rPr>
        <w:t xml:space="preserve">本集團須遵守其營運所在地區市場的保險、證券、資本市場、退休金、資料私隱及其他監管機構的規例，並面臨因視作或實</w:t>
      </w:r>
    </w:p>
    <w:p>
      <w:pPr>
        <w:pStyle w:val="BodyText"/>
      </w:pPr>
      <w:r>
        <w:rPr>
          <w:rFonts w:hint="eastAsia"/>
        </w:rPr>
        <w:t xml:space="preserve">際違反有關合適性、銷售或核保手法、賠款支付及程序、產品設計、披露、行政、拒絕或延遲支付賠償及違反信託或其他責</w:t>
      </w:r>
    </w:p>
    <w:p>
      <w:pPr>
        <w:pStyle w:val="BodyText"/>
      </w:pPr>
      <w:r>
        <w:rPr>
          <w:rFonts w:hint="eastAsia"/>
        </w:rPr>
        <w:t xml:space="preserve">任的規例而被監管機構提出法律行動的風險。本集團認為此等事項已於此等財務報表內充分載列。</w:t>
      </w:r>
    </w:p>
    <w:p>
      <w:pPr>
        <w:pStyle w:val="BodyText"/>
      </w:pPr>
      <w:r>
        <w:rPr>
          <w:rFonts w:hint="eastAsia"/>
        </w:rPr>
        <w:t xml:space="preserve">本集團面臨因其活動所引致的法律訴訟、投訴及其他法律行動（包括因商業活動、銷售手法、產品合適性、保單、賠款及稅</w:t>
      </w:r>
    </w:p>
    <w:p>
      <w:pPr>
        <w:pStyle w:val="BodyText"/>
      </w:pPr>
      <w:r>
        <w:rPr>
          <w:rFonts w:hint="eastAsia"/>
        </w:rPr>
        <w:t xml:space="preserve">項而產生的行動）。本集團認為此等事項已於此等財務報表內充分載列。</w:t>
      </w:r>
    </w:p>
    <w:p>
      <w:pPr>
        <w:pStyle w:val="BodyText"/>
      </w:pPr>
      <w:r>
        <w:rPr>
          <w:rFonts w:hint="eastAsia"/>
        </w:rPr>
        <w:t xml:space="preserve">本集團在亞洲的許多司法權區均有業務，在若干司法權區，本集團對相關法律或法規的詮釋可能與稅務機關有所不同，從</w:t>
      </w:r>
    </w:p>
    <w:p>
      <w:pPr>
        <w:pStyle w:val="BodyText"/>
      </w:pPr>
      <w:r>
        <w:rPr>
          <w:rFonts w:hint="eastAsia"/>
        </w:rPr>
        <w:t xml:space="preserve">而可能引起爭議。本集團已根據管理層就有關潛在結果可能性的判斷及最佳估計（須定期重估），為可能的稅務影響作出撥</w:t>
      </w:r>
    </w:p>
    <w:p>
      <w:pPr>
        <w:pStyle w:val="BodyText"/>
      </w:pPr>
      <w:r>
        <w:rPr>
          <w:rFonts w:hint="eastAsia"/>
        </w:rPr>
        <w:t xml:space="preserve">備。由於有關該等項目的不確定性，未來最終結果可能與有關稅務事項的結果不同。</w:t>
      </w:r>
    </w:p>
    <w:p>
      <w:pPr>
        <w:pStyle w:val="BodyText"/>
      </w:pPr>
      <w:r>
        <w:rPr>
          <w:rFonts w:hint="eastAsia"/>
        </w:rPr>
        <w:t xml:space="preserve">本集團乃一家為澳洲住宅按揭以住宅按揭信貸再保險協議提供保障的再保險公司。倘轉分保公司（美國國際集團的一家附屬</w:t>
      </w:r>
    </w:p>
    <w:p>
      <w:pPr>
        <w:pStyle w:val="BodyText"/>
      </w:pPr>
      <w:r>
        <w:rPr>
          <w:rFonts w:hint="eastAsia"/>
        </w:rPr>
        <w:t xml:space="preserve">公司）未能償還其未償還債務，本集團則面對虧損風險，有關風險因一項信託協議而減輕。於2020年12月31日，再保險協議</w:t>
      </w:r>
    </w:p>
    <w:p>
      <w:pPr>
        <w:pStyle w:val="BodyText"/>
      </w:pPr>
      <w:r>
        <w:rPr>
          <w:rFonts w:hint="eastAsia"/>
        </w:rPr>
        <w:t xml:space="preserve">涉及的按揭貸款未償還本金結餘約為4.79億美元（2019年：4.62億美元）。自此等協議分別產生的負債及相關再保險資產合共</w:t>
      </w:r>
    </w:p>
    <w:p>
      <w:pPr>
        <w:pStyle w:val="BodyText"/>
      </w:pPr>
      <w:r>
        <w:rPr>
          <w:rFonts w:hint="eastAsia"/>
        </w:rPr>
        <w:t xml:space="preserve">300萬美元（2019年：600萬美元），已根據本集團會計政策於此等財務報表以總額反映及呈列。本集團預期可根據此項協議</w:t>
      </w:r>
    </w:p>
    <w:p>
      <w:pPr>
        <w:pStyle w:val="BodyText"/>
      </w:pPr>
      <w:r>
        <w:rPr>
          <w:rFonts w:hint="eastAsia"/>
        </w:rPr>
        <w:t xml:space="preserve">的條款自轉分保公司全數收回於報告日期未償還的金額。</w:t>
      </w:r>
    </w:p>
    <w:p>
      <w:pPr>
        <w:pStyle w:val="BodyText"/>
      </w:pPr>
      <w:r>
        <w:t xml:space="preserve">249</w:t>
      </w:r>
    </w:p>
    <w:p>
      <w:pPr>
        <w:pStyle w:val="BodyText"/>
      </w:pPr>
      <w:r>
        <w:rPr>
          <w:rFonts w:hint="eastAsia"/>
        </w:rPr>
        <w:t xml:space="preserve">概覽財務及營運回顧企業管治其他資料財務報表2020年報</w:t>
      </w:r>
    </w:p>
    <w:p>
      <w:pPr>
        <w:pStyle w:val="Compact"/>
        <w:numPr>
          <w:ilvl w:val="0"/>
          <w:numId w:val="1544"/>
        </w:numPr>
      </w:pPr>
      <w:r>
        <w:rPr>
          <w:rFonts w:hint="eastAsia"/>
        </w:rPr>
        <w:t xml:space="preserve">附屬公司</w:t>
      </w:r>
    </w:p>
    <w:p>
      <w:pPr>
        <w:pStyle w:val="FirstParagraph"/>
      </w:pPr>
      <w:r>
        <w:rPr>
          <w:rFonts w:hint="eastAsia"/>
        </w:rPr>
        <w:t xml:space="preserve">對本集團淨收入有重大貢獻或持有本集團資產及負債的重大部分的主要附屬公司如下：</w:t>
      </w:r>
    </w:p>
    <w:p>
      <w:pPr>
        <w:pStyle w:val="BodyText"/>
      </w:pPr>
      <w:r>
        <w:rPr>
          <w:rFonts w:hint="eastAsia"/>
        </w:rPr>
        <w:t xml:space="preserve">實體名稱</w:t>
      </w:r>
    </w:p>
    <w:p>
      <w:pPr>
        <w:pStyle w:val="BodyText"/>
      </w:pPr>
      <w:r>
        <w:rPr>
          <w:rFonts w:hint="eastAsia"/>
        </w:rPr>
        <w:t xml:space="preserve">註冊成立及</w:t>
      </w:r>
      <w:r>
        <w:br/>
      </w:r>
      <w:r>
        <w:rPr>
          <w:rFonts w:hint="eastAsia"/>
        </w:rPr>
        <w:t xml:space="preserve">營運地點</w:t>
      </w:r>
    </w:p>
    <w:p>
      <w:pPr>
        <w:pStyle w:val="BodyText"/>
      </w:pPr>
      <w:r>
        <w:rPr>
          <w:rFonts w:hint="eastAsia"/>
        </w:rPr>
        <w:t xml:space="preserve">主要業務</w:t>
      </w:r>
    </w:p>
    <w:p>
      <w:pPr>
        <w:pStyle w:val="BodyText"/>
      </w:pPr>
      <w:r>
        <w:rPr>
          <w:rFonts w:hint="eastAsia"/>
        </w:rPr>
        <w:t xml:space="preserve">已發行股本</w:t>
      </w:r>
    </w:p>
    <w:p>
      <w:pPr>
        <w:pStyle w:val="BodyText"/>
      </w:pPr>
      <w:r>
        <w:rPr>
          <w:rFonts w:hint="eastAsia"/>
        </w:rPr>
        <w:t xml:space="preserve">於2020年12月31日</w:t>
      </w:r>
    </w:p>
    <w:p>
      <w:pPr>
        <w:pStyle w:val="BodyText"/>
      </w:pPr>
      <w:r>
        <w:rPr>
          <w:rFonts w:hint="eastAsia"/>
        </w:rPr>
        <w:t xml:space="preserve">於2019年12月31日</w:t>
      </w:r>
    </w:p>
    <w:p>
      <w:pPr>
        <w:pStyle w:val="BodyText"/>
      </w:pPr>
      <w:r>
        <w:rPr>
          <w:rFonts w:hint="eastAsia"/>
        </w:rPr>
        <w:t xml:space="preserve">本集團的</w:t>
      </w:r>
      <w:r>
        <w:br/>
      </w:r>
      <w:r>
        <w:rPr>
          <w:rFonts w:hint="eastAsia"/>
        </w:rPr>
        <w:t xml:space="preserve">權益%</w:t>
      </w:r>
    </w:p>
    <w:p>
      <w:pPr>
        <w:pStyle w:val="BodyText"/>
      </w:pPr>
      <w:r>
        <w:rPr>
          <w:rFonts w:hint="eastAsia"/>
        </w:rPr>
        <w:t xml:space="preserve">NCI的</w:t>
      </w:r>
      <w:r>
        <w:br/>
      </w:r>
      <w:r>
        <w:rPr>
          <w:rFonts w:hint="eastAsia"/>
        </w:rPr>
        <w:t xml:space="preserve">權益%</w:t>
      </w:r>
    </w:p>
    <w:p>
      <w:pPr>
        <w:pStyle w:val="BodyText"/>
      </w:pPr>
      <w:r>
        <w:rPr>
          <w:rFonts w:hint="eastAsia"/>
        </w:rPr>
        <w:t xml:space="preserve">本集團的</w:t>
      </w:r>
      <w:r>
        <w:br/>
      </w:r>
      <w:r>
        <w:rPr>
          <w:rFonts w:hint="eastAsia"/>
        </w:rPr>
        <w:t xml:space="preserve">權益%</w:t>
      </w:r>
    </w:p>
    <w:p>
      <w:pPr>
        <w:pStyle w:val="BodyText"/>
      </w:pPr>
      <w:r>
        <w:rPr>
          <w:rFonts w:hint="eastAsia"/>
        </w:rPr>
        <w:t xml:space="preserve">NCI的</w:t>
      </w:r>
      <w:r>
        <w:br/>
      </w:r>
      <w:r>
        <w:rPr>
          <w:rFonts w:hint="eastAsia"/>
        </w:rPr>
        <w:t xml:space="preserve">權益%</w:t>
      </w:r>
    </w:p>
    <w:p>
      <w:pPr>
        <w:pStyle w:val="BodyText"/>
      </w:pPr>
      <w:r>
        <w:rPr>
          <w:rFonts w:hint="eastAsia"/>
        </w:rPr>
        <w:t xml:space="preserve">友邦保險有限公司(1)</w:t>
      </w:r>
    </w:p>
    <w:p>
      <w:pPr>
        <w:pStyle w:val="BodyText"/>
      </w:pPr>
      <w:r>
        <w:rPr>
          <w:rFonts w:hint="eastAsia"/>
        </w:rPr>
        <w:t xml:space="preserve">香港</w:t>
      </w:r>
    </w:p>
    <w:p>
      <w:pPr>
        <w:pStyle w:val="BodyText"/>
      </w:pPr>
      <w:r>
        <w:rPr>
          <w:rFonts w:hint="eastAsia"/>
        </w:rPr>
        <w:t xml:space="preserve">保險</w:t>
      </w:r>
    </w:p>
    <w:p>
      <w:pPr>
        <w:pStyle w:val="BodyText"/>
      </w:pPr>
      <w:r>
        <w:rPr>
          <w:rFonts w:hint="eastAsia"/>
        </w:rPr>
        <w:t xml:space="preserve">2,596,049,861股普通股，已</w:t>
      </w:r>
      <w:r>
        <w:br/>
      </w:r>
      <w:r>
        <w:rPr>
          <w:rFonts w:hint="eastAsia"/>
        </w:rPr>
        <w:t xml:space="preserve">發行股本7,407,084,182美</w:t>
      </w:r>
      <w:r>
        <w:br/>
      </w:r>
      <w:r>
        <w:rPr>
          <w:rFonts w:hint="eastAsia"/>
        </w:rPr>
        <w:t xml:space="preserve">元</w:t>
      </w:r>
    </w:p>
    <w:p>
      <w:pPr>
        <w:pStyle w:val="BodyText"/>
      </w:pPr>
      <w:r>
        <w:t xml:space="preserve">100%</w:t>
      </w:r>
    </w:p>
    <w:p>
      <w:pPr>
        <w:pStyle w:val="BodyText"/>
      </w:pPr>
      <w:r>
        <w:rPr>
          <w:rFonts w:hint="eastAsia"/>
        </w:rPr>
        <w:t xml:space="preserve">友邦保險（國際）</w:t>
      </w:r>
    </w:p>
    <w:p>
      <w:pPr>
        <w:pStyle w:val="BodyText"/>
      </w:pPr>
      <w:r>
        <w:rPr>
          <w:rFonts w:hint="eastAsia"/>
        </w:rPr>
        <w:t xml:space="preserve">百慕達</w:t>
      </w:r>
    </w:p>
    <w:p>
      <w:pPr>
        <w:pStyle w:val="BodyText"/>
      </w:pPr>
      <w:r>
        <w:rPr>
          <w:rFonts w:hint="eastAsia"/>
        </w:rPr>
        <w:t xml:space="preserve">保險</w:t>
      </w:r>
    </w:p>
    <w:p>
      <w:pPr>
        <w:pStyle w:val="BodyText"/>
      </w:pPr>
      <w:r>
        <w:rPr>
          <w:rFonts w:hint="eastAsia"/>
        </w:rPr>
        <w:t xml:space="preserve">3,000,000股普通股，每股面</w:t>
      </w:r>
    </w:p>
    <w:p>
      <w:pPr>
        <w:pStyle w:val="BodyText"/>
      </w:pPr>
      <w:r>
        <w:t xml:space="preserve">100%</w:t>
      </w:r>
    </w:p>
    <w:p>
      <w:pPr>
        <w:pStyle w:val="BodyText"/>
      </w:pPr>
      <w:r>
        <w:rPr>
          <w:rFonts w:hint="eastAsia"/>
        </w:rPr>
        <w:t xml:space="preserve">有限公司</w:t>
      </w:r>
    </w:p>
    <w:p>
      <w:pPr>
        <w:pStyle w:val="BodyText"/>
      </w:pPr>
      <w:r>
        <w:t xml:space="preserve">AIA Australia Limited</w:t>
      </w:r>
    </w:p>
    <w:p>
      <w:pPr>
        <w:pStyle w:val="BodyText"/>
      </w:pPr>
      <w:r>
        <w:rPr>
          <w:rFonts w:hint="eastAsia"/>
        </w:rPr>
        <w:t xml:space="preserve">澳洲</w:t>
      </w:r>
    </w:p>
    <w:p>
      <w:pPr>
        <w:pStyle w:val="BodyText"/>
      </w:pPr>
      <w:r>
        <w:rPr>
          <w:rFonts w:hint="eastAsia"/>
        </w:rPr>
        <w:t xml:space="preserve">保險</w:t>
      </w:r>
    </w:p>
    <w:p>
      <w:pPr>
        <w:pStyle w:val="BodyText"/>
      </w:pPr>
      <w:r>
        <w:t xml:space="preserve">AIA Bhd.</w:t>
      </w:r>
    </w:p>
    <w:p>
      <w:pPr>
        <w:pStyle w:val="BodyText"/>
      </w:pPr>
      <w:r>
        <w:rPr>
          <w:rFonts w:hint="eastAsia"/>
        </w:rPr>
        <w:t xml:space="preserve">馬來西亞</w:t>
      </w:r>
      <w:r>
        <w:t xml:space="preserve"> </w:t>
      </w:r>
      <w:r>
        <w:rPr>
          <w:rFonts w:hint="eastAsia"/>
        </w:rPr>
        <w:t xml:space="preserve">保險</w:t>
      </w:r>
    </w:p>
    <w:p>
      <w:pPr>
        <w:pStyle w:val="BodyText"/>
      </w:pPr>
      <w:r>
        <w:rPr>
          <w:rFonts w:hint="eastAsia"/>
        </w:rPr>
        <w:t xml:space="preserve">值1.20美元</w:t>
      </w:r>
    </w:p>
    <w:p>
      <w:pPr>
        <w:pStyle w:val="BodyText"/>
      </w:pPr>
      <w:r>
        <w:rPr>
          <w:rFonts w:hint="eastAsia"/>
        </w:rPr>
        <w:t xml:space="preserve">2,025,462,500股普通股，已</w:t>
      </w:r>
      <w:r>
        <w:br/>
      </w:r>
      <w:r>
        <w:rPr>
          <w:rFonts w:hint="eastAsia"/>
        </w:rPr>
        <w:t xml:space="preserve">發行股本2,107,267,000澳</w:t>
      </w:r>
      <w:r>
        <w:br/>
      </w:r>
      <w:r>
        <w:rPr>
          <w:rFonts w:hint="eastAsia"/>
        </w:rPr>
        <w:t xml:space="preserve">元</w:t>
      </w:r>
    </w:p>
    <w:p>
      <w:pPr>
        <w:pStyle w:val="BodyText"/>
      </w:pPr>
      <w:r>
        <w:rPr>
          <w:rFonts w:hint="eastAsia"/>
        </w:rPr>
        <w:t xml:space="preserve">191,859,543股普通股，已發</w:t>
      </w:r>
      <w:r>
        <w:br/>
      </w:r>
      <w:r>
        <w:rPr>
          <w:rFonts w:hint="eastAsia"/>
        </w:rPr>
        <w:t xml:space="preserve">行股本810,000,000馬幣</w:t>
      </w:r>
    </w:p>
    <w:p>
      <w:pPr>
        <w:pStyle w:val="BodyText"/>
      </w:pPr>
      <w:r>
        <w:t xml:space="preserve">100%</w:t>
      </w:r>
    </w:p>
    <w:p>
      <w:pPr>
        <w:pStyle w:val="BodyText"/>
      </w:pPr>
      <w:r>
        <w:t xml:space="preserve">100%</w:t>
      </w:r>
    </w:p>
    <w:p>
      <w:pPr>
        <w:pStyle w:val="BodyText"/>
      </w:pPr>
      <w:r>
        <w:t xml:space="preserve">AIA Singapore Private</w:t>
      </w:r>
    </w:p>
    <w:p>
      <w:pPr>
        <w:pStyle w:val="BodyText"/>
      </w:pPr>
      <w:r>
        <w:rPr>
          <w:rFonts w:hint="eastAsia"/>
        </w:rPr>
        <w:t xml:space="preserve">新加坡</w:t>
      </w:r>
    </w:p>
    <w:p>
      <w:pPr>
        <w:pStyle w:val="BodyText"/>
      </w:pPr>
      <w:r>
        <w:rPr>
          <w:rFonts w:hint="eastAsia"/>
        </w:rPr>
        <w:t xml:space="preserve">保險</w:t>
      </w:r>
    </w:p>
    <w:p>
      <w:pPr>
        <w:pStyle w:val="BodyText"/>
      </w:pPr>
      <w:r>
        <w:rPr>
          <w:rFonts w:hint="eastAsia"/>
        </w:rPr>
        <w:t xml:space="preserve">1,558,021,163股普通股，每</w:t>
      </w:r>
    </w:p>
    <w:p>
      <w:pPr>
        <w:pStyle w:val="BodyText"/>
      </w:pPr>
      <w:r>
        <w:t xml:space="preserve">100%</w:t>
      </w:r>
    </w:p>
    <w:p>
      <w:pPr>
        <w:pStyle w:val="BodyText"/>
      </w:pPr>
      <w:r>
        <w:t xml:space="preserve">Limited</w:t>
      </w:r>
    </w:p>
    <w:p>
      <w:pPr>
        <w:pStyle w:val="BodyText"/>
      </w:pPr>
      <w:r>
        <w:rPr>
          <w:rFonts w:hint="eastAsia"/>
        </w:rPr>
        <w:t xml:space="preserve">股面值1新加坡元</w:t>
      </w:r>
    </w:p>
    <w:p>
      <w:pPr>
        <w:pStyle w:val="BodyText"/>
      </w:pPr>
      <w:r>
        <w:t xml:space="preserve">PT. AIA Financial</w:t>
      </w:r>
    </w:p>
    <w:p>
      <w:pPr>
        <w:pStyle w:val="BodyText"/>
      </w:pPr>
      <w:r>
        <w:rPr>
          <w:rFonts w:hint="eastAsia"/>
        </w:rPr>
        <w:t xml:space="preserve">印尼</w:t>
      </w:r>
    </w:p>
    <w:p>
      <w:pPr>
        <w:pStyle w:val="BodyText"/>
      </w:pPr>
      <w:r>
        <w:rPr>
          <w:rFonts w:hint="eastAsia"/>
        </w:rPr>
        <w:t xml:space="preserve">保險</w:t>
      </w:r>
    </w:p>
    <w:p>
      <w:pPr>
        <w:pStyle w:val="BodyText"/>
      </w:pPr>
      <w:r>
        <w:rPr>
          <w:rFonts w:hint="eastAsia"/>
        </w:rPr>
        <w:t xml:space="preserve">1,910,844,141股普通股，每</w:t>
      </w:r>
    </w:p>
    <w:p>
      <w:pPr>
        <w:pStyle w:val="BodyText"/>
      </w:pPr>
      <w:r>
        <w:t xml:space="preserve">100%</w:t>
      </w:r>
    </w:p>
    <w:p>
      <w:pPr>
        <w:pStyle w:val="BodyText"/>
      </w:pPr>
      <w:r>
        <w:t xml:space="preserve">The Philippine American</w:t>
      </w:r>
    </w:p>
    <w:p>
      <w:pPr>
        <w:pStyle w:val="BodyText"/>
      </w:pPr>
      <w:r>
        <w:rPr>
          <w:rFonts w:hint="eastAsia"/>
        </w:rPr>
        <w:t xml:space="preserve">菲律賓</w:t>
      </w:r>
    </w:p>
    <w:p>
      <w:pPr>
        <w:pStyle w:val="BodyText"/>
      </w:pPr>
      <w:r>
        <w:rPr>
          <w:rFonts w:hint="eastAsia"/>
        </w:rPr>
        <w:t xml:space="preserve">保險</w:t>
      </w:r>
    </w:p>
    <w:p>
      <w:pPr>
        <w:pStyle w:val="BodyText"/>
      </w:pPr>
      <w:r>
        <w:t xml:space="preserve">Life and General</w:t>
      </w:r>
      <w:r>
        <w:br/>
      </w:r>
      <w:r>
        <w:t xml:space="preserve">Insurance (PHILAM</w:t>
      </w:r>
      <w:r>
        <w:br/>
      </w:r>
      <w:r>
        <w:t xml:space="preserve">LIFE) Company</w:t>
      </w:r>
    </w:p>
    <w:p>
      <w:pPr>
        <w:pStyle w:val="BodyText"/>
      </w:pPr>
      <w:r>
        <w:rPr>
          <w:rFonts w:hint="eastAsia"/>
        </w:rPr>
        <w:t xml:space="preserve">股面值1,000盧比</w:t>
      </w:r>
    </w:p>
    <w:p>
      <w:pPr>
        <w:pStyle w:val="BodyText"/>
      </w:pPr>
      <w:r>
        <w:rPr>
          <w:rFonts w:hint="eastAsia"/>
        </w:rPr>
        <w:t xml:space="preserve">199,560,671股普通股，每</w:t>
      </w:r>
      <w:r>
        <w:br/>
      </w:r>
      <w:r>
        <w:rPr>
          <w:rFonts w:hint="eastAsia"/>
        </w:rPr>
        <w:t xml:space="preserve">股面值10菲律賓披索及</w:t>
      </w:r>
      <w:r>
        <w:br/>
      </w:r>
      <w:r>
        <w:rPr>
          <w:rFonts w:hint="eastAsia"/>
        </w:rPr>
        <w:t xml:space="preserve">439,329股庫存股份</w:t>
      </w:r>
    </w:p>
    <w:p>
      <w:pPr>
        <w:pStyle w:val="BodyText"/>
      </w:pPr>
      <w:r>
        <w:t xml:space="preserve">100%</w:t>
      </w:r>
    </w:p>
    <w:p>
      <w:pPr>
        <w:pStyle w:val="BodyText"/>
      </w:pPr>
      <w:r>
        <w:t xml:space="preserve">AIA (Vietnam) Life</w:t>
      </w:r>
    </w:p>
    <w:p>
      <w:pPr>
        <w:pStyle w:val="BodyText"/>
      </w:pPr>
      <w:r>
        <w:rPr>
          <w:rFonts w:hint="eastAsia"/>
        </w:rPr>
        <w:t xml:space="preserve">越南</w:t>
      </w:r>
    </w:p>
    <w:p>
      <w:pPr>
        <w:pStyle w:val="BodyText"/>
      </w:pPr>
      <w:r>
        <w:rPr>
          <w:rFonts w:hint="eastAsia"/>
        </w:rPr>
        <w:t xml:space="preserve">保險</w:t>
      </w:r>
    </w:p>
    <w:p>
      <w:pPr>
        <w:pStyle w:val="BodyText"/>
      </w:pPr>
      <w:r>
        <w:rPr>
          <w:rFonts w:hint="eastAsia"/>
        </w:rPr>
        <w:t xml:space="preserve">實繳資本3,224,420,000,000</w:t>
      </w:r>
    </w:p>
    <w:p>
      <w:pPr>
        <w:pStyle w:val="BodyText"/>
      </w:pPr>
      <w:r>
        <w:t xml:space="preserve">100%</w:t>
      </w:r>
    </w:p>
    <w:p>
      <w:pPr>
        <w:pStyle w:val="BodyText"/>
      </w:pPr>
      <w:r>
        <w:t xml:space="preserve">Insurance Company</w:t>
      </w:r>
      <w:r>
        <w:br/>
      </w:r>
      <w:r>
        <w:t xml:space="preserve">Limited</w:t>
      </w:r>
    </w:p>
    <w:p>
      <w:pPr>
        <w:pStyle w:val="BodyText"/>
      </w:pPr>
      <w:r>
        <w:rPr>
          <w:rFonts w:hint="eastAsia"/>
        </w:rPr>
        <w:t xml:space="preserve">越南盾</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100%</w:t>
      </w:r>
    </w:p>
    <w:p>
      <w:pPr>
        <w:pStyle w:val="BodyText"/>
      </w:pPr>
      <w:r>
        <w:t xml:space="preserve">100%</w:t>
      </w:r>
    </w:p>
    <w:p>
      <w:pPr>
        <w:pStyle w:val="BodyText"/>
      </w:pPr>
      <w:r>
        <w:t xml:space="preserve">100%</w:t>
      </w:r>
    </w:p>
    <w:p>
      <w:pPr>
        <w:pStyle w:val="BodyText"/>
      </w:pPr>
      <w:r>
        <w:t xml:space="preserve">100%</w:t>
      </w:r>
    </w:p>
    <w:p>
      <w:pPr>
        <w:pStyle w:val="BodyText"/>
      </w:pPr>
      <w:r>
        <w:t xml:space="preserve">100%</w:t>
      </w:r>
    </w:p>
    <w:p>
      <w:pPr>
        <w:pStyle w:val="BodyText"/>
      </w:pPr>
      <w:r>
        <w:t xml:space="preserve">100%</w:t>
      </w:r>
    </w:p>
    <w:p>
      <w:pPr>
        <w:pStyle w:val="BodyText"/>
      </w:pPr>
      <w:r>
        <w:t xml:space="preserve">100%</w:t>
      </w:r>
    </w:p>
    <w:p>
      <w:pPr>
        <w:pStyle w:val="BodyText"/>
      </w:pPr>
      <w:r>
        <w:t xml:space="preserve">100%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Bayshore Development</w:t>
      </w:r>
    </w:p>
    <w:p>
      <w:pPr>
        <w:pStyle w:val="BodyText"/>
      </w:pPr>
      <w:r>
        <w:t xml:space="preserve">Group Limited</w:t>
      </w:r>
    </w:p>
    <w:p>
      <w:pPr>
        <w:pStyle w:val="BodyText"/>
      </w:pPr>
      <w:r>
        <w:rPr>
          <w:rFonts w:hint="eastAsia"/>
        </w:rPr>
        <w:t xml:space="preserve">英屬處女</w:t>
      </w:r>
      <w:r>
        <w:br/>
      </w:r>
      <w:r>
        <w:rPr>
          <w:rFonts w:hint="eastAsia"/>
        </w:rPr>
        <w:t xml:space="preserve">群島</w:t>
      </w:r>
    </w:p>
    <w:p>
      <w:pPr>
        <w:pStyle w:val="BodyText"/>
      </w:pPr>
      <w:r>
        <w:rPr>
          <w:rFonts w:hint="eastAsia"/>
        </w:rPr>
        <w:t xml:space="preserve">投資控股</w:t>
      </w:r>
      <w:r>
        <w:br/>
      </w:r>
      <w:r>
        <w:rPr>
          <w:rFonts w:hint="eastAsia"/>
        </w:rPr>
        <w:t xml:space="preserve">公司</w:t>
      </w:r>
    </w:p>
    <w:p>
      <w:pPr>
        <w:pStyle w:val="BodyText"/>
      </w:pPr>
      <w:r>
        <w:t xml:space="preserve">BPI-Philam Life</w:t>
      </w:r>
    </w:p>
    <w:p>
      <w:pPr>
        <w:pStyle w:val="BodyText"/>
      </w:pPr>
      <w:r>
        <w:rPr>
          <w:rFonts w:hint="eastAsia"/>
        </w:rPr>
        <w:t xml:space="preserve">菲律賓</w:t>
      </w:r>
    </w:p>
    <w:p>
      <w:pPr>
        <w:pStyle w:val="BodyText"/>
      </w:pPr>
      <w:r>
        <w:rPr>
          <w:rFonts w:hint="eastAsia"/>
        </w:rPr>
        <w:t xml:space="preserve">保險</w:t>
      </w:r>
    </w:p>
    <w:p>
      <w:pPr>
        <w:pStyle w:val="BodyText"/>
      </w:pPr>
      <w:r>
        <w:t xml:space="preserve">Assurance (BPLAC)</w:t>
      </w:r>
      <w:r>
        <w:br/>
      </w:r>
      <w:r>
        <w:t xml:space="preserve">Corporation</w:t>
      </w:r>
    </w:p>
    <w:p>
      <w:pPr>
        <w:pStyle w:val="BodyText"/>
      </w:pPr>
      <w:r>
        <w:rPr>
          <w:rFonts w:hint="eastAsia"/>
        </w:rPr>
        <w:t xml:space="preserve">100股普通股，每股面值1美</w:t>
      </w:r>
    </w:p>
    <w:p>
      <w:pPr>
        <w:pStyle w:val="BodyText"/>
      </w:pPr>
      <w:r>
        <w:t xml:space="preserve">90%</w:t>
      </w:r>
    </w:p>
    <w:p>
      <w:pPr>
        <w:pStyle w:val="BodyText"/>
      </w:pPr>
      <w:r>
        <w:t xml:space="preserve">10%</w:t>
      </w:r>
    </w:p>
    <w:p>
      <w:pPr>
        <w:pStyle w:val="BodyText"/>
      </w:pPr>
      <w:r>
        <w:t xml:space="preserve">90%</w:t>
      </w:r>
    </w:p>
    <w:p>
      <w:pPr>
        <w:pStyle w:val="BodyText"/>
      </w:pPr>
      <w:r>
        <w:t xml:space="preserve">10%</w:t>
      </w:r>
    </w:p>
    <w:p>
      <w:pPr>
        <w:pStyle w:val="BodyText"/>
      </w:pPr>
      <w:r>
        <w:rPr>
          <w:rFonts w:hint="eastAsia"/>
        </w:rPr>
        <w:t xml:space="preserve">元</w:t>
      </w:r>
    </w:p>
    <w:p>
      <w:pPr>
        <w:pStyle w:val="BodyText"/>
      </w:pPr>
      <w:r>
        <w:rPr>
          <w:rFonts w:hint="eastAsia"/>
        </w:rPr>
        <w:t xml:space="preserve">749,993,979股普通股，每股</w:t>
      </w:r>
      <w:r>
        <w:br/>
      </w:r>
      <w:r>
        <w:rPr>
          <w:rFonts w:hint="eastAsia"/>
        </w:rPr>
        <w:t xml:space="preserve">面值1菲律賓披索及6,000</w:t>
      </w:r>
      <w:r>
        <w:br/>
      </w:r>
      <w:r>
        <w:rPr>
          <w:rFonts w:hint="eastAsia"/>
        </w:rPr>
        <w:t xml:space="preserve">股庫存股份</w:t>
      </w:r>
    </w:p>
    <w:p>
      <w:pPr>
        <w:pStyle w:val="BodyText"/>
      </w:pPr>
      <w:r>
        <w:t xml:space="preserve">51%</w:t>
      </w:r>
    </w:p>
    <w:p>
      <w:pPr>
        <w:pStyle w:val="BodyText"/>
      </w:pPr>
      <w:r>
        <w:t xml:space="preserve">49%</w:t>
      </w:r>
    </w:p>
    <w:p>
      <w:pPr>
        <w:pStyle w:val="BodyText"/>
      </w:pPr>
      <w:r>
        <w:t xml:space="preserve">51%</w:t>
      </w:r>
    </w:p>
    <w:p>
      <w:pPr>
        <w:pStyle w:val="BodyText"/>
      </w:pPr>
      <w:r>
        <w:t xml:space="preserve">49%</w:t>
      </w:r>
    </w:p>
    <w:p>
      <w:pPr>
        <w:pStyle w:val="BodyText"/>
      </w:pPr>
      <w:r>
        <w:t xml:space="preserve">AIA Reinsurance Limited </w:t>
      </w:r>
      <w:r>
        <w:rPr>
          <w:rFonts w:hint="eastAsia"/>
        </w:rPr>
        <w:t xml:space="preserve">百慕達</w:t>
      </w:r>
    </w:p>
    <w:p>
      <w:pPr>
        <w:pStyle w:val="BodyText"/>
      </w:pPr>
      <w:r>
        <w:rPr>
          <w:rFonts w:hint="eastAsia"/>
        </w:rPr>
        <w:t xml:space="preserve">再保險</w:t>
      </w:r>
    </w:p>
    <w:p>
      <w:pPr>
        <w:pStyle w:val="BodyText"/>
      </w:pPr>
      <w:r>
        <w:rPr>
          <w:rFonts w:hint="eastAsia"/>
        </w:rPr>
        <w:t xml:space="preserve">250,000股普通股，每股面值</w:t>
      </w:r>
    </w:p>
    <w:p>
      <w:pPr>
        <w:pStyle w:val="BodyText"/>
      </w:pPr>
      <w:r>
        <w:t xml:space="preserve">100%</w:t>
      </w:r>
    </w:p>
    <w:p>
      <w:pPr>
        <w:pStyle w:val="BodyText"/>
      </w:pPr>
      <w:r>
        <w:t xml:space="preserve">AIA Life Insurance Co.</w:t>
      </w:r>
    </w:p>
    <w:p>
      <w:pPr>
        <w:pStyle w:val="BodyText"/>
      </w:pPr>
      <w:r>
        <w:rPr>
          <w:rFonts w:hint="eastAsia"/>
        </w:rPr>
        <w:t xml:space="preserve">南韓</w:t>
      </w:r>
    </w:p>
    <w:p>
      <w:pPr>
        <w:pStyle w:val="BodyText"/>
      </w:pPr>
      <w:r>
        <w:rPr>
          <w:rFonts w:hint="eastAsia"/>
        </w:rPr>
        <w:t xml:space="preserve">保險</w:t>
      </w:r>
    </w:p>
    <w:p>
      <w:pPr>
        <w:pStyle w:val="BodyText"/>
      </w:pPr>
      <w:r>
        <w:t xml:space="preserve">Ltd.</w:t>
      </w:r>
    </w:p>
    <w:p>
      <w:pPr>
        <w:pStyle w:val="BodyText"/>
      </w:pPr>
      <w:r>
        <w:t xml:space="preserve">AIA New Zealand Limited </w:t>
      </w:r>
      <w:r>
        <w:rPr>
          <w:rFonts w:hint="eastAsia"/>
        </w:rPr>
        <w:t xml:space="preserve">新西蘭</w:t>
      </w:r>
    </w:p>
    <w:p>
      <w:pPr>
        <w:pStyle w:val="BodyText"/>
      </w:pPr>
      <w:r>
        <w:rPr>
          <w:rFonts w:hint="eastAsia"/>
        </w:rPr>
        <w:t xml:space="preserve">保險</w:t>
      </w:r>
    </w:p>
    <w:p>
      <w:pPr>
        <w:pStyle w:val="BodyText"/>
      </w:pPr>
      <w:r>
        <w:t xml:space="preserve">The Colonial Mutual Life</w:t>
      </w:r>
      <w:r>
        <w:br/>
      </w:r>
      <w:r>
        <w:t xml:space="preserve">Assurance Society</w:t>
      </w:r>
      <w:r>
        <w:br/>
      </w:r>
      <w:r>
        <w:t xml:space="preserve">Limited(3)</w:t>
      </w:r>
    </w:p>
    <w:p>
      <w:pPr>
        <w:pStyle w:val="BodyText"/>
      </w:pPr>
      <w:r>
        <w:rPr>
          <w:rFonts w:hint="eastAsia"/>
        </w:rPr>
        <w:t xml:space="preserve">澳洲</w:t>
      </w:r>
    </w:p>
    <w:p>
      <w:pPr>
        <w:pStyle w:val="BodyText"/>
      </w:pPr>
      <w:r>
        <w:rPr>
          <w:rFonts w:hint="eastAsia"/>
        </w:rPr>
        <w:t xml:space="preserve">保險</w:t>
      </w:r>
    </w:p>
    <w:p>
      <w:pPr>
        <w:pStyle w:val="BodyText"/>
      </w:pPr>
      <w:r>
        <w:rPr>
          <w:rFonts w:hint="eastAsia"/>
        </w:rPr>
        <w:t xml:space="preserve">1美元</w:t>
      </w:r>
    </w:p>
    <w:p>
      <w:pPr>
        <w:pStyle w:val="BodyText"/>
      </w:pPr>
      <w:r>
        <w:rPr>
          <w:rFonts w:hint="eastAsia"/>
        </w:rPr>
        <w:t xml:space="preserve">60,328,932股普通股，已發</w:t>
      </w:r>
      <w:r>
        <w:br/>
      </w:r>
      <w:r>
        <w:rPr>
          <w:rFonts w:hint="eastAsia"/>
        </w:rPr>
        <w:t xml:space="preserve">行股本603,289,320,000韓</w:t>
      </w:r>
      <w:r>
        <w:br/>
      </w:r>
      <w:r>
        <w:rPr>
          <w:rFonts w:hint="eastAsia"/>
        </w:rPr>
        <w:t xml:space="preserve">圜</w:t>
      </w:r>
    </w:p>
    <w:p>
      <w:pPr>
        <w:pStyle w:val="BodyText"/>
      </w:pPr>
      <w:r>
        <w:rPr>
          <w:rFonts w:hint="eastAsia"/>
        </w:rPr>
        <w:t xml:space="preserve">246,543,729股普通股，已發</w:t>
      </w:r>
      <w:r>
        <w:br/>
      </w:r>
      <w:r>
        <w:rPr>
          <w:rFonts w:hint="eastAsia"/>
        </w:rPr>
        <w:t xml:space="preserve">行股本856,310,811新西蘭</w:t>
      </w:r>
      <w:r>
        <w:br/>
      </w:r>
      <w:r>
        <w:rPr>
          <w:rFonts w:hint="eastAsia"/>
        </w:rPr>
        <w:t xml:space="preserve">元</w:t>
      </w:r>
    </w:p>
    <w:p>
      <w:pPr>
        <w:pStyle w:val="BodyText"/>
      </w:pPr>
      <w:r>
        <w:rPr>
          <w:rFonts w:hint="eastAsia"/>
        </w:rPr>
        <w:t xml:space="preserve">1,608,901,100股普通股，已</w:t>
      </w:r>
      <w:r>
        <w:br/>
      </w:r>
      <w:r>
        <w:rPr>
          <w:rFonts w:hint="eastAsia"/>
        </w:rPr>
        <w:t xml:space="preserve">發行股本897,901,100澳元</w:t>
      </w:r>
    </w:p>
    <w:p>
      <w:pPr>
        <w:pStyle w:val="BodyText"/>
      </w:pPr>
      <w:r>
        <w:t xml:space="preserve">–</w:t>
      </w:r>
    </w:p>
    <w:p>
      <w:pPr>
        <w:pStyle w:val="BodyText"/>
      </w:pPr>
      <w:r>
        <w:t xml:space="preserve">–</w:t>
      </w:r>
    </w:p>
    <w:p>
      <w:pPr>
        <w:pStyle w:val="BodyText"/>
      </w:pPr>
      <w:r>
        <w:t xml:space="preserve">–</w:t>
      </w:r>
    </w:p>
    <w:p>
      <w:pPr>
        <w:pStyle w:val="BodyText"/>
      </w:pPr>
      <w:r>
        <w:t xml:space="preserve">100%</w:t>
      </w:r>
    </w:p>
    <w:p>
      <w:pPr>
        <w:pStyle w:val="BodyText"/>
      </w:pPr>
      <w:r>
        <w:t xml:space="preserve">100%</w:t>
      </w:r>
    </w:p>
    <w:p>
      <w:pPr>
        <w:pStyle w:val="BodyText"/>
      </w:pPr>
      <w:r>
        <w:t xml:space="preserve">100%</w:t>
      </w:r>
    </w:p>
    <w:p>
      <w:pPr>
        <w:pStyle w:val="BodyText"/>
      </w:pPr>
      <w:r>
        <w:t xml:space="preserve">–</w:t>
      </w:r>
    </w:p>
    <w:p>
      <w:pPr>
        <w:pStyle w:val="BodyText"/>
      </w:pPr>
      <w:r>
        <w:t xml:space="preserve">–</w:t>
      </w:r>
    </w:p>
    <w:p>
      <w:pPr>
        <w:pStyle w:val="BodyText"/>
      </w:pPr>
      <w:r>
        <w:t xml:space="preserve">–</w:t>
      </w:r>
    </w:p>
    <w:p>
      <w:pPr>
        <w:pStyle w:val="BodyText"/>
      </w:pPr>
      <w:r>
        <w:t xml:space="preserve">100%</w:t>
      </w:r>
    </w:p>
    <w:p>
      <w:pPr>
        <w:pStyle w:val="BodyText"/>
      </w:pPr>
      <w:r>
        <w:t xml:space="preserve">100%</w:t>
      </w:r>
    </w:p>
    <w:p>
      <w:pPr>
        <w:pStyle w:val="BodyText"/>
      </w:pPr>
      <w:r>
        <w:rPr>
          <w:rFonts w:hint="eastAsia"/>
        </w:rPr>
        <w:t xml:space="preserve">附註3</w:t>
      </w:r>
      <w:r>
        <w:t xml:space="preserve"> </w:t>
      </w:r>
      <w:r>
        <w:rPr>
          <w:rFonts w:hint="eastAsia"/>
        </w:rPr>
        <w:t xml:space="preserve">附註3</w:t>
      </w:r>
    </w:p>
    <w:p>
      <w:pPr>
        <w:pStyle w:val="BodyText"/>
      </w:pPr>
      <w:r>
        <w:rPr>
          <w:rFonts w:hint="eastAsia"/>
        </w:rPr>
        <w:t xml:space="preserve">附註3</w:t>
      </w:r>
      <w:r>
        <w:t xml:space="preserve"> </w:t>
      </w:r>
      <w:r>
        <w:rPr>
          <w:rFonts w:hint="eastAsia"/>
        </w:rPr>
        <w:t xml:space="preserve">附註3</w:t>
      </w:r>
    </w:p>
    <w:p>
      <w:pPr>
        <w:pStyle w:val="BodyText"/>
      </w:pPr>
      <w:r>
        <w:rPr>
          <w:rFonts w:hint="eastAsia"/>
        </w:rPr>
        <w:t xml:space="preserve">友邦人壽保險有限公司</w:t>
      </w:r>
      <w:r>
        <w:t xml:space="preserve"> </w:t>
      </w:r>
      <w:r>
        <w:rPr>
          <w:rFonts w:hint="eastAsia"/>
        </w:rPr>
        <w:t xml:space="preserve">中國內地</w:t>
      </w:r>
      <w:r>
        <w:t xml:space="preserve"> </w:t>
      </w:r>
      <w:r>
        <w:rPr>
          <w:rFonts w:hint="eastAsia"/>
        </w:rPr>
        <w:t xml:space="preserve">保險</w:t>
      </w:r>
    </w:p>
    <w:p>
      <w:pPr>
        <w:pStyle w:val="BodyText"/>
      </w:pPr>
      <w:r>
        <w:rPr>
          <w:rFonts w:hint="eastAsia"/>
        </w:rPr>
        <w:t xml:space="preserve">註冊股本人民幣</w:t>
      </w:r>
    </w:p>
    <w:p>
      <w:pPr>
        <w:pStyle w:val="BodyText"/>
      </w:pPr>
      <w:r>
        <w:t xml:space="preserve">100%</w:t>
      </w:r>
    </w:p>
    <w:p>
      <w:pPr>
        <w:pStyle w:val="BodyText"/>
      </w:pPr>
      <w:r>
        <w:t xml:space="preserve">–</w:t>
      </w:r>
    </w:p>
    <w:p>
      <w:pPr>
        <w:pStyle w:val="BodyText"/>
      </w:pPr>
      <w:r>
        <w:t xml:space="preserve">–</w:t>
      </w:r>
    </w:p>
    <w:p>
      <w:pPr>
        <w:pStyle w:val="BodyText"/>
      </w:pPr>
      <w:r>
        <w:t xml:space="preserve">–</w:t>
      </w:r>
    </w:p>
    <w:p>
      <w:pPr>
        <w:pStyle w:val="BodyText"/>
      </w:pPr>
      <w:r>
        <w:rPr>
          <w:rFonts w:hint="eastAsia"/>
        </w:rPr>
        <w:t xml:space="preserve">3,777,399,440元</w:t>
      </w:r>
    </w:p>
    <w:p>
      <w:pPr>
        <w:pStyle w:val="BodyText"/>
      </w:pPr>
      <w:r>
        <w:rPr>
          <w:rFonts w:hint="eastAsia"/>
        </w:rPr>
        <w:t xml:space="preserve">附註：</w:t>
      </w:r>
    </w:p>
    <w:p>
      <w:pPr>
        <w:numPr>
          <w:ilvl w:val="0"/>
          <w:numId w:val="1545"/>
        </w:numPr>
      </w:pPr>
      <w:r>
        <w:rPr>
          <w:rFonts w:hint="eastAsia"/>
        </w:rPr>
        <w:t xml:space="preserve">本公司的附屬公司。</w:t>
      </w:r>
    </w:p>
    <w:p>
      <w:pPr>
        <w:numPr>
          <w:ilvl w:val="0"/>
          <w:numId w:val="1545"/>
        </w:numPr>
      </w:pPr>
      <w:r>
        <w:rPr>
          <w:rFonts w:hint="eastAsia"/>
        </w:rPr>
        <w:t xml:space="preserve">上述所有附屬公司均由羅兵咸永道會計師事務所審核。</w:t>
      </w:r>
    </w:p>
    <w:p>
      <w:pPr>
        <w:numPr>
          <w:ilvl w:val="0"/>
          <w:numId w:val="1545"/>
        </w:numPr>
      </w:pPr>
      <w:r>
        <w:rPr>
          <w:rFonts w:hint="eastAsia"/>
        </w:rPr>
        <w:t xml:space="preserve">本集團並未依法取得該實體的投票權，但訂立了合約聯合合作協議，據此，本集團可對其行使除交銀康聯人壽保險有限公司以外的控制權。因此</w:t>
      </w:r>
    </w:p>
    <w:p>
      <w:pPr>
        <w:pStyle w:val="FirstParagraph"/>
      </w:pPr>
      <w:r>
        <w:rPr>
          <w:rFonts w:hint="eastAsia"/>
        </w:rPr>
        <w:t xml:space="preserve">截至2020年及2019年12月31日止年度並無錄得與該附屬公司有關的非控股權益。</w:t>
      </w:r>
    </w:p>
    <w:p>
      <w:pPr>
        <w:pStyle w:val="BodyText"/>
      </w:pPr>
      <w:r>
        <w:rPr>
          <w:rFonts w:hint="eastAsia"/>
        </w:rPr>
        <w:t xml:space="preserve">所有附屬公司均為非上市公司。</w:t>
      </w:r>
    </w:p>
    <w:p>
      <w:pPr>
        <w:pStyle w:val="BodyText"/>
      </w:pPr>
      <w:r>
        <w:t xml:space="preserve">250</w:t>
      </w:r>
    </w:p>
    <w:p>
      <w:pPr>
        <w:pStyle w:val="BodyText"/>
      </w:pPr>
      <w:r>
        <w:rPr>
          <w:rFonts w:hint="eastAsia"/>
        </w:rPr>
        <w:t xml:space="preserve">友邦保險控股有限公司</w:t>
      </w:r>
    </w:p>
    <w:p>
      <w:pPr>
        <w:pStyle w:val="Compact"/>
        <w:numPr>
          <w:ilvl w:val="0"/>
          <w:numId w:val="1546"/>
        </w:numPr>
      </w:pPr>
      <w:r>
        <w:rPr>
          <w:rFonts w:hint="eastAsia"/>
        </w:rPr>
        <w:t xml:space="preserve">報告期間後事項</w:t>
      </w:r>
    </w:p>
    <w:p>
      <w:pPr>
        <w:pStyle w:val="FirstParagraph"/>
      </w:pPr>
      <w:r>
        <w:rPr>
          <w:rFonts w:hint="eastAsia"/>
        </w:rPr>
        <w:t xml:space="preserve">於2021年3月12日，由董事會所委任的委員會已建議末期股息為每股100.30港仙（2019年：末期股息每股93.30港仙）。</w:t>
      </w:r>
    </w:p>
    <w:p>
      <w:pPr>
        <w:pStyle w:val="BodyText"/>
      </w:pPr>
      <w:r>
        <w:t xml:space="preserve">251</w:t>
      </w:r>
    </w:p>
    <w:p>
      <w:pPr>
        <w:pStyle w:val="BodyText"/>
      </w:pPr>
      <w:r>
        <w:rPr>
          <w:rFonts w:hint="eastAsia"/>
        </w:rPr>
        <w:t xml:space="preserve">概覽財務及營運回顧企業管治其他資料財務報表2020年報</w:t>
      </w:r>
    </w:p>
    <w:p>
      <w:pPr>
        <w:pStyle w:val="Compact"/>
        <w:numPr>
          <w:ilvl w:val="0"/>
          <w:numId w:val="1547"/>
        </w:numPr>
      </w:pPr>
      <w:r>
        <w:rPr>
          <w:rFonts w:hint="eastAsia"/>
        </w:rPr>
        <w:t xml:space="preserve">本公司的財務狀況表</w:t>
      </w:r>
    </w:p>
    <w:p>
      <w:pPr>
        <w:pStyle w:val="FirstParagraph"/>
      </w:pPr>
      <w:r>
        <w:rPr>
          <w:rFonts w:hint="eastAsia"/>
        </w:rPr>
        <w:t xml:space="preserve">百萬美元</w:t>
      </w:r>
    </w:p>
    <w:p>
      <w:pPr>
        <w:pStyle w:val="BodyText"/>
      </w:pPr>
      <w:r>
        <w:rPr>
          <w:rFonts w:hint="eastAsia"/>
        </w:rPr>
        <w:t xml:space="preserve">資產</w:t>
      </w:r>
    </w:p>
    <w:p>
      <w:pPr>
        <w:pStyle w:val="BodyText"/>
      </w:pPr>
      <w:r>
        <w:rPr>
          <w:rFonts w:hint="eastAsia"/>
        </w:rPr>
        <w:t xml:space="preserve">於附屬公司的投資</w:t>
      </w:r>
    </w:p>
    <w:p>
      <w:pPr>
        <w:pStyle w:val="BodyText"/>
      </w:pPr>
      <w:r>
        <w:rPr>
          <w:rFonts w:hint="eastAsia"/>
        </w:rPr>
        <w:t xml:space="preserve">金融投資：</w:t>
      </w:r>
    </w:p>
    <w:p>
      <w:pPr>
        <w:pStyle w:val="BodyText"/>
      </w:pPr>
      <w:r>
        <w:rPr>
          <w:rFonts w:hint="eastAsia"/>
        </w:rPr>
        <w:t xml:space="preserve">按公平值計入其他全面收入</w:t>
      </w:r>
    </w:p>
    <w:p>
      <w:pPr>
        <w:pStyle w:val="BodyText"/>
      </w:pPr>
      <w:r>
        <w:rPr>
          <w:rFonts w:hint="eastAsia"/>
        </w:rPr>
        <w:t xml:space="preserve">債務證券</w:t>
      </w:r>
      <w:r>
        <w:t xml:space="preserve"> (2)</w:t>
      </w:r>
    </w:p>
    <w:p>
      <w:pPr>
        <w:pStyle w:val="BodyText"/>
      </w:pPr>
      <w:r>
        <w:rPr>
          <w:rFonts w:hint="eastAsia"/>
        </w:rPr>
        <w:t xml:space="preserve">按公平值計入損益</w:t>
      </w:r>
    </w:p>
    <w:p>
      <w:pPr>
        <w:pStyle w:val="BodyText"/>
      </w:pPr>
      <w:r>
        <w:rPr>
          <w:rFonts w:hint="eastAsia"/>
        </w:rPr>
        <w:t xml:space="preserve">債務證券</w:t>
      </w:r>
    </w:p>
    <w:p>
      <w:pPr>
        <w:pStyle w:val="BodyText"/>
      </w:pPr>
      <w:r>
        <w:rPr>
          <w:rFonts w:hint="eastAsia"/>
        </w:rPr>
        <w:t xml:space="preserve">股本證券</w:t>
      </w:r>
    </w:p>
    <w:p>
      <w:pPr>
        <w:pStyle w:val="BodyText"/>
      </w:pPr>
      <w:r>
        <w:rPr>
          <w:rFonts w:hint="eastAsia"/>
        </w:rPr>
        <w:t xml:space="preserve">向附屬公司借出的貸款</w:t>
      </w:r>
      <w:r>
        <w:t xml:space="preserve"> </w:t>
      </w:r>
      <w:r>
        <w:rPr>
          <w:rFonts w:hint="eastAsia"/>
        </w:rPr>
        <w:t xml:space="preserve">∕應收附屬公司金額</w:t>
      </w:r>
    </w:p>
    <w:p>
      <w:pPr>
        <w:pStyle w:val="BodyText"/>
      </w:pPr>
      <w:r>
        <w:rPr>
          <w:rFonts w:hint="eastAsia"/>
        </w:rPr>
        <w:t xml:space="preserve">其他資產</w:t>
      </w:r>
    </w:p>
    <w:p>
      <w:pPr>
        <w:pStyle w:val="BodyText"/>
      </w:pPr>
      <w:r>
        <w:rPr>
          <w:rFonts w:hint="eastAsia"/>
        </w:rPr>
        <w:t xml:space="preserve">附屬公司承兌票據(3)</w:t>
      </w:r>
    </w:p>
    <w:p>
      <w:pPr>
        <w:pStyle w:val="BodyText"/>
      </w:pPr>
      <w:r>
        <w:rPr>
          <w:rFonts w:hint="eastAsia"/>
        </w:rPr>
        <w:t xml:space="preserve">現金及現金等價物</w:t>
      </w:r>
    </w:p>
    <w:p>
      <w:pPr>
        <w:pStyle w:val="BodyText"/>
      </w:pPr>
      <w:r>
        <w:rPr>
          <w:rFonts w:hint="eastAsia"/>
        </w:rPr>
        <w:t xml:space="preserve">總資產</w:t>
      </w:r>
    </w:p>
    <w:p>
      <w:pPr>
        <w:pStyle w:val="BodyText"/>
      </w:pPr>
      <w:r>
        <w:rPr>
          <w:rFonts w:hint="eastAsia"/>
        </w:rPr>
        <w:t xml:space="preserve">負債</w:t>
      </w:r>
    </w:p>
    <w:p>
      <w:pPr>
        <w:pStyle w:val="BodyText"/>
      </w:pPr>
      <w:r>
        <w:rPr>
          <w:rFonts w:hint="eastAsia"/>
        </w:rPr>
        <w:t xml:space="preserve">借貸</w:t>
      </w:r>
    </w:p>
    <w:p>
      <w:pPr>
        <w:pStyle w:val="BodyText"/>
      </w:pPr>
      <w:r>
        <w:rPr>
          <w:rFonts w:hint="eastAsia"/>
        </w:rPr>
        <w:t xml:space="preserve">衍生金融工具</w:t>
      </w:r>
    </w:p>
    <w:p>
      <w:pPr>
        <w:pStyle w:val="BodyText"/>
      </w:pPr>
      <w:r>
        <w:rPr>
          <w:rFonts w:hint="eastAsia"/>
        </w:rPr>
        <w:t xml:space="preserve">其他負債</w:t>
      </w:r>
    </w:p>
    <w:p>
      <w:pPr>
        <w:pStyle w:val="BodyText"/>
      </w:pPr>
      <w:r>
        <w:rPr>
          <w:rFonts w:hint="eastAsia"/>
        </w:rPr>
        <w:t xml:space="preserve">總負債</w:t>
      </w:r>
    </w:p>
    <w:p>
      <w:pPr>
        <w:pStyle w:val="BodyText"/>
      </w:pPr>
      <w:r>
        <w:rPr>
          <w:rFonts w:hint="eastAsia"/>
        </w:rPr>
        <w:t xml:space="preserve">權益</w:t>
      </w:r>
    </w:p>
    <w:p>
      <w:pPr>
        <w:pStyle w:val="BodyText"/>
      </w:pPr>
      <w:r>
        <w:rPr>
          <w:rFonts w:hint="eastAsia"/>
        </w:rPr>
        <w:t xml:space="preserve">股本</w:t>
      </w:r>
    </w:p>
    <w:p>
      <w:pPr>
        <w:pStyle w:val="BodyText"/>
      </w:pPr>
      <w:r>
        <w:rPr>
          <w:rFonts w:hint="eastAsia"/>
        </w:rPr>
        <w:t xml:space="preserve">僱員股票信託</w:t>
      </w:r>
    </w:p>
    <w:p>
      <w:pPr>
        <w:pStyle w:val="BodyText"/>
      </w:pPr>
      <w:r>
        <w:rPr>
          <w:rFonts w:hint="eastAsia"/>
        </w:rPr>
        <w:t xml:space="preserve">其他準備金</w:t>
      </w:r>
    </w:p>
    <w:p>
      <w:pPr>
        <w:pStyle w:val="BodyText"/>
      </w:pPr>
      <w:r>
        <w:rPr>
          <w:rFonts w:hint="eastAsia"/>
        </w:rPr>
        <w:t xml:space="preserve">保留盈利</w:t>
      </w:r>
    </w:p>
    <w:p>
      <w:pPr>
        <w:pStyle w:val="BodyText"/>
      </w:pPr>
      <w:r>
        <w:rPr>
          <w:rFonts w:hint="eastAsia"/>
        </w:rPr>
        <w:t xml:space="preserve">反映於其他全面收入的金額</w:t>
      </w:r>
    </w:p>
    <w:p>
      <w:pPr>
        <w:pStyle w:val="BodyText"/>
      </w:pPr>
      <w:r>
        <w:rPr>
          <w:rFonts w:hint="eastAsia"/>
        </w:rPr>
        <w:t xml:space="preserve">總權益</w:t>
      </w:r>
    </w:p>
    <w:p>
      <w:pPr>
        <w:pStyle w:val="BodyText"/>
      </w:pPr>
      <w:r>
        <w:rPr>
          <w:rFonts w:hint="eastAsia"/>
        </w:rPr>
        <w:t xml:space="preserve">總負債及權益</w:t>
      </w:r>
    </w:p>
    <w:p>
      <w:pPr>
        <w:pStyle w:val="BodyText"/>
      </w:pPr>
      <w:r>
        <w:rPr>
          <w:rFonts w:hint="eastAsia"/>
        </w:rPr>
        <w:t xml:space="preserve">附註：</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17,341</w:t>
      </w:r>
    </w:p>
    <w:p>
      <w:pPr>
        <w:pStyle w:val="BodyText"/>
      </w:pPr>
      <w:r>
        <w:t xml:space="preserve">17,476</w:t>
      </w:r>
    </w:p>
    <w:p>
      <w:pPr>
        <w:pStyle w:val="BodyText"/>
      </w:pPr>
      <w:r>
        <w:t xml:space="preserve">9,871</w:t>
      </w:r>
    </w:p>
    <w:p>
      <w:pPr>
        <w:pStyle w:val="BodyText"/>
      </w:pPr>
      <w:r>
        <w:t xml:space="preserve">7,374</w:t>
      </w:r>
    </w:p>
    <w:p>
      <w:pPr>
        <w:pStyle w:val="BodyText"/>
      </w:pPr>
      <w:r>
        <w:t xml:space="preserve">37</w:t>
      </w:r>
    </w:p>
    <w:p>
      <w:pPr>
        <w:pStyle w:val="BodyText"/>
      </w:pPr>
      <w:r>
        <w:t xml:space="preserve">227</w:t>
      </w:r>
    </w:p>
    <w:p>
      <w:pPr>
        <w:pStyle w:val="BodyText"/>
      </w:pPr>
      <w:r>
        <w:t xml:space="preserve">10,135</w:t>
      </w:r>
    </w:p>
    <w:p>
      <w:pPr>
        <w:pStyle w:val="BodyText"/>
      </w:pPr>
      <w:r>
        <w:t xml:space="preserve">1,904</w:t>
      </w:r>
    </w:p>
    <w:p>
      <w:pPr>
        <w:pStyle w:val="BodyText"/>
      </w:pPr>
      <w:r>
        <w:t xml:space="preserve">78</w:t>
      </w:r>
    </w:p>
    <w:p>
      <w:pPr>
        <w:pStyle w:val="BodyText"/>
      </w:pPr>
      <w:r>
        <w:t xml:space="preserve">1,844</w:t>
      </w:r>
    </w:p>
    <w:p>
      <w:pPr>
        <w:pStyle w:val="BodyText"/>
      </w:pPr>
      <w:r>
        <w:t xml:space="preserve">409</w:t>
      </w:r>
    </w:p>
    <w:p>
      <w:pPr>
        <w:pStyle w:val="BodyText"/>
      </w:pPr>
      <w:r>
        <w:t xml:space="preserve">12</w:t>
      </w:r>
    </w:p>
    <w:p>
      <w:pPr>
        <w:pStyle w:val="BodyText"/>
      </w:pPr>
      <w:r>
        <w:t xml:space="preserve">87</w:t>
      </w:r>
    </w:p>
    <w:p>
      <w:pPr>
        <w:pStyle w:val="BodyText"/>
      </w:pPr>
      <w:r>
        <w:t xml:space="preserve">7,473</w:t>
      </w:r>
    </w:p>
    <w:p>
      <w:pPr>
        <w:pStyle w:val="BodyText"/>
      </w:pPr>
      <w:r>
        <w:t xml:space="preserve">1,918</w:t>
      </w:r>
    </w:p>
    <w:p>
      <w:pPr>
        <w:pStyle w:val="BodyText"/>
      </w:pPr>
      <w:r>
        <w:t xml:space="preserve">235</w:t>
      </w:r>
    </w:p>
    <w:p>
      <w:pPr>
        <w:pStyle w:val="BodyText"/>
      </w:pPr>
      <w:r>
        <w:t xml:space="preserve">997</w:t>
      </w:r>
    </w:p>
    <w:p>
      <w:pPr>
        <w:pStyle w:val="BodyText"/>
      </w:pPr>
      <w:r>
        <w:t xml:space="preserve">160</w:t>
      </w:r>
    </w:p>
    <w:p>
      <w:pPr>
        <w:pStyle w:val="BodyText"/>
      </w:pPr>
      <w:r>
        <w:t xml:space="preserve">31,711</w:t>
      </w:r>
    </w:p>
    <w:p>
      <w:pPr>
        <w:pStyle w:val="BodyText"/>
      </w:pPr>
      <w:r>
        <w:t xml:space="preserve">28,259</w:t>
      </w:r>
    </w:p>
    <w:p>
      <w:pPr>
        <w:pStyle w:val="BodyText"/>
      </w:pPr>
      <w:r>
        <w:t xml:space="preserve">9,152</w:t>
      </w:r>
    </w:p>
    <w:p>
      <w:pPr>
        <w:pStyle w:val="BodyText"/>
      </w:pPr>
      <w:r>
        <w:t xml:space="preserve">12</w:t>
      </w:r>
    </w:p>
    <w:p>
      <w:pPr>
        <w:pStyle w:val="BodyText"/>
      </w:pPr>
      <w:r>
        <w:t xml:space="preserve">92</w:t>
      </w:r>
    </w:p>
    <w:p>
      <w:pPr>
        <w:pStyle w:val="BodyText"/>
      </w:pPr>
      <w:r>
        <w:t xml:space="preserve">9,256</w:t>
      </w:r>
    </w:p>
    <w:p>
      <w:pPr>
        <w:pStyle w:val="BodyText"/>
      </w:pPr>
      <w:r>
        <w:t xml:space="preserve">6,351</w:t>
      </w:r>
    </w:p>
    <w:p>
      <w:pPr>
        <w:pStyle w:val="BodyText"/>
      </w:pPr>
      <w:r>
        <w:t xml:space="preserve">27</w:t>
      </w:r>
    </w:p>
    <w:p>
      <w:pPr>
        <w:pStyle w:val="BodyText"/>
      </w:pPr>
      <w:r>
        <w:t xml:space="preserve">238</w:t>
      </w:r>
    </w:p>
    <w:p>
      <w:pPr>
        <w:pStyle w:val="BodyText"/>
      </w:pPr>
      <w:r>
        <w:t xml:space="preserve">6,616</w:t>
      </w:r>
    </w:p>
    <w:p>
      <w:pPr>
        <w:pStyle w:val="BodyText"/>
      </w:pPr>
      <w:r>
        <w:t xml:space="preserve">14,155</w:t>
      </w:r>
    </w:p>
    <w:p>
      <w:pPr>
        <w:pStyle w:val="BodyText"/>
      </w:pPr>
      <w:r>
        <w:t xml:space="preserve">14,129</w:t>
      </w:r>
    </w:p>
    <w:p>
      <w:pPr>
        <w:pStyle w:val="FirstParagraph"/>
      </w:pPr>
      <w:r>
        <w:t xml:space="preserve">259</w:t>
      </w:r>
    </w:p>
    <w:p>
      <w:pPr>
        <w:pStyle w:val="BodyText"/>
      </w:pPr>
      <w:r>
        <w:t xml:space="preserve">7,360</w:t>
      </w:r>
    </w:p>
    <w:p>
      <w:pPr>
        <w:pStyle w:val="BodyText"/>
      </w:pPr>
      <w:r>
        <w:t xml:space="preserve">836</w:t>
      </w:r>
    </w:p>
    <w:p>
      <w:pPr>
        <w:pStyle w:val="BodyText"/>
      </w:pPr>
      <w:r>
        <w:t xml:space="preserve">22,455</w:t>
      </w:r>
    </w:p>
    <w:p>
      <w:pPr>
        <w:pStyle w:val="BodyText"/>
      </w:pPr>
      <w:r>
        <w:t xml:space="preserve">31,711</w:t>
      </w:r>
    </w:p>
    <w:p>
      <w:pPr>
        <w:pStyle w:val="FirstParagraph"/>
      </w:pPr>
      <w:r>
        <w:t xml:space="preserve">260</w:t>
      </w:r>
    </w:p>
    <w:p>
      <w:pPr>
        <w:pStyle w:val="BodyText"/>
      </w:pPr>
      <w:r>
        <w:t xml:space="preserve">7,079</w:t>
      </w:r>
    </w:p>
    <w:p>
      <w:pPr>
        <w:pStyle w:val="BodyText"/>
      </w:pPr>
      <w:r>
        <w:t xml:space="preserve">395</w:t>
      </w:r>
    </w:p>
    <w:p>
      <w:pPr>
        <w:pStyle w:val="BodyText"/>
      </w:pPr>
      <w:r>
        <w:t xml:space="preserve">21,643</w:t>
      </w:r>
    </w:p>
    <w:p>
      <w:pPr>
        <w:pStyle w:val="BodyText"/>
      </w:pPr>
      <w:r>
        <w:t xml:space="preserve">28,259</w:t>
      </w:r>
    </w:p>
    <w:p>
      <w:pPr>
        <w:numPr>
          <w:ilvl w:val="0"/>
          <w:numId w:val="1550"/>
        </w:numPr>
      </w:pPr>
      <w:r>
        <w:rPr>
          <w:rFonts w:hint="eastAsia"/>
        </w:rPr>
        <w:t xml:space="preserve">本公司的財務資料應與本集團的合併財務報表一併閱讀。</w:t>
      </w:r>
    </w:p>
    <w:p>
      <w:pPr>
        <w:numPr>
          <w:ilvl w:val="0"/>
          <w:numId w:val="1550"/>
        </w:numPr>
      </w:pPr>
      <w:r>
        <w:rPr>
          <w:rFonts w:hint="eastAsia"/>
        </w:rPr>
        <w:t xml:space="preserve">包括於2020年12月31日持有的美國財政部證券33.72億美元（2019年：25.61億美元）。</w:t>
      </w:r>
    </w:p>
    <w:p>
      <w:pPr>
        <w:numPr>
          <w:ilvl w:val="0"/>
          <w:numId w:val="1550"/>
        </w:numPr>
      </w:pPr>
      <w:r>
        <w:rPr>
          <w:rFonts w:hint="eastAsia"/>
        </w:rPr>
        <w:t xml:space="preserve">附屬公司承兌票據須按要求支付。</w:t>
      </w:r>
    </w:p>
    <w:p>
      <w:pPr>
        <w:pStyle w:val="FirstParagraph"/>
      </w:pPr>
      <w:r>
        <w:rPr>
          <w:rFonts w:hint="eastAsia"/>
        </w:rPr>
        <w:t xml:space="preserve">董事會於2021年3月12日核准刊發。</w:t>
      </w:r>
    </w:p>
    <w:p>
      <w:pPr>
        <w:pStyle w:val="BodyText"/>
      </w:pPr>
      <w:r>
        <w:rPr>
          <w:rFonts w:hint="eastAsia"/>
        </w:rPr>
        <w:t xml:space="preserve">李源祥</w:t>
      </w:r>
    </w:p>
    <w:p>
      <w:pPr>
        <w:pStyle w:val="BodyText"/>
      </w:pPr>
      <w:r>
        <w:rPr>
          <w:rFonts w:hint="eastAsia"/>
        </w:rPr>
        <w:t xml:space="preserve">董事</w:t>
      </w:r>
    </w:p>
    <w:p>
      <w:pPr>
        <w:pStyle w:val="BodyText"/>
      </w:pPr>
      <w:r>
        <w:rPr>
          <w:rFonts w:hint="eastAsia"/>
        </w:rPr>
        <w:t xml:space="preserve">謝仕榮</w:t>
      </w:r>
    </w:p>
    <w:p>
      <w:pPr>
        <w:pStyle w:val="BodyText"/>
      </w:pPr>
      <w:r>
        <w:rPr>
          <w:rFonts w:hint="eastAsia"/>
        </w:rPr>
        <w:t xml:space="preserve">董事</w:t>
      </w:r>
    </w:p>
    <w:p>
      <w:pPr>
        <w:pStyle w:val="BodyText"/>
      </w:pPr>
      <w:r>
        <w:t xml:space="preserve">252</w:t>
      </w:r>
    </w:p>
    <w:p>
      <w:pPr>
        <w:pStyle w:val="BodyText"/>
      </w:pPr>
      <w:r>
        <w:rPr>
          <w:rFonts w:hint="eastAsia"/>
        </w:rPr>
        <w:t xml:space="preserve">友邦保險控股有限公司</w:t>
      </w:r>
    </w:p>
    <w:p>
      <w:pPr>
        <w:pStyle w:val="Compact"/>
        <w:numPr>
          <w:ilvl w:val="0"/>
          <w:numId w:val="1551"/>
        </w:numPr>
      </w:pPr>
      <w:r>
        <w:rPr>
          <w:rFonts w:hint="eastAsia"/>
        </w:rPr>
        <w:t xml:space="preserve">本公司的權益變動表</w:t>
      </w:r>
    </w:p>
    <w:p>
      <w:pPr>
        <w:pStyle w:val="FirstParagraph"/>
      </w:pPr>
      <w:r>
        <w:rPr>
          <w:rFonts w:hint="eastAsia"/>
        </w:rPr>
        <w:t xml:space="preserve">百萬美元</w:t>
      </w:r>
    </w:p>
    <w:p>
      <w:pPr>
        <w:pStyle w:val="BodyText"/>
      </w:pPr>
      <w:r>
        <w:rPr>
          <w:rFonts w:hint="eastAsia"/>
        </w:rPr>
        <w:t xml:space="preserve">股本</w:t>
      </w:r>
      <w:r>
        <w:t xml:space="preserve"> </w:t>
      </w:r>
      <w:r>
        <w:rPr>
          <w:rFonts w:hint="eastAsia"/>
        </w:rPr>
        <w:t xml:space="preserve">僱員股票信託</w:t>
      </w:r>
      <w:r>
        <w:t xml:space="preserve"> </w:t>
      </w:r>
      <w:r>
        <w:rPr>
          <w:rFonts w:hint="eastAsia"/>
        </w:rPr>
        <w:t xml:space="preserve">其他準備金</w:t>
      </w:r>
    </w:p>
    <w:p>
      <w:pPr>
        <w:pStyle w:val="BodyText"/>
      </w:pPr>
      <w:r>
        <w:rPr>
          <w:rFonts w:hint="eastAsia"/>
        </w:rPr>
        <w:t xml:space="preserve">保留盈利</w:t>
      </w:r>
    </w:p>
    <w:p>
      <w:pPr>
        <w:pStyle w:val="BodyText"/>
      </w:pPr>
      <w:r>
        <w:rPr>
          <w:rFonts w:hint="eastAsia"/>
        </w:rPr>
        <w:t xml:space="preserve">於2020年1月1日的結餘</w:t>
      </w:r>
    </w:p>
    <w:p>
      <w:pPr>
        <w:pStyle w:val="BodyText"/>
      </w:pPr>
      <w:r>
        <w:rPr>
          <w:rFonts w:hint="eastAsia"/>
        </w:rPr>
        <w:t xml:space="preserve">純利</w:t>
      </w:r>
    </w:p>
    <w:p>
      <w:pPr>
        <w:pStyle w:val="BodyText"/>
      </w:pPr>
      <w:r>
        <w:rPr>
          <w:rFonts w:hint="eastAsia"/>
        </w:rPr>
        <w:t xml:space="preserve">按公平值計入其他全面收入的債務證券的</w:t>
      </w:r>
      <w:r>
        <w:br/>
      </w:r>
      <w:r>
        <w:rPr>
          <w:rFonts w:hint="eastAsia"/>
        </w:rPr>
        <w:t xml:space="preserve">公平值收益</w:t>
      </w:r>
    </w:p>
    <w:p>
      <w:pPr>
        <w:pStyle w:val="BodyText"/>
      </w:pPr>
      <w:r>
        <w:rPr>
          <w:rFonts w:hint="eastAsia"/>
        </w:rPr>
        <w:t xml:space="preserve">於出售時轉撥至損益的按公平值計入其他</w:t>
      </w:r>
      <w:r>
        <w:br/>
      </w:r>
      <w:r>
        <w:rPr>
          <w:rFonts w:hint="eastAsia"/>
        </w:rPr>
        <w:t xml:space="preserve">全面收入的債務證券的公平值收益</w:t>
      </w:r>
    </w:p>
    <w:p>
      <w:pPr>
        <w:pStyle w:val="BodyText"/>
      </w:pPr>
      <w:r>
        <w:rPr>
          <w:rFonts w:hint="eastAsia"/>
        </w:rPr>
        <w:t xml:space="preserve">股息</w:t>
      </w:r>
    </w:p>
    <w:p>
      <w:pPr>
        <w:pStyle w:val="BodyText"/>
      </w:pPr>
      <w:r>
        <w:rPr>
          <w:rFonts w:hint="eastAsia"/>
        </w:rPr>
        <w:t xml:space="preserve">根據購股權計劃及代理購股計劃發行的股份</w:t>
      </w:r>
    </w:p>
    <w:p>
      <w:pPr>
        <w:pStyle w:val="BodyText"/>
      </w:pPr>
      <w:r>
        <w:rPr>
          <w:rFonts w:hint="eastAsia"/>
        </w:rPr>
        <w:t xml:space="preserve">以股份為基礎的報酬</w:t>
      </w:r>
    </w:p>
    <w:p>
      <w:pPr>
        <w:pStyle w:val="BodyText"/>
      </w:pPr>
      <w:r>
        <w:rPr>
          <w:rFonts w:hint="eastAsia"/>
        </w:rPr>
        <w:t xml:space="preserve">注入僱員股票信託的股份</w:t>
      </w:r>
    </w:p>
    <w:p>
      <w:pPr>
        <w:pStyle w:val="BodyText"/>
      </w:pPr>
      <w:r>
        <w:rPr>
          <w:rFonts w:hint="eastAsia"/>
        </w:rPr>
        <w:t xml:space="preserve">自僱員股票信託轉出已歸屬股份</w:t>
      </w:r>
    </w:p>
    <w:p>
      <w:pPr>
        <w:pStyle w:val="BodyText"/>
      </w:pPr>
      <w:r>
        <w:rPr>
          <w:rFonts w:hint="eastAsia"/>
        </w:rPr>
        <w:t xml:space="preserve">於2020年12月31日的結餘</w:t>
      </w:r>
    </w:p>
    <w:p>
      <w:pPr>
        <w:pStyle w:val="BodyText"/>
      </w:pPr>
      <w:r>
        <w:t xml:space="preserve">14,129</w:t>
      </w:r>
    </w:p>
    <w:p>
      <w:pPr>
        <w:pStyle w:val="FirstParagraph"/>
      </w:pPr>
      <w:r>
        <w:t xml:space="preserve">260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26</w:t>
      </w:r>
    </w:p>
    <w:p>
      <w:pPr>
        <w:pStyle w:val="BodyText"/>
      </w:pPr>
      <w:r>
        <w:t xml:space="preserve">–</w:t>
      </w:r>
    </w:p>
    <w:p>
      <w:pPr>
        <w:pStyle w:val="BodyText"/>
      </w:pPr>
      <w:r>
        <w:t xml:space="preserve">–</w:t>
      </w:r>
    </w:p>
    <w:p>
      <w:pPr>
        <w:pStyle w:val="BodyText"/>
      </w:pPr>
      <w:r>
        <w:t xml:space="preserve">–</w:t>
      </w:r>
    </w:p>
    <w:p>
      <w:pPr>
        <w:pStyle w:val="BodyText"/>
      </w:pPr>
      <w:r>
        <w:t xml:space="preserve">14,155</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FirstParagraph"/>
      </w:pPr>
      <w:r>
        <w:t xml:space="preserve">81</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80</w:t>
      </w:r>
    </w:p>
    <w:p>
      <w:pPr>
        <w:pStyle w:val="BodyText"/>
      </w:pPr>
      <w:r>
        <w:t xml:space="preserve">–</w:t>
      </w:r>
    </w:p>
    <w:p>
      <w:pPr>
        <w:pStyle w:val="FirstParagraph"/>
      </w:pPr>
      <w:r>
        <w:t xml:space="preserve">259</w:t>
      </w:r>
    </w:p>
    <w:p>
      <w:pPr>
        <w:pStyle w:val="BodyText"/>
      </w:pPr>
      <w:r>
        <w:rPr>
          <w:rFonts w:hint="eastAsia"/>
        </w:rPr>
        <w:t xml:space="preserve">百萬美元</w:t>
      </w:r>
    </w:p>
    <w:p>
      <w:pPr>
        <w:pStyle w:val="BodyText"/>
      </w:pPr>
      <w:r>
        <w:rPr>
          <w:rFonts w:hint="eastAsia"/>
        </w:rPr>
        <w:t xml:space="preserve">股本</w:t>
      </w:r>
      <w:r>
        <w:t xml:space="preserve"> </w:t>
      </w:r>
      <w:r>
        <w:rPr>
          <w:rFonts w:hint="eastAsia"/>
        </w:rPr>
        <w:t xml:space="preserve">僱員股票信託</w:t>
      </w:r>
      <w:r>
        <w:t xml:space="preserve"> </w:t>
      </w:r>
      <w:r>
        <w:rPr>
          <w:rFonts w:hint="eastAsia"/>
        </w:rPr>
        <w:t xml:space="preserve">其他準備金</w:t>
      </w:r>
    </w:p>
    <w:p>
      <w:pPr>
        <w:pStyle w:val="BodyText"/>
      </w:pPr>
      <w:r>
        <w:rPr>
          <w:rFonts w:hint="eastAsia"/>
        </w:rPr>
        <w:t xml:space="preserve">保留盈利</w:t>
      </w:r>
    </w:p>
    <w:p>
      <w:pPr>
        <w:pStyle w:val="BodyText"/>
      </w:pPr>
      <w:r>
        <w:rPr>
          <w:rFonts w:hint="eastAsia"/>
        </w:rPr>
        <w:t xml:space="preserve">於2019年1月1日的結餘</w:t>
      </w:r>
    </w:p>
    <w:p>
      <w:pPr>
        <w:pStyle w:val="BodyText"/>
      </w:pPr>
      <w:r>
        <w:t xml:space="preserve">14,073</w:t>
      </w:r>
    </w:p>
    <w:p>
      <w:pPr>
        <w:pStyle w:val="FirstParagraph"/>
      </w:pPr>
      <w:r>
        <w:t xml:space="preserve">231</w:t>
      </w:r>
    </w:p>
    <w:p>
      <w:pPr>
        <w:pStyle w:val="BodyText"/>
      </w:pPr>
      <w:r>
        <w:rPr>
          <w:rFonts w:hint="eastAsia"/>
        </w:rPr>
        <w:t xml:space="preserve">純利</w:t>
      </w:r>
    </w:p>
    <w:p>
      <w:pPr>
        <w:pStyle w:val="BodyText"/>
      </w:pPr>
      <w:r>
        <w:rPr>
          <w:rFonts w:hint="eastAsia"/>
        </w:rPr>
        <w:t xml:space="preserve">按公平值計入其他全面收入的債務證券的</w:t>
      </w:r>
      <w:r>
        <w:br/>
      </w:r>
      <w:r>
        <w:rPr>
          <w:rFonts w:hint="eastAsia"/>
        </w:rPr>
        <w:t xml:space="preserve">公平值收益</w:t>
      </w:r>
    </w:p>
    <w:p>
      <w:pPr>
        <w:pStyle w:val="BodyText"/>
      </w:pPr>
      <w:r>
        <w:rPr>
          <w:rFonts w:hint="eastAsia"/>
        </w:rPr>
        <w:t xml:space="preserve">於出售時轉撥至損益的按公平值計入其他</w:t>
      </w:r>
      <w:r>
        <w:br/>
      </w:r>
      <w:r>
        <w:rPr>
          <w:rFonts w:hint="eastAsia"/>
        </w:rPr>
        <w:t xml:space="preserve">全面收入的債務證券的公平值虧損</w:t>
      </w:r>
    </w:p>
    <w:p>
      <w:pPr>
        <w:pStyle w:val="BodyText"/>
      </w:pPr>
      <w:r>
        <w:rPr>
          <w:rFonts w:hint="eastAsia"/>
        </w:rPr>
        <w:t xml:space="preserve">股息</w:t>
      </w:r>
    </w:p>
    <w:p>
      <w:pPr>
        <w:pStyle w:val="BodyText"/>
      </w:pPr>
      <w:r>
        <w:rPr>
          <w:rFonts w:hint="eastAsia"/>
        </w:rPr>
        <w:t xml:space="preserve">根據購股權計劃及代理購股計劃發行的股份</w:t>
      </w:r>
    </w:p>
    <w:p>
      <w:pPr>
        <w:pStyle w:val="BodyText"/>
      </w:pPr>
      <w:r>
        <w:rPr>
          <w:rFonts w:hint="eastAsia"/>
        </w:rPr>
        <w:t xml:space="preserve">以股份為基礎的報酬</w:t>
      </w:r>
    </w:p>
    <w:p>
      <w:pPr>
        <w:pStyle w:val="BodyText"/>
      </w:pPr>
      <w:r>
        <w:rPr>
          <w:rFonts w:hint="eastAsia"/>
        </w:rPr>
        <w:t xml:space="preserve">注入僱員股票信託的股份</w:t>
      </w:r>
    </w:p>
    <w:p>
      <w:pPr>
        <w:pStyle w:val="BodyText"/>
      </w:pPr>
      <w:r>
        <w:rPr>
          <w:rFonts w:hint="eastAsia"/>
        </w:rPr>
        <w:t xml:space="preserve">自僱員股票信託轉出已歸屬股份</w:t>
      </w:r>
    </w:p>
    <w:p>
      <w:pPr>
        <w:pStyle w:val="BodyText"/>
      </w:pPr>
      <w:r>
        <w:rPr>
          <w:rFonts w:hint="eastAsia"/>
        </w:rPr>
        <w:t xml:space="preserve">於2019年12月31日的結餘</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56</w:t>
      </w:r>
    </w:p>
    <w:p>
      <w:pPr>
        <w:pStyle w:val="BodyText"/>
      </w:pPr>
      <w:r>
        <w:t xml:space="preserve">–</w:t>
      </w:r>
    </w:p>
    <w:p>
      <w:pPr>
        <w:pStyle w:val="BodyText"/>
      </w:pPr>
      <w:r>
        <w:t xml:space="preserve">–</w:t>
      </w:r>
    </w:p>
    <w:p>
      <w:pPr>
        <w:pStyle w:val="BodyText"/>
      </w:pPr>
      <w:r>
        <w:t xml:space="preserve">–</w:t>
      </w:r>
    </w:p>
    <w:p>
      <w:pPr>
        <w:pStyle w:val="BodyText"/>
      </w:pPr>
      <w:r>
        <w:t xml:space="preserve">14,129</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FirstParagraph"/>
      </w:pPr>
      <w:r>
        <w:t xml:space="preserve">59</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88</w:t>
      </w:r>
    </w:p>
    <w:p>
      <w:pPr>
        <w:pStyle w:val="BodyText"/>
      </w:pPr>
      <w:r>
        <w:t xml:space="preserve">–</w:t>
      </w:r>
    </w:p>
    <w:p>
      <w:pPr>
        <w:pStyle w:val="FirstParagraph"/>
      </w:pPr>
      <w:r>
        <w:t xml:space="preserve">260</w:t>
      </w:r>
    </w:p>
    <w:p>
      <w:pPr>
        <w:pStyle w:val="BodyText"/>
      </w:pPr>
      <w:r>
        <w:t xml:space="preserve">7,360</w:t>
      </w:r>
    </w:p>
    <w:p>
      <w:pPr>
        <w:pStyle w:val="BodyText"/>
      </w:pPr>
      <w:r>
        <w:t xml:space="preserve">836</w:t>
      </w:r>
    </w:p>
    <w:p>
      <w:pPr>
        <w:pStyle w:val="BodyText"/>
      </w:pPr>
      <w:r>
        <w:t xml:space="preserve">22,455</w:t>
      </w:r>
    </w:p>
    <w:p>
      <w:pPr>
        <w:pStyle w:val="BodyText"/>
      </w:pPr>
      <w:r>
        <w:rPr>
          <w:rFonts w:hint="eastAsia"/>
        </w:rPr>
        <w:t xml:space="preserve">反映於其他</w:t>
      </w:r>
      <w:r>
        <w:br/>
      </w:r>
      <w:r>
        <w:rPr>
          <w:rFonts w:hint="eastAsia"/>
        </w:rPr>
        <w:t xml:space="preserve">全面收入</w:t>
      </w:r>
      <w:r>
        <w:br/>
      </w:r>
      <w:r>
        <w:rPr>
          <w:rFonts w:hint="eastAsia"/>
        </w:rPr>
        <w:t xml:space="preserve">的金額</w:t>
      </w:r>
    </w:p>
    <w:p>
      <w:pPr>
        <w:pStyle w:val="BodyText"/>
      </w:pPr>
      <w:r>
        <w:t xml:space="preserve">395</w:t>
      </w:r>
    </w:p>
    <w:p>
      <w:pPr>
        <w:pStyle w:val="BodyText"/>
      </w:pPr>
      <w:r>
        <w:t xml:space="preserve">–</w:t>
      </w:r>
    </w:p>
    <w:p>
      <w:pPr>
        <w:pStyle w:val="BodyText"/>
      </w:pPr>
      <w:r>
        <w:t xml:space="preserve">549</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rPr>
          <w:rFonts w:hint="eastAsia"/>
        </w:rPr>
        <w:t xml:space="preserve">總權益</w:t>
      </w:r>
    </w:p>
    <w:p>
      <w:pPr>
        <w:pStyle w:val="BodyText"/>
      </w:pPr>
      <w:r>
        <w:t xml:space="preserve">21,643</w:t>
      </w:r>
    </w:p>
    <w:p>
      <w:pPr>
        <w:pStyle w:val="BodyText"/>
      </w:pPr>
      <w:r>
        <w:t xml:space="preserve">2,278</w:t>
      </w:r>
    </w:p>
    <w:p>
      <w:pPr>
        <w:pStyle w:val="BodyText"/>
      </w:pPr>
      <w:r>
        <w:t xml:space="preserve">549</w:t>
      </w:r>
    </w:p>
    <w:p>
      <w:pPr>
        <w:pStyle w:val="FirstParagraph"/>
      </w:pPr>
      <w:r>
        <w:t xml:space="preserve">(1,997)</w:t>
      </w:r>
    </w:p>
    <w:p>
      <w:pPr>
        <w:pStyle w:val="BodyText"/>
      </w:pPr>
      <w:r>
        <w:t xml:space="preserve">26</w:t>
      </w:r>
    </w:p>
    <w:p>
      <w:pPr>
        <w:pStyle w:val="BodyText"/>
      </w:pPr>
      <w:r>
        <w:t xml:space="preserve">80</w:t>
      </w:r>
    </w:p>
    <w:p>
      <w:pPr>
        <w:pStyle w:val="FirstParagraph"/>
      </w:pPr>
      <w:r>
        <w:t xml:space="preserve">–</w:t>
      </w:r>
    </w:p>
    <w:p>
      <w:pPr>
        <w:pStyle w:val="BodyText"/>
      </w:pPr>
      <w:r>
        <w:rPr>
          <w:rFonts w:hint="eastAsia"/>
        </w:rPr>
        <w:t xml:space="preserve">反映於其他</w:t>
      </w:r>
      <w:r>
        <w:br/>
      </w:r>
      <w:r>
        <w:rPr>
          <w:rFonts w:hint="eastAsia"/>
        </w:rPr>
        <w:t xml:space="preserve">全面收入</w:t>
      </w:r>
      <w:r>
        <w:br/>
      </w:r>
      <w:r>
        <w:rPr>
          <w:rFonts w:hint="eastAsia"/>
        </w:rPr>
        <w:t xml:space="preserve">的金額</w:t>
      </w:r>
    </w:p>
    <w:p>
      <w:pPr>
        <w:pStyle w:val="FirstParagraph"/>
      </w:pPr>
      <w:r>
        <w:t xml:space="preserve">–</w:t>
      </w:r>
    </w:p>
    <w:p>
      <w:pPr>
        <w:pStyle w:val="BodyText"/>
      </w:pPr>
      <w:r>
        <w:t xml:space="preserve">303</w:t>
      </w:r>
    </w:p>
    <w:p>
      <w:pPr>
        <w:pStyle w:val="BodyText"/>
      </w:pPr>
      <w:r>
        <w:t xml:space="preserve">171</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rPr>
          <w:rFonts w:hint="eastAsia"/>
        </w:rPr>
        <w:t xml:space="preserve">總權益</w:t>
      </w:r>
    </w:p>
    <w:p>
      <w:pPr>
        <w:pStyle w:val="BodyText"/>
      </w:pPr>
      <w:r>
        <w:t xml:space="preserve">20,455</w:t>
      </w:r>
    </w:p>
    <w:p>
      <w:pPr>
        <w:pStyle w:val="BodyText"/>
      </w:pPr>
      <w:r>
        <w:t xml:space="preserve">2,552</w:t>
      </w:r>
    </w:p>
    <w:p>
      <w:pPr>
        <w:pStyle w:val="BodyText"/>
      </w:pPr>
      <w:r>
        <w:t xml:space="preserve">303</w:t>
      </w:r>
    </w:p>
    <w:p>
      <w:pPr>
        <w:pStyle w:val="BodyText"/>
      </w:pPr>
      <w:r>
        <w:t xml:space="preserve">171</w:t>
      </w:r>
    </w:p>
    <w:p>
      <w:pPr>
        <w:pStyle w:val="BodyText"/>
      </w:pPr>
      <w:r>
        <w:t xml:space="preserve">(1,961)</w:t>
      </w:r>
    </w:p>
    <w:p>
      <w:pPr>
        <w:pStyle w:val="BodyText"/>
      </w:pPr>
      <w:r>
        <w:t xml:space="preserve">56</w:t>
      </w:r>
    </w:p>
    <w:p>
      <w:pPr>
        <w:pStyle w:val="BodyText"/>
      </w:pPr>
      <w:r>
        <w:t xml:space="preserve">88</w:t>
      </w:r>
    </w:p>
    <w:p>
      <w:pPr>
        <w:pStyle w:val="FirstParagraph"/>
      </w:pPr>
      <w:r>
        <w:t xml:space="preserve">–</w:t>
      </w:r>
    </w:p>
    <w:p>
      <w:pPr>
        <w:pStyle w:val="BodyText"/>
      </w:pPr>
      <w:r>
        <w:t xml:space="preserve">7,079</w:t>
      </w:r>
    </w:p>
    <w:p>
      <w:pPr>
        <w:pStyle w:val="BodyText"/>
      </w:pPr>
      <w:r>
        <w:t xml:space="preserve">2,278</w:t>
      </w:r>
    </w:p>
    <w:p>
      <w:pPr>
        <w:pStyle w:val="BodyText"/>
      </w:pPr>
      <w:r>
        <w:t xml:space="preserve">–</w:t>
      </w:r>
    </w:p>
    <w:p>
      <w:pPr>
        <w:pStyle w:val="BodyText"/>
      </w:pPr>
      <w:r>
        <w:t xml:space="preserve">–</w:t>
      </w:r>
    </w:p>
    <w:p>
      <w:pPr>
        <w:pStyle w:val="BodyText"/>
      </w:pPr>
      <w:r>
        <w:t xml:space="preserve">(1,997)</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6,488</w:t>
      </w:r>
    </w:p>
    <w:p>
      <w:pPr>
        <w:pStyle w:val="BodyText"/>
      </w:pPr>
      <w:r>
        <w:t xml:space="preserve">2,552</w:t>
      </w:r>
    </w:p>
    <w:p>
      <w:pPr>
        <w:pStyle w:val="BodyText"/>
      </w:pPr>
      <w:r>
        <w:t xml:space="preserve">–</w:t>
      </w:r>
    </w:p>
    <w:p>
      <w:pPr>
        <w:pStyle w:val="BodyText"/>
      </w:pPr>
      <w:r>
        <w:t xml:space="preserve">–</w:t>
      </w:r>
    </w:p>
    <w:p>
      <w:pPr>
        <w:pStyle w:val="BodyText"/>
      </w:pPr>
      <w:r>
        <w:t xml:space="preserve">(1,961)</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7,079</w:t>
      </w:r>
    </w:p>
    <w:p>
      <w:pPr>
        <w:pStyle w:val="BodyText"/>
      </w:pPr>
      <w:r>
        <w:t xml:space="preserve">395</w:t>
      </w:r>
    </w:p>
    <w:p>
      <w:pPr>
        <w:pStyle w:val="BodyText"/>
      </w:pPr>
      <w:r>
        <w:t xml:space="preserve">21,643</w:t>
      </w:r>
    </w:p>
    <w:p>
      <w:pPr>
        <w:pStyle w:val="BodyText"/>
      </w:pPr>
      <w:r>
        <w:t xml:space="preserve">253</w:t>
      </w:r>
    </w:p>
    <w:p>
      <w:pPr>
        <w:pStyle w:val="BodyText"/>
      </w:pPr>
      <w:r>
        <w:rPr>
          <w:rFonts w:hint="eastAsia"/>
        </w:rPr>
        <w:t xml:space="preserve">概覽財務及營運回顧企業管治其他資料財務報表2020年報</w:t>
      </w:r>
    </w:p>
    <w:p>
      <w:pPr>
        <w:pStyle w:val="Compact"/>
        <w:numPr>
          <w:ilvl w:val="0"/>
          <w:numId w:val="1565"/>
        </w:numPr>
      </w:pPr>
      <w:r>
        <w:rPr>
          <w:rFonts w:hint="eastAsia"/>
        </w:rPr>
        <w:t xml:space="preserve">採納經修訂會計政策的影響</w:t>
      </w:r>
    </w:p>
    <w:p>
      <w:pPr>
        <w:pStyle w:val="FirstParagraph"/>
      </w:pPr>
      <w:r>
        <w:rPr>
          <w:rFonts w:hint="eastAsia"/>
        </w:rPr>
        <w:t xml:space="preserve">截至2020年12月31日止年度，本集團已修訂其有關確認及計量具特定資產組合的其他分紅業務的保險合約負債的會計政策。</w:t>
      </w:r>
    </w:p>
    <w:p>
      <w:pPr>
        <w:pStyle w:val="BodyText"/>
      </w:pPr>
      <w:r>
        <w:rPr>
          <w:rFonts w:hint="eastAsia"/>
        </w:rPr>
        <w:t xml:space="preserve">具特定資產組合的其他分紅業務指預期保單持有人將收取保險公司基於相關獨立投資資產的表現而酌情釐定的額外給付的業</w:t>
      </w:r>
    </w:p>
    <w:p>
      <w:pPr>
        <w:pStyle w:val="BodyText"/>
      </w:pPr>
      <w:r>
        <w:rPr>
          <w:rFonts w:hint="eastAsia"/>
        </w:rPr>
        <w:t xml:space="preserve">務，而本集團亦就支持該類別資產而作出明確的法定準備金撥備並於相關地區申報。於該會計政策變更前，本集團根據保證</w:t>
      </w:r>
    </w:p>
    <w:p>
      <w:pPr>
        <w:pStyle w:val="BodyText"/>
      </w:pPr>
      <w:r>
        <w:rPr>
          <w:rFonts w:hint="eastAsia"/>
        </w:rPr>
        <w:t xml:space="preserve">給付及非保證分紅的現值減去將從保單持有人收取的估計未來淨保費確認及計量該業務的保險合約負債。自2020年1月1日起</w:t>
      </w:r>
    </w:p>
    <w:p>
      <w:pPr>
        <w:pStyle w:val="BodyText"/>
      </w:pPr>
      <w:r>
        <w:rPr>
          <w:rFonts w:hint="eastAsia"/>
        </w:rPr>
        <w:t xml:space="preserve">生效並追溯應用，本集團現根據保證給付的現值減去將從保單持有人收取的估計未來淨保費確認及計量該業務的保險合約負</w:t>
      </w:r>
    </w:p>
    <w:p>
      <w:pPr>
        <w:pStyle w:val="BodyText"/>
      </w:pPr>
      <w:r>
        <w:rPr>
          <w:rFonts w:hint="eastAsia"/>
        </w:rPr>
        <w:t xml:space="preserve">債。此外，假設於合併財務狀況表日期的所有相關盈餘將根據保單持有人的分紅宣派為保單持有人紅利，保險合約負債就該</w:t>
      </w:r>
    </w:p>
    <w:p>
      <w:pPr>
        <w:pStyle w:val="BodyText"/>
      </w:pPr>
      <w:r>
        <w:rPr>
          <w:rFonts w:hint="eastAsia"/>
        </w:rPr>
        <w:t xml:space="preserve">具特定資產組合的其他分紅業務將分配予保單持有人的淨資產值按相關比例入賬。此方法與產生自分紅業務的保險合約負債</w:t>
      </w:r>
    </w:p>
    <w:p>
      <w:pPr>
        <w:pStyle w:val="BodyText"/>
      </w:pPr>
      <w:r>
        <w:rPr>
          <w:rFonts w:hint="eastAsia"/>
        </w:rPr>
        <w:t xml:space="preserve">現時的會計處理方法一致。該具特定資產組合的其他分紅業務持有的資產給付按相關的紅利規則分配，該紅利規則由相關董</w:t>
      </w:r>
    </w:p>
    <w:p>
      <w:pPr>
        <w:pStyle w:val="BodyText"/>
      </w:pPr>
      <w:r>
        <w:rPr>
          <w:rFonts w:hint="eastAsia"/>
        </w:rPr>
        <w:t xml:space="preserve">事會基於適用監管要求並考慮獲委任精算師的推薦建議後設定。該保單持有人的分紅程度或會隨時間變化，而香港目前用於</w:t>
      </w:r>
    </w:p>
    <w:p>
      <w:pPr>
        <w:pStyle w:val="BodyText"/>
      </w:pPr>
      <w:r>
        <w:rPr>
          <w:rFonts w:hint="eastAsia"/>
        </w:rPr>
        <w:t xml:space="preserve">確認及計量保險合約負債的保單持有人分紅比例介乎70%至90%。</w:t>
      </w:r>
    </w:p>
    <w:p>
      <w:pPr>
        <w:pStyle w:val="BodyText"/>
      </w:pPr>
      <w:r>
        <w:rPr>
          <w:rFonts w:hint="eastAsia"/>
        </w:rPr>
        <w:t xml:space="preserve">本集團認為，就使用者的經濟決定需求而言，新會計政策更加相關且同樣可靠。其使具特定資產組合的其他分紅業務的資產</w:t>
      </w:r>
    </w:p>
    <w:p>
      <w:pPr>
        <w:pStyle w:val="BodyText"/>
      </w:pPr>
      <w:r>
        <w:rPr>
          <w:rFonts w:hint="eastAsia"/>
        </w:rPr>
        <w:t xml:space="preserve">與負債之間具有更大的一致性，並更貼切地反映其經濟實質，從而增加對本集團表現的了解。</w:t>
      </w:r>
    </w:p>
    <w:p>
      <w:pPr>
        <w:pStyle w:val="BodyText"/>
      </w:pPr>
      <w:r>
        <w:t xml:space="preserve">254</w:t>
      </w:r>
    </w:p>
    <w:p>
      <w:pPr>
        <w:pStyle w:val="BodyText"/>
      </w:pPr>
      <w:r>
        <w:rPr>
          <w:rFonts w:hint="eastAsia"/>
        </w:rPr>
        <w:t xml:space="preserve">友邦保險控股有限公司</w:t>
      </w:r>
    </w:p>
    <w:p>
      <w:pPr>
        <w:pStyle w:val="Compact"/>
        <w:numPr>
          <w:ilvl w:val="0"/>
          <w:numId w:val="1566"/>
        </w:numPr>
      </w:pPr>
      <w:r>
        <w:rPr>
          <w:rFonts w:hint="eastAsia"/>
        </w:rPr>
        <w:t xml:space="preserve">採納經修訂會計政策的影響（續）</w:t>
      </w:r>
    </w:p>
    <w:p>
      <w:pPr>
        <w:pStyle w:val="FirstParagraph"/>
      </w:pPr>
      <w:r>
        <w:rPr>
          <w:rFonts w:hint="eastAsia"/>
        </w:rPr>
        <w:t xml:space="preserve">下表顯示採納經修訂會計政策對合併財務報表的量化影響。</w:t>
      </w:r>
    </w:p>
    <w:p>
      <w:pPr>
        <w:pStyle w:val="Compact"/>
        <w:numPr>
          <w:ilvl w:val="0"/>
          <w:numId w:val="1567"/>
        </w:numPr>
      </w:pPr>
      <w:r>
        <w:rPr>
          <w:rFonts w:hint="eastAsia"/>
        </w:rPr>
        <w:t xml:space="preserve">合併收入表</w:t>
      </w:r>
    </w:p>
    <w:p>
      <w:pPr>
        <w:pStyle w:val="FirstParagraph"/>
      </w:pPr>
      <w:r>
        <w:rPr>
          <w:rFonts w:hint="eastAsia"/>
        </w:rPr>
        <w:t xml:space="preserve">百萬美元</w:t>
      </w:r>
    </w:p>
    <w:p>
      <w:pPr>
        <w:pStyle w:val="BodyText"/>
      </w:pPr>
      <w:r>
        <w:rPr>
          <w:rFonts w:hint="eastAsia"/>
        </w:rPr>
        <w:t xml:space="preserve">收益</w:t>
      </w:r>
    </w:p>
    <w:p>
      <w:pPr>
        <w:pStyle w:val="BodyText"/>
      </w:pPr>
      <w:r>
        <w:rPr>
          <w:rFonts w:hint="eastAsia"/>
        </w:rPr>
        <w:t xml:space="preserve">保費及收費收入</w:t>
      </w:r>
    </w:p>
    <w:p>
      <w:pPr>
        <w:pStyle w:val="BodyText"/>
      </w:pPr>
      <w:r>
        <w:rPr>
          <w:rFonts w:hint="eastAsia"/>
        </w:rPr>
        <w:t xml:space="preserve">分保至再保險公司的保費</w:t>
      </w:r>
    </w:p>
    <w:p>
      <w:pPr>
        <w:pStyle w:val="BodyText"/>
      </w:pPr>
      <w:r>
        <w:rPr>
          <w:rFonts w:hint="eastAsia"/>
        </w:rPr>
        <w:t xml:space="preserve">淨保費及收費收入</w:t>
      </w:r>
    </w:p>
    <w:p>
      <w:pPr>
        <w:pStyle w:val="BodyText"/>
      </w:pPr>
      <w:r>
        <w:rPr>
          <w:rFonts w:hint="eastAsia"/>
        </w:rPr>
        <w:t xml:space="preserve">投資回報</w:t>
      </w:r>
    </w:p>
    <w:p>
      <w:pPr>
        <w:pStyle w:val="BodyText"/>
      </w:pPr>
      <w:r>
        <w:rPr>
          <w:rFonts w:hint="eastAsia"/>
        </w:rPr>
        <w:t xml:space="preserve">其他營運收益</w:t>
      </w:r>
    </w:p>
    <w:p>
      <w:pPr>
        <w:pStyle w:val="BodyText"/>
      </w:pPr>
      <w:r>
        <w:rPr>
          <w:rFonts w:hint="eastAsia"/>
        </w:rPr>
        <w:t xml:space="preserve">總收益</w:t>
      </w:r>
    </w:p>
    <w:p>
      <w:pPr>
        <w:pStyle w:val="BodyText"/>
      </w:pPr>
      <w:r>
        <w:rPr>
          <w:rFonts w:hint="eastAsia"/>
        </w:rPr>
        <w:t xml:space="preserve">開支</w:t>
      </w:r>
    </w:p>
    <w:p>
      <w:pPr>
        <w:pStyle w:val="BodyText"/>
      </w:pPr>
      <w:r>
        <w:rPr>
          <w:rFonts w:hint="eastAsia"/>
        </w:rPr>
        <w:t xml:space="preserve">保險及投資合約給付</w:t>
      </w:r>
    </w:p>
    <w:p>
      <w:pPr>
        <w:pStyle w:val="BodyText"/>
      </w:pPr>
      <w:r>
        <w:rPr>
          <w:rFonts w:hint="eastAsia"/>
        </w:rPr>
        <w:t xml:space="preserve">分保保險及投資合約給付</w:t>
      </w:r>
    </w:p>
    <w:p>
      <w:pPr>
        <w:pStyle w:val="BodyText"/>
      </w:pPr>
      <w:r>
        <w:rPr>
          <w:rFonts w:hint="eastAsia"/>
        </w:rPr>
        <w:t xml:space="preserve">淨保險及投資合約給付</w:t>
      </w:r>
    </w:p>
    <w:p>
      <w:pPr>
        <w:pStyle w:val="BodyText"/>
      </w:pPr>
      <w:r>
        <w:rPr>
          <w:rFonts w:hint="eastAsia"/>
        </w:rPr>
        <w:t xml:space="preserve">佣金及其他承保開支</w:t>
      </w:r>
    </w:p>
    <w:p>
      <w:pPr>
        <w:pStyle w:val="BodyText"/>
      </w:pPr>
      <w:r>
        <w:rPr>
          <w:rFonts w:hint="eastAsia"/>
        </w:rPr>
        <w:t xml:space="preserve">營運開支</w:t>
      </w:r>
    </w:p>
    <w:p>
      <w:pPr>
        <w:pStyle w:val="BodyText"/>
      </w:pPr>
      <w:r>
        <w:rPr>
          <w:rFonts w:hint="eastAsia"/>
        </w:rPr>
        <w:t xml:space="preserve">財務費用</w:t>
      </w:r>
    </w:p>
    <w:p>
      <w:pPr>
        <w:pStyle w:val="BodyText"/>
      </w:pPr>
      <w:r>
        <w:rPr>
          <w:rFonts w:hint="eastAsia"/>
        </w:rPr>
        <w:t xml:space="preserve">其他開支</w:t>
      </w:r>
    </w:p>
    <w:p>
      <w:pPr>
        <w:pStyle w:val="BodyText"/>
      </w:pPr>
      <w:r>
        <w:rPr>
          <w:rFonts w:hint="eastAsia"/>
        </w:rPr>
        <w:t xml:space="preserve">總開支</w:t>
      </w:r>
    </w:p>
    <w:p>
      <w:pPr>
        <w:pStyle w:val="BodyText"/>
      </w:pPr>
      <w:r>
        <w:rPr>
          <w:rFonts w:hint="eastAsia"/>
        </w:rPr>
        <w:t xml:space="preserve">分佔聯營公司及合資公司虧損前溢利</w:t>
      </w:r>
      <w:r>
        <w:t xml:space="preserve"> </w:t>
      </w:r>
      <w:r>
        <w:rPr>
          <w:rFonts w:hint="eastAsia"/>
        </w:rPr>
        <w:t xml:space="preserve">∕（虧損）</w:t>
      </w:r>
    </w:p>
    <w:p>
      <w:pPr>
        <w:pStyle w:val="BodyText"/>
      </w:pPr>
      <w:r>
        <w:rPr>
          <w:rFonts w:hint="eastAsia"/>
        </w:rPr>
        <w:t xml:space="preserve">分佔聯營公司及合資公司虧損</w:t>
      </w:r>
    </w:p>
    <w:p>
      <w:pPr>
        <w:pStyle w:val="BodyText"/>
      </w:pPr>
      <w:r>
        <w:rPr>
          <w:rFonts w:hint="eastAsia"/>
        </w:rPr>
        <w:t xml:space="preserve">稅前溢利</w:t>
      </w:r>
      <w:r>
        <w:t xml:space="preserve"> </w:t>
      </w:r>
      <w:r>
        <w:rPr>
          <w:rFonts w:hint="eastAsia"/>
        </w:rPr>
        <w:t xml:space="preserve">∕（虧損）</w:t>
      </w:r>
    </w:p>
    <w:p>
      <w:pPr>
        <w:pStyle w:val="BodyText"/>
      </w:pPr>
      <w:r>
        <w:rPr>
          <w:rFonts w:hint="eastAsia"/>
        </w:rPr>
        <w:t xml:space="preserve">保單持有人回報應佔所得稅開支</w:t>
      </w:r>
    </w:p>
    <w:p>
      <w:pPr>
        <w:pStyle w:val="BodyText"/>
      </w:pPr>
      <w:r>
        <w:rPr>
          <w:rFonts w:hint="eastAsia"/>
        </w:rPr>
        <w:t xml:space="preserve">稅前股東應佔溢利</w:t>
      </w:r>
      <w:r>
        <w:t xml:space="preserve"> </w:t>
      </w:r>
      <w:r>
        <w:rPr>
          <w:rFonts w:hint="eastAsia"/>
        </w:rPr>
        <w:t xml:space="preserve">∕（虧損）</w:t>
      </w:r>
    </w:p>
    <w:p>
      <w:pPr>
        <w:pStyle w:val="BodyText"/>
      </w:pPr>
      <w:r>
        <w:rPr>
          <w:rFonts w:hint="eastAsia"/>
        </w:rPr>
        <w:t xml:space="preserve">稅項開支</w:t>
      </w:r>
    </w:p>
    <w:p>
      <w:pPr>
        <w:pStyle w:val="BodyText"/>
      </w:pPr>
      <w:r>
        <w:rPr>
          <w:rFonts w:hint="eastAsia"/>
        </w:rPr>
        <w:t xml:space="preserve">保單持有人回報應佔稅項</w:t>
      </w:r>
    </w:p>
    <w:p>
      <w:pPr>
        <w:pStyle w:val="BodyText"/>
      </w:pPr>
      <w:r>
        <w:rPr>
          <w:rFonts w:hint="eastAsia"/>
        </w:rPr>
        <w:t xml:space="preserve">股東溢利應佔稅項開支</w:t>
      </w:r>
    </w:p>
    <w:p>
      <w:pPr>
        <w:pStyle w:val="BodyText"/>
      </w:pPr>
      <w:r>
        <w:rPr>
          <w:rFonts w:hint="eastAsia"/>
        </w:rPr>
        <w:t xml:space="preserve">純利</w:t>
      </w:r>
      <w:r>
        <w:t xml:space="preserve"> </w:t>
      </w:r>
      <w:r>
        <w:rPr>
          <w:rFonts w:hint="eastAsia"/>
        </w:rPr>
        <w:t xml:space="preserve">∕（虧損）</w:t>
      </w:r>
    </w:p>
    <w:p>
      <w:pPr>
        <w:pStyle w:val="BodyText"/>
      </w:pPr>
      <w:r>
        <w:rPr>
          <w:rFonts w:hint="eastAsia"/>
        </w:rPr>
        <w:t xml:space="preserve">下列人士應佔純利∕（虧損）：</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每股盈利（美元）</w:t>
      </w:r>
    </w:p>
    <w:p>
      <w:pPr>
        <w:pStyle w:val="BodyText"/>
      </w:pPr>
      <w:r>
        <w:rPr>
          <w:rFonts w:hint="eastAsia"/>
        </w:rPr>
        <w:t xml:space="preserve">基本</w:t>
      </w:r>
    </w:p>
    <w:p>
      <w:pPr>
        <w:pStyle w:val="BodyText"/>
      </w:pPr>
      <w:r>
        <w:rPr>
          <w:rFonts w:hint="eastAsia"/>
        </w:rPr>
        <w:t xml:space="preserve">攤薄</w:t>
      </w:r>
    </w:p>
    <w:p>
      <w:pPr>
        <w:pStyle w:val="BodyText"/>
      </w:pPr>
      <w:r>
        <w:rPr>
          <w:rFonts w:hint="eastAsia"/>
        </w:rPr>
        <w:t xml:space="preserve">截至2020年</w:t>
      </w:r>
      <w:r>
        <w:br/>
      </w:r>
      <w:r>
        <w:rPr>
          <w:rFonts w:hint="eastAsia"/>
        </w:rPr>
        <w:t xml:space="preserve">12月31日止年度</w:t>
      </w:r>
      <w:r>
        <w:br/>
      </w:r>
      <w:r>
        <w:rPr>
          <w:rFonts w:hint="eastAsia"/>
        </w:rPr>
        <w:t xml:space="preserve">（會計政策變更前）</w:t>
      </w:r>
    </w:p>
    <w:p>
      <w:pPr>
        <w:pStyle w:val="BodyText"/>
      </w:pPr>
      <w:r>
        <w:rPr>
          <w:rFonts w:hint="eastAsia"/>
        </w:rPr>
        <w:t xml:space="preserve">會計政策</w:t>
      </w:r>
      <w:r>
        <w:br/>
      </w:r>
      <w:r>
        <w:rPr>
          <w:rFonts w:hint="eastAsia"/>
        </w:rPr>
        <w:t xml:space="preserve">變更的影響</w:t>
      </w:r>
    </w:p>
    <w:p>
      <w:pPr>
        <w:pStyle w:val="BodyText"/>
      </w:pPr>
      <w:r>
        <w:rPr>
          <w:rFonts w:hint="eastAsia"/>
        </w:rPr>
        <w:t xml:space="preserve">截至2020年</w:t>
      </w:r>
      <w:r>
        <w:br/>
      </w:r>
      <w:r>
        <w:rPr>
          <w:rFonts w:hint="eastAsia"/>
        </w:rPr>
        <w:t xml:space="preserve">12月31日止年度</w:t>
      </w:r>
      <w:r>
        <w:br/>
      </w:r>
      <w:r>
        <w:rPr>
          <w:rFonts w:hint="eastAsia"/>
        </w:rPr>
        <w:t xml:space="preserve">（所呈報）</w:t>
      </w:r>
    </w:p>
    <w:p>
      <w:pPr>
        <w:pStyle w:val="BodyText"/>
      </w:pPr>
      <w:r>
        <w:t xml:space="preserve">35,780</w:t>
      </w:r>
    </w:p>
    <w:p>
      <w:pPr>
        <w:pStyle w:val="BodyText"/>
      </w:pPr>
      <w:r>
        <w:t xml:space="preserve">(2,452)</w:t>
      </w:r>
    </w:p>
    <w:p>
      <w:pPr>
        <w:pStyle w:val="BodyText"/>
      </w:pPr>
      <w:r>
        <w:t xml:space="preserve">33,328</w:t>
      </w:r>
    </w:p>
    <w:p>
      <w:pPr>
        <w:pStyle w:val="BodyText"/>
      </w:pPr>
      <w:r>
        <w:t xml:space="preserve">16,707</w:t>
      </w:r>
    </w:p>
    <w:p>
      <w:pPr>
        <w:pStyle w:val="BodyText"/>
      </w:pPr>
      <w:r>
        <w:t xml:space="preserve">324</w:t>
      </w:r>
    </w:p>
    <w:p>
      <w:pPr>
        <w:pStyle w:val="BodyText"/>
      </w:pPr>
      <w:r>
        <w:t xml:space="preserve">50,359</w:t>
      </w:r>
    </w:p>
    <w:p>
      <w:pPr>
        <w:pStyle w:val="BodyText"/>
      </w:pPr>
      <w:r>
        <w:t xml:space="preserve">35,090</w:t>
      </w:r>
    </w:p>
    <w:p>
      <w:pPr>
        <w:pStyle w:val="BodyText"/>
      </w:pPr>
      <w:r>
        <w:t xml:space="preserve">(2,126)</w:t>
      </w:r>
    </w:p>
    <w:p>
      <w:pPr>
        <w:pStyle w:val="BodyText"/>
      </w:pPr>
      <w:r>
        <w:t xml:space="preserve">32,964</w:t>
      </w:r>
    </w:p>
    <w:p>
      <w:pPr>
        <w:pStyle w:val="BodyText"/>
      </w:pPr>
      <w:r>
        <w:t xml:space="preserve">4,402</w:t>
      </w:r>
    </w:p>
    <w:p>
      <w:pPr>
        <w:pStyle w:val="BodyText"/>
      </w:pPr>
      <w:r>
        <w:t xml:space="preserve">2,695</w:t>
      </w:r>
    </w:p>
    <w:p>
      <w:pPr>
        <w:pStyle w:val="BodyText"/>
      </w:pPr>
      <w:r>
        <w:t xml:space="preserve">292</w:t>
      </w:r>
    </w:p>
    <w:p>
      <w:pPr>
        <w:pStyle w:val="BodyText"/>
      </w:pPr>
      <w:r>
        <w:t xml:space="preserve">944</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1,775</w:t>
      </w:r>
    </w:p>
    <w:p>
      <w:pPr>
        <w:pStyle w:val="BodyText"/>
      </w:pPr>
      <w:r>
        <w:t xml:space="preserve">–</w:t>
      </w:r>
    </w:p>
    <w:p>
      <w:pPr>
        <w:pStyle w:val="BodyText"/>
      </w:pPr>
      <w:r>
        <w:t xml:space="preserve">1,775</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35,780</w:t>
      </w:r>
    </w:p>
    <w:p>
      <w:pPr>
        <w:pStyle w:val="BodyText"/>
      </w:pPr>
      <w:r>
        <w:t xml:space="preserve">(2,452)</w:t>
      </w:r>
    </w:p>
    <w:p>
      <w:pPr>
        <w:pStyle w:val="BodyText"/>
      </w:pPr>
      <w:r>
        <w:t xml:space="preserve">33,328</w:t>
      </w:r>
    </w:p>
    <w:p>
      <w:pPr>
        <w:pStyle w:val="BodyText"/>
      </w:pPr>
      <w:r>
        <w:t xml:space="preserve">16,707</w:t>
      </w:r>
    </w:p>
    <w:p>
      <w:pPr>
        <w:pStyle w:val="BodyText"/>
      </w:pPr>
      <w:r>
        <w:t xml:space="preserve">324</w:t>
      </w:r>
    </w:p>
    <w:p>
      <w:pPr>
        <w:pStyle w:val="BodyText"/>
      </w:pPr>
      <w:r>
        <w:t xml:space="preserve">50,359</w:t>
      </w:r>
    </w:p>
    <w:p>
      <w:pPr>
        <w:pStyle w:val="BodyText"/>
      </w:pPr>
      <w:r>
        <w:t xml:space="preserve">36,865</w:t>
      </w:r>
    </w:p>
    <w:p>
      <w:pPr>
        <w:pStyle w:val="BodyText"/>
      </w:pPr>
      <w:r>
        <w:t xml:space="preserve">(2,126)</w:t>
      </w:r>
    </w:p>
    <w:p>
      <w:pPr>
        <w:pStyle w:val="BodyText"/>
      </w:pPr>
      <w:r>
        <w:t xml:space="preserve">34,739</w:t>
      </w:r>
    </w:p>
    <w:p>
      <w:pPr>
        <w:pStyle w:val="BodyText"/>
      </w:pPr>
      <w:r>
        <w:t xml:space="preserve">4,402</w:t>
      </w:r>
    </w:p>
    <w:p>
      <w:pPr>
        <w:pStyle w:val="BodyText"/>
      </w:pPr>
      <w:r>
        <w:t xml:space="preserve">2,695</w:t>
      </w:r>
    </w:p>
    <w:p>
      <w:pPr>
        <w:pStyle w:val="BodyText"/>
      </w:pPr>
      <w:r>
        <w:t xml:space="preserve">292</w:t>
      </w:r>
    </w:p>
    <w:p>
      <w:pPr>
        <w:pStyle w:val="BodyText"/>
      </w:pPr>
      <w:r>
        <w:t xml:space="preserve">944</w:t>
      </w:r>
    </w:p>
    <w:p>
      <w:pPr>
        <w:pStyle w:val="BodyText"/>
      </w:pPr>
      <w:r>
        <w:t xml:space="preserve">41,297</w:t>
      </w:r>
    </w:p>
    <w:p>
      <w:pPr>
        <w:pStyle w:val="BodyText"/>
      </w:pPr>
      <w:r>
        <w:t xml:space="preserve">1,775</w:t>
      </w:r>
    </w:p>
    <w:p>
      <w:pPr>
        <w:pStyle w:val="BodyText"/>
      </w:pPr>
      <w:r>
        <w:t xml:space="preserve">43,072</w:t>
      </w:r>
    </w:p>
    <w:p>
      <w:pPr>
        <w:pStyle w:val="BodyText"/>
      </w:pPr>
      <w:r>
        <w:t xml:space="preserve">9,062</w:t>
      </w:r>
    </w:p>
    <w:p>
      <w:pPr>
        <w:pStyle w:val="FirstParagraph"/>
      </w:pPr>
      <w:r>
        <w:t xml:space="preserve">9,045</w:t>
      </w:r>
    </w:p>
    <w:p>
      <w:pPr>
        <w:pStyle w:val="FirstParagraph"/>
      </w:pPr>
      <w:r>
        <w:t xml:space="preserve">8,874</w:t>
      </w:r>
    </w:p>
    <w:p>
      <w:pPr>
        <w:pStyle w:val="BodyText"/>
      </w:pPr>
      <w:r>
        <w:t xml:space="preserve">(1,489)</w:t>
      </w:r>
    </w:p>
    <w:p>
      <w:pPr>
        <w:pStyle w:val="BodyText"/>
      </w:pPr>
      <w:r>
        <w:t xml:space="preserve">171</w:t>
      </w:r>
    </w:p>
    <w:p>
      <w:pPr>
        <w:pStyle w:val="BodyText"/>
      </w:pPr>
      <w:r>
        <w:t xml:space="preserve">(1,318)</w:t>
      </w:r>
    </w:p>
    <w:p>
      <w:pPr>
        <w:pStyle w:val="BodyText"/>
      </w:pPr>
      <w:r>
        <w:t xml:space="preserve">(1,775)</w:t>
      </w:r>
    </w:p>
    <w:p>
      <w:pPr>
        <w:pStyle w:val="BodyText"/>
      </w:pPr>
      <w:r>
        <w:t xml:space="preserve">–</w:t>
      </w:r>
    </w:p>
    <w:p>
      <w:pPr>
        <w:pStyle w:val="BodyText"/>
      </w:pPr>
      <w:r>
        <w:t xml:space="preserve">(1,775)</w:t>
      </w:r>
    </w:p>
    <w:p>
      <w:pPr>
        <w:pStyle w:val="BodyText"/>
      </w:pPr>
      <w:r>
        <w:t xml:space="preserve">–</w:t>
      </w:r>
    </w:p>
    <w:p>
      <w:pPr>
        <w:pStyle w:val="BodyText"/>
      </w:pPr>
      <w:r>
        <w:t xml:space="preserve">(1,775)</w:t>
      </w:r>
    </w:p>
    <w:p>
      <w:pPr>
        <w:pStyle w:val="FirstParagraph"/>
      </w:pPr>
      <w:r>
        <w:t xml:space="preserve">–</w:t>
      </w:r>
    </w:p>
    <w:p>
      <w:pPr>
        <w:pStyle w:val="FirstParagraph"/>
      </w:pPr>
      <w:r>
        <w:t xml:space="preserve">7,287</w:t>
      </w:r>
    </w:p>
    <w:p>
      <w:pPr>
        <w:pStyle w:val="FirstParagraph"/>
      </w:pPr>
      <w:r>
        <w:t xml:space="preserve">7,270</w:t>
      </w:r>
    </w:p>
    <w:p>
      <w:pPr>
        <w:pStyle w:val="FirstParagraph"/>
      </w:pPr>
      <w:r>
        <w:t xml:space="preserve">7,099</w:t>
      </w:r>
    </w:p>
    <w:p>
      <w:pPr>
        <w:pStyle w:val="BodyText"/>
      </w:pPr>
      <w:r>
        <w:t xml:space="preserve">(1,491)</w:t>
      </w:r>
    </w:p>
    <w:p>
      <w:pPr>
        <w:pStyle w:val="BodyText"/>
      </w:pPr>
      <w:r>
        <w:t xml:space="preserve">171</w:t>
      </w:r>
    </w:p>
    <w:p>
      <w:pPr>
        <w:pStyle w:val="BodyText"/>
      </w:pPr>
      <w:r>
        <w:t xml:space="preserve">(1,320)</w:t>
      </w:r>
    </w:p>
    <w:p>
      <w:pPr>
        <w:pStyle w:val="BodyText"/>
      </w:pPr>
      <w:r>
        <w:t xml:space="preserve">7,556</w:t>
      </w:r>
    </w:p>
    <w:p>
      <w:pPr>
        <w:pStyle w:val="BodyText"/>
      </w:pPr>
      <w:r>
        <w:t xml:space="preserve">(1,777)</w:t>
      </w:r>
    </w:p>
    <w:p>
      <w:pPr>
        <w:pStyle w:val="BodyText"/>
      </w:pPr>
      <w:r>
        <w:t xml:space="preserve">5,779</w:t>
      </w:r>
    </w:p>
    <w:p>
      <w:pPr>
        <w:pStyle w:val="BodyText"/>
      </w:pPr>
      <w:r>
        <w:t xml:space="preserve">7,556</w:t>
      </w:r>
    </w:p>
    <w:p>
      <w:pPr>
        <w:pStyle w:val="BodyText"/>
      </w:pPr>
      <w:r>
        <w:t xml:space="preserve">–</w:t>
      </w:r>
    </w:p>
    <w:p>
      <w:pPr>
        <w:pStyle w:val="BodyText"/>
      </w:pPr>
      <w:r>
        <w:t xml:space="preserve">0.63</w:t>
      </w:r>
    </w:p>
    <w:p>
      <w:pPr>
        <w:pStyle w:val="BodyText"/>
      </w:pPr>
      <w:r>
        <w:t xml:space="preserve">0.63</w:t>
      </w:r>
    </w:p>
    <w:p>
      <w:pPr>
        <w:pStyle w:val="BodyText"/>
      </w:pPr>
      <w:r>
        <w:t xml:space="preserve">(1,777)</w:t>
      </w:r>
    </w:p>
    <w:p>
      <w:pPr>
        <w:pStyle w:val="BodyText"/>
      </w:pPr>
      <w:r>
        <w:t xml:space="preserve">–</w:t>
      </w:r>
    </w:p>
    <w:p>
      <w:pPr>
        <w:pStyle w:val="BodyText"/>
      </w:pPr>
      <w:r>
        <w:t xml:space="preserve">(0.15)</w:t>
      </w:r>
    </w:p>
    <w:p>
      <w:pPr>
        <w:pStyle w:val="BodyText"/>
      </w:pPr>
      <w:r>
        <w:t xml:space="preserve">(0.15)</w:t>
      </w:r>
    </w:p>
    <w:p>
      <w:pPr>
        <w:pStyle w:val="BodyText"/>
      </w:pPr>
      <w:r>
        <w:t xml:space="preserve">5,779</w:t>
      </w:r>
    </w:p>
    <w:p>
      <w:pPr>
        <w:pStyle w:val="BodyText"/>
      </w:pPr>
      <w:r>
        <w:t xml:space="preserve">–</w:t>
      </w:r>
    </w:p>
    <w:p>
      <w:pPr>
        <w:pStyle w:val="BodyText"/>
      </w:pPr>
      <w:r>
        <w:t xml:space="preserve">0.48</w:t>
      </w:r>
    </w:p>
    <w:p>
      <w:pPr>
        <w:pStyle w:val="BodyText"/>
      </w:pPr>
      <w:r>
        <w:t xml:space="preserve">0.48</w:t>
      </w:r>
    </w:p>
    <w:p>
      <w:pPr>
        <w:pStyle w:val="BodyText"/>
      </w:pPr>
      <w:r>
        <w:t xml:space="preserve">255</w:t>
      </w:r>
    </w:p>
    <w:p>
      <w:pPr>
        <w:pStyle w:val="BodyText"/>
      </w:pPr>
      <w:r>
        <w:rPr>
          <w:rFonts w:hint="eastAsia"/>
        </w:rPr>
        <w:t xml:space="preserve">概覽財務及營運回顧企業管治其他資料財務報表2020年報</w:t>
      </w:r>
    </w:p>
    <w:p>
      <w:pPr>
        <w:pStyle w:val="Compact"/>
        <w:numPr>
          <w:ilvl w:val="0"/>
          <w:numId w:val="1574"/>
        </w:numPr>
      </w:pPr>
      <w:r>
        <w:rPr>
          <w:rFonts w:hint="eastAsia"/>
        </w:rPr>
        <w:t xml:space="preserve">採納經修訂會計政策的影響（續）</w:t>
      </w:r>
    </w:p>
    <w:p>
      <w:pPr>
        <w:pStyle w:val="Compact"/>
        <w:numPr>
          <w:ilvl w:val="0"/>
          <w:numId w:val="1575"/>
        </w:numPr>
      </w:pPr>
      <w:r>
        <w:rPr>
          <w:rFonts w:hint="eastAsia"/>
        </w:rPr>
        <w:t xml:space="preserve">合併收入表（續）</w:t>
      </w:r>
    </w:p>
    <w:p>
      <w:pPr>
        <w:pStyle w:val="FirstParagraph"/>
      </w:pPr>
      <w:r>
        <w:rPr>
          <w:rFonts w:hint="eastAsia"/>
        </w:rPr>
        <w:t xml:space="preserve">百萬美元</w:t>
      </w:r>
    </w:p>
    <w:p>
      <w:pPr>
        <w:pStyle w:val="BodyText"/>
      </w:pPr>
      <w:r>
        <w:rPr>
          <w:rFonts w:hint="eastAsia"/>
        </w:rPr>
        <w:t xml:space="preserve">收益</w:t>
      </w:r>
    </w:p>
    <w:p>
      <w:pPr>
        <w:pStyle w:val="BodyText"/>
      </w:pPr>
      <w:r>
        <w:rPr>
          <w:rFonts w:hint="eastAsia"/>
        </w:rPr>
        <w:t xml:space="preserve">保費及收費收入</w:t>
      </w:r>
    </w:p>
    <w:p>
      <w:pPr>
        <w:pStyle w:val="BodyText"/>
      </w:pPr>
      <w:r>
        <w:rPr>
          <w:rFonts w:hint="eastAsia"/>
        </w:rPr>
        <w:t xml:space="preserve">分保至再保險公司的保費</w:t>
      </w:r>
    </w:p>
    <w:p>
      <w:pPr>
        <w:pStyle w:val="BodyText"/>
      </w:pPr>
      <w:r>
        <w:rPr>
          <w:rFonts w:hint="eastAsia"/>
        </w:rPr>
        <w:t xml:space="preserve">淨保費及收費收入</w:t>
      </w:r>
    </w:p>
    <w:p>
      <w:pPr>
        <w:pStyle w:val="BodyText"/>
      </w:pPr>
      <w:r>
        <w:rPr>
          <w:rFonts w:hint="eastAsia"/>
        </w:rPr>
        <w:t xml:space="preserve">投資回報</w:t>
      </w:r>
    </w:p>
    <w:p>
      <w:pPr>
        <w:pStyle w:val="BodyText"/>
      </w:pPr>
      <w:r>
        <w:rPr>
          <w:rFonts w:hint="eastAsia"/>
        </w:rPr>
        <w:t xml:space="preserve">其他營運收益</w:t>
      </w:r>
    </w:p>
    <w:p>
      <w:pPr>
        <w:pStyle w:val="BodyText"/>
      </w:pPr>
      <w:r>
        <w:rPr>
          <w:rFonts w:hint="eastAsia"/>
        </w:rPr>
        <w:t xml:space="preserve">總收益</w:t>
      </w:r>
    </w:p>
    <w:p>
      <w:pPr>
        <w:pStyle w:val="BodyText"/>
      </w:pPr>
      <w:r>
        <w:rPr>
          <w:rFonts w:hint="eastAsia"/>
        </w:rPr>
        <w:t xml:space="preserve">開支</w:t>
      </w:r>
    </w:p>
    <w:p>
      <w:pPr>
        <w:pStyle w:val="BodyText"/>
      </w:pPr>
      <w:r>
        <w:rPr>
          <w:rFonts w:hint="eastAsia"/>
        </w:rPr>
        <w:t xml:space="preserve">保險及投資合約給付</w:t>
      </w:r>
    </w:p>
    <w:p>
      <w:pPr>
        <w:pStyle w:val="BodyText"/>
      </w:pPr>
      <w:r>
        <w:rPr>
          <w:rFonts w:hint="eastAsia"/>
        </w:rPr>
        <w:t xml:space="preserve">分保保險及投資合約給付</w:t>
      </w:r>
    </w:p>
    <w:p>
      <w:pPr>
        <w:pStyle w:val="BodyText"/>
      </w:pPr>
      <w:r>
        <w:rPr>
          <w:rFonts w:hint="eastAsia"/>
        </w:rPr>
        <w:t xml:space="preserve">淨保險及投資合約給付</w:t>
      </w:r>
    </w:p>
    <w:p>
      <w:pPr>
        <w:pStyle w:val="BodyText"/>
      </w:pPr>
      <w:r>
        <w:rPr>
          <w:rFonts w:hint="eastAsia"/>
        </w:rPr>
        <w:t xml:space="preserve">佣金及其他承保開支</w:t>
      </w:r>
    </w:p>
    <w:p>
      <w:pPr>
        <w:pStyle w:val="BodyText"/>
      </w:pPr>
      <w:r>
        <w:rPr>
          <w:rFonts w:hint="eastAsia"/>
        </w:rPr>
        <w:t xml:space="preserve">營運開支</w:t>
      </w:r>
    </w:p>
    <w:p>
      <w:pPr>
        <w:pStyle w:val="BodyText"/>
      </w:pPr>
      <w:r>
        <w:rPr>
          <w:rFonts w:hint="eastAsia"/>
        </w:rPr>
        <w:t xml:space="preserve">財務費用</w:t>
      </w:r>
    </w:p>
    <w:p>
      <w:pPr>
        <w:pStyle w:val="BodyText"/>
      </w:pPr>
      <w:r>
        <w:rPr>
          <w:rFonts w:hint="eastAsia"/>
        </w:rPr>
        <w:t xml:space="preserve">其他開支</w:t>
      </w:r>
    </w:p>
    <w:p>
      <w:pPr>
        <w:pStyle w:val="BodyText"/>
      </w:pPr>
      <w:r>
        <w:rPr>
          <w:rFonts w:hint="eastAsia"/>
        </w:rPr>
        <w:t xml:space="preserve">總開支</w:t>
      </w:r>
    </w:p>
    <w:p>
      <w:pPr>
        <w:pStyle w:val="BodyText"/>
      </w:pPr>
      <w:r>
        <w:rPr>
          <w:rFonts w:hint="eastAsia"/>
        </w:rPr>
        <w:t xml:space="preserve">分佔聯營公司及合資公司虧損前溢利</w:t>
      </w:r>
      <w:r>
        <w:t xml:space="preserve"> </w:t>
      </w:r>
      <w:r>
        <w:rPr>
          <w:rFonts w:hint="eastAsia"/>
        </w:rPr>
        <w:t xml:space="preserve">∕（虧損）</w:t>
      </w:r>
    </w:p>
    <w:p>
      <w:pPr>
        <w:pStyle w:val="BodyText"/>
      </w:pPr>
      <w:r>
        <w:rPr>
          <w:rFonts w:hint="eastAsia"/>
        </w:rPr>
        <w:t xml:space="preserve">分佔聯營公司及合資公司虧損</w:t>
      </w:r>
    </w:p>
    <w:p>
      <w:pPr>
        <w:pStyle w:val="BodyText"/>
      </w:pPr>
      <w:r>
        <w:rPr>
          <w:rFonts w:hint="eastAsia"/>
        </w:rPr>
        <w:t xml:space="preserve">稅前溢利</w:t>
      </w:r>
      <w:r>
        <w:t xml:space="preserve"> </w:t>
      </w:r>
      <w:r>
        <w:rPr>
          <w:rFonts w:hint="eastAsia"/>
        </w:rPr>
        <w:t xml:space="preserve">∕（虧損）</w:t>
      </w:r>
    </w:p>
    <w:p>
      <w:pPr>
        <w:pStyle w:val="BodyText"/>
      </w:pPr>
      <w:r>
        <w:rPr>
          <w:rFonts w:hint="eastAsia"/>
        </w:rPr>
        <w:t xml:space="preserve">保單持有人回報應佔所得稅開支</w:t>
      </w:r>
    </w:p>
    <w:p>
      <w:pPr>
        <w:pStyle w:val="BodyText"/>
      </w:pPr>
      <w:r>
        <w:rPr>
          <w:rFonts w:hint="eastAsia"/>
        </w:rPr>
        <w:t xml:space="preserve">稅前股東應佔溢利</w:t>
      </w:r>
      <w:r>
        <w:t xml:space="preserve"> </w:t>
      </w:r>
      <w:r>
        <w:rPr>
          <w:rFonts w:hint="eastAsia"/>
        </w:rPr>
        <w:t xml:space="preserve">∕（虧損）</w:t>
      </w:r>
    </w:p>
    <w:p>
      <w:pPr>
        <w:pStyle w:val="BodyText"/>
      </w:pPr>
      <w:r>
        <w:rPr>
          <w:rFonts w:hint="eastAsia"/>
        </w:rPr>
        <w:t xml:space="preserve">稅項開支</w:t>
      </w:r>
    </w:p>
    <w:p>
      <w:pPr>
        <w:pStyle w:val="BodyText"/>
      </w:pPr>
      <w:r>
        <w:rPr>
          <w:rFonts w:hint="eastAsia"/>
        </w:rPr>
        <w:t xml:space="preserve">保單持有人回報應佔稅項</w:t>
      </w:r>
    </w:p>
    <w:p>
      <w:pPr>
        <w:pStyle w:val="BodyText"/>
      </w:pPr>
      <w:r>
        <w:rPr>
          <w:rFonts w:hint="eastAsia"/>
        </w:rPr>
        <w:t xml:space="preserve">股東溢利應佔稅項開支</w:t>
      </w:r>
    </w:p>
    <w:p>
      <w:pPr>
        <w:pStyle w:val="BodyText"/>
      </w:pPr>
      <w:r>
        <w:rPr>
          <w:rFonts w:hint="eastAsia"/>
        </w:rPr>
        <w:t xml:space="preserve">純利</w:t>
      </w:r>
      <w:r>
        <w:t xml:space="preserve"> </w:t>
      </w:r>
      <w:r>
        <w:rPr>
          <w:rFonts w:hint="eastAsia"/>
        </w:rPr>
        <w:t xml:space="preserve">∕（虧損）</w:t>
      </w:r>
    </w:p>
    <w:p>
      <w:pPr>
        <w:pStyle w:val="BodyText"/>
      </w:pPr>
      <w:r>
        <w:rPr>
          <w:rFonts w:hint="eastAsia"/>
        </w:rPr>
        <w:t xml:space="preserve">下列人士應佔純利∕（虧損）：</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每股盈利（美元）</w:t>
      </w:r>
    </w:p>
    <w:p>
      <w:pPr>
        <w:pStyle w:val="BodyText"/>
      </w:pPr>
      <w:r>
        <w:rPr>
          <w:rFonts w:hint="eastAsia"/>
        </w:rPr>
        <w:t xml:space="preserve">基本</w:t>
      </w:r>
    </w:p>
    <w:p>
      <w:pPr>
        <w:pStyle w:val="BodyText"/>
      </w:pPr>
      <w:r>
        <w:rPr>
          <w:rFonts w:hint="eastAsia"/>
        </w:rPr>
        <w:t xml:space="preserve">攤薄</w:t>
      </w:r>
    </w:p>
    <w:p>
      <w:pPr>
        <w:pStyle w:val="BodyText"/>
      </w:pPr>
      <w:r>
        <w:t xml:space="preserve">256</w:t>
      </w:r>
    </w:p>
    <w:p>
      <w:pPr>
        <w:pStyle w:val="BodyText"/>
      </w:pPr>
      <w:r>
        <w:rPr>
          <w:rFonts w:hint="eastAsia"/>
        </w:rPr>
        <w:t xml:space="preserve">截至2019年</w:t>
      </w:r>
      <w:r>
        <w:br/>
      </w:r>
      <w:r>
        <w:rPr>
          <w:rFonts w:hint="eastAsia"/>
        </w:rPr>
        <w:t xml:space="preserve">12月31日止年度</w:t>
      </w:r>
      <w:r>
        <w:br/>
      </w:r>
      <w:r>
        <w:rPr>
          <w:rFonts w:hint="eastAsia"/>
        </w:rPr>
        <w:t xml:space="preserve">（如前期呈報）</w:t>
      </w:r>
    </w:p>
    <w:p>
      <w:pPr>
        <w:pStyle w:val="BodyText"/>
      </w:pPr>
      <w:r>
        <w:rPr>
          <w:rFonts w:hint="eastAsia"/>
        </w:rPr>
        <w:t xml:space="preserve">會計政策</w:t>
      </w:r>
      <w:r>
        <w:br/>
      </w:r>
      <w:r>
        <w:rPr>
          <w:rFonts w:hint="eastAsia"/>
        </w:rPr>
        <w:t xml:space="preserve">變更追溯</w:t>
      </w:r>
      <w:r>
        <w:br/>
      </w:r>
      <w:r>
        <w:rPr>
          <w:rFonts w:hint="eastAsia"/>
        </w:rPr>
        <w:t xml:space="preserve">調整</w:t>
      </w:r>
    </w:p>
    <w:p>
      <w:pPr>
        <w:pStyle w:val="BodyText"/>
      </w:pPr>
      <w:r>
        <w:rPr>
          <w:rFonts w:hint="eastAsia"/>
        </w:rPr>
        <w:t xml:space="preserve">截至2019年</w:t>
      </w:r>
      <w:r>
        <w:br/>
      </w:r>
      <w:r>
        <w:rPr>
          <w:rFonts w:hint="eastAsia"/>
        </w:rPr>
        <w:t xml:space="preserve">12月31日止年度</w:t>
      </w:r>
      <w:r>
        <w:br/>
      </w:r>
      <w:r>
        <w:rPr>
          <w:rFonts w:hint="eastAsia"/>
        </w:rPr>
        <w:t xml:space="preserve">（經調整）</w:t>
      </w:r>
    </w:p>
    <w:p>
      <w:pPr>
        <w:pStyle w:val="BodyText"/>
      </w:pPr>
      <w:r>
        <w:t xml:space="preserve">34,777</w:t>
      </w:r>
    </w:p>
    <w:p>
      <w:pPr>
        <w:pStyle w:val="BodyText"/>
      </w:pPr>
      <w:r>
        <w:t xml:space="preserve">(2,166)</w:t>
      </w:r>
    </w:p>
    <w:p>
      <w:pPr>
        <w:pStyle w:val="BodyText"/>
      </w:pPr>
      <w:r>
        <w:t xml:space="preserve">32,611</w:t>
      </w:r>
    </w:p>
    <w:p>
      <w:pPr>
        <w:pStyle w:val="BodyText"/>
      </w:pPr>
      <w:r>
        <w:t xml:space="preserve">14,350</w:t>
      </w:r>
    </w:p>
    <w:p>
      <w:pPr>
        <w:pStyle w:val="BodyText"/>
      </w:pPr>
      <w:r>
        <w:t xml:space="preserve">281</w:t>
      </w:r>
    </w:p>
    <w:p>
      <w:pPr>
        <w:pStyle w:val="BodyText"/>
      </w:pPr>
      <w:r>
        <w:t xml:space="preserve">47,242</w:t>
      </w:r>
    </w:p>
    <w:p>
      <w:pPr>
        <w:pStyle w:val="BodyText"/>
      </w:pPr>
      <w:r>
        <w:t xml:space="preserve">33,400</w:t>
      </w:r>
    </w:p>
    <w:p>
      <w:pPr>
        <w:pStyle w:val="BodyText"/>
      </w:pPr>
      <w:r>
        <w:t xml:space="preserve">(1,940)</w:t>
      </w:r>
    </w:p>
    <w:p>
      <w:pPr>
        <w:pStyle w:val="BodyText"/>
      </w:pPr>
      <w:r>
        <w:t xml:space="preserve">31,460</w:t>
      </w:r>
    </w:p>
    <w:p>
      <w:pPr>
        <w:pStyle w:val="BodyText"/>
      </w:pPr>
      <w:r>
        <w:t xml:space="preserve">4,283</w:t>
      </w:r>
    </w:p>
    <w:p>
      <w:pPr>
        <w:pStyle w:val="BodyText"/>
      </w:pPr>
      <w:r>
        <w:t xml:space="preserve">2,468</w:t>
      </w:r>
    </w:p>
    <w:p>
      <w:pPr>
        <w:pStyle w:val="BodyText"/>
      </w:pPr>
      <w:r>
        <w:t xml:space="preserve">283</w:t>
      </w:r>
    </w:p>
    <w:p>
      <w:pPr>
        <w:pStyle w:val="BodyText"/>
      </w:pPr>
      <w:r>
        <w:t xml:space="preserve">845</w:t>
      </w:r>
    </w:p>
    <w:p>
      <w:pPr>
        <w:pStyle w:val="BodyText"/>
      </w:pPr>
      <w:r>
        <w:t xml:space="preserve">39,339</w:t>
      </w:r>
    </w:p>
    <w:p>
      <w:pPr>
        <w:pStyle w:val="BodyText"/>
      </w:pPr>
      <w:r>
        <w:t xml:space="preserve">7,903</w:t>
      </w:r>
    </w:p>
    <w:p>
      <w:pPr>
        <w:pStyle w:val="FirstParagraph"/>
      </w:pPr>
      <w:r>
        <w:t xml:space="preserve">7,895</w:t>
      </w:r>
    </w:p>
    <w:p>
      <w:pPr>
        <w:pStyle w:val="FirstParagraph"/>
      </w:pPr>
      <w:r>
        <w:t xml:space="preserve">7,716</w:t>
      </w:r>
    </w:p>
    <w:p>
      <w:pPr>
        <w:pStyle w:val="BodyText"/>
      </w:pPr>
      <w:r>
        <w:t xml:space="preserve">(1,208)</w:t>
      </w:r>
    </w:p>
    <w:p>
      <w:pPr>
        <w:pStyle w:val="BodyText"/>
      </w:pPr>
      <w:r>
        <w:t xml:space="preserve">179</w:t>
      </w:r>
    </w:p>
    <w:p>
      <w:pPr>
        <w:pStyle w:val="BodyText"/>
      </w:pPr>
      <w:r>
        <w:t xml:space="preserve">(1,029)</w:t>
      </w:r>
    </w:p>
    <w:p>
      <w:pPr>
        <w:pStyle w:val="BodyText"/>
      </w:pPr>
      <w:r>
        <w:t xml:space="preserve">6,687</w:t>
      </w:r>
    </w:p>
    <w:p>
      <w:pPr>
        <w:pStyle w:val="BodyText"/>
      </w:pPr>
      <w:r>
        <w:t xml:space="preserve">6,648</w:t>
      </w:r>
    </w:p>
    <w:p>
      <w:pPr>
        <w:pStyle w:val="BodyText"/>
      </w:pPr>
      <w:r>
        <w:t xml:space="preserve">39</w:t>
      </w:r>
    </w:p>
    <w:p>
      <w:pPr>
        <w:pStyle w:val="BodyText"/>
      </w:pPr>
      <w:r>
        <w:t xml:space="preserve">0.55</w:t>
      </w:r>
    </w:p>
    <w:p>
      <w:pPr>
        <w:pStyle w:val="BodyText"/>
      </w:pPr>
      <w:r>
        <w:t xml:space="preserve">0.55</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668</w:t>
      </w:r>
    </w:p>
    <w:p>
      <w:pPr>
        <w:pStyle w:val="BodyText"/>
      </w:pPr>
      <w:r>
        <w:t xml:space="preserve">–</w:t>
      </w:r>
    </w:p>
    <w:p>
      <w:pPr>
        <w:pStyle w:val="BodyText"/>
      </w:pPr>
      <w:r>
        <w:t xml:space="preserve">668</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668</w:t>
      </w:r>
    </w:p>
    <w:p>
      <w:pPr>
        <w:pStyle w:val="FirstParagraph"/>
      </w:pPr>
      <w:r>
        <w:t xml:space="preserve">–</w:t>
      </w:r>
    </w:p>
    <w:p>
      <w:pPr>
        <w:pStyle w:val="FirstParagraph"/>
      </w:pPr>
      <w:r>
        <w:t xml:space="preserve">–</w:t>
      </w:r>
    </w:p>
    <w:p>
      <w:pPr>
        <w:pStyle w:val="FirstParagraph"/>
      </w:pPr>
      <w:r>
        <w:t xml:space="preserve">–</w:t>
      </w:r>
    </w:p>
    <w:p>
      <w:pPr>
        <w:pStyle w:val="FirstParagraph"/>
      </w:pPr>
      <w:r>
        <w:t xml:space="preserve">34,777</w:t>
      </w:r>
    </w:p>
    <w:p>
      <w:pPr>
        <w:pStyle w:val="BodyText"/>
      </w:pPr>
      <w:r>
        <w:t xml:space="preserve">(2,166)</w:t>
      </w:r>
    </w:p>
    <w:p>
      <w:pPr>
        <w:pStyle w:val="BodyText"/>
      </w:pPr>
      <w:r>
        <w:t xml:space="preserve">32,611</w:t>
      </w:r>
    </w:p>
    <w:p>
      <w:pPr>
        <w:pStyle w:val="BodyText"/>
      </w:pPr>
      <w:r>
        <w:t xml:space="preserve">14,350</w:t>
      </w:r>
    </w:p>
    <w:p>
      <w:pPr>
        <w:pStyle w:val="BodyText"/>
      </w:pPr>
      <w:r>
        <w:t xml:space="preserve">281</w:t>
      </w:r>
    </w:p>
    <w:p>
      <w:pPr>
        <w:pStyle w:val="BodyText"/>
      </w:pPr>
      <w:r>
        <w:t xml:space="preserve">47,242</w:t>
      </w:r>
    </w:p>
    <w:p>
      <w:pPr>
        <w:pStyle w:val="BodyText"/>
      </w:pPr>
      <w:r>
        <w:t xml:space="preserve">34,068</w:t>
      </w:r>
    </w:p>
    <w:p>
      <w:pPr>
        <w:pStyle w:val="BodyText"/>
      </w:pPr>
      <w:r>
        <w:t xml:space="preserve">(1,940)</w:t>
      </w:r>
    </w:p>
    <w:p>
      <w:pPr>
        <w:pStyle w:val="BodyText"/>
      </w:pPr>
      <w:r>
        <w:t xml:space="preserve">32,128</w:t>
      </w:r>
    </w:p>
    <w:p>
      <w:pPr>
        <w:pStyle w:val="BodyText"/>
      </w:pPr>
      <w:r>
        <w:t xml:space="preserve">4,283</w:t>
      </w:r>
    </w:p>
    <w:p>
      <w:pPr>
        <w:pStyle w:val="BodyText"/>
      </w:pPr>
      <w:r>
        <w:t xml:space="preserve">2,468</w:t>
      </w:r>
    </w:p>
    <w:p>
      <w:pPr>
        <w:pStyle w:val="BodyText"/>
      </w:pPr>
      <w:r>
        <w:t xml:space="preserve">283</w:t>
      </w:r>
    </w:p>
    <w:p>
      <w:pPr>
        <w:pStyle w:val="BodyText"/>
      </w:pPr>
      <w:r>
        <w:t xml:space="preserve">845</w:t>
      </w:r>
    </w:p>
    <w:p>
      <w:pPr>
        <w:pStyle w:val="BodyText"/>
      </w:pPr>
      <w:r>
        <w:t xml:space="preserve">40,007</w:t>
      </w:r>
    </w:p>
    <w:p>
      <w:pPr>
        <w:pStyle w:val="BodyText"/>
      </w:pPr>
      <w:r>
        <w:t xml:space="preserve">7,235</w:t>
      </w:r>
    </w:p>
    <w:p>
      <w:pPr>
        <w:pStyle w:val="FirstParagraph"/>
      </w:pPr>
      <w:r>
        <w:t xml:space="preserve">7,227</w:t>
      </w:r>
    </w:p>
    <w:p>
      <w:pPr>
        <w:pStyle w:val="FirstParagraph"/>
      </w:pPr>
      <w:r>
        <w:t xml:space="preserve">7,048</w:t>
      </w:r>
    </w:p>
    <w:p>
      <w:pPr>
        <w:pStyle w:val="BodyText"/>
      </w:pPr>
      <w:r>
        <w:t xml:space="preserve">(1,209)</w:t>
      </w:r>
    </w:p>
    <w:p>
      <w:pPr>
        <w:pStyle w:val="BodyText"/>
      </w:pPr>
      <w:r>
        <w:t xml:space="preserve">179</w:t>
      </w:r>
    </w:p>
    <w:p>
      <w:pPr>
        <w:pStyle w:val="BodyText"/>
      </w:pPr>
      <w:r>
        <w:t xml:space="preserve">(1,030)</w:t>
      </w:r>
    </w:p>
    <w:p>
      <w:pPr>
        <w:pStyle w:val="FirstParagraph"/>
      </w:pPr>
      <w:r>
        <w:t xml:space="preserve">6,018</w:t>
      </w:r>
    </w:p>
    <w:p>
      <w:pPr>
        <w:pStyle w:val="FirstParagraph"/>
      </w:pPr>
      <w:r>
        <w:t xml:space="preserve">–</w:t>
      </w:r>
    </w:p>
    <w:p>
      <w:pPr>
        <w:pStyle w:val="BodyText"/>
      </w:pPr>
      <w:r>
        <w:t xml:space="preserve">(0.05)</w:t>
      </w:r>
    </w:p>
    <w:p>
      <w:pPr>
        <w:pStyle w:val="BodyText"/>
      </w:pPr>
      <w:r>
        <w:t xml:space="preserve">(0.05)</w:t>
      </w:r>
    </w:p>
    <w:p>
      <w:pPr>
        <w:pStyle w:val="BodyText"/>
      </w:pPr>
      <w:r>
        <w:t xml:space="preserve">5,979</w:t>
      </w:r>
    </w:p>
    <w:p>
      <w:pPr>
        <w:pStyle w:val="BodyText"/>
      </w:pPr>
      <w:r>
        <w:t xml:space="preserve">39</w:t>
      </w:r>
    </w:p>
    <w:p>
      <w:pPr>
        <w:pStyle w:val="BodyText"/>
      </w:pPr>
      <w:r>
        <w:t xml:space="preserve">0.50</w:t>
      </w:r>
    </w:p>
    <w:p>
      <w:pPr>
        <w:pStyle w:val="BodyText"/>
      </w:pPr>
      <w:r>
        <w:t xml:space="preserve">0.50</w:t>
      </w:r>
    </w:p>
    <w:p>
      <w:pPr>
        <w:pStyle w:val="BodyText"/>
      </w:pPr>
      <w:r>
        <w:rPr>
          <w:rFonts w:hint="eastAsia"/>
        </w:rPr>
        <w:t xml:space="preserve">友邦保險控股有限公司</w:t>
      </w:r>
    </w:p>
    <w:p>
      <w:pPr>
        <w:pStyle w:val="Compact"/>
        <w:numPr>
          <w:ilvl w:val="0"/>
          <w:numId w:val="1586"/>
        </w:numPr>
      </w:pPr>
      <w:r>
        <w:rPr>
          <w:rFonts w:hint="eastAsia"/>
        </w:rPr>
        <w:t xml:space="preserve">採納經修訂會計政策的影響（續）</w:t>
      </w:r>
    </w:p>
    <w:p>
      <w:pPr>
        <w:pStyle w:val="Compact"/>
        <w:numPr>
          <w:ilvl w:val="0"/>
          <w:numId w:val="1587"/>
        </w:numPr>
      </w:pPr>
      <w:r>
        <w:rPr>
          <w:rFonts w:hint="eastAsia"/>
        </w:rPr>
        <w:t xml:space="preserve">合併財務狀況表</w:t>
      </w:r>
    </w:p>
    <w:p>
      <w:pPr>
        <w:pStyle w:val="FirstParagraph"/>
      </w:pPr>
      <w:r>
        <w:rPr>
          <w:rFonts w:hint="eastAsia"/>
        </w:rPr>
        <w:t xml:space="preserve">百萬美元</w:t>
      </w:r>
    </w:p>
    <w:p>
      <w:pPr>
        <w:pStyle w:val="BodyText"/>
      </w:pPr>
      <w:r>
        <w:rPr>
          <w:rFonts w:hint="eastAsia"/>
        </w:rPr>
        <w:t xml:space="preserve">資產</w:t>
      </w:r>
    </w:p>
    <w:p>
      <w:pPr>
        <w:pStyle w:val="BodyText"/>
      </w:pPr>
      <w:r>
        <w:rPr>
          <w:rFonts w:hint="eastAsia"/>
        </w:rPr>
        <w:t xml:space="preserve">無形資產</w:t>
      </w:r>
    </w:p>
    <w:p>
      <w:pPr>
        <w:pStyle w:val="BodyText"/>
      </w:pPr>
      <w:r>
        <w:rPr>
          <w:rFonts w:hint="eastAsia"/>
        </w:rPr>
        <w:t xml:space="preserve">於聯營公司及合資公司的投資</w:t>
      </w:r>
    </w:p>
    <w:p>
      <w:pPr>
        <w:pStyle w:val="BodyText"/>
      </w:pPr>
      <w:r>
        <w:rPr>
          <w:rFonts w:hint="eastAsia"/>
        </w:rPr>
        <w:t xml:space="preserve">物業、廠房及設備</w:t>
      </w:r>
    </w:p>
    <w:p>
      <w:pPr>
        <w:pStyle w:val="BodyText"/>
      </w:pPr>
      <w:r>
        <w:rPr>
          <w:rFonts w:hint="eastAsia"/>
        </w:rPr>
        <w:t xml:space="preserve">投資物業</w:t>
      </w:r>
    </w:p>
    <w:p>
      <w:pPr>
        <w:pStyle w:val="BodyText"/>
      </w:pPr>
      <w:r>
        <w:rPr>
          <w:rFonts w:hint="eastAsia"/>
        </w:rPr>
        <w:t xml:space="preserve">再保險資產</w:t>
      </w:r>
    </w:p>
    <w:p>
      <w:pPr>
        <w:pStyle w:val="BodyText"/>
      </w:pPr>
      <w:r>
        <w:rPr>
          <w:rFonts w:hint="eastAsia"/>
        </w:rPr>
        <w:t xml:space="preserve">遞延承保及啟動成本</w:t>
      </w:r>
    </w:p>
    <w:p>
      <w:pPr>
        <w:pStyle w:val="BodyText"/>
      </w:pPr>
      <w:r>
        <w:rPr>
          <w:rFonts w:hint="eastAsia"/>
        </w:rPr>
        <w:t xml:space="preserve">金融投資：</w:t>
      </w:r>
    </w:p>
    <w:p>
      <w:pPr>
        <w:pStyle w:val="BodyText"/>
      </w:pPr>
      <w:r>
        <w:rPr>
          <w:rFonts w:hint="eastAsia"/>
        </w:rPr>
        <w:t xml:space="preserve">貸款及存款</w:t>
      </w:r>
    </w:p>
    <w:p>
      <w:pPr>
        <w:pStyle w:val="BodyText"/>
      </w:pPr>
      <w:r>
        <w:rPr>
          <w:rFonts w:hint="eastAsia"/>
        </w:rPr>
        <w:t xml:space="preserve">可供出售</w:t>
      </w:r>
    </w:p>
    <w:p>
      <w:pPr>
        <w:pStyle w:val="BodyText"/>
      </w:pPr>
      <w:r>
        <w:rPr>
          <w:rFonts w:hint="eastAsia"/>
        </w:rPr>
        <w:t xml:space="preserve">債務證券</w:t>
      </w:r>
    </w:p>
    <w:p>
      <w:pPr>
        <w:pStyle w:val="BodyText"/>
      </w:pPr>
      <w:r>
        <w:rPr>
          <w:rFonts w:hint="eastAsia"/>
        </w:rPr>
        <w:t xml:space="preserve">按公平值計入損益</w:t>
      </w:r>
    </w:p>
    <w:p>
      <w:pPr>
        <w:pStyle w:val="BodyText"/>
      </w:pPr>
      <w:r>
        <w:rPr>
          <w:rFonts w:hint="eastAsia"/>
        </w:rPr>
        <w:t xml:space="preserve">債務證券</w:t>
      </w:r>
    </w:p>
    <w:p>
      <w:pPr>
        <w:pStyle w:val="BodyText"/>
      </w:pPr>
      <w:r>
        <w:rPr>
          <w:rFonts w:hint="eastAsia"/>
        </w:rPr>
        <w:t xml:space="preserve">股本證券</w:t>
      </w:r>
    </w:p>
    <w:p>
      <w:pPr>
        <w:pStyle w:val="BodyText"/>
      </w:pPr>
      <w:r>
        <w:rPr>
          <w:rFonts w:hint="eastAsia"/>
        </w:rPr>
        <w:t xml:space="preserve">衍生金融工具</w:t>
      </w:r>
    </w:p>
    <w:p>
      <w:pPr>
        <w:pStyle w:val="BodyText"/>
      </w:pPr>
      <w:r>
        <w:rPr>
          <w:rFonts w:hint="eastAsia"/>
        </w:rPr>
        <w:t xml:space="preserve">遞延稅項資產</w:t>
      </w:r>
    </w:p>
    <w:p>
      <w:pPr>
        <w:pStyle w:val="BodyText"/>
      </w:pPr>
      <w:r>
        <w:rPr>
          <w:rFonts w:hint="eastAsia"/>
        </w:rPr>
        <w:t xml:space="preserve">當期可收回稅項</w:t>
      </w:r>
    </w:p>
    <w:p>
      <w:pPr>
        <w:pStyle w:val="BodyText"/>
      </w:pPr>
      <w:r>
        <w:rPr>
          <w:rFonts w:hint="eastAsia"/>
        </w:rPr>
        <w:t xml:space="preserve">其他資產</w:t>
      </w:r>
    </w:p>
    <w:p>
      <w:pPr>
        <w:pStyle w:val="BodyText"/>
      </w:pPr>
      <w:r>
        <w:rPr>
          <w:rFonts w:hint="eastAsia"/>
        </w:rPr>
        <w:t xml:space="preserve">現金及現金等價物</w:t>
      </w:r>
    </w:p>
    <w:p>
      <w:pPr>
        <w:pStyle w:val="BodyText"/>
      </w:pPr>
      <w:r>
        <w:rPr>
          <w:rFonts w:hint="eastAsia"/>
        </w:rPr>
        <w:t xml:space="preserve">總資產</w:t>
      </w:r>
    </w:p>
    <w:p>
      <w:pPr>
        <w:pStyle w:val="BodyText"/>
      </w:pPr>
      <w:r>
        <w:rPr>
          <w:rFonts w:hint="eastAsia"/>
        </w:rPr>
        <w:t xml:space="preserve">負債</w:t>
      </w:r>
    </w:p>
    <w:p>
      <w:pPr>
        <w:pStyle w:val="BodyText"/>
      </w:pPr>
      <w:r>
        <w:rPr>
          <w:rFonts w:hint="eastAsia"/>
        </w:rPr>
        <w:t xml:space="preserve">保險合約負債</w:t>
      </w:r>
    </w:p>
    <w:p>
      <w:pPr>
        <w:pStyle w:val="BodyText"/>
      </w:pPr>
      <w:r>
        <w:rPr>
          <w:rFonts w:hint="eastAsia"/>
        </w:rPr>
        <w:t xml:space="preserve">投資合約負債</w:t>
      </w:r>
    </w:p>
    <w:p>
      <w:pPr>
        <w:pStyle w:val="BodyText"/>
      </w:pPr>
      <w:r>
        <w:rPr>
          <w:rFonts w:hint="eastAsia"/>
        </w:rPr>
        <w:t xml:space="preserve">借貸</w:t>
      </w:r>
    </w:p>
    <w:p>
      <w:pPr>
        <w:pStyle w:val="BodyText"/>
      </w:pPr>
      <w:r>
        <w:rPr>
          <w:rFonts w:hint="eastAsia"/>
        </w:rPr>
        <w:t xml:space="preserve">回購協議的債項</w:t>
      </w:r>
    </w:p>
    <w:p>
      <w:pPr>
        <w:pStyle w:val="BodyText"/>
      </w:pPr>
      <w:r>
        <w:rPr>
          <w:rFonts w:hint="eastAsia"/>
        </w:rPr>
        <w:t xml:space="preserve">衍生金融工具</w:t>
      </w:r>
    </w:p>
    <w:p>
      <w:pPr>
        <w:pStyle w:val="BodyText"/>
      </w:pPr>
      <w:r>
        <w:rPr>
          <w:rFonts w:hint="eastAsia"/>
        </w:rPr>
        <w:t xml:space="preserve">撥備</w:t>
      </w:r>
    </w:p>
    <w:p>
      <w:pPr>
        <w:pStyle w:val="BodyText"/>
      </w:pPr>
      <w:r>
        <w:rPr>
          <w:rFonts w:hint="eastAsia"/>
        </w:rPr>
        <w:t xml:space="preserve">遞延稅項負債</w:t>
      </w:r>
    </w:p>
    <w:p>
      <w:pPr>
        <w:pStyle w:val="BodyText"/>
      </w:pPr>
      <w:r>
        <w:rPr>
          <w:rFonts w:hint="eastAsia"/>
        </w:rPr>
        <w:t xml:space="preserve">當期稅項負債</w:t>
      </w:r>
    </w:p>
    <w:p>
      <w:pPr>
        <w:pStyle w:val="BodyText"/>
      </w:pPr>
      <w:r>
        <w:rPr>
          <w:rFonts w:hint="eastAsia"/>
        </w:rPr>
        <w:t xml:space="preserve">其他負債</w:t>
      </w:r>
    </w:p>
    <w:p>
      <w:pPr>
        <w:pStyle w:val="BodyText"/>
      </w:pPr>
      <w:r>
        <w:rPr>
          <w:rFonts w:hint="eastAsia"/>
        </w:rPr>
        <w:t xml:space="preserve">總負債</w:t>
      </w:r>
    </w:p>
    <w:p>
      <w:pPr>
        <w:pStyle w:val="BodyText"/>
      </w:pPr>
      <w:r>
        <w:rPr>
          <w:rFonts w:hint="eastAsia"/>
        </w:rPr>
        <w:t xml:space="preserve">於2020年</w:t>
      </w:r>
      <w:r>
        <w:br/>
      </w:r>
      <w:r>
        <w:rPr>
          <w:rFonts w:hint="eastAsia"/>
        </w:rPr>
        <w:t xml:space="preserve">12月31日</w:t>
      </w:r>
      <w:r>
        <w:br/>
      </w:r>
      <w:r>
        <w:rPr>
          <w:rFonts w:hint="eastAsia"/>
        </w:rPr>
        <w:t xml:space="preserve">（會計政策變更前）</w:t>
      </w:r>
    </w:p>
    <w:p>
      <w:pPr>
        <w:pStyle w:val="BodyText"/>
      </w:pPr>
      <w:r>
        <w:rPr>
          <w:rFonts w:hint="eastAsia"/>
        </w:rPr>
        <w:t xml:space="preserve">會計政策</w:t>
      </w:r>
      <w:r>
        <w:br/>
      </w:r>
      <w:r>
        <w:rPr>
          <w:rFonts w:hint="eastAsia"/>
        </w:rPr>
        <w:t xml:space="preserve">變更的影響</w:t>
      </w:r>
    </w:p>
    <w:p>
      <w:pPr>
        <w:pStyle w:val="BodyText"/>
      </w:pPr>
      <w:r>
        <w:rPr>
          <w:rFonts w:hint="eastAsia"/>
        </w:rPr>
        <w:t xml:space="preserve">於2020年</w:t>
      </w:r>
      <w:r>
        <w:br/>
      </w:r>
      <w:r>
        <w:rPr>
          <w:rFonts w:hint="eastAsia"/>
        </w:rPr>
        <w:t xml:space="preserve">12月31日</w:t>
      </w:r>
      <w:r>
        <w:br/>
      </w:r>
      <w:r>
        <w:rPr>
          <w:rFonts w:hint="eastAsia"/>
        </w:rPr>
        <w:t xml:space="preserve">（所呈報）</w:t>
      </w:r>
    </w:p>
    <w:p>
      <w:pPr>
        <w:pStyle w:val="BodyText"/>
      </w:pPr>
      <w:r>
        <w:t xml:space="preserve">2,634</w:t>
      </w:r>
    </w:p>
    <w:p>
      <w:pPr>
        <w:pStyle w:val="BodyText"/>
      </w:pPr>
      <w:r>
        <w:t xml:space="preserve">606</w:t>
      </w:r>
    </w:p>
    <w:p>
      <w:pPr>
        <w:pStyle w:val="BodyText"/>
      </w:pPr>
      <w:r>
        <w:t xml:space="preserve">2,722</w:t>
      </w:r>
    </w:p>
    <w:p>
      <w:pPr>
        <w:pStyle w:val="BodyText"/>
      </w:pPr>
      <w:r>
        <w:t xml:space="preserve">4,639</w:t>
      </w:r>
    </w:p>
    <w:p>
      <w:pPr>
        <w:pStyle w:val="BodyText"/>
      </w:pPr>
      <w:r>
        <w:t xml:space="preserve">4,560</w:t>
      </w:r>
    </w:p>
    <w:p>
      <w:pPr>
        <w:pStyle w:val="BodyText"/>
      </w:pPr>
      <w:r>
        <w:t xml:space="preserve">27,915</w:t>
      </w:r>
    </w:p>
    <w:p>
      <w:pPr>
        <w:pStyle w:val="BodyText"/>
      </w:pPr>
      <w:r>
        <w:t xml:space="preserve">9,335</w:t>
      </w:r>
    </w:p>
    <w:p>
      <w:pPr>
        <w:pStyle w:val="BodyText"/>
      </w:pPr>
      <w:r>
        <w:t xml:space="preserve">165,106</w:t>
      </w:r>
    </w:p>
    <w:p>
      <w:pPr>
        <w:pStyle w:val="BodyText"/>
      </w:pPr>
      <w:r>
        <w:t xml:space="preserve">36,775</w:t>
      </w:r>
    </w:p>
    <w:p>
      <w:pPr>
        <w:pStyle w:val="BodyText"/>
      </w:pPr>
      <w:r>
        <w:t xml:space="preserve">59,182</w:t>
      </w:r>
    </w:p>
    <w:p>
      <w:pPr>
        <w:pStyle w:val="BodyText"/>
      </w:pPr>
      <w:r>
        <w:t xml:space="preserve">1,069</w:t>
      </w:r>
    </w:p>
    <w:p>
      <w:pPr>
        <w:pStyle w:val="BodyText"/>
      </w:pPr>
      <w:r>
        <w:t xml:space="preserve">271,467</w:t>
      </w:r>
    </w:p>
    <w:p>
      <w:pPr>
        <w:pStyle w:val="BodyText"/>
      </w:pPr>
      <w:r>
        <w:t xml:space="preserve">23</w:t>
      </w:r>
    </w:p>
    <w:p>
      <w:pPr>
        <w:pStyle w:val="BodyText"/>
      </w:pPr>
      <w:r>
        <w:t xml:space="preserve">103</w:t>
      </w:r>
    </w:p>
    <w:p>
      <w:pPr>
        <w:pStyle w:val="BodyText"/>
      </w:pPr>
      <w:r>
        <w:t xml:space="preserve">5,833</w:t>
      </w:r>
    </w:p>
    <w:p>
      <w:pPr>
        <w:pStyle w:val="BodyText"/>
      </w:pPr>
      <w:r>
        <w:t xml:space="preserve">5,619</w:t>
      </w:r>
    </w:p>
    <w:p>
      <w:pPr>
        <w:pStyle w:val="BodyText"/>
      </w:pPr>
      <w:r>
        <w:t xml:space="preserve">326,121</w:t>
      </w:r>
    </w:p>
    <w:p>
      <w:pPr>
        <w:pStyle w:val="BodyText"/>
      </w:pPr>
      <w:r>
        <w:t xml:space="preserve">215,454</w:t>
      </w:r>
    </w:p>
    <w:p>
      <w:pPr>
        <w:pStyle w:val="BodyText"/>
      </w:pPr>
      <w:r>
        <w:t xml:space="preserve">12,881</w:t>
      </w:r>
    </w:p>
    <w:p>
      <w:pPr>
        <w:pStyle w:val="BodyText"/>
      </w:pPr>
      <w:r>
        <w:t xml:space="preserve">8,559</w:t>
      </w:r>
    </w:p>
    <w:p>
      <w:pPr>
        <w:pStyle w:val="BodyText"/>
      </w:pPr>
      <w:r>
        <w:t xml:space="preserve">1,664</w:t>
      </w:r>
    </w:p>
    <w:p>
      <w:pPr>
        <w:pStyle w:val="BodyText"/>
      </w:pPr>
      <w:r>
        <w:t xml:space="preserve">1,003</w:t>
      </w:r>
    </w:p>
    <w:p>
      <w:pPr>
        <w:pStyle w:val="BodyText"/>
      </w:pPr>
      <w:r>
        <w:t xml:space="preserve">230</w:t>
      </w:r>
    </w:p>
    <w:p>
      <w:pPr>
        <w:pStyle w:val="BodyText"/>
      </w:pPr>
      <w:r>
        <w:t xml:space="preserve">6,945</w:t>
      </w:r>
    </w:p>
    <w:p>
      <w:pPr>
        <w:pStyle w:val="BodyText"/>
      </w:pPr>
      <w:r>
        <w:t xml:space="preserve">346</w:t>
      </w:r>
    </w:p>
    <w:p>
      <w:pPr>
        <w:pStyle w:val="BodyText"/>
      </w:pPr>
      <w:r>
        <w:t xml:space="preserve">7,797</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7,617</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FirstParagraph"/>
      </w:pPr>
      <w:r>
        <w:t xml:space="preserve">–</w:t>
      </w:r>
    </w:p>
    <w:p>
      <w:pPr>
        <w:pStyle w:val="BodyText"/>
      </w:pPr>
      <w:r>
        <w:t xml:space="preserve">–</w:t>
      </w:r>
    </w:p>
    <w:p>
      <w:pPr>
        <w:pStyle w:val="BodyText"/>
      </w:pPr>
      <w:r>
        <w:t xml:space="preserve">2,634</w:t>
      </w:r>
    </w:p>
    <w:p>
      <w:pPr>
        <w:pStyle w:val="BodyText"/>
      </w:pPr>
      <w:r>
        <w:t xml:space="preserve">606</w:t>
      </w:r>
    </w:p>
    <w:p>
      <w:pPr>
        <w:pStyle w:val="BodyText"/>
      </w:pPr>
      <w:r>
        <w:t xml:space="preserve">2,722</w:t>
      </w:r>
    </w:p>
    <w:p>
      <w:pPr>
        <w:pStyle w:val="BodyText"/>
      </w:pPr>
      <w:r>
        <w:t xml:space="preserve">4,639</w:t>
      </w:r>
    </w:p>
    <w:p>
      <w:pPr>
        <w:pStyle w:val="BodyText"/>
      </w:pPr>
      <w:r>
        <w:t xml:space="preserve">4,560</w:t>
      </w:r>
    </w:p>
    <w:p>
      <w:pPr>
        <w:pStyle w:val="BodyText"/>
      </w:pPr>
      <w:r>
        <w:t xml:space="preserve">27,915</w:t>
      </w:r>
    </w:p>
    <w:p>
      <w:pPr>
        <w:pStyle w:val="BodyText"/>
      </w:pPr>
      <w:r>
        <w:t xml:space="preserve">9,335</w:t>
      </w:r>
    </w:p>
    <w:p>
      <w:pPr>
        <w:pStyle w:val="BodyText"/>
      </w:pPr>
      <w:r>
        <w:t xml:space="preserve">165,106</w:t>
      </w:r>
    </w:p>
    <w:p>
      <w:pPr>
        <w:pStyle w:val="BodyText"/>
      </w:pPr>
      <w:r>
        <w:t xml:space="preserve">36,775</w:t>
      </w:r>
    </w:p>
    <w:p>
      <w:pPr>
        <w:pStyle w:val="BodyText"/>
      </w:pPr>
      <w:r>
        <w:t xml:space="preserve">59,182</w:t>
      </w:r>
    </w:p>
    <w:p>
      <w:pPr>
        <w:pStyle w:val="BodyText"/>
      </w:pPr>
      <w:r>
        <w:t xml:space="preserve">1,069</w:t>
      </w:r>
    </w:p>
    <w:p>
      <w:pPr>
        <w:pStyle w:val="BodyText"/>
      </w:pPr>
      <w:r>
        <w:t xml:space="preserve">271,467</w:t>
      </w:r>
    </w:p>
    <w:p>
      <w:pPr>
        <w:pStyle w:val="BodyText"/>
      </w:pPr>
      <w:r>
        <w:t xml:space="preserve">23</w:t>
      </w:r>
    </w:p>
    <w:p>
      <w:pPr>
        <w:pStyle w:val="BodyText"/>
      </w:pPr>
      <w:r>
        <w:t xml:space="preserve">103</w:t>
      </w:r>
    </w:p>
    <w:p>
      <w:pPr>
        <w:pStyle w:val="BodyText"/>
      </w:pPr>
      <w:r>
        <w:t xml:space="preserve">5,833</w:t>
      </w:r>
    </w:p>
    <w:p>
      <w:pPr>
        <w:pStyle w:val="BodyText"/>
      </w:pPr>
      <w:r>
        <w:t xml:space="preserve">5,619</w:t>
      </w:r>
    </w:p>
    <w:p>
      <w:pPr>
        <w:pStyle w:val="BodyText"/>
      </w:pPr>
      <w:r>
        <w:t xml:space="preserve">326,121</w:t>
      </w:r>
    </w:p>
    <w:p>
      <w:pPr>
        <w:pStyle w:val="BodyText"/>
      </w:pPr>
      <w:r>
        <w:t xml:space="preserve">223,071</w:t>
      </w:r>
    </w:p>
    <w:p>
      <w:pPr>
        <w:pStyle w:val="BodyText"/>
      </w:pPr>
      <w:r>
        <w:t xml:space="preserve">12,881</w:t>
      </w:r>
    </w:p>
    <w:p>
      <w:pPr>
        <w:pStyle w:val="BodyText"/>
      </w:pPr>
      <w:r>
        <w:t xml:space="preserve">8,559</w:t>
      </w:r>
    </w:p>
    <w:p>
      <w:pPr>
        <w:pStyle w:val="BodyText"/>
      </w:pPr>
      <w:r>
        <w:t xml:space="preserve">1,664</w:t>
      </w:r>
    </w:p>
    <w:p>
      <w:pPr>
        <w:pStyle w:val="BodyText"/>
      </w:pPr>
      <w:r>
        <w:t xml:space="preserve">1,003</w:t>
      </w:r>
    </w:p>
    <w:p>
      <w:pPr>
        <w:pStyle w:val="BodyText"/>
      </w:pPr>
      <w:r>
        <w:t xml:space="preserve">230</w:t>
      </w:r>
    </w:p>
    <w:p>
      <w:pPr>
        <w:pStyle w:val="BodyText"/>
      </w:pPr>
      <w:r>
        <w:t xml:space="preserve">6,902</w:t>
      </w:r>
    </w:p>
    <w:p>
      <w:pPr>
        <w:pStyle w:val="BodyText"/>
      </w:pPr>
      <w:r>
        <w:t xml:space="preserve">346</w:t>
      </w:r>
    </w:p>
    <w:p>
      <w:pPr>
        <w:pStyle w:val="BodyText"/>
      </w:pPr>
      <w:r>
        <w:t xml:space="preserve">7,797</w:t>
      </w:r>
    </w:p>
    <w:p>
      <w:pPr>
        <w:pStyle w:val="BodyText"/>
      </w:pPr>
      <w:r>
        <w:t xml:space="preserve">254,879</w:t>
      </w:r>
    </w:p>
    <w:p>
      <w:pPr>
        <w:pStyle w:val="BodyText"/>
      </w:pPr>
      <w:r>
        <w:t xml:space="preserve">7,574</w:t>
      </w:r>
    </w:p>
    <w:p>
      <w:pPr>
        <w:pStyle w:val="BodyText"/>
      </w:pPr>
      <w:r>
        <w:t xml:space="preserve">262,453</w:t>
      </w:r>
    </w:p>
    <w:p>
      <w:pPr>
        <w:pStyle w:val="BodyText"/>
      </w:pPr>
      <w:r>
        <w:t xml:space="preserve">257</w:t>
      </w:r>
    </w:p>
    <w:p>
      <w:pPr>
        <w:pStyle w:val="BodyText"/>
      </w:pPr>
      <w:r>
        <w:rPr>
          <w:rFonts w:hint="eastAsia"/>
        </w:rPr>
        <w:t xml:space="preserve">概覽財務及營運回顧企業管治其他資料財務報表2020年報</w:t>
      </w:r>
    </w:p>
    <w:p>
      <w:pPr>
        <w:pStyle w:val="Compact"/>
        <w:numPr>
          <w:ilvl w:val="0"/>
          <w:numId w:val="1589"/>
        </w:numPr>
      </w:pPr>
      <w:r>
        <w:rPr>
          <w:rFonts w:hint="eastAsia"/>
        </w:rPr>
        <w:t xml:space="preserve">採納經修訂會計政策的影響（續）</w:t>
      </w:r>
    </w:p>
    <w:p>
      <w:pPr>
        <w:pStyle w:val="Compact"/>
        <w:numPr>
          <w:ilvl w:val="0"/>
          <w:numId w:val="1590"/>
        </w:numPr>
      </w:pPr>
      <w:r>
        <w:rPr>
          <w:rFonts w:hint="eastAsia"/>
        </w:rPr>
        <w:t xml:space="preserve">合併財務狀況表（續）</w:t>
      </w:r>
    </w:p>
    <w:p>
      <w:pPr>
        <w:pStyle w:val="FirstParagraph"/>
      </w:pPr>
      <w:r>
        <w:rPr>
          <w:rFonts w:hint="eastAsia"/>
        </w:rPr>
        <w:t xml:space="preserve">百萬美元</w:t>
      </w:r>
    </w:p>
    <w:p>
      <w:pPr>
        <w:pStyle w:val="BodyText"/>
      </w:pPr>
      <w:r>
        <w:rPr>
          <w:rFonts w:hint="eastAsia"/>
        </w:rPr>
        <w:t xml:space="preserve">權益</w:t>
      </w:r>
    </w:p>
    <w:p>
      <w:pPr>
        <w:pStyle w:val="BodyText"/>
      </w:pPr>
      <w:r>
        <w:rPr>
          <w:rFonts w:hint="eastAsia"/>
        </w:rPr>
        <w:t xml:space="preserve">股本</w:t>
      </w:r>
    </w:p>
    <w:p>
      <w:pPr>
        <w:pStyle w:val="BodyText"/>
      </w:pPr>
      <w:r>
        <w:rPr>
          <w:rFonts w:hint="eastAsia"/>
        </w:rPr>
        <w:t xml:space="preserve">僱員股票信託</w:t>
      </w:r>
    </w:p>
    <w:p>
      <w:pPr>
        <w:pStyle w:val="BodyText"/>
      </w:pPr>
      <w:r>
        <w:rPr>
          <w:rFonts w:hint="eastAsia"/>
        </w:rPr>
        <w:t xml:space="preserve">其他準備金</w:t>
      </w:r>
    </w:p>
    <w:p>
      <w:pPr>
        <w:pStyle w:val="BodyText"/>
      </w:pPr>
      <w:r>
        <w:rPr>
          <w:rFonts w:hint="eastAsia"/>
        </w:rPr>
        <w:t xml:space="preserve">保留盈利</w:t>
      </w:r>
    </w:p>
    <w:p>
      <w:pPr>
        <w:pStyle w:val="BodyText"/>
      </w:pPr>
      <w:r>
        <w:rPr>
          <w:rFonts w:hint="eastAsia"/>
        </w:rPr>
        <w:t xml:space="preserve">公平值準備金</w:t>
      </w:r>
    </w:p>
    <w:p>
      <w:pPr>
        <w:pStyle w:val="BodyText"/>
      </w:pPr>
      <w:r>
        <w:rPr>
          <w:rFonts w:hint="eastAsia"/>
        </w:rPr>
        <w:t xml:space="preserve">外幣換算準備金</w:t>
      </w:r>
    </w:p>
    <w:p>
      <w:pPr>
        <w:pStyle w:val="BodyText"/>
      </w:pPr>
      <w:r>
        <w:rPr>
          <w:rFonts w:hint="eastAsia"/>
        </w:rPr>
        <w:t xml:space="preserve">物業重估準備金</w:t>
      </w:r>
    </w:p>
    <w:p>
      <w:pPr>
        <w:pStyle w:val="BodyText"/>
      </w:pPr>
      <w:r>
        <w:rPr>
          <w:rFonts w:hint="eastAsia"/>
        </w:rPr>
        <w:t xml:space="preserve">其他</w:t>
      </w:r>
    </w:p>
    <w:p>
      <w:pPr>
        <w:pStyle w:val="BodyText"/>
      </w:pPr>
      <w:r>
        <w:rPr>
          <w:rFonts w:hint="eastAsia"/>
        </w:rPr>
        <w:t xml:space="preserve">反映於其他全面收入的金額</w:t>
      </w:r>
    </w:p>
    <w:p>
      <w:pPr>
        <w:pStyle w:val="BodyText"/>
      </w:pPr>
      <w:r>
        <w:rPr>
          <w:rFonts w:hint="eastAsia"/>
        </w:rPr>
        <w:t xml:space="preserve">下列人士應佔總權益：</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總權益</w:t>
      </w:r>
    </w:p>
    <w:p>
      <w:pPr>
        <w:pStyle w:val="BodyText"/>
      </w:pPr>
      <w:r>
        <w:rPr>
          <w:rFonts w:hint="eastAsia"/>
        </w:rPr>
        <w:t xml:space="preserve">總負債及權益</w:t>
      </w:r>
    </w:p>
    <w:p>
      <w:pPr>
        <w:pStyle w:val="BodyText"/>
      </w:pPr>
      <w:r>
        <w:rPr>
          <w:rFonts w:hint="eastAsia"/>
        </w:rPr>
        <w:t xml:space="preserve">於2020年</w:t>
      </w:r>
      <w:r>
        <w:br/>
      </w:r>
      <w:r>
        <w:rPr>
          <w:rFonts w:hint="eastAsia"/>
        </w:rPr>
        <w:t xml:space="preserve">12月31日</w:t>
      </w:r>
      <w:r>
        <w:br/>
      </w:r>
      <w:r>
        <w:rPr>
          <w:rFonts w:hint="eastAsia"/>
        </w:rPr>
        <w:t xml:space="preserve">（會計政策變更前）</w:t>
      </w:r>
    </w:p>
    <w:p>
      <w:pPr>
        <w:pStyle w:val="BodyText"/>
      </w:pPr>
      <w:r>
        <w:rPr>
          <w:rFonts w:hint="eastAsia"/>
        </w:rPr>
        <w:t xml:space="preserve">會計政策</w:t>
      </w:r>
      <w:r>
        <w:br/>
      </w:r>
      <w:r>
        <w:rPr>
          <w:rFonts w:hint="eastAsia"/>
        </w:rPr>
        <w:t xml:space="preserve">變更的影響</w:t>
      </w:r>
    </w:p>
    <w:p>
      <w:pPr>
        <w:pStyle w:val="BodyText"/>
      </w:pPr>
      <w:r>
        <w:rPr>
          <w:rFonts w:hint="eastAsia"/>
        </w:rPr>
        <w:t xml:space="preserve">於2020年</w:t>
      </w:r>
      <w:r>
        <w:br/>
      </w:r>
      <w:r>
        <w:rPr>
          <w:rFonts w:hint="eastAsia"/>
        </w:rPr>
        <w:t xml:space="preserve">12月31日</w:t>
      </w:r>
      <w:r>
        <w:br/>
      </w:r>
      <w:r>
        <w:rPr>
          <w:rFonts w:hint="eastAsia"/>
        </w:rPr>
        <w:t xml:space="preserve">（所呈報）</w:t>
      </w:r>
    </w:p>
    <w:p>
      <w:pPr>
        <w:pStyle w:val="BodyText"/>
      </w:pPr>
      <w:r>
        <w:t xml:space="preserve">14,155</w:t>
      </w:r>
    </w:p>
    <w:p>
      <w:pPr>
        <w:pStyle w:val="FirstParagraph"/>
      </w:pPr>
      <w:r>
        <w:t xml:space="preserve">(11,891)</w:t>
      </w:r>
    </w:p>
    <w:p>
      <w:pPr>
        <w:pStyle w:val="BodyText"/>
      </w:pPr>
      <w:r>
        <w:t xml:space="preserve">45,931</w:t>
      </w:r>
    </w:p>
    <w:p>
      <w:pPr>
        <w:pStyle w:val="BodyText"/>
      </w:pPr>
      <w:r>
        <w:t xml:space="preserve">21,392</w:t>
      </w:r>
    </w:p>
    <w:p>
      <w:pPr>
        <w:pStyle w:val="BodyText"/>
      </w:pPr>
      <w:r>
        <w:t xml:space="preserve">233</w:t>
      </w:r>
    </w:p>
    <w:p>
      <w:pPr>
        <w:pStyle w:val="BodyText"/>
      </w:pPr>
      <w:r>
        <w:t xml:space="preserve">1,074</w:t>
      </w:r>
    </w:p>
    <w:p>
      <w:pPr>
        <w:pStyle w:val="BodyText"/>
      </w:pPr>
      <w:r>
        <w:t xml:space="preserve">35</w:t>
      </w:r>
    </w:p>
    <w:p>
      <w:pPr>
        <w:pStyle w:val="BodyText"/>
      </w:pPr>
      <w:r>
        <w:t xml:space="preserve">–</w:t>
      </w:r>
    </w:p>
    <w:p>
      <w:pPr>
        <w:pStyle w:val="BodyText"/>
      </w:pPr>
      <w:r>
        <w:t xml:space="preserve">–</w:t>
      </w:r>
    </w:p>
    <w:p>
      <w:pPr>
        <w:pStyle w:val="BodyText"/>
      </w:pPr>
      <w:r>
        <w:t xml:space="preserve">–</w:t>
      </w:r>
    </w:p>
    <w:p>
      <w:pPr>
        <w:pStyle w:val="BodyText"/>
      </w:pPr>
      <w:r>
        <w:t xml:space="preserve">(1,227)</w:t>
      </w:r>
    </w:p>
    <w:p>
      <w:pPr>
        <w:pStyle w:val="BodyText"/>
      </w:pPr>
      <w:r>
        <w:t xml:space="preserve">(6,222)</w:t>
      </w:r>
    </w:p>
    <w:p>
      <w:pPr>
        <w:pStyle w:val="BodyText"/>
      </w:pPr>
      <w:r>
        <w:t xml:space="preserve">–</w:t>
      </w:r>
    </w:p>
    <w:p>
      <w:pPr>
        <w:pStyle w:val="FirstParagraph"/>
      </w:pPr>
      <w:r>
        <w:t xml:space="preserve">14,155</w:t>
      </w:r>
    </w:p>
    <w:p>
      <w:pPr>
        <w:pStyle w:val="FirstParagraph"/>
      </w:pPr>
      <w:r>
        <w:t xml:space="preserve">(11,891)</w:t>
      </w:r>
    </w:p>
    <w:p>
      <w:pPr>
        <w:pStyle w:val="BodyText"/>
      </w:pPr>
      <w:r>
        <w:t xml:space="preserve">44,704</w:t>
      </w:r>
    </w:p>
    <w:p>
      <w:pPr>
        <w:pStyle w:val="BodyText"/>
      </w:pPr>
      <w:r>
        <w:t xml:space="preserve">15,170</w:t>
      </w:r>
    </w:p>
    <w:p>
      <w:pPr>
        <w:pStyle w:val="BodyText"/>
      </w:pPr>
      <w:r>
        <w:t xml:space="preserve">233</w:t>
      </w:r>
    </w:p>
    <w:p>
      <w:pPr>
        <w:pStyle w:val="BodyText"/>
      </w:pPr>
      <w:r>
        <w:t xml:space="preserve">1,027</w:t>
      </w:r>
    </w:p>
    <w:p>
      <w:pPr>
        <w:pStyle w:val="FirstParagraph"/>
      </w:pPr>
      <w:r>
        <w:t xml:space="preserve">22,734</w:t>
      </w:r>
    </w:p>
    <w:p>
      <w:pPr>
        <w:pStyle w:val="BodyText"/>
      </w:pPr>
      <w:r>
        <w:t xml:space="preserve">(6,347)</w:t>
      </w:r>
    </w:p>
    <w:p>
      <w:pPr>
        <w:pStyle w:val="BodyText"/>
      </w:pPr>
      <w:r>
        <w:t xml:space="preserve">16,387</w:t>
      </w:r>
    </w:p>
    <w:p>
      <w:pPr>
        <w:pStyle w:val="BodyText"/>
      </w:pPr>
      <w:r>
        <w:t xml:space="preserve">70,774</w:t>
      </w:r>
    </w:p>
    <w:p>
      <w:pPr>
        <w:pStyle w:val="BodyText"/>
      </w:pPr>
      <w:r>
        <w:t xml:space="preserve">468</w:t>
      </w:r>
    </w:p>
    <w:p>
      <w:pPr>
        <w:pStyle w:val="BodyText"/>
      </w:pPr>
      <w:r>
        <w:t xml:space="preserve">71,242</w:t>
      </w:r>
    </w:p>
    <w:p>
      <w:pPr>
        <w:pStyle w:val="BodyText"/>
      </w:pPr>
      <w:r>
        <w:t xml:space="preserve">326,121</w:t>
      </w:r>
    </w:p>
    <w:p>
      <w:pPr>
        <w:pStyle w:val="BodyText"/>
      </w:pPr>
      <w:r>
        <w:t xml:space="preserve">(7,574)</w:t>
      </w:r>
    </w:p>
    <w:p>
      <w:pPr>
        <w:pStyle w:val="BodyText"/>
      </w:pPr>
      <w:r>
        <w:t xml:space="preserve">63,200</w:t>
      </w:r>
    </w:p>
    <w:p>
      <w:pPr>
        <w:pStyle w:val="BodyText"/>
      </w:pPr>
      <w:r>
        <w:t xml:space="preserve">–</w:t>
      </w:r>
    </w:p>
    <w:p>
      <w:pPr>
        <w:pStyle w:val="BodyText"/>
      </w:pPr>
      <w:r>
        <w:t xml:space="preserve">(7,574)</w:t>
      </w:r>
    </w:p>
    <w:p>
      <w:pPr>
        <w:pStyle w:val="BodyText"/>
      </w:pPr>
      <w:r>
        <w:t xml:space="preserve">–</w:t>
      </w:r>
    </w:p>
    <w:p>
      <w:pPr>
        <w:pStyle w:val="BodyText"/>
      </w:pPr>
      <w:r>
        <w:t xml:space="preserve">468</w:t>
      </w:r>
    </w:p>
    <w:p>
      <w:pPr>
        <w:pStyle w:val="BodyText"/>
      </w:pPr>
      <w:r>
        <w:t xml:space="preserve">63,668</w:t>
      </w:r>
    </w:p>
    <w:p>
      <w:pPr>
        <w:pStyle w:val="BodyText"/>
      </w:pPr>
      <w:r>
        <w:t xml:space="preserve">326,121</w:t>
      </w:r>
    </w:p>
    <w:p>
      <w:pPr>
        <w:pStyle w:val="BodyText"/>
      </w:pPr>
      <w:r>
        <w:t xml:space="preserve">258</w:t>
      </w:r>
    </w:p>
    <w:p>
      <w:pPr>
        <w:pStyle w:val="BodyText"/>
      </w:pPr>
      <w:r>
        <w:rPr>
          <w:rFonts w:hint="eastAsia"/>
        </w:rPr>
        <w:t xml:space="preserve">友邦保險控股有限公司</w:t>
      </w:r>
    </w:p>
    <w:p>
      <w:pPr>
        <w:pStyle w:val="Compact"/>
        <w:numPr>
          <w:ilvl w:val="0"/>
          <w:numId w:val="1595"/>
        </w:numPr>
      </w:pPr>
      <w:r>
        <w:rPr>
          <w:rFonts w:hint="eastAsia"/>
        </w:rPr>
        <w:t xml:space="preserve">採納經修訂會計政策的影響（續）</w:t>
      </w:r>
    </w:p>
    <w:p>
      <w:pPr>
        <w:pStyle w:val="Compact"/>
        <w:numPr>
          <w:ilvl w:val="0"/>
          <w:numId w:val="1596"/>
        </w:numPr>
      </w:pPr>
      <w:r>
        <w:rPr>
          <w:rFonts w:hint="eastAsia"/>
        </w:rPr>
        <w:t xml:space="preserve">合併財務狀況表（續）</w:t>
      </w:r>
    </w:p>
    <w:p>
      <w:pPr>
        <w:pStyle w:val="FirstParagraph"/>
      </w:pPr>
      <w:r>
        <w:rPr>
          <w:rFonts w:hint="eastAsia"/>
        </w:rPr>
        <w:t xml:space="preserve">百萬美元</w:t>
      </w:r>
    </w:p>
    <w:p>
      <w:pPr>
        <w:pStyle w:val="BodyText"/>
      </w:pPr>
      <w:r>
        <w:rPr>
          <w:rFonts w:hint="eastAsia"/>
        </w:rPr>
        <w:t xml:space="preserve">資產</w:t>
      </w:r>
    </w:p>
    <w:p>
      <w:pPr>
        <w:pStyle w:val="BodyText"/>
      </w:pPr>
      <w:r>
        <w:rPr>
          <w:rFonts w:hint="eastAsia"/>
        </w:rPr>
        <w:t xml:space="preserve">無形資產</w:t>
      </w:r>
    </w:p>
    <w:p>
      <w:pPr>
        <w:pStyle w:val="BodyText"/>
      </w:pPr>
      <w:r>
        <w:rPr>
          <w:rFonts w:hint="eastAsia"/>
        </w:rPr>
        <w:t xml:space="preserve">於聯營公司及合資公司的投資</w:t>
      </w:r>
    </w:p>
    <w:p>
      <w:pPr>
        <w:pStyle w:val="BodyText"/>
      </w:pPr>
      <w:r>
        <w:rPr>
          <w:rFonts w:hint="eastAsia"/>
        </w:rPr>
        <w:t xml:space="preserve">物業、廠房及設備</w:t>
      </w:r>
    </w:p>
    <w:p>
      <w:pPr>
        <w:pStyle w:val="BodyText"/>
      </w:pPr>
      <w:r>
        <w:rPr>
          <w:rFonts w:hint="eastAsia"/>
        </w:rPr>
        <w:t xml:space="preserve">投資物業</w:t>
      </w:r>
    </w:p>
    <w:p>
      <w:pPr>
        <w:pStyle w:val="BodyText"/>
      </w:pPr>
      <w:r>
        <w:rPr>
          <w:rFonts w:hint="eastAsia"/>
        </w:rPr>
        <w:t xml:space="preserve">再保險資產</w:t>
      </w:r>
    </w:p>
    <w:p>
      <w:pPr>
        <w:pStyle w:val="BodyText"/>
      </w:pPr>
      <w:r>
        <w:rPr>
          <w:rFonts w:hint="eastAsia"/>
        </w:rPr>
        <w:t xml:space="preserve">遞延承保及啟動成本</w:t>
      </w:r>
    </w:p>
    <w:p>
      <w:pPr>
        <w:pStyle w:val="BodyText"/>
      </w:pPr>
      <w:r>
        <w:rPr>
          <w:rFonts w:hint="eastAsia"/>
        </w:rPr>
        <w:t xml:space="preserve">金融投資：</w:t>
      </w:r>
    </w:p>
    <w:p>
      <w:pPr>
        <w:pStyle w:val="BodyText"/>
      </w:pPr>
      <w:r>
        <w:rPr>
          <w:rFonts w:hint="eastAsia"/>
        </w:rPr>
        <w:t xml:space="preserve">貸款及存款</w:t>
      </w:r>
    </w:p>
    <w:p>
      <w:pPr>
        <w:pStyle w:val="BodyText"/>
      </w:pPr>
      <w:r>
        <w:rPr>
          <w:rFonts w:hint="eastAsia"/>
        </w:rPr>
        <w:t xml:space="preserve">可供出售</w:t>
      </w:r>
    </w:p>
    <w:p>
      <w:pPr>
        <w:pStyle w:val="BodyText"/>
      </w:pPr>
      <w:r>
        <w:rPr>
          <w:rFonts w:hint="eastAsia"/>
        </w:rPr>
        <w:t xml:space="preserve">債務證券</w:t>
      </w:r>
    </w:p>
    <w:p>
      <w:pPr>
        <w:pStyle w:val="BodyText"/>
      </w:pPr>
      <w:r>
        <w:rPr>
          <w:rFonts w:hint="eastAsia"/>
        </w:rPr>
        <w:t xml:space="preserve">按公平值計入損益</w:t>
      </w:r>
    </w:p>
    <w:p>
      <w:pPr>
        <w:pStyle w:val="BodyText"/>
      </w:pPr>
      <w:r>
        <w:rPr>
          <w:rFonts w:hint="eastAsia"/>
        </w:rPr>
        <w:t xml:space="preserve">債務證券</w:t>
      </w:r>
    </w:p>
    <w:p>
      <w:pPr>
        <w:pStyle w:val="BodyText"/>
      </w:pPr>
      <w:r>
        <w:rPr>
          <w:rFonts w:hint="eastAsia"/>
        </w:rPr>
        <w:t xml:space="preserve">股本證券</w:t>
      </w:r>
    </w:p>
    <w:p>
      <w:pPr>
        <w:pStyle w:val="BodyText"/>
      </w:pPr>
      <w:r>
        <w:rPr>
          <w:rFonts w:hint="eastAsia"/>
        </w:rPr>
        <w:t xml:space="preserve">衍生金融工具</w:t>
      </w:r>
    </w:p>
    <w:p>
      <w:pPr>
        <w:pStyle w:val="BodyText"/>
      </w:pPr>
      <w:r>
        <w:rPr>
          <w:rFonts w:hint="eastAsia"/>
        </w:rPr>
        <w:t xml:space="preserve">遞延稅項資產</w:t>
      </w:r>
    </w:p>
    <w:p>
      <w:pPr>
        <w:pStyle w:val="BodyText"/>
      </w:pPr>
      <w:r>
        <w:rPr>
          <w:rFonts w:hint="eastAsia"/>
        </w:rPr>
        <w:t xml:space="preserve">當期可收回稅項</w:t>
      </w:r>
    </w:p>
    <w:p>
      <w:pPr>
        <w:pStyle w:val="BodyText"/>
      </w:pPr>
      <w:r>
        <w:rPr>
          <w:rFonts w:hint="eastAsia"/>
        </w:rPr>
        <w:t xml:space="preserve">其他資產</w:t>
      </w:r>
    </w:p>
    <w:p>
      <w:pPr>
        <w:pStyle w:val="BodyText"/>
      </w:pPr>
      <w:r>
        <w:rPr>
          <w:rFonts w:hint="eastAsia"/>
        </w:rPr>
        <w:t xml:space="preserve">現金及現金等價物</w:t>
      </w:r>
    </w:p>
    <w:p>
      <w:pPr>
        <w:pStyle w:val="BodyText"/>
      </w:pPr>
      <w:r>
        <w:rPr>
          <w:rFonts w:hint="eastAsia"/>
        </w:rPr>
        <w:t xml:space="preserve">總資產</w:t>
      </w:r>
    </w:p>
    <w:p>
      <w:pPr>
        <w:pStyle w:val="BodyText"/>
      </w:pPr>
      <w:r>
        <w:rPr>
          <w:rFonts w:hint="eastAsia"/>
        </w:rPr>
        <w:t xml:space="preserve">負債</w:t>
      </w:r>
    </w:p>
    <w:p>
      <w:pPr>
        <w:pStyle w:val="BodyText"/>
      </w:pPr>
      <w:r>
        <w:rPr>
          <w:rFonts w:hint="eastAsia"/>
        </w:rPr>
        <w:t xml:space="preserve">保險合約負債</w:t>
      </w:r>
    </w:p>
    <w:p>
      <w:pPr>
        <w:pStyle w:val="BodyText"/>
      </w:pPr>
      <w:r>
        <w:rPr>
          <w:rFonts w:hint="eastAsia"/>
        </w:rPr>
        <w:t xml:space="preserve">投資合約負債</w:t>
      </w:r>
    </w:p>
    <w:p>
      <w:pPr>
        <w:pStyle w:val="BodyText"/>
      </w:pPr>
      <w:r>
        <w:rPr>
          <w:rFonts w:hint="eastAsia"/>
        </w:rPr>
        <w:t xml:space="preserve">借貸</w:t>
      </w:r>
    </w:p>
    <w:p>
      <w:pPr>
        <w:pStyle w:val="BodyText"/>
      </w:pPr>
      <w:r>
        <w:rPr>
          <w:rFonts w:hint="eastAsia"/>
        </w:rPr>
        <w:t xml:space="preserve">回購協議的債項</w:t>
      </w:r>
    </w:p>
    <w:p>
      <w:pPr>
        <w:pStyle w:val="BodyText"/>
      </w:pPr>
      <w:r>
        <w:rPr>
          <w:rFonts w:hint="eastAsia"/>
        </w:rPr>
        <w:t xml:space="preserve">衍生金融工具</w:t>
      </w:r>
    </w:p>
    <w:p>
      <w:pPr>
        <w:pStyle w:val="BodyText"/>
      </w:pPr>
      <w:r>
        <w:rPr>
          <w:rFonts w:hint="eastAsia"/>
        </w:rPr>
        <w:t xml:space="preserve">撥備</w:t>
      </w:r>
    </w:p>
    <w:p>
      <w:pPr>
        <w:pStyle w:val="BodyText"/>
      </w:pPr>
      <w:r>
        <w:rPr>
          <w:rFonts w:hint="eastAsia"/>
        </w:rPr>
        <w:t xml:space="preserve">遞延稅項負債</w:t>
      </w:r>
    </w:p>
    <w:p>
      <w:pPr>
        <w:pStyle w:val="BodyText"/>
      </w:pPr>
      <w:r>
        <w:rPr>
          <w:rFonts w:hint="eastAsia"/>
        </w:rPr>
        <w:t xml:space="preserve">當期稅項負債</w:t>
      </w:r>
    </w:p>
    <w:p>
      <w:pPr>
        <w:pStyle w:val="BodyText"/>
      </w:pPr>
      <w:r>
        <w:rPr>
          <w:rFonts w:hint="eastAsia"/>
        </w:rPr>
        <w:t xml:space="preserve">其他負債</w:t>
      </w:r>
    </w:p>
    <w:p>
      <w:pPr>
        <w:pStyle w:val="BodyText"/>
      </w:pPr>
      <w:r>
        <w:rPr>
          <w:rFonts w:hint="eastAsia"/>
        </w:rPr>
        <w:t xml:space="preserve">總負債</w:t>
      </w:r>
    </w:p>
    <w:p>
      <w:pPr>
        <w:pStyle w:val="BodyText"/>
      </w:pPr>
      <w:r>
        <w:rPr>
          <w:rFonts w:hint="eastAsia"/>
        </w:rPr>
        <w:t xml:space="preserve">於2019年</w:t>
      </w:r>
      <w:r>
        <w:br/>
      </w:r>
      <w:r>
        <w:rPr>
          <w:rFonts w:hint="eastAsia"/>
        </w:rPr>
        <w:t xml:space="preserve">12月31日</w:t>
      </w:r>
      <w:r>
        <w:br/>
      </w:r>
      <w:r>
        <w:rPr>
          <w:rFonts w:hint="eastAsia"/>
        </w:rPr>
        <w:t xml:space="preserve">（如前期呈報）</w:t>
      </w:r>
    </w:p>
    <w:p>
      <w:pPr>
        <w:pStyle w:val="BodyText"/>
      </w:pPr>
      <w:r>
        <w:rPr>
          <w:rFonts w:hint="eastAsia"/>
        </w:rPr>
        <w:t xml:space="preserve">會計政策</w:t>
      </w:r>
      <w:r>
        <w:br/>
      </w:r>
      <w:r>
        <w:rPr>
          <w:rFonts w:hint="eastAsia"/>
        </w:rPr>
        <w:t xml:space="preserve">變更追溯</w:t>
      </w:r>
      <w:r>
        <w:br/>
      </w:r>
      <w:r>
        <w:rPr>
          <w:rFonts w:hint="eastAsia"/>
        </w:rPr>
        <w:t xml:space="preserve">調整</w:t>
      </w:r>
    </w:p>
    <w:p>
      <w:pPr>
        <w:pStyle w:val="BodyText"/>
      </w:pPr>
      <w:r>
        <w:rPr>
          <w:rFonts w:hint="eastAsia"/>
        </w:rPr>
        <w:t xml:space="preserve">於2019年</w:t>
      </w:r>
      <w:r>
        <w:br/>
      </w:r>
      <w:r>
        <w:rPr>
          <w:rFonts w:hint="eastAsia"/>
        </w:rPr>
        <w:t xml:space="preserve">12月31日</w:t>
      </w:r>
      <w:r>
        <w:br/>
      </w:r>
      <w:r>
        <w:rPr>
          <w:rFonts w:hint="eastAsia"/>
        </w:rPr>
        <w:t xml:space="preserve">（經調整）</w:t>
      </w:r>
    </w:p>
    <w:p>
      <w:pPr>
        <w:pStyle w:val="BodyText"/>
      </w:pPr>
      <w:r>
        <w:t xml:space="preserve">2,520</w:t>
      </w:r>
    </w:p>
    <w:p>
      <w:pPr>
        <w:pStyle w:val="BodyText"/>
      </w:pPr>
      <w:r>
        <w:t xml:space="preserve">615</w:t>
      </w:r>
    </w:p>
    <w:p>
      <w:pPr>
        <w:pStyle w:val="BodyText"/>
      </w:pPr>
      <w:r>
        <w:t xml:space="preserve">2,865</w:t>
      </w:r>
    </w:p>
    <w:p>
      <w:pPr>
        <w:pStyle w:val="BodyText"/>
      </w:pPr>
      <w:r>
        <w:t xml:space="preserve">4,834</w:t>
      </w:r>
    </w:p>
    <w:p>
      <w:pPr>
        <w:pStyle w:val="BodyText"/>
      </w:pPr>
      <w:r>
        <w:t xml:space="preserve">3,833</w:t>
      </w:r>
    </w:p>
    <w:p>
      <w:pPr>
        <w:pStyle w:val="BodyText"/>
      </w:pPr>
      <w:r>
        <w:t xml:space="preserve">26,328</w:t>
      </w:r>
    </w:p>
    <w:p>
      <w:pPr>
        <w:pStyle w:val="BodyText"/>
      </w:pPr>
      <w:r>
        <w:t xml:space="preserve">10,086</w:t>
      </w:r>
    </w:p>
    <w:p>
      <w:pPr>
        <w:pStyle w:val="BodyText"/>
      </w:pPr>
      <w:r>
        <w:t xml:space="preserve">138,852</w:t>
      </w:r>
    </w:p>
    <w:p>
      <w:pPr>
        <w:pStyle w:val="BodyText"/>
      </w:pPr>
      <w:r>
        <w:t xml:space="preserve">33,132</w:t>
      </w:r>
    </w:p>
    <w:p>
      <w:pPr>
        <w:pStyle w:val="BodyText"/>
      </w:pPr>
      <w:r>
        <w:t xml:space="preserve">50,322</w:t>
      </w:r>
    </w:p>
    <w:p>
      <w:pPr>
        <w:pStyle w:val="BodyText"/>
      </w:pPr>
      <w:r>
        <w:t xml:space="preserve">971</w:t>
      </w:r>
    </w:p>
    <w:p>
      <w:pPr>
        <w:pStyle w:val="BodyText"/>
      </w:pPr>
      <w:r>
        <w:t xml:space="preserve">233,363</w:t>
      </w:r>
    </w:p>
    <w:p>
      <w:pPr>
        <w:pStyle w:val="BodyText"/>
      </w:pPr>
      <w:r>
        <w:t xml:space="preserve">23</w:t>
      </w:r>
    </w:p>
    <w:p>
      <w:pPr>
        <w:pStyle w:val="BodyText"/>
      </w:pPr>
      <w:r>
        <w:t xml:space="preserve">205</w:t>
      </w:r>
    </w:p>
    <w:p>
      <w:pPr>
        <w:pStyle w:val="BodyText"/>
      </w:pPr>
      <w:r>
        <w:t xml:space="preserve">5,605</w:t>
      </w:r>
    </w:p>
    <w:p>
      <w:pPr>
        <w:pStyle w:val="BodyText"/>
      </w:pPr>
      <w:r>
        <w:t xml:space="preserve">3,941</w:t>
      </w:r>
    </w:p>
    <w:p>
      <w:pPr>
        <w:pStyle w:val="BodyText"/>
      </w:pPr>
      <w:r>
        <w:t xml:space="preserve">284,132</w:t>
      </w:r>
    </w:p>
    <w:p>
      <w:pPr>
        <w:pStyle w:val="BodyText"/>
      </w:pPr>
      <w:r>
        <w:t xml:space="preserve">189,597</w:t>
      </w:r>
    </w:p>
    <w:p>
      <w:pPr>
        <w:pStyle w:val="BodyText"/>
      </w:pPr>
      <w:r>
        <w:t xml:space="preserve">12,273</w:t>
      </w:r>
    </w:p>
    <w:p>
      <w:pPr>
        <w:pStyle w:val="BodyText"/>
      </w:pPr>
      <w:r>
        <w:t xml:space="preserve">5,757</w:t>
      </w:r>
    </w:p>
    <w:p>
      <w:pPr>
        <w:pStyle w:val="BodyText"/>
      </w:pPr>
      <w:r>
        <w:t xml:space="preserve">1,826</w:t>
      </w:r>
    </w:p>
    <w:p>
      <w:pPr>
        <w:pStyle w:val="BodyText"/>
      </w:pPr>
      <w:r>
        <w:t xml:space="preserve">412</w:t>
      </w:r>
    </w:p>
    <w:p>
      <w:pPr>
        <w:pStyle w:val="BodyText"/>
      </w:pPr>
      <w:r>
        <w:t xml:space="preserve">225</w:t>
      </w:r>
    </w:p>
    <w:p>
      <w:pPr>
        <w:pStyle w:val="BodyText"/>
      </w:pPr>
      <w:r>
        <w:t xml:space="preserve">6,237</w:t>
      </w:r>
    </w:p>
    <w:p>
      <w:pPr>
        <w:pStyle w:val="BodyText"/>
      </w:pPr>
      <w:r>
        <w:t xml:space="preserve">432</w:t>
      </w:r>
    </w:p>
    <w:p>
      <w:pPr>
        <w:pStyle w:val="BodyText"/>
      </w:pPr>
      <w:r>
        <w:t xml:space="preserve">9,417</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2,584</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FirstParagraph"/>
      </w:pPr>
      <w:r>
        <w:t xml:space="preserve">–</w:t>
      </w:r>
    </w:p>
    <w:p>
      <w:pPr>
        <w:pStyle w:val="BodyText"/>
      </w:pPr>
      <w:r>
        <w:t xml:space="preserve">–</w:t>
      </w:r>
    </w:p>
    <w:p>
      <w:pPr>
        <w:pStyle w:val="BodyText"/>
      </w:pPr>
      <w:r>
        <w:t xml:space="preserve">2,520</w:t>
      </w:r>
    </w:p>
    <w:p>
      <w:pPr>
        <w:pStyle w:val="BodyText"/>
      </w:pPr>
      <w:r>
        <w:t xml:space="preserve">615</w:t>
      </w:r>
    </w:p>
    <w:p>
      <w:pPr>
        <w:pStyle w:val="BodyText"/>
      </w:pPr>
      <w:r>
        <w:t xml:space="preserve">2,865</w:t>
      </w:r>
    </w:p>
    <w:p>
      <w:pPr>
        <w:pStyle w:val="BodyText"/>
      </w:pPr>
      <w:r>
        <w:t xml:space="preserve">4,834</w:t>
      </w:r>
    </w:p>
    <w:p>
      <w:pPr>
        <w:pStyle w:val="BodyText"/>
      </w:pPr>
      <w:r>
        <w:t xml:space="preserve">3,833</w:t>
      </w:r>
    </w:p>
    <w:p>
      <w:pPr>
        <w:pStyle w:val="BodyText"/>
      </w:pPr>
      <w:r>
        <w:t xml:space="preserve">26,328</w:t>
      </w:r>
    </w:p>
    <w:p>
      <w:pPr>
        <w:pStyle w:val="BodyText"/>
      </w:pPr>
      <w:r>
        <w:t xml:space="preserve">10,086</w:t>
      </w:r>
    </w:p>
    <w:p>
      <w:pPr>
        <w:pStyle w:val="BodyText"/>
      </w:pPr>
      <w:r>
        <w:t xml:space="preserve">138,852</w:t>
      </w:r>
    </w:p>
    <w:p>
      <w:pPr>
        <w:pStyle w:val="BodyText"/>
      </w:pPr>
      <w:r>
        <w:t xml:space="preserve">33,132</w:t>
      </w:r>
    </w:p>
    <w:p>
      <w:pPr>
        <w:pStyle w:val="BodyText"/>
      </w:pPr>
      <w:r>
        <w:t xml:space="preserve">50,322</w:t>
      </w:r>
    </w:p>
    <w:p>
      <w:pPr>
        <w:pStyle w:val="BodyText"/>
      </w:pPr>
      <w:r>
        <w:t xml:space="preserve">971</w:t>
      </w:r>
    </w:p>
    <w:p>
      <w:pPr>
        <w:pStyle w:val="BodyText"/>
      </w:pPr>
      <w:r>
        <w:t xml:space="preserve">233,363</w:t>
      </w:r>
    </w:p>
    <w:p>
      <w:pPr>
        <w:pStyle w:val="BodyText"/>
      </w:pPr>
      <w:r>
        <w:t xml:space="preserve">23</w:t>
      </w:r>
    </w:p>
    <w:p>
      <w:pPr>
        <w:pStyle w:val="BodyText"/>
      </w:pPr>
      <w:r>
        <w:t xml:space="preserve">205</w:t>
      </w:r>
    </w:p>
    <w:p>
      <w:pPr>
        <w:pStyle w:val="BodyText"/>
      </w:pPr>
      <w:r>
        <w:t xml:space="preserve">5,605</w:t>
      </w:r>
    </w:p>
    <w:p>
      <w:pPr>
        <w:pStyle w:val="BodyText"/>
      </w:pPr>
      <w:r>
        <w:t xml:space="preserve">3,941</w:t>
      </w:r>
    </w:p>
    <w:p>
      <w:pPr>
        <w:pStyle w:val="BodyText"/>
      </w:pPr>
      <w:r>
        <w:t xml:space="preserve">284,132</w:t>
      </w:r>
    </w:p>
    <w:p>
      <w:pPr>
        <w:pStyle w:val="BodyText"/>
      </w:pPr>
      <w:r>
        <w:t xml:space="preserve">192,181</w:t>
      </w:r>
    </w:p>
    <w:p>
      <w:pPr>
        <w:pStyle w:val="BodyText"/>
      </w:pPr>
      <w:r>
        <w:t xml:space="preserve">12,273</w:t>
      </w:r>
    </w:p>
    <w:p>
      <w:pPr>
        <w:pStyle w:val="BodyText"/>
      </w:pPr>
      <w:r>
        <w:t xml:space="preserve">5,757</w:t>
      </w:r>
    </w:p>
    <w:p>
      <w:pPr>
        <w:pStyle w:val="BodyText"/>
      </w:pPr>
      <w:r>
        <w:t xml:space="preserve">1,826</w:t>
      </w:r>
    </w:p>
    <w:p>
      <w:pPr>
        <w:pStyle w:val="BodyText"/>
      </w:pPr>
      <w:r>
        <w:t xml:space="preserve">412</w:t>
      </w:r>
    </w:p>
    <w:p>
      <w:pPr>
        <w:pStyle w:val="BodyText"/>
      </w:pPr>
      <w:r>
        <w:t xml:space="preserve">225</w:t>
      </w:r>
    </w:p>
    <w:p>
      <w:pPr>
        <w:pStyle w:val="BodyText"/>
      </w:pPr>
      <w:r>
        <w:t xml:space="preserve">6,214</w:t>
      </w:r>
    </w:p>
    <w:p>
      <w:pPr>
        <w:pStyle w:val="BodyText"/>
      </w:pPr>
      <w:r>
        <w:t xml:space="preserve">432</w:t>
      </w:r>
    </w:p>
    <w:p>
      <w:pPr>
        <w:pStyle w:val="BodyText"/>
      </w:pPr>
      <w:r>
        <w:t xml:space="preserve">9,417</w:t>
      </w:r>
    </w:p>
    <w:p>
      <w:pPr>
        <w:pStyle w:val="BodyText"/>
      </w:pPr>
      <w:r>
        <w:t xml:space="preserve">226,176</w:t>
      </w:r>
    </w:p>
    <w:p>
      <w:pPr>
        <w:pStyle w:val="BodyText"/>
      </w:pPr>
      <w:r>
        <w:t xml:space="preserve">2,561</w:t>
      </w:r>
    </w:p>
    <w:p>
      <w:pPr>
        <w:pStyle w:val="BodyText"/>
      </w:pPr>
      <w:r>
        <w:t xml:space="preserve">228,737</w:t>
      </w:r>
    </w:p>
    <w:p>
      <w:pPr>
        <w:pStyle w:val="BodyText"/>
      </w:pPr>
      <w:r>
        <w:t xml:space="preserve">259</w:t>
      </w:r>
    </w:p>
    <w:p>
      <w:pPr>
        <w:pStyle w:val="BodyText"/>
      </w:pPr>
      <w:r>
        <w:rPr>
          <w:rFonts w:hint="eastAsia"/>
        </w:rPr>
        <w:t xml:space="preserve">概覽財務及營運回顧企業管治其他資料財務報表2020年報</w:t>
      </w:r>
    </w:p>
    <w:p>
      <w:pPr>
        <w:pStyle w:val="Compact"/>
        <w:numPr>
          <w:ilvl w:val="0"/>
          <w:numId w:val="1598"/>
        </w:numPr>
      </w:pPr>
      <w:r>
        <w:rPr>
          <w:rFonts w:hint="eastAsia"/>
        </w:rPr>
        <w:t xml:space="preserve">採納經修訂會計政策的影響（續）</w:t>
      </w:r>
    </w:p>
    <w:p>
      <w:pPr>
        <w:pStyle w:val="Compact"/>
        <w:numPr>
          <w:ilvl w:val="0"/>
          <w:numId w:val="1599"/>
        </w:numPr>
      </w:pPr>
      <w:r>
        <w:rPr>
          <w:rFonts w:hint="eastAsia"/>
        </w:rPr>
        <w:t xml:space="preserve">合併財務狀況表（續）</w:t>
      </w:r>
    </w:p>
    <w:p>
      <w:pPr>
        <w:pStyle w:val="FirstParagraph"/>
      </w:pPr>
      <w:r>
        <w:rPr>
          <w:rFonts w:hint="eastAsia"/>
        </w:rPr>
        <w:t xml:space="preserve">百萬美元</w:t>
      </w:r>
    </w:p>
    <w:p>
      <w:pPr>
        <w:pStyle w:val="BodyText"/>
      </w:pPr>
      <w:r>
        <w:rPr>
          <w:rFonts w:hint="eastAsia"/>
        </w:rPr>
        <w:t xml:space="preserve">權益</w:t>
      </w:r>
    </w:p>
    <w:p>
      <w:pPr>
        <w:pStyle w:val="BodyText"/>
      </w:pPr>
      <w:r>
        <w:rPr>
          <w:rFonts w:hint="eastAsia"/>
        </w:rPr>
        <w:t xml:space="preserve">股本</w:t>
      </w:r>
    </w:p>
    <w:p>
      <w:pPr>
        <w:pStyle w:val="BodyText"/>
      </w:pPr>
      <w:r>
        <w:rPr>
          <w:rFonts w:hint="eastAsia"/>
        </w:rPr>
        <w:t xml:space="preserve">僱員股票信託</w:t>
      </w:r>
    </w:p>
    <w:p>
      <w:pPr>
        <w:pStyle w:val="BodyText"/>
      </w:pPr>
      <w:r>
        <w:rPr>
          <w:rFonts w:hint="eastAsia"/>
        </w:rPr>
        <w:t xml:space="preserve">其他準備金</w:t>
      </w:r>
    </w:p>
    <w:p>
      <w:pPr>
        <w:pStyle w:val="BodyText"/>
      </w:pPr>
      <w:r>
        <w:rPr>
          <w:rFonts w:hint="eastAsia"/>
        </w:rPr>
        <w:t xml:space="preserve">保留盈利</w:t>
      </w:r>
    </w:p>
    <w:p>
      <w:pPr>
        <w:pStyle w:val="BodyText"/>
      </w:pPr>
      <w:r>
        <w:rPr>
          <w:rFonts w:hint="eastAsia"/>
        </w:rPr>
        <w:t xml:space="preserve">公平值準備金</w:t>
      </w:r>
    </w:p>
    <w:p>
      <w:pPr>
        <w:pStyle w:val="BodyText"/>
      </w:pPr>
      <w:r>
        <w:rPr>
          <w:rFonts w:hint="eastAsia"/>
        </w:rPr>
        <w:t xml:space="preserve">外幣換算準備金</w:t>
      </w:r>
    </w:p>
    <w:p>
      <w:pPr>
        <w:pStyle w:val="BodyText"/>
      </w:pPr>
      <w:r>
        <w:rPr>
          <w:rFonts w:hint="eastAsia"/>
        </w:rPr>
        <w:t xml:space="preserve">物業重估準備金</w:t>
      </w:r>
    </w:p>
    <w:p>
      <w:pPr>
        <w:pStyle w:val="BodyText"/>
      </w:pPr>
      <w:r>
        <w:rPr>
          <w:rFonts w:hint="eastAsia"/>
        </w:rPr>
        <w:t xml:space="preserve">其他</w:t>
      </w:r>
    </w:p>
    <w:p>
      <w:pPr>
        <w:pStyle w:val="BodyText"/>
      </w:pPr>
      <w:r>
        <w:rPr>
          <w:rFonts w:hint="eastAsia"/>
        </w:rPr>
        <w:t xml:space="preserve">反映於其他全面收入的金額</w:t>
      </w:r>
    </w:p>
    <w:p>
      <w:pPr>
        <w:pStyle w:val="BodyText"/>
      </w:pPr>
      <w:r>
        <w:rPr>
          <w:rFonts w:hint="eastAsia"/>
        </w:rPr>
        <w:t xml:space="preserve">下列人士應佔總權益：</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總權益</w:t>
      </w:r>
    </w:p>
    <w:p>
      <w:pPr>
        <w:pStyle w:val="BodyText"/>
      </w:pPr>
      <w:r>
        <w:rPr>
          <w:rFonts w:hint="eastAsia"/>
        </w:rPr>
        <w:t xml:space="preserve">總負債及權益</w:t>
      </w:r>
    </w:p>
    <w:p>
      <w:pPr>
        <w:pStyle w:val="BodyText"/>
      </w:pPr>
      <w:r>
        <w:rPr>
          <w:rFonts w:hint="eastAsia"/>
        </w:rPr>
        <w:t xml:space="preserve">於2019年</w:t>
      </w:r>
      <w:r>
        <w:br/>
      </w:r>
      <w:r>
        <w:rPr>
          <w:rFonts w:hint="eastAsia"/>
        </w:rPr>
        <w:t xml:space="preserve">12月31日</w:t>
      </w:r>
      <w:r>
        <w:br/>
      </w:r>
      <w:r>
        <w:rPr>
          <w:rFonts w:hint="eastAsia"/>
        </w:rPr>
        <w:t xml:space="preserve">（如前期呈報）</w:t>
      </w:r>
    </w:p>
    <w:p>
      <w:pPr>
        <w:pStyle w:val="BodyText"/>
      </w:pPr>
      <w:r>
        <w:rPr>
          <w:rFonts w:hint="eastAsia"/>
        </w:rPr>
        <w:t xml:space="preserve">會計政策</w:t>
      </w:r>
      <w:r>
        <w:br/>
      </w:r>
      <w:r>
        <w:rPr>
          <w:rFonts w:hint="eastAsia"/>
        </w:rPr>
        <w:t xml:space="preserve">變更追溯</w:t>
      </w:r>
      <w:r>
        <w:br/>
      </w:r>
      <w:r>
        <w:rPr>
          <w:rFonts w:hint="eastAsia"/>
        </w:rPr>
        <w:t xml:space="preserve">調整</w:t>
      </w:r>
    </w:p>
    <w:p>
      <w:pPr>
        <w:pStyle w:val="BodyText"/>
      </w:pPr>
      <w:r>
        <w:rPr>
          <w:rFonts w:hint="eastAsia"/>
        </w:rPr>
        <w:t xml:space="preserve">於2019年</w:t>
      </w:r>
      <w:r>
        <w:br/>
      </w:r>
      <w:r>
        <w:rPr>
          <w:rFonts w:hint="eastAsia"/>
        </w:rPr>
        <w:t xml:space="preserve">12月31日</w:t>
      </w:r>
      <w:r>
        <w:br/>
      </w:r>
      <w:r>
        <w:rPr>
          <w:rFonts w:hint="eastAsia"/>
        </w:rPr>
        <w:t xml:space="preserve">（經調整）</w:t>
      </w:r>
    </w:p>
    <w:p>
      <w:pPr>
        <w:pStyle w:val="BodyText"/>
      </w:pPr>
      <w:r>
        <w:t xml:space="preserve">14,129</w:t>
      </w:r>
    </w:p>
    <w:p>
      <w:pPr>
        <w:pStyle w:val="FirstParagraph"/>
      </w:pPr>
      <w:r>
        <w:t xml:space="preserve">(11,887)</w:t>
      </w:r>
    </w:p>
    <w:p>
      <w:pPr>
        <w:pStyle w:val="BodyText"/>
      </w:pPr>
      <w:r>
        <w:t xml:space="preserve">40,372</w:t>
      </w:r>
    </w:p>
    <w:p>
      <w:pPr>
        <w:pStyle w:val="BodyText"/>
      </w:pPr>
      <w:r>
        <w:t xml:space="preserve">14,663</w:t>
      </w:r>
    </w:p>
    <w:p>
      <w:pPr>
        <w:pStyle w:val="FirstParagraph"/>
      </w:pPr>
      <w:r>
        <w:t xml:space="preserve">1,163</w:t>
      </w:r>
    </w:p>
    <w:p>
      <w:pPr>
        <w:pStyle w:val="FirstParagraph"/>
      </w:pPr>
      <w:r>
        <w:t xml:space="preserve">–</w:t>
      </w:r>
    </w:p>
    <w:p>
      <w:pPr>
        <w:pStyle w:val="BodyText"/>
      </w:pPr>
      <w:r>
        <w:t xml:space="preserve">–</w:t>
      </w:r>
    </w:p>
    <w:p>
      <w:pPr>
        <w:pStyle w:val="BodyText"/>
      </w:pPr>
      <w:r>
        <w:t xml:space="preserve">–</w:t>
      </w:r>
    </w:p>
    <w:p>
      <w:pPr>
        <w:pStyle w:val="BodyText"/>
      </w:pPr>
      <w:r>
        <w:t xml:space="preserve">550</w:t>
      </w:r>
    </w:p>
    <w:p>
      <w:pPr>
        <w:pStyle w:val="BodyText"/>
      </w:pPr>
      <w:r>
        <w:t xml:space="preserve">(2,994)</w:t>
      </w:r>
    </w:p>
    <w:p>
      <w:pPr>
        <w:pStyle w:val="BodyText"/>
      </w:pPr>
      <w:r>
        <w:t xml:space="preserve">–</w:t>
      </w:r>
    </w:p>
    <w:p>
      <w:pPr>
        <w:pStyle w:val="FirstParagraph"/>
      </w:pPr>
      <w:r>
        <w:t xml:space="preserve">14,129</w:t>
      </w:r>
    </w:p>
    <w:p>
      <w:pPr>
        <w:pStyle w:val="FirstParagraph"/>
      </w:pPr>
      <w:r>
        <w:t xml:space="preserve">(11,887)</w:t>
      </w:r>
    </w:p>
    <w:p>
      <w:pPr>
        <w:pStyle w:val="BodyText"/>
      </w:pPr>
      <w:r>
        <w:t xml:space="preserve">40,922</w:t>
      </w:r>
    </w:p>
    <w:p>
      <w:pPr>
        <w:pStyle w:val="BodyText"/>
      </w:pPr>
      <w:r>
        <w:t xml:space="preserve">11,669</w:t>
      </w:r>
    </w:p>
    <w:p>
      <w:pPr>
        <w:pStyle w:val="FirstParagraph"/>
      </w:pPr>
      <w:r>
        <w:t xml:space="preserve">1,073</w:t>
      </w:r>
    </w:p>
    <w:p>
      <w:pPr>
        <w:pStyle w:val="FirstParagraph"/>
      </w:pPr>
      <w:r>
        <w:t xml:space="preserve">15,114</w:t>
      </w:r>
    </w:p>
    <w:p>
      <w:pPr>
        <w:pStyle w:val="BodyText"/>
      </w:pPr>
      <w:r>
        <w:t xml:space="preserve">(3,111)</w:t>
      </w:r>
    </w:p>
    <w:p>
      <w:pPr>
        <w:pStyle w:val="BodyText"/>
      </w:pPr>
      <w:r>
        <w:t xml:space="preserve">12,003</w:t>
      </w:r>
    </w:p>
    <w:p>
      <w:pPr>
        <w:pStyle w:val="BodyText"/>
      </w:pPr>
      <w:r>
        <w:t xml:space="preserve">57,508</w:t>
      </w:r>
    </w:p>
    <w:p>
      <w:pPr>
        <w:pStyle w:val="BodyText"/>
      </w:pPr>
      <w:r>
        <w:t xml:space="preserve">448</w:t>
      </w:r>
    </w:p>
    <w:p>
      <w:pPr>
        <w:pStyle w:val="BodyText"/>
      </w:pPr>
      <w:r>
        <w:t xml:space="preserve">57,956</w:t>
      </w:r>
    </w:p>
    <w:p>
      <w:pPr>
        <w:pStyle w:val="BodyText"/>
      </w:pPr>
      <w:r>
        <w:t xml:space="preserve">284,132</w:t>
      </w:r>
    </w:p>
    <w:p>
      <w:pPr>
        <w:pStyle w:val="BodyText"/>
      </w:pPr>
      <w:r>
        <w:t xml:space="preserve">(2,561)</w:t>
      </w:r>
    </w:p>
    <w:p>
      <w:pPr>
        <w:pStyle w:val="BodyText"/>
      </w:pPr>
      <w:r>
        <w:t xml:space="preserve">–</w:t>
      </w:r>
    </w:p>
    <w:p>
      <w:pPr>
        <w:pStyle w:val="BodyText"/>
      </w:pPr>
      <w:r>
        <w:t xml:space="preserve">(2,561)</w:t>
      </w:r>
    </w:p>
    <w:p>
      <w:pPr>
        <w:pStyle w:val="BodyText"/>
      </w:pPr>
      <w:r>
        <w:t xml:space="preserve">–</w:t>
      </w:r>
    </w:p>
    <w:p>
      <w:pPr>
        <w:pStyle w:val="BodyText"/>
      </w:pPr>
      <w:r>
        <w:t xml:space="preserve">54,947</w:t>
      </w:r>
    </w:p>
    <w:p>
      <w:pPr>
        <w:pStyle w:val="BodyText"/>
      </w:pPr>
      <w:r>
        <w:t xml:space="preserve">448</w:t>
      </w:r>
    </w:p>
    <w:p>
      <w:pPr>
        <w:pStyle w:val="BodyText"/>
      </w:pPr>
      <w:r>
        <w:t xml:space="preserve">55,395</w:t>
      </w:r>
    </w:p>
    <w:p>
      <w:pPr>
        <w:pStyle w:val="BodyText"/>
      </w:pPr>
      <w:r>
        <w:t xml:space="preserve">284,132</w:t>
      </w:r>
    </w:p>
    <w:p>
      <w:pPr>
        <w:pStyle w:val="BodyText"/>
      </w:pPr>
      <w:r>
        <w:t xml:space="preserve">260</w:t>
      </w:r>
    </w:p>
    <w:p>
      <w:pPr>
        <w:pStyle w:val="BodyText"/>
      </w:pPr>
      <w:r>
        <w:rPr>
          <w:rFonts w:hint="eastAsia"/>
        </w:rPr>
        <w:t xml:space="preserve">友邦保險控股有限公司</w:t>
      </w:r>
    </w:p>
    <w:p>
      <w:pPr>
        <w:pStyle w:val="Compact"/>
        <w:numPr>
          <w:ilvl w:val="0"/>
          <w:numId w:val="1607"/>
        </w:numPr>
      </w:pPr>
      <w:r>
        <w:rPr>
          <w:rFonts w:hint="eastAsia"/>
        </w:rPr>
        <w:t xml:space="preserve">採納經修訂會計政策的影響（續）</w:t>
      </w:r>
    </w:p>
    <w:p>
      <w:pPr>
        <w:pStyle w:val="Compact"/>
        <w:numPr>
          <w:ilvl w:val="0"/>
          <w:numId w:val="1608"/>
        </w:numPr>
      </w:pPr>
      <w:r>
        <w:rPr>
          <w:rFonts w:hint="eastAsia"/>
        </w:rPr>
        <w:t xml:space="preserve">合併財務狀況表（續）</w:t>
      </w:r>
    </w:p>
    <w:p>
      <w:pPr>
        <w:pStyle w:val="FirstParagraph"/>
      </w:pPr>
      <w:r>
        <w:rPr>
          <w:rFonts w:hint="eastAsia"/>
        </w:rPr>
        <w:t xml:space="preserve">百萬美元</w:t>
      </w:r>
    </w:p>
    <w:p>
      <w:pPr>
        <w:pStyle w:val="BodyText"/>
      </w:pPr>
      <w:r>
        <w:rPr>
          <w:rFonts w:hint="eastAsia"/>
        </w:rPr>
        <w:t xml:space="preserve">資產</w:t>
      </w:r>
    </w:p>
    <w:p>
      <w:pPr>
        <w:pStyle w:val="BodyText"/>
      </w:pPr>
      <w:r>
        <w:rPr>
          <w:rFonts w:hint="eastAsia"/>
        </w:rPr>
        <w:t xml:space="preserve">無形資產</w:t>
      </w:r>
    </w:p>
    <w:p>
      <w:pPr>
        <w:pStyle w:val="BodyText"/>
      </w:pPr>
      <w:r>
        <w:rPr>
          <w:rFonts w:hint="eastAsia"/>
        </w:rPr>
        <w:t xml:space="preserve">於聯營公司及合資公司的投資</w:t>
      </w:r>
    </w:p>
    <w:p>
      <w:pPr>
        <w:pStyle w:val="BodyText"/>
      </w:pPr>
      <w:r>
        <w:rPr>
          <w:rFonts w:hint="eastAsia"/>
        </w:rPr>
        <w:t xml:space="preserve">物業、廠房及設備</w:t>
      </w:r>
    </w:p>
    <w:p>
      <w:pPr>
        <w:pStyle w:val="BodyText"/>
      </w:pPr>
      <w:r>
        <w:rPr>
          <w:rFonts w:hint="eastAsia"/>
        </w:rPr>
        <w:t xml:space="preserve">投資物業</w:t>
      </w:r>
    </w:p>
    <w:p>
      <w:pPr>
        <w:pStyle w:val="BodyText"/>
      </w:pPr>
      <w:r>
        <w:rPr>
          <w:rFonts w:hint="eastAsia"/>
        </w:rPr>
        <w:t xml:space="preserve">再保險資產</w:t>
      </w:r>
    </w:p>
    <w:p>
      <w:pPr>
        <w:pStyle w:val="BodyText"/>
      </w:pPr>
      <w:r>
        <w:rPr>
          <w:rFonts w:hint="eastAsia"/>
        </w:rPr>
        <w:t xml:space="preserve">遞延承保及啟動成本</w:t>
      </w:r>
    </w:p>
    <w:p>
      <w:pPr>
        <w:pStyle w:val="BodyText"/>
      </w:pPr>
      <w:r>
        <w:rPr>
          <w:rFonts w:hint="eastAsia"/>
        </w:rPr>
        <w:t xml:space="preserve">金融投資：</w:t>
      </w:r>
    </w:p>
    <w:p>
      <w:pPr>
        <w:pStyle w:val="BodyText"/>
      </w:pPr>
      <w:r>
        <w:rPr>
          <w:rFonts w:hint="eastAsia"/>
        </w:rPr>
        <w:t xml:space="preserve">貸款及存款</w:t>
      </w:r>
    </w:p>
    <w:p>
      <w:pPr>
        <w:pStyle w:val="BodyText"/>
      </w:pPr>
      <w:r>
        <w:rPr>
          <w:rFonts w:hint="eastAsia"/>
        </w:rPr>
        <w:t xml:space="preserve">可供出售</w:t>
      </w:r>
    </w:p>
    <w:p>
      <w:pPr>
        <w:pStyle w:val="BodyText"/>
      </w:pPr>
      <w:r>
        <w:rPr>
          <w:rFonts w:hint="eastAsia"/>
        </w:rPr>
        <w:t xml:space="preserve">債務證券</w:t>
      </w:r>
    </w:p>
    <w:p>
      <w:pPr>
        <w:pStyle w:val="BodyText"/>
      </w:pPr>
      <w:r>
        <w:rPr>
          <w:rFonts w:hint="eastAsia"/>
        </w:rPr>
        <w:t xml:space="preserve">按公平值計入損益</w:t>
      </w:r>
    </w:p>
    <w:p>
      <w:pPr>
        <w:pStyle w:val="BodyText"/>
      </w:pPr>
      <w:r>
        <w:rPr>
          <w:rFonts w:hint="eastAsia"/>
        </w:rPr>
        <w:t xml:space="preserve">債務證券</w:t>
      </w:r>
    </w:p>
    <w:p>
      <w:pPr>
        <w:pStyle w:val="BodyText"/>
      </w:pPr>
      <w:r>
        <w:rPr>
          <w:rFonts w:hint="eastAsia"/>
        </w:rPr>
        <w:t xml:space="preserve">股本證券</w:t>
      </w:r>
    </w:p>
    <w:p>
      <w:pPr>
        <w:pStyle w:val="BodyText"/>
      </w:pPr>
      <w:r>
        <w:rPr>
          <w:rFonts w:hint="eastAsia"/>
        </w:rPr>
        <w:t xml:space="preserve">衍生金融工具</w:t>
      </w:r>
    </w:p>
    <w:p>
      <w:pPr>
        <w:pStyle w:val="BodyText"/>
      </w:pPr>
      <w:r>
        <w:rPr>
          <w:rFonts w:hint="eastAsia"/>
        </w:rPr>
        <w:t xml:space="preserve">遞延稅項資產</w:t>
      </w:r>
    </w:p>
    <w:p>
      <w:pPr>
        <w:pStyle w:val="BodyText"/>
      </w:pPr>
      <w:r>
        <w:rPr>
          <w:rFonts w:hint="eastAsia"/>
        </w:rPr>
        <w:t xml:space="preserve">當期可收回稅項</w:t>
      </w:r>
    </w:p>
    <w:p>
      <w:pPr>
        <w:pStyle w:val="BodyText"/>
      </w:pPr>
      <w:r>
        <w:rPr>
          <w:rFonts w:hint="eastAsia"/>
        </w:rPr>
        <w:t xml:space="preserve">其他資產</w:t>
      </w:r>
    </w:p>
    <w:p>
      <w:pPr>
        <w:pStyle w:val="BodyText"/>
      </w:pPr>
      <w:r>
        <w:rPr>
          <w:rFonts w:hint="eastAsia"/>
        </w:rPr>
        <w:t xml:space="preserve">現金及現金等價物</w:t>
      </w:r>
    </w:p>
    <w:p>
      <w:pPr>
        <w:pStyle w:val="BodyText"/>
      </w:pPr>
      <w:r>
        <w:rPr>
          <w:rFonts w:hint="eastAsia"/>
        </w:rPr>
        <w:t xml:space="preserve">總資產</w:t>
      </w:r>
    </w:p>
    <w:p>
      <w:pPr>
        <w:pStyle w:val="BodyText"/>
      </w:pPr>
      <w:r>
        <w:rPr>
          <w:rFonts w:hint="eastAsia"/>
        </w:rPr>
        <w:t xml:space="preserve">負債</w:t>
      </w:r>
    </w:p>
    <w:p>
      <w:pPr>
        <w:pStyle w:val="BodyText"/>
      </w:pPr>
      <w:r>
        <w:rPr>
          <w:rFonts w:hint="eastAsia"/>
        </w:rPr>
        <w:t xml:space="preserve">保險合約負債</w:t>
      </w:r>
    </w:p>
    <w:p>
      <w:pPr>
        <w:pStyle w:val="BodyText"/>
      </w:pPr>
      <w:r>
        <w:rPr>
          <w:rFonts w:hint="eastAsia"/>
        </w:rPr>
        <w:t xml:space="preserve">投資合約負債</w:t>
      </w:r>
    </w:p>
    <w:p>
      <w:pPr>
        <w:pStyle w:val="BodyText"/>
      </w:pPr>
      <w:r>
        <w:rPr>
          <w:rFonts w:hint="eastAsia"/>
        </w:rPr>
        <w:t xml:space="preserve">借貸</w:t>
      </w:r>
    </w:p>
    <w:p>
      <w:pPr>
        <w:pStyle w:val="BodyText"/>
      </w:pPr>
      <w:r>
        <w:rPr>
          <w:rFonts w:hint="eastAsia"/>
        </w:rPr>
        <w:t xml:space="preserve">回購及證券外借協議的債項</w:t>
      </w:r>
    </w:p>
    <w:p>
      <w:pPr>
        <w:pStyle w:val="BodyText"/>
      </w:pPr>
      <w:r>
        <w:rPr>
          <w:rFonts w:hint="eastAsia"/>
        </w:rPr>
        <w:t xml:space="preserve">衍生金融工具</w:t>
      </w:r>
    </w:p>
    <w:p>
      <w:pPr>
        <w:pStyle w:val="BodyText"/>
      </w:pPr>
      <w:r>
        <w:rPr>
          <w:rFonts w:hint="eastAsia"/>
        </w:rPr>
        <w:t xml:space="preserve">撥備</w:t>
      </w:r>
    </w:p>
    <w:p>
      <w:pPr>
        <w:pStyle w:val="BodyText"/>
      </w:pPr>
      <w:r>
        <w:rPr>
          <w:rFonts w:hint="eastAsia"/>
        </w:rPr>
        <w:t xml:space="preserve">遞延稅項負債</w:t>
      </w:r>
    </w:p>
    <w:p>
      <w:pPr>
        <w:pStyle w:val="BodyText"/>
      </w:pPr>
      <w:r>
        <w:rPr>
          <w:rFonts w:hint="eastAsia"/>
        </w:rPr>
        <w:t xml:space="preserve">當期稅項負債</w:t>
      </w:r>
    </w:p>
    <w:p>
      <w:pPr>
        <w:pStyle w:val="BodyText"/>
      </w:pPr>
      <w:r>
        <w:rPr>
          <w:rFonts w:hint="eastAsia"/>
        </w:rPr>
        <w:t xml:space="preserve">其他負債</w:t>
      </w:r>
    </w:p>
    <w:p>
      <w:pPr>
        <w:pStyle w:val="BodyText"/>
      </w:pPr>
      <w:r>
        <w:rPr>
          <w:rFonts w:hint="eastAsia"/>
        </w:rPr>
        <w:t xml:space="preserve">總負債</w:t>
      </w:r>
    </w:p>
    <w:p>
      <w:pPr>
        <w:pStyle w:val="BodyText"/>
      </w:pPr>
      <w:r>
        <w:rPr>
          <w:rFonts w:hint="eastAsia"/>
        </w:rPr>
        <w:t xml:space="preserve">於2018年</w:t>
      </w:r>
      <w:r>
        <w:br/>
      </w:r>
      <w:r>
        <w:rPr>
          <w:rFonts w:hint="eastAsia"/>
        </w:rPr>
        <w:t xml:space="preserve">12月31日</w:t>
      </w:r>
      <w:r>
        <w:br/>
      </w:r>
      <w:r>
        <w:rPr>
          <w:rFonts w:hint="eastAsia"/>
        </w:rPr>
        <w:t xml:space="preserve">（如前期呈報）</w:t>
      </w:r>
    </w:p>
    <w:p>
      <w:pPr>
        <w:pStyle w:val="BodyText"/>
      </w:pPr>
      <w:r>
        <w:rPr>
          <w:rFonts w:hint="eastAsia"/>
        </w:rPr>
        <w:t xml:space="preserve">會計政策</w:t>
      </w:r>
      <w:r>
        <w:br/>
      </w:r>
      <w:r>
        <w:rPr>
          <w:rFonts w:hint="eastAsia"/>
        </w:rPr>
        <w:t xml:space="preserve">變更追溯</w:t>
      </w:r>
      <w:r>
        <w:br/>
      </w:r>
      <w:r>
        <w:rPr>
          <w:rFonts w:hint="eastAsia"/>
        </w:rPr>
        <w:t xml:space="preserve">調整</w:t>
      </w:r>
    </w:p>
    <w:p>
      <w:pPr>
        <w:pStyle w:val="BodyText"/>
      </w:pPr>
      <w:r>
        <w:rPr>
          <w:rFonts w:hint="eastAsia"/>
        </w:rPr>
        <w:t xml:space="preserve">於2018年</w:t>
      </w:r>
      <w:r>
        <w:br/>
      </w:r>
      <w:r>
        <w:rPr>
          <w:rFonts w:hint="eastAsia"/>
        </w:rPr>
        <w:t xml:space="preserve">12月31日</w:t>
      </w:r>
      <w:r>
        <w:br/>
      </w:r>
      <w:r>
        <w:rPr>
          <w:rFonts w:hint="eastAsia"/>
        </w:rPr>
        <w:t xml:space="preserve">（經調整）</w:t>
      </w:r>
    </w:p>
    <w:p>
      <w:pPr>
        <w:pStyle w:val="BodyText"/>
      </w:pPr>
      <w:r>
        <w:t xml:space="preserve">1,970</w:t>
      </w:r>
    </w:p>
    <w:p>
      <w:pPr>
        <w:pStyle w:val="BodyText"/>
      </w:pPr>
      <w:r>
        <w:t xml:space="preserve">610</w:t>
      </w:r>
    </w:p>
    <w:p>
      <w:pPr>
        <w:pStyle w:val="BodyText"/>
      </w:pPr>
      <w:r>
        <w:t xml:space="preserve">1,233</w:t>
      </w:r>
    </w:p>
    <w:p>
      <w:pPr>
        <w:pStyle w:val="BodyText"/>
      </w:pPr>
      <w:r>
        <w:t xml:space="preserve">4,794</w:t>
      </w:r>
    </w:p>
    <w:p>
      <w:pPr>
        <w:pStyle w:val="BodyText"/>
      </w:pPr>
      <w:r>
        <w:t xml:space="preserve">2,887</w:t>
      </w:r>
    </w:p>
    <w:p>
      <w:pPr>
        <w:pStyle w:val="BodyText"/>
      </w:pPr>
      <w:r>
        <w:t xml:space="preserve">24,626</w:t>
      </w:r>
    </w:p>
    <w:p>
      <w:pPr>
        <w:pStyle w:val="BodyText"/>
      </w:pPr>
      <w:r>
        <w:t xml:space="preserve">7,392</w:t>
      </w:r>
    </w:p>
    <w:p>
      <w:pPr>
        <w:pStyle w:val="BodyText"/>
      </w:pPr>
      <w:r>
        <w:t xml:space="preserve">112,485</w:t>
      </w:r>
    </w:p>
    <w:p>
      <w:pPr>
        <w:pStyle w:val="BodyText"/>
      </w:pPr>
      <w:r>
        <w:t xml:space="preserve">27,736</w:t>
      </w:r>
    </w:p>
    <w:p>
      <w:pPr>
        <w:pStyle w:val="BodyText"/>
      </w:pPr>
      <w:r>
        <w:t xml:space="preserve">38,099</w:t>
      </w:r>
    </w:p>
    <w:p>
      <w:pPr>
        <w:pStyle w:val="BodyText"/>
      </w:pPr>
      <w:r>
        <w:t xml:space="preserve">430</w:t>
      </w:r>
    </w:p>
    <w:p>
      <w:pPr>
        <w:pStyle w:val="BodyText"/>
      </w:pPr>
      <w:r>
        <w:t xml:space="preserve">186,142</w:t>
      </w:r>
    </w:p>
    <w:p>
      <w:pPr>
        <w:pStyle w:val="BodyText"/>
      </w:pPr>
      <w:r>
        <w:t xml:space="preserve">26</w:t>
      </w:r>
    </w:p>
    <w:p>
      <w:pPr>
        <w:pStyle w:val="BodyText"/>
      </w:pPr>
      <w:r>
        <w:t xml:space="preserve">164</w:t>
      </w:r>
    </w:p>
    <w:p>
      <w:pPr>
        <w:pStyle w:val="BodyText"/>
      </w:pPr>
      <w:r>
        <w:t xml:space="preserve">4,903</w:t>
      </w:r>
    </w:p>
    <w:p>
      <w:pPr>
        <w:pStyle w:val="BodyText"/>
      </w:pPr>
      <w:r>
        <w:t xml:space="preserve">2,451</w:t>
      </w:r>
    </w:p>
    <w:p>
      <w:pPr>
        <w:pStyle w:val="BodyText"/>
      </w:pPr>
      <w:r>
        <w:t xml:space="preserve">229,806</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1,970</w:t>
      </w:r>
    </w:p>
    <w:p>
      <w:pPr>
        <w:pStyle w:val="BodyText"/>
      </w:pPr>
      <w:r>
        <w:t xml:space="preserve">610</w:t>
      </w:r>
    </w:p>
    <w:p>
      <w:pPr>
        <w:pStyle w:val="BodyText"/>
      </w:pPr>
      <w:r>
        <w:t xml:space="preserve">1,233</w:t>
      </w:r>
    </w:p>
    <w:p>
      <w:pPr>
        <w:pStyle w:val="BodyText"/>
      </w:pPr>
      <w:r>
        <w:t xml:space="preserve">4,794</w:t>
      </w:r>
    </w:p>
    <w:p>
      <w:pPr>
        <w:pStyle w:val="BodyText"/>
      </w:pPr>
      <w:r>
        <w:t xml:space="preserve">2,887</w:t>
      </w:r>
    </w:p>
    <w:p>
      <w:pPr>
        <w:pStyle w:val="BodyText"/>
      </w:pPr>
      <w:r>
        <w:t xml:space="preserve">24,626</w:t>
      </w:r>
    </w:p>
    <w:p>
      <w:pPr>
        <w:pStyle w:val="BodyText"/>
      </w:pPr>
      <w:r>
        <w:t xml:space="preserve">7,392</w:t>
      </w:r>
    </w:p>
    <w:p>
      <w:pPr>
        <w:pStyle w:val="BodyText"/>
      </w:pPr>
      <w:r>
        <w:t xml:space="preserve">112,485</w:t>
      </w:r>
    </w:p>
    <w:p>
      <w:pPr>
        <w:pStyle w:val="BodyText"/>
      </w:pPr>
      <w:r>
        <w:t xml:space="preserve">27,736</w:t>
      </w:r>
    </w:p>
    <w:p>
      <w:pPr>
        <w:pStyle w:val="BodyText"/>
      </w:pPr>
      <w:r>
        <w:t xml:space="preserve">38,099</w:t>
      </w:r>
    </w:p>
    <w:p>
      <w:pPr>
        <w:pStyle w:val="BodyText"/>
      </w:pPr>
      <w:r>
        <w:t xml:space="preserve">430</w:t>
      </w:r>
    </w:p>
    <w:p>
      <w:pPr>
        <w:pStyle w:val="BodyText"/>
      </w:pPr>
      <w:r>
        <w:t xml:space="preserve">186,142</w:t>
      </w:r>
    </w:p>
    <w:p>
      <w:pPr>
        <w:pStyle w:val="BodyText"/>
      </w:pPr>
      <w:r>
        <w:t xml:space="preserve">26</w:t>
      </w:r>
    </w:p>
    <w:p>
      <w:pPr>
        <w:pStyle w:val="BodyText"/>
      </w:pPr>
      <w:r>
        <w:t xml:space="preserve">164</w:t>
      </w:r>
    </w:p>
    <w:p>
      <w:pPr>
        <w:pStyle w:val="BodyText"/>
      </w:pPr>
      <w:r>
        <w:t xml:space="preserve">4,903</w:t>
      </w:r>
    </w:p>
    <w:p>
      <w:pPr>
        <w:pStyle w:val="BodyText"/>
      </w:pPr>
      <w:r>
        <w:t xml:space="preserve">2,451</w:t>
      </w:r>
    </w:p>
    <w:p>
      <w:pPr>
        <w:pStyle w:val="BodyText"/>
      </w:pPr>
      <w:r>
        <w:t xml:space="preserve">229,806</w:t>
      </w:r>
    </w:p>
    <w:p>
      <w:pPr>
        <w:pStyle w:val="BodyText"/>
      </w:pPr>
      <w:r>
        <w:t xml:space="preserve">164,764</w:t>
      </w:r>
    </w:p>
    <w:p>
      <w:pPr>
        <w:pStyle w:val="BodyText"/>
      </w:pPr>
      <w:r>
        <w:t xml:space="preserve">(1,456)</w:t>
      </w:r>
    </w:p>
    <w:p>
      <w:pPr>
        <w:pStyle w:val="BodyText"/>
      </w:pPr>
      <w:r>
        <w:t xml:space="preserve">163,308</w:t>
      </w:r>
    </w:p>
    <w:p>
      <w:pPr>
        <w:pStyle w:val="BodyText"/>
      </w:pPr>
      <w:r>
        <w:t xml:space="preserve">7,885</w:t>
      </w:r>
    </w:p>
    <w:p>
      <w:pPr>
        <w:pStyle w:val="BodyText"/>
      </w:pPr>
      <w:r>
        <w:t xml:space="preserve">4,954</w:t>
      </w:r>
    </w:p>
    <w:p>
      <w:pPr>
        <w:pStyle w:val="BodyText"/>
      </w:pPr>
      <w:r>
        <w:t xml:space="preserve">1,683</w:t>
      </w:r>
    </w:p>
    <w:p>
      <w:pPr>
        <w:pStyle w:val="BodyText"/>
      </w:pPr>
      <w:r>
        <w:t xml:space="preserve">243</w:t>
      </w:r>
    </w:p>
    <w:p>
      <w:pPr>
        <w:pStyle w:val="BodyText"/>
      </w:pPr>
      <w:r>
        <w:t xml:space="preserve">168</w:t>
      </w:r>
    </w:p>
    <w:p>
      <w:pPr>
        <w:pStyle w:val="BodyText"/>
      </w:pPr>
      <w:r>
        <w:t xml:space="preserve">4,187</w:t>
      </w:r>
    </w:p>
    <w:p>
      <w:pPr>
        <w:pStyle w:val="BodyText"/>
      </w:pPr>
      <w:r>
        <w:t xml:space="preserve">532</w:t>
      </w:r>
    </w:p>
    <w:p>
      <w:pPr>
        <w:pStyle w:val="BodyText"/>
      </w:pPr>
      <w:r>
        <w:t xml:space="preserve">5,984</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6</w:t>
      </w:r>
    </w:p>
    <w:p>
      <w:pPr>
        <w:pStyle w:val="BodyText"/>
      </w:pPr>
      <w:r>
        <w:t xml:space="preserve">–</w:t>
      </w:r>
    </w:p>
    <w:p>
      <w:pPr>
        <w:pStyle w:val="BodyText"/>
      </w:pPr>
      <w:r>
        <w:t xml:space="preserve">–</w:t>
      </w:r>
    </w:p>
    <w:p>
      <w:pPr>
        <w:pStyle w:val="BodyText"/>
      </w:pPr>
      <w:r>
        <w:t xml:space="preserve">7,885</w:t>
      </w:r>
    </w:p>
    <w:p>
      <w:pPr>
        <w:pStyle w:val="BodyText"/>
      </w:pPr>
      <w:r>
        <w:t xml:space="preserve">4,954</w:t>
      </w:r>
    </w:p>
    <w:p>
      <w:pPr>
        <w:pStyle w:val="BodyText"/>
      </w:pPr>
      <w:r>
        <w:t xml:space="preserve">1,683</w:t>
      </w:r>
    </w:p>
    <w:p>
      <w:pPr>
        <w:pStyle w:val="BodyText"/>
      </w:pPr>
      <w:r>
        <w:t xml:space="preserve">243</w:t>
      </w:r>
    </w:p>
    <w:p>
      <w:pPr>
        <w:pStyle w:val="BodyText"/>
      </w:pPr>
      <w:r>
        <w:t xml:space="preserve">168</w:t>
      </w:r>
    </w:p>
    <w:p>
      <w:pPr>
        <w:pStyle w:val="BodyText"/>
      </w:pPr>
      <w:r>
        <w:t xml:space="preserve">4,193</w:t>
      </w:r>
    </w:p>
    <w:p>
      <w:pPr>
        <w:pStyle w:val="BodyText"/>
      </w:pPr>
      <w:r>
        <w:t xml:space="preserve">532</w:t>
      </w:r>
    </w:p>
    <w:p>
      <w:pPr>
        <w:pStyle w:val="BodyText"/>
      </w:pPr>
      <w:r>
        <w:t xml:space="preserve">5,984</w:t>
      </w:r>
    </w:p>
    <w:p>
      <w:pPr>
        <w:pStyle w:val="BodyText"/>
      </w:pPr>
      <w:r>
        <w:t xml:space="preserve">190,400</w:t>
      </w:r>
    </w:p>
    <w:p>
      <w:pPr>
        <w:pStyle w:val="BodyText"/>
      </w:pPr>
      <w:r>
        <w:t xml:space="preserve">(1,450)</w:t>
      </w:r>
    </w:p>
    <w:p>
      <w:pPr>
        <w:pStyle w:val="BodyText"/>
      </w:pPr>
      <w:r>
        <w:t xml:space="preserve">188,950</w:t>
      </w:r>
    </w:p>
    <w:p>
      <w:pPr>
        <w:pStyle w:val="BodyText"/>
      </w:pPr>
      <w:r>
        <w:t xml:space="preserve">261</w:t>
      </w:r>
    </w:p>
    <w:p>
      <w:pPr>
        <w:pStyle w:val="BodyText"/>
      </w:pPr>
      <w:r>
        <w:rPr>
          <w:rFonts w:hint="eastAsia"/>
        </w:rPr>
        <w:t xml:space="preserve">概覽財務及營運回顧企業管治其他資料財務報表2020年報</w:t>
      </w:r>
    </w:p>
    <w:p>
      <w:pPr>
        <w:pStyle w:val="Compact"/>
        <w:numPr>
          <w:ilvl w:val="0"/>
          <w:numId w:val="1609"/>
        </w:numPr>
      </w:pPr>
      <w:r>
        <w:rPr>
          <w:rFonts w:hint="eastAsia"/>
        </w:rPr>
        <w:t xml:space="preserve">採納經修訂會計政策的影響（續）</w:t>
      </w:r>
    </w:p>
    <w:p>
      <w:pPr>
        <w:pStyle w:val="Compact"/>
        <w:numPr>
          <w:ilvl w:val="0"/>
          <w:numId w:val="1610"/>
        </w:numPr>
      </w:pPr>
      <w:r>
        <w:rPr>
          <w:rFonts w:hint="eastAsia"/>
        </w:rPr>
        <w:t xml:space="preserve">合併財務狀況表（續）</w:t>
      </w:r>
    </w:p>
    <w:p>
      <w:pPr>
        <w:pStyle w:val="FirstParagraph"/>
      </w:pPr>
      <w:r>
        <w:rPr>
          <w:rFonts w:hint="eastAsia"/>
        </w:rPr>
        <w:t xml:space="preserve">百萬美元</w:t>
      </w:r>
    </w:p>
    <w:p>
      <w:pPr>
        <w:pStyle w:val="BodyText"/>
      </w:pPr>
      <w:r>
        <w:rPr>
          <w:rFonts w:hint="eastAsia"/>
        </w:rPr>
        <w:t xml:space="preserve">權益</w:t>
      </w:r>
    </w:p>
    <w:p>
      <w:pPr>
        <w:pStyle w:val="BodyText"/>
      </w:pPr>
      <w:r>
        <w:rPr>
          <w:rFonts w:hint="eastAsia"/>
        </w:rPr>
        <w:t xml:space="preserve">股本</w:t>
      </w:r>
    </w:p>
    <w:p>
      <w:pPr>
        <w:pStyle w:val="BodyText"/>
      </w:pPr>
      <w:r>
        <w:rPr>
          <w:rFonts w:hint="eastAsia"/>
        </w:rPr>
        <w:t xml:space="preserve">僱員股票信託</w:t>
      </w:r>
    </w:p>
    <w:p>
      <w:pPr>
        <w:pStyle w:val="BodyText"/>
      </w:pPr>
      <w:r>
        <w:rPr>
          <w:rFonts w:hint="eastAsia"/>
        </w:rPr>
        <w:t xml:space="preserve">其他準備金</w:t>
      </w:r>
    </w:p>
    <w:p>
      <w:pPr>
        <w:pStyle w:val="BodyText"/>
      </w:pPr>
      <w:r>
        <w:rPr>
          <w:rFonts w:hint="eastAsia"/>
        </w:rPr>
        <w:t xml:space="preserve">保留盈利</w:t>
      </w:r>
    </w:p>
    <w:p>
      <w:pPr>
        <w:pStyle w:val="BodyText"/>
      </w:pPr>
      <w:r>
        <w:rPr>
          <w:rFonts w:hint="eastAsia"/>
        </w:rPr>
        <w:t xml:space="preserve">公平值準備金</w:t>
      </w:r>
    </w:p>
    <w:p>
      <w:pPr>
        <w:pStyle w:val="BodyText"/>
      </w:pPr>
      <w:r>
        <w:rPr>
          <w:rFonts w:hint="eastAsia"/>
        </w:rPr>
        <w:t xml:space="preserve">外幣換算準備金</w:t>
      </w:r>
    </w:p>
    <w:p>
      <w:pPr>
        <w:pStyle w:val="BodyText"/>
      </w:pPr>
      <w:r>
        <w:rPr>
          <w:rFonts w:hint="eastAsia"/>
        </w:rPr>
        <w:t xml:space="preserve">物業重估準備金</w:t>
      </w:r>
    </w:p>
    <w:p>
      <w:pPr>
        <w:pStyle w:val="BodyText"/>
      </w:pPr>
      <w:r>
        <w:rPr>
          <w:rFonts w:hint="eastAsia"/>
        </w:rPr>
        <w:t xml:space="preserve">其他</w:t>
      </w:r>
    </w:p>
    <w:p>
      <w:pPr>
        <w:pStyle w:val="BodyText"/>
      </w:pPr>
      <w:r>
        <w:rPr>
          <w:rFonts w:hint="eastAsia"/>
        </w:rPr>
        <w:t xml:space="preserve">反映於其他全面收入的金額</w:t>
      </w:r>
    </w:p>
    <w:p>
      <w:pPr>
        <w:pStyle w:val="BodyText"/>
      </w:pPr>
      <w:r>
        <w:rPr>
          <w:rFonts w:hint="eastAsia"/>
        </w:rPr>
        <w:t xml:space="preserve">下列人士應佔總權益：</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總權益</w:t>
      </w:r>
    </w:p>
    <w:p>
      <w:pPr>
        <w:pStyle w:val="BodyText"/>
      </w:pPr>
      <w:r>
        <w:rPr>
          <w:rFonts w:hint="eastAsia"/>
        </w:rPr>
        <w:t xml:space="preserve">總負債及權益</w:t>
      </w:r>
    </w:p>
    <w:p>
      <w:pPr>
        <w:pStyle w:val="BodyText"/>
      </w:pPr>
      <w:r>
        <w:rPr>
          <w:rFonts w:hint="eastAsia"/>
        </w:rPr>
        <w:t xml:space="preserve">於2018年</w:t>
      </w:r>
      <w:r>
        <w:br/>
      </w:r>
      <w:r>
        <w:rPr>
          <w:rFonts w:hint="eastAsia"/>
        </w:rPr>
        <w:t xml:space="preserve">12月31日</w:t>
      </w:r>
      <w:r>
        <w:br/>
      </w:r>
      <w:r>
        <w:rPr>
          <w:rFonts w:hint="eastAsia"/>
        </w:rPr>
        <w:t xml:space="preserve">（如前期呈報）</w:t>
      </w:r>
    </w:p>
    <w:p>
      <w:pPr>
        <w:pStyle w:val="BodyText"/>
      </w:pPr>
      <w:r>
        <w:rPr>
          <w:rFonts w:hint="eastAsia"/>
        </w:rPr>
        <w:t xml:space="preserve">會計政策</w:t>
      </w:r>
      <w:r>
        <w:br/>
      </w:r>
      <w:r>
        <w:rPr>
          <w:rFonts w:hint="eastAsia"/>
        </w:rPr>
        <w:t xml:space="preserve">變更追溯</w:t>
      </w:r>
      <w:r>
        <w:br/>
      </w:r>
      <w:r>
        <w:rPr>
          <w:rFonts w:hint="eastAsia"/>
        </w:rPr>
        <w:t xml:space="preserve">調整</w:t>
      </w:r>
    </w:p>
    <w:p>
      <w:pPr>
        <w:pStyle w:val="BodyText"/>
      </w:pPr>
      <w:r>
        <w:rPr>
          <w:rFonts w:hint="eastAsia"/>
        </w:rPr>
        <w:t xml:space="preserve">於2018年</w:t>
      </w:r>
      <w:r>
        <w:br/>
      </w:r>
      <w:r>
        <w:rPr>
          <w:rFonts w:hint="eastAsia"/>
        </w:rPr>
        <w:t xml:space="preserve">12月31日</w:t>
      </w:r>
      <w:r>
        <w:br/>
      </w:r>
      <w:r>
        <w:rPr>
          <w:rFonts w:hint="eastAsia"/>
        </w:rPr>
        <w:t xml:space="preserve">（經調整）</w:t>
      </w:r>
    </w:p>
    <w:p>
      <w:pPr>
        <w:pStyle w:val="BodyText"/>
      </w:pPr>
      <w:r>
        <w:t xml:space="preserve">14,073</w:t>
      </w:r>
    </w:p>
    <w:p>
      <w:pPr>
        <w:pStyle w:val="FirstParagraph"/>
      </w:pPr>
      <w:r>
        <w:t xml:space="preserve">(11,910)</w:t>
      </w:r>
    </w:p>
    <w:p>
      <w:pPr>
        <w:pStyle w:val="BodyText"/>
      </w:pPr>
      <w:r>
        <w:t xml:space="preserve">35,661</w:t>
      </w:r>
    </w:p>
    <w:p>
      <w:pPr>
        <w:pStyle w:val="BodyText"/>
      </w:pPr>
      <w:r>
        <w:t xml:space="preserve">2,211</w:t>
      </w:r>
    </w:p>
    <w:p>
      <w:pPr>
        <w:pStyle w:val="BodyText"/>
      </w:pPr>
      <w:r>
        <w:t xml:space="preserve">(1,301)</w:t>
      </w:r>
    </w:p>
    <w:p>
      <w:pPr>
        <w:pStyle w:val="BodyText"/>
      </w:pPr>
      <w:r>
        <w:t xml:space="preserve">538</w:t>
      </w:r>
    </w:p>
    <w:p>
      <w:pPr>
        <w:pStyle w:val="FirstParagraph"/>
      </w:pPr>
      <w:r>
        <w:t xml:space="preserve">1,440</w:t>
      </w:r>
    </w:p>
    <w:p>
      <w:pPr>
        <w:pStyle w:val="BodyText"/>
      </w:pPr>
      <w:r>
        <w:t xml:space="preserve">39,006</w:t>
      </w:r>
    </w:p>
    <w:p>
      <w:pPr>
        <w:pStyle w:val="BodyText"/>
      </w:pPr>
      <w:r>
        <w:t xml:space="preserve">400</w:t>
      </w:r>
    </w:p>
    <w:p>
      <w:pPr>
        <w:pStyle w:val="BodyText"/>
      </w:pPr>
      <w:r>
        <w:t xml:space="preserve">39,406</w:t>
      </w:r>
    </w:p>
    <w:p>
      <w:pPr>
        <w:pStyle w:val="BodyText"/>
      </w:pPr>
      <w:r>
        <w:t xml:space="preserve">229,806</w:t>
      </w:r>
    </w:p>
    <w:p>
      <w:pPr>
        <w:pStyle w:val="BodyText"/>
      </w:pPr>
      <w:r>
        <w:t xml:space="preserve">–</w:t>
      </w:r>
    </w:p>
    <w:p>
      <w:pPr>
        <w:pStyle w:val="BodyText"/>
      </w:pPr>
      <w:r>
        <w:t xml:space="preserve">–</w:t>
      </w:r>
    </w:p>
    <w:p>
      <w:pPr>
        <w:pStyle w:val="BodyText"/>
      </w:pPr>
      <w:r>
        <w:t xml:space="preserve">–</w:t>
      </w:r>
    </w:p>
    <w:p>
      <w:pPr>
        <w:pStyle w:val="BodyText"/>
      </w:pPr>
      <w:r>
        <w:t xml:space="preserve">1,219</w:t>
      </w:r>
    </w:p>
    <w:p>
      <w:pPr>
        <w:pStyle w:val="BodyText"/>
      </w:pPr>
      <w:r>
        <w:t xml:space="preserve">247</w:t>
      </w:r>
    </w:p>
    <w:p>
      <w:pPr>
        <w:pStyle w:val="BodyText"/>
      </w:pPr>
      <w:r>
        <w:t xml:space="preserve">–</w:t>
      </w:r>
    </w:p>
    <w:p>
      <w:pPr>
        <w:pStyle w:val="FirstParagraph"/>
      </w:pPr>
      <w:r>
        <w:t xml:space="preserve">231</w:t>
      </w:r>
    </w:p>
    <w:p>
      <w:pPr>
        <w:pStyle w:val="BodyText"/>
      </w:pPr>
      <w:r>
        <w:t xml:space="preserve">1,450</w:t>
      </w:r>
    </w:p>
    <w:p>
      <w:pPr>
        <w:pStyle w:val="BodyText"/>
      </w:pPr>
      <w:r>
        <w:t xml:space="preserve">–</w:t>
      </w:r>
    </w:p>
    <w:p>
      <w:pPr>
        <w:pStyle w:val="BodyText"/>
      </w:pPr>
      <w:r>
        <w:t xml:space="preserve">1,450</w:t>
      </w:r>
    </w:p>
    <w:p>
      <w:pPr>
        <w:pStyle w:val="BodyText"/>
      </w:pPr>
      <w:r>
        <w:t xml:space="preserve">–</w:t>
      </w:r>
    </w:p>
    <w:p>
      <w:pPr>
        <w:pStyle w:val="BodyText"/>
      </w:pPr>
      <w:r>
        <w:t xml:space="preserve">14,073</w:t>
      </w:r>
    </w:p>
    <w:p>
      <w:pPr>
        <w:pStyle w:val="FirstParagraph"/>
      </w:pPr>
      <w:r>
        <w:t xml:space="preserve">(11,910)</w:t>
      </w:r>
    </w:p>
    <w:p>
      <w:pPr>
        <w:pStyle w:val="BodyText"/>
      </w:pPr>
      <w:r>
        <w:t xml:space="preserve">36,880</w:t>
      </w:r>
    </w:p>
    <w:p>
      <w:pPr>
        <w:pStyle w:val="BodyText"/>
      </w:pPr>
      <w:r>
        <w:t xml:space="preserve">2,458</w:t>
      </w:r>
    </w:p>
    <w:p>
      <w:pPr>
        <w:pStyle w:val="BodyText"/>
      </w:pPr>
      <w:r>
        <w:t xml:space="preserve">(1,301)</w:t>
      </w:r>
    </w:p>
    <w:p>
      <w:pPr>
        <w:pStyle w:val="BodyText"/>
      </w:pPr>
      <w:r>
        <w:t xml:space="preserve">534</w:t>
      </w:r>
    </w:p>
    <w:p>
      <w:pPr>
        <w:pStyle w:val="FirstParagraph"/>
      </w:pPr>
      <w:r>
        <w:t xml:space="preserve">1,671</w:t>
      </w:r>
    </w:p>
    <w:p>
      <w:pPr>
        <w:pStyle w:val="BodyText"/>
      </w:pPr>
      <w:r>
        <w:t xml:space="preserve">40,456</w:t>
      </w:r>
    </w:p>
    <w:p>
      <w:pPr>
        <w:pStyle w:val="BodyText"/>
      </w:pPr>
      <w:r>
        <w:t xml:space="preserve">400</w:t>
      </w:r>
    </w:p>
    <w:p>
      <w:pPr>
        <w:pStyle w:val="BodyText"/>
      </w:pPr>
      <w:r>
        <w:t xml:space="preserve">40,856</w:t>
      </w:r>
    </w:p>
    <w:p>
      <w:pPr>
        <w:pStyle w:val="BodyText"/>
      </w:pPr>
      <w:r>
        <w:t xml:space="preserve">229,806</w:t>
      </w:r>
    </w:p>
    <w:p>
      <w:pPr>
        <w:pStyle w:val="BodyText"/>
      </w:pPr>
      <w:r>
        <w:t xml:space="preserve">262</w:t>
      </w:r>
    </w:p>
    <w:p>
      <w:pPr>
        <w:pStyle w:val="BodyText"/>
      </w:pPr>
      <w:r>
        <w:rPr>
          <w:rFonts w:hint="eastAsia"/>
        </w:rPr>
        <w:t xml:space="preserve">友邦保險控股有限公司</w:t>
      </w:r>
    </w:p>
    <w:p>
      <w:pPr>
        <w:pStyle w:val="Compact"/>
        <w:numPr>
          <w:ilvl w:val="0"/>
          <w:numId w:val="1616"/>
        </w:numPr>
      </w:pPr>
      <w:r>
        <w:rPr>
          <w:rFonts w:hint="eastAsia"/>
        </w:rPr>
        <w:t xml:space="preserve">採納經修訂會計政策的影響（續）</w:t>
      </w:r>
    </w:p>
    <w:p>
      <w:pPr>
        <w:pStyle w:val="FirstParagraph"/>
      </w:pPr>
      <w:r>
        <w:rPr>
          <w:rFonts w:hint="eastAsia"/>
        </w:rPr>
        <w:t xml:space="preserve">下表載列採納經修訂會計政策對營運溢利</w:t>
      </w:r>
      <w:r>
        <w:t xml:space="preserve"> </w:t>
      </w:r>
      <w:r>
        <w:rPr>
          <w:rFonts w:hint="eastAsia"/>
        </w:rPr>
        <w:t xml:space="preserve">∕（虧損）的影響。</w:t>
      </w:r>
    </w:p>
    <w:p>
      <w:pPr>
        <w:pStyle w:val="Compact"/>
        <w:numPr>
          <w:ilvl w:val="0"/>
          <w:numId w:val="1617"/>
        </w:numPr>
      </w:pPr>
      <w:r>
        <w:rPr>
          <w:rFonts w:hint="eastAsia"/>
        </w:rPr>
        <w:t xml:space="preserve">營運溢利</w:t>
      </w:r>
    </w:p>
    <w:p>
      <w:pPr>
        <w:pStyle w:val="FirstParagraph"/>
      </w:pPr>
      <w:r>
        <w:rPr>
          <w:rFonts w:hint="eastAsia"/>
        </w:rPr>
        <w:t xml:space="preserve">百萬美元</w:t>
      </w:r>
    </w:p>
    <w:p>
      <w:pPr>
        <w:pStyle w:val="BodyText"/>
      </w:pPr>
      <w:r>
        <w:rPr>
          <w:rFonts w:hint="eastAsia"/>
        </w:rPr>
        <w:t xml:space="preserve">稅前營運溢利</w:t>
      </w:r>
    </w:p>
    <w:p>
      <w:pPr>
        <w:pStyle w:val="BodyText"/>
      </w:pPr>
      <w:r>
        <w:rPr>
          <w:rFonts w:hint="eastAsia"/>
        </w:rPr>
        <w:t xml:space="preserve">稅前營運溢利稅項</w:t>
      </w:r>
    </w:p>
    <w:p>
      <w:pPr>
        <w:pStyle w:val="BodyText"/>
      </w:pPr>
      <w:r>
        <w:rPr>
          <w:rFonts w:hint="eastAsia"/>
        </w:rPr>
        <w:t xml:space="preserve">稅後營運溢利</w:t>
      </w:r>
    </w:p>
    <w:p>
      <w:pPr>
        <w:pStyle w:val="BodyText"/>
      </w:pPr>
      <w:r>
        <w:rPr>
          <w:rFonts w:hint="eastAsia"/>
        </w:rPr>
        <w:t xml:space="preserve">下列人士應佔稅後營運溢利：</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每股稅後營運溢利（美仙）</w:t>
      </w:r>
    </w:p>
    <w:p>
      <w:pPr>
        <w:pStyle w:val="BodyText"/>
      </w:pPr>
      <w:r>
        <w:rPr>
          <w:rFonts w:hint="eastAsia"/>
        </w:rPr>
        <w:t xml:space="preserve">基本</w:t>
      </w:r>
    </w:p>
    <w:p>
      <w:pPr>
        <w:pStyle w:val="BodyText"/>
      </w:pPr>
      <w:r>
        <w:rPr>
          <w:rFonts w:hint="eastAsia"/>
        </w:rPr>
        <w:t xml:space="preserve">攤薄</w:t>
      </w:r>
    </w:p>
    <w:p>
      <w:pPr>
        <w:pStyle w:val="BodyText"/>
      </w:pPr>
      <w:r>
        <w:rPr>
          <w:rFonts w:hint="eastAsia"/>
        </w:rPr>
        <w:t xml:space="preserve">百萬美元</w:t>
      </w:r>
    </w:p>
    <w:p>
      <w:pPr>
        <w:pStyle w:val="BodyText"/>
      </w:pPr>
      <w:r>
        <w:rPr>
          <w:rFonts w:hint="eastAsia"/>
        </w:rPr>
        <w:t xml:space="preserve">稅前營運溢利</w:t>
      </w:r>
      <w:r>
        <w:t xml:space="preserve"> </w:t>
      </w:r>
      <w:r>
        <w:rPr>
          <w:rFonts w:hint="eastAsia"/>
        </w:rPr>
        <w:t xml:space="preserve">∕（虧損）</w:t>
      </w:r>
    </w:p>
    <w:p>
      <w:pPr>
        <w:pStyle w:val="BodyText"/>
      </w:pPr>
      <w:r>
        <w:rPr>
          <w:rFonts w:hint="eastAsia"/>
        </w:rPr>
        <w:t xml:space="preserve">稅前營運溢利</w:t>
      </w:r>
      <w:r>
        <w:t xml:space="preserve"> </w:t>
      </w:r>
      <w:r>
        <w:rPr>
          <w:rFonts w:hint="eastAsia"/>
        </w:rPr>
        <w:t xml:space="preserve">∕（虧損）稅項</w:t>
      </w:r>
    </w:p>
    <w:p>
      <w:pPr>
        <w:pStyle w:val="BodyText"/>
      </w:pPr>
      <w:r>
        <w:rPr>
          <w:rFonts w:hint="eastAsia"/>
        </w:rPr>
        <w:t xml:space="preserve">稅後營運溢利</w:t>
      </w:r>
      <w:r>
        <w:t xml:space="preserve"> </w:t>
      </w:r>
      <w:r>
        <w:rPr>
          <w:rFonts w:hint="eastAsia"/>
        </w:rPr>
        <w:t xml:space="preserve">∕（虧損）</w:t>
      </w:r>
    </w:p>
    <w:p>
      <w:pPr>
        <w:pStyle w:val="BodyText"/>
      </w:pPr>
      <w:r>
        <w:rPr>
          <w:rFonts w:hint="eastAsia"/>
        </w:rPr>
        <w:t xml:space="preserve">下列人士應佔稅後營運溢利∕（虧損）：</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每股稅後營運溢利</w:t>
      </w:r>
      <w:r>
        <w:t xml:space="preserve"> </w:t>
      </w:r>
      <w:r>
        <w:rPr>
          <w:rFonts w:hint="eastAsia"/>
        </w:rPr>
        <w:t xml:space="preserve">∕（虧損）（美仙）</w:t>
      </w:r>
    </w:p>
    <w:p>
      <w:pPr>
        <w:pStyle w:val="BodyText"/>
      </w:pPr>
      <w:r>
        <w:rPr>
          <w:rFonts w:hint="eastAsia"/>
        </w:rPr>
        <w:t xml:space="preserve">基本</w:t>
      </w:r>
    </w:p>
    <w:p>
      <w:pPr>
        <w:pStyle w:val="BodyText"/>
      </w:pPr>
      <w:r>
        <w:rPr>
          <w:rFonts w:hint="eastAsia"/>
        </w:rPr>
        <w:t xml:space="preserve">攤薄</w:t>
      </w:r>
    </w:p>
    <w:p>
      <w:pPr>
        <w:pStyle w:val="BodyText"/>
      </w:pPr>
      <w:r>
        <w:rPr>
          <w:rFonts w:hint="eastAsia"/>
        </w:rPr>
        <w:t xml:space="preserve">截至2020年</w:t>
      </w:r>
      <w:r>
        <w:br/>
      </w:r>
      <w:r>
        <w:rPr>
          <w:rFonts w:hint="eastAsia"/>
        </w:rPr>
        <w:t xml:space="preserve">12月31日</w:t>
      </w:r>
      <w:r>
        <w:br/>
      </w:r>
      <w:r>
        <w:rPr>
          <w:rFonts w:hint="eastAsia"/>
        </w:rPr>
        <w:t xml:space="preserve">止年度</w:t>
      </w:r>
      <w:r>
        <w:br/>
      </w:r>
      <w:r>
        <w:rPr>
          <w:rFonts w:hint="eastAsia"/>
        </w:rPr>
        <w:t xml:space="preserve">（會計政策</w:t>
      </w:r>
      <w:r>
        <w:br/>
      </w:r>
      <w:r>
        <w:rPr>
          <w:rFonts w:hint="eastAsia"/>
        </w:rPr>
        <w:t xml:space="preserve">變更前）</w:t>
      </w:r>
    </w:p>
    <w:p>
      <w:pPr>
        <w:pStyle w:val="BodyText"/>
      </w:pPr>
      <w:r>
        <w:rPr>
          <w:rFonts w:hint="eastAsia"/>
        </w:rPr>
        <w:t xml:space="preserve">會計政策</w:t>
      </w:r>
      <w:r>
        <w:br/>
      </w:r>
      <w:r>
        <w:rPr>
          <w:rFonts w:hint="eastAsia"/>
        </w:rPr>
        <w:t xml:space="preserve">變更的影響</w:t>
      </w:r>
    </w:p>
    <w:p>
      <w:pPr>
        <w:pStyle w:val="BodyText"/>
      </w:pPr>
      <w:r>
        <w:rPr>
          <w:rFonts w:hint="eastAsia"/>
        </w:rPr>
        <w:t xml:space="preserve">截至2020年</w:t>
      </w:r>
      <w:r>
        <w:br/>
      </w:r>
      <w:r>
        <w:rPr>
          <w:rFonts w:hint="eastAsia"/>
        </w:rPr>
        <w:t xml:space="preserve">12月31日</w:t>
      </w:r>
      <w:r>
        <w:br/>
      </w:r>
      <w:r>
        <w:rPr>
          <w:rFonts w:hint="eastAsia"/>
        </w:rPr>
        <w:t xml:space="preserve">止年度</w:t>
      </w:r>
      <w:r>
        <w:br/>
      </w:r>
      <w:r>
        <w:rPr>
          <w:rFonts w:hint="eastAsia"/>
        </w:rPr>
        <w:t xml:space="preserve">（所呈報）</w:t>
      </w:r>
    </w:p>
    <w:p>
      <w:pPr>
        <w:pStyle w:val="BodyText"/>
      </w:pPr>
      <w:r>
        <w:t xml:space="preserve">6,830</w:t>
      </w:r>
    </w:p>
    <w:p>
      <w:pPr>
        <w:pStyle w:val="FirstParagraph"/>
      </w:pPr>
      <w:r>
        <w:t xml:space="preserve">5,873</w:t>
      </w:r>
    </w:p>
    <w:p>
      <w:pPr>
        <w:pStyle w:val="BodyText"/>
      </w:pPr>
      <w:r>
        <w:t xml:space="preserve">5,829</w:t>
      </w:r>
    </w:p>
    <w:p>
      <w:pPr>
        <w:pStyle w:val="BodyText"/>
      </w:pPr>
      <w:r>
        <w:t xml:space="preserve">44</w:t>
      </w:r>
    </w:p>
    <w:p>
      <w:pPr>
        <w:pStyle w:val="BodyText"/>
      </w:pPr>
      <w:r>
        <w:t xml:space="preserve">48.33</w:t>
      </w:r>
    </w:p>
    <w:p>
      <w:pPr>
        <w:pStyle w:val="BodyText"/>
      </w:pPr>
      <w:r>
        <w:t xml:space="preserve">48.25</w:t>
      </w:r>
    </w:p>
    <w:p>
      <w:pPr>
        <w:pStyle w:val="BodyText"/>
      </w:pPr>
      <w:r>
        <w:t xml:space="preserve">116</w:t>
      </w:r>
    </w:p>
    <w:p>
      <w:pPr>
        <w:pStyle w:val="FirstParagraph"/>
      </w:pPr>
      <w:r>
        <w:t xml:space="preserve">113</w:t>
      </w:r>
    </w:p>
    <w:p>
      <w:pPr>
        <w:pStyle w:val="BodyText"/>
      </w:pPr>
      <w:r>
        <w:t xml:space="preserve">113</w:t>
      </w:r>
    </w:p>
    <w:p>
      <w:pPr>
        <w:pStyle w:val="BodyText"/>
      </w:pPr>
      <w:r>
        <w:t xml:space="preserve">–</w:t>
      </w:r>
    </w:p>
    <w:p>
      <w:pPr>
        <w:pStyle w:val="BodyText"/>
      </w:pPr>
      <w:r>
        <w:t xml:space="preserve">0.94</w:t>
      </w:r>
    </w:p>
    <w:p>
      <w:pPr>
        <w:pStyle w:val="BodyText"/>
      </w:pPr>
      <w:r>
        <w:t xml:space="preserve">0.94</w:t>
      </w:r>
    </w:p>
    <w:p>
      <w:pPr>
        <w:pStyle w:val="BodyText"/>
      </w:pPr>
      <w:r>
        <w:t xml:space="preserve">6,946</w:t>
      </w:r>
    </w:p>
    <w:p>
      <w:pPr>
        <w:pStyle w:val="FirstParagraph"/>
      </w:pPr>
      <w:r>
        <w:t xml:space="preserve">5,986</w:t>
      </w:r>
    </w:p>
    <w:p>
      <w:pPr>
        <w:pStyle w:val="BodyText"/>
      </w:pPr>
      <w:r>
        <w:t xml:space="preserve">5,942</w:t>
      </w:r>
    </w:p>
    <w:p>
      <w:pPr>
        <w:pStyle w:val="BodyText"/>
      </w:pPr>
      <w:r>
        <w:t xml:space="preserve">44</w:t>
      </w:r>
    </w:p>
    <w:p>
      <w:pPr>
        <w:pStyle w:val="BodyText"/>
      </w:pPr>
      <w:r>
        <w:t xml:space="preserve">49.27</w:t>
      </w:r>
    </w:p>
    <w:p>
      <w:pPr>
        <w:pStyle w:val="BodyText"/>
      </w:pPr>
      <w:r>
        <w:t xml:space="preserve">49.19</w:t>
      </w:r>
    </w:p>
    <w:p>
      <w:pPr>
        <w:pStyle w:val="BodyText"/>
      </w:pPr>
      <w:r>
        <w:rPr>
          <w:rFonts w:hint="eastAsia"/>
        </w:rPr>
        <w:t xml:space="preserve">截至2019年</w:t>
      </w:r>
      <w:r>
        <w:br/>
      </w:r>
      <w:r>
        <w:rPr>
          <w:rFonts w:hint="eastAsia"/>
        </w:rPr>
        <w:t xml:space="preserve">12月31日</w:t>
      </w:r>
      <w:r>
        <w:br/>
      </w:r>
      <w:r>
        <w:rPr>
          <w:rFonts w:hint="eastAsia"/>
        </w:rPr>
        <w:t xml:space="preserve">止年度</w:t>
      </w:r>
      <w:r>
        <w:br/>
      </w:r>
      <w:r>
        <w:rPr>
          <w:rFonts w:hint="eastAsia"/>
        </w:rPr>
        <w:t xml:space="preserve">（如前期呈報）</w:t>
      </w:r>
    </w:p>
    <w:p>
      <w:pPr>
        <w:pStyle w:val="BodyText"/>
      </w:pPr>
      <w:r>
        <w:rPr>
          <w:rFonts w:hint="eastAsia"/>
        </w:rPr>
        <w:t xml:space="preserve">會計政策</w:t>
      </w:r>
      <w:r>
        <w:br/>
      </w:r>
      <w:r>
        <w:rPr>
          <w:rFonts w:hint="eastAsia"/>
        </w:rPr>
        <w:t xml:space="preserve">變更追溯</w:t>
      </w:r>
      <w:r>
        <w:br/>
      </w:r>
      <w:r>
        <w:rPr>
          <w:rFonts w:hint="eastAsia"/>
        </w:rPr>
        <w:t xml:space="preserve">調整</w:t>
      </w:r>
    </w:p>
    <w:p>
      <w:pPr>
        <w:pStyle w:val="BodyText"/>
      </w:pPr>
      <w:r>
        <w:rPr>
          <w:rFonts w:hint="eastAsia"/>
        </w:rPr>
        <w:t xml:space="preserve">截至2019年</w:t>
      </w:r>
      <w:r>
        <w:br/>
      </w:r>
      <w:r>
        <w:rPr>
          <w:rFonts w:hint="eastAsia"/>
        </w:rPr>
        <w:t xml:space="preserve">12月31日</w:t>
      </w:r>
      <w:r>
        <w:br/>
      </w:r>
      <w:r>
        <w:rPr>
          <w:rFonts w:hint="eastAsia"/>
        </w:rPr>
        <w:t xml:space="preserve">止年度</w:t>
      </w:r>
      <w:r>
        <w:br/>
      </w:r>
      <w:r>
        <w:rPr>
          <w:rFonts w:hint="eastAsia"/>
        </w:rPr>
        <w:t xml:space="preserve">（經調整）</w:t>
      </w:r>
    </w:p>
    <w:p>
      <w:pPr>
        <w:pStyle w:val="BodyText"/>
      </w:pPr>
      <w:r>
        <w:t xml:space="preserve">6,816</w:t>
      </w:r>
    </w:p>
    <w:p>
      <w:pPr>
        <w:pStyle w:val="BodyText"/>
      </w:pPr>
      <w:r>
        <w:t xml:space="preserve">(1,030)</w:t>
      </w:r>
    </w:p>
    <w:p>
      <w:pPr>
        <w:pStyle w:val="BodyText"/>
      </w:pPr>
      <w:r>
        <w:t xml:space="preserve">5,786</w:t>
      </w:r>
    </w:p>
    <w:p>
      <w:pPr>
        <w:pStyle w:val="BodyText"/>
      </w:pPr>
      <w:r>
        <w:t xml:space="preserve">5,741</w:t>
      </w:r>
    </w:p>
    <w:p>
      <w:pPr>
        <w:pStyle w:val="BodyText"/>
      </w:pPr>
      <w:r>
        <w:t xml:space="preserve">45</w:t>
      </w:r>
    </w:p>
    <w:p>
      <w:pPr>
        <w:pStyle w:val="BodyText"/>
      </w:pPr>
      <w:r>
        <w:t xml:space="preserve">47.67</w:t>
      </w:r>
    </w:p>
    <w:p>
      <w:pPr>
        <w:pStyle w:val="BodyText"/>
      </w:pPr>
      <w:r>
        <w:t xml:space="preserve">47.56</w:t>
      </w:r>
    </w:p>
    <w:p>
      <w:pPr>
        <w:pStyle w:val="FirstParagraph"/>
      </w:pPr>
      <w:r>
        <w:t xml:space="preserve">–</w:t>
      </w:r>
    </w:p>
    <w:p>
      <w:pPr>
        <w:pStyle w:val="BodyText"/>
      </w:pPr>
      <w:r>
        <w:t xml:space="preserve">(0.43)</w:t>
      </w:r>
    </w:p>
    <w:p>
      <w:pPr>
        <w:pStyle w:val="BodyText"/>
      </w:pPr>
      <w:r>
        <w:t xml:space="preserve">(0.43)</w:t>
      </w:r>
    </w:p>
    <w:p>
      <w:pPr>
        <w:pStyle w:val="BodyText"/>
      </w:pPr>
      <w:r>
        <w:t xml:space="preserve">6,765</w:t>
      </w:r>
    </w:p>
    <w:p>
      <w:pPr>
        <w:pStyle w:val="BodyText"/>
      </w:pPr>
      <w:r>
        <w:t xml:space="preserve">(1,031)</w:t>
      </w:r>
    </w:p>
    <w:p>
      <w:pPr>
        <w:pStyle w:val="BodyText"/>
      </w:pPr>
      <w:r>
        <w:t xml:space="preserve">5,734</w:t>
      </w:r>
    </w:p>
    <w:p>
      <w:pPr>
        <w:pStyle w:val="BodyText"/>
      </w:pPr>
      <w:r>
        <w:t xml:space="preserve">5,689</w:t>
      </w:r>
    </w:p>
    <w:p>
      <w:pPr>
        <w:pStyle w:val="BodyText"/>
      </w:pPr>
      <w:r>
        <w:t xml:space="preserve">45</w:t>
      </w:r>
    </w:p>
    <w:p>
      <w:pPr>
        <w:pStyle w:val="BodyText"/>
      </w:pPr>
      <w:r>
        <w:t xml:space="preserve">47.24</w:t>
      </w:r>
    </w:p>
    <w:p>
      <w:pPr>
        <w:pStyle w:val="BodyText"/>
      </w:pPr>
      <w:r>
        <w:t xml:space="preserve">47.13</w:t>
      </w:r>
    </w:p>
    <w:p>
      <w:pPr>
        <w:pStyle w:val="BodyText"/>
      </w:pPr>
      <w:r>
        <w:t xml:space="preserve">263</w:t>
      </w:r>
    </w:p>
    <w:p>
      <w:pPr>
        <w:pStyle w:val="BodyText"/>
      </w:pPr>
      <w:r>
        <w:rPr>
          <w:rFonts w:hint="eastAsia"/>
        </w:rPr>
        <w:t xml:space="preserve">概覽財務及營運回顧企業管治其他資料財務報表2020年報</w:t>
      </w:r>
    </w:p>
    <w:p>
      <w:pPr>
        <w:pStyle w:val="Compact"/>
        <w:numPr>
          <w:ilvl w:val="0"/>
          <w:numId w:val="1622"/>
        </w:numPr>
      </w:pPr>
      <w:r>
        <w:rPr>
          <w:rFonts w:hint="eastAsia"/>
        </w:rPr>
        <w:t xml:space="preserve">採納經修訂會計政策的影響（續）</w:t>
      </w:r>
    </w:p>
    <w:p>
      <w:pPr>
        <w:pStyle w:val="Compact"/>
        <w:numPr>
          <w:ilvl w:val="0"/>
          <w:numId w:val="1623"/>
        </w:numPr>
      </w:pPr>
      <w:r>
        <w:rPr>
          <w:rFonts w:hint="eastAsia"/>
        </w:rPr>
        <w:t xml:space="preserve">營運溢利（續）</w:t>
      </w:r>
    </w:p>
    <w:p>
      <w:pPr>
        <w:pStyle w:val="FirstParagraph"/>
      </w:pPr>
      <w:r>
        <w:rPr>
          <w:rFonts w:hint="eastAsia"/>
        </w:rPr>
        <w:t xml:space="preserve">稅後營運溢利</w:t>
      </w:r>
      <w:r>
        <w:t xml:space="preserve"> </w:t>
      </w:r>
      <w:r>
        <w:rPr>
          <w:rFonts w:hint="eastAsia"/>
        </w:rPr>
        <w:t xml:space="preserve">∕（虧損）與純利</w:t>
      </w:r>
      <w:r>
        <w:t xml:space="preserve"> </w:t>
      </w:r>
      <w:r>
        <w:rPr>
          <w:rFonts w:hint="eastAsia"/>
        </w:rPr>
        <w:t xml:space="preserve">∕（虧損）的對賬如下：</w:t>
      </w:r>
    </w:p>
    <w:p>
      <w:pPr>
        <w:pStyle w:val="BodyText"/>
      </w:pPr>
      <w:r>
        <w:rPr>
          <w:rFonts w:hint="eastAsia"/>
        </w:rPr>
        <w:t xml:space="preserve">百萬美元</w:t>
      </w:r>
    </w:p>
    <w:p>
      <w:pPr>
        <w:pStyle w:val="BodyText"/>
      </w:pPr>
      <w:r>
        <w:rPr>
          <w:rFonts w:hint="eastAsia"/>
        </w:rPr>
        <w:t xml:space="preserve">稅後營運溢利</w:t>
      </w:r>
      <w:r>
        <w:t xml:space="preserve"> </w:t>
      </w:r>
      <w:r>
        <w:rPr>
          <w:rFonts w:hint="eastAsia"/>
        </w:rPr>
        <w:t xml:space="preserve">∕（虧損）</w:t>
      </w:r>
    </w:p>
    <w:p>
      <w:pPr>
        <w:pStyle w:val="BodyText"/>
      </w:pPr>
      <w:r>
        <w:rPr>
          <w:rFonts w:hint="eastAsia"/>
        </w:rPr>
        <w:t xml:space="preserve">非營運項目，已扣除保險及投資合約負債以及稅項的相關變動：</w:t>
      </w:r>
    </w:p>
    <w:p>
      <w:pPr>
        <w:pStyle w:val="BodyText"/>
      </w:pPr>
      <w:r>
        <w:rPr>
          <w:rFonts w:hint="eastAsia"/>
        </w:rPr>
        <w:t xml:space="preserve">有關股權及房地產投資回報的短期波動</w:t>
      </w:r>
    </w:p>
    <w:p>
      <w:pPr>
        <w:pStyle w:val="BodyText"/>
      </w:pPr>
      <w:r>
        <w:rPr>
          <w:rFonts w:hint="eastAsia"/>
        </w:rPr>
        <w:t xml:space="preserve">持作自用物業的重估收益之重新分類</w:t>
      </w:r>
    </w:p>
    <w:p>
      <w:pPr>
        <w:pStyle w:val="BodyText"/>
      </w:pPr>
      <w:r>
        <w:rPr>
          <w:rFonts w:hint="eastAsia"/>
        </w:rPr>
        <w:t xml:space="preserve">企業交易相關成本</w:t>
      </w:r>
    </w:p>
    <w:p>
      <w:pPr>
        <w:pStyle w:val="BodyText"/>
      </w:pPr>
      <w:r>
        <w:rPr>
          <w:rFonts w:hint="eastAsia"/>
        </w:rPr>
        <w:t xml:space="preserve">實施新會計準則的成本</w:t>
      </w:r>
    </w:p>
    <w:p>
      <w:pPr>
        <w:pStyle w:val="BodyText"/>
      </w:pPr>
      <w:r>
        <w:rPr>
          <w:rFonts w:hint="eastAsia"/>
        </w:rPr>
        <w:t xml:space="preserve">其他非營運投資回報及其他項目</w:t>
      </w:r>
    </w:p>
    <w:p>
      <w:pPr>
        <w:pStyle w:val="BodyText"/>
      </w:pPr>
      <w:r>
        <w:rPr>
          <w:rFonts w:hint="eastAsia"/>
        </w:rPr>
        <w:t xml:space="preserve">小計(1)</w:t>
      </w:r>
    </w:p>
    <w:p>
      <w:pPr>
        <w:pStyle w:val="BodyText"/>
      </w:pPr>
      <w:r>
        <w:rPr>
          <w:rFonts w:hint="eastAsia"/>
        </w:rPr>
        <w:t xml:space="preserve">純利</w:t>
      </w:r>
      <w:r>
        <w:t xml:space="preserve"> </w:t>
      </w:r>
      <w:r>
        <w:rPr>
          <w:rFonts w:hint="eastAsia"/>
        </w:rPr>
        <w:t xml:space="preserve">∕（虧損）</w:t>
      </w:r>
    </w:p>
    <w:p>
      <w:pPr>
        <w:pStyle w:val="BodyText"/>
      </w:pPr>
      <w:r>
        <w:rPr>
          <w:rFonts w:hint="eastAsia"/>
        </w:rPr>
        <w:t xml:space="preserve">下列人士應佔稅後營運溢利∕（虧損）：</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下列人士應佔純利∕（虧損）：</w:t>
      </w:r>
    </w:p>
    <w:p>
      <w:pPr>
        <w:pStyle w:val="BodyText"/>
      </w:pPr>
      <w:r>
        <w:rPr>
          <w:rFonts w:hint="eastAsia"/>
        </w:rPr>
        <w:t xml:space="preserve">友邦保險控股有限公司股東</w:t>
      </w:r>
    </w:p>
    <w:p>
      <w:pPr>
        <w:pStyle w:val="BodyText"/>
      </w:pPr>
      <w:r>
        <w:rPr>
          <w:rFonts w:hint="eastAsia"/>
        </w:rPr>
        <w:t xml:space="preserve">非控股權益</w:t>
      </w:r>
    </w:p>
    <w:p>
      <w:pPr>
        <w:pStyle w:val="BodyText"/>
      </w:pPr>
      <w:r>
        <w:rPr>
          <w:rFonts w:hint="eastAsia"/>
        </w:rPr>
        <w:t xml:space="preserve">附註：</w:t>
      </w:r>
    </w:p>
    <w:p>
      <w:pPr>
        <w:pStyle w:val="BodyText"/>
      </w:pPr>
      <w:r>
        <w:rPr>
          <w:rFonts w:hint="eastAsia"/>
        </w:rPr>
        <w:t xml:space="preserve">截至2019年</w:t>
      </w:r>
      <w:r>
        <w:br/>
      </w:r>
      <w:r>
        <w:rPr>
          <w:rFonts w:hint="eastAsia"/>
        </w:rPr>
        <w:t xml:space="preserve">12月31日</w:t>
      </w:r>
      <w:r>
        <w:br/>
      </w:r>
      <w:r>
        <w:rPr>
          <w:rFonts w:hint="eastAsia"/>
        </w:rPr>
        <w:t xml:space="preserve">止年度</w:t>
      </w:r>
      <w:r>
        <w:br/>
      </w:r>
      <w:r>
        <w:rPr>
          <w:rFonts w:hint="eastAsia"/>
        </w:rPr>
        <w:t xml:space="preserve">（如前期呈報）</w:t>
      </w:r>
    </w:p>
    <w:p>
      <w:pPr>
        <w:pStyle w:val="BodyText"/>
      </w:pPr>
      <w:r>
        <w:rPr>
          <w:rFonts w:hint="eastAsia"/>
        </w:rPr>
        <w:t xml:space="preserve">會計政策</w:t>
      </w:r>
      <w:r>
        <w:br/>
      </w:r>
      <w:r>
        <w:rPr>
          <w:rFonts w:hint="eastAsia"/>
        </w:rPr>
        <w:t xml:space="preserve">變更追溯</w:t>
      </w:r>
      <w:r>
        <w:br/>
      </w:r>
      <w:r>
        <w:rPr>
          <w:rFonts w:hint="eastAsia"/>
        </w:rPr>
        <w:t xml:space="preserve">調整</w:t>
      </w:r>
    </w:p>
    <w:p>
      <w:pPr>
        <w:pStyle w:val="BodyText"/>
      </w:pPr>
      <w:r>
        <w:rPr>
          <w:rFonts w:hint="eastAsia"/>
        </w:rPr>
        <w:t xml:space="preserve">截至2019年</w:t>
      </w:r>
      <w:r>
        <w:br/>
      </w:r>
      <w:r>
        <w:rPr>
          <w:rFonts w:hint="eastAsia"/>
        </w:rPr>
        <w:t xml:space="preserve">12月31日</w:t>
      </w:r>
      <w:r>
        <w:br/>
      </w:r>
      <w:r>
        <w:rPr>
          <w:rFonts w:hint="eastAsia"/>
        </w:rPr>
        <w:t xml:space="preserve">止年度</w:t>
      </w:r>
      <w:r>
        <w:br/>
      </w:r>
      <w:r>
        <w:rPr>
          <w:rFonts w:hint="eastAsia"/>
        </w:rPr>
        <w:t xml:space="preserve">（經調整）</w:t>
      </w:r>
    </w:p>
    <w:p>
      <w:pPr>
        <w:pStyle w:val="BodyText"/>
      </w:pPr>
      <w:r>
        <w:t xml:space="preserve">5,786</w:t>
      </w:r>
    </w:p>
    <w:p>
      <w:pPr>
        <w:pStyle w:val="FirstParagraph"/>
      </w:pPr>
      <w:r>
        <w:t xml:space="preserve">5,734</w:t>
      </w:r>
    </w:p>
    <w:p>
      <w:pPr>
        <w:pStyle w:val="BodyText"/>
      </w:pPr>
      <w:r>
        <w:t xml:space="preserve">937</w:t>
      </w:r>
    </w:p>
    <w:p>
      <w:pPr>
        <w:pStyle w:val="FirstParagraph"/>
      </w:pPr>
      <w:r>
        <w:t xml:space="preserve">258</w:t>
      </w:r>
    </w:p>
    <w:p>
      <w:pPr>
        <w:pStyle w:val="BodyText"/>
      </w:pPr>
      <w:r>
        <w:t xml:space="preserve">901</w:t>
      </w:r>
    </w:p>
    <w:p>
      <w:pPr>
        <w:pStyle w:val="BodyText"/>
      </w:pPr>
      <w:r>
        <w:t xml:space="preserve">6,687</w:t>
      </w:r>
    </w:p>
    <w:p>
      <w:pPr>
        <w:pStyle w:val="BodyText"/>
      </w:pPr>
      <w:r>
        <w:t xml:space="preserve">5,741</w:t>
      </w:r>
    </w:p>
    <w:p>
      <w:pPr>
        <w:pStyle w:val="BodyText"/>
      </w:pPr>
      <w:r>
        <w:t xml:space="preserve">45</w:t>
      </w:r>
    </w:p>
    <w:p>
      <w:pPr>
        <w:pStyle w:val="BodyText"/>
      </w:pPr>
      <w:r>
        <w:t xml:space="preserve">6,648</w:t>
      </w:r>
    </w:p>
    <w:p>
      <w:pPr>
        <w:pStyle w:val="BodyText"/>
      </w:pPr>
      <w:r>
        <w:t xml:space="preserve">39</w:t>
      </w:r>
    </w:p>
    <w:p>
      <w:pPr>
        <w:pStyle w:val="FirstParagraph"/>
      </w:pPr>
      <w:r>
        <w:t xml:space="preserve">17</w:t>
      </w:r>
    </w:p>
    <w:p>
      <w:pPr>
        <w:pStyle w:val="BodyText"/>
      </w:pPr>
      <w:r>
        <w:t xml:space="preserve">–</w:t>
      </w:r>
    </w:p>
    <w:p>
      <w:pPr>
        <w:pStyle w:val="BodyText"/>
      </w:pPr>
      <w:r>
        <w:t xml:space="preserve">–</w:t>
      </w:r>
    </w:p>
    <w:p>
      <w:pPr>
        <w:pStyle w:val="FirstParagraph"/>
      </w:pPr>
      <w:r>
        <w:t xml:space="preserve">–</w:t>
      </w:r>
    </w:p>
    <w:p>
      <w:pPr>
        <w:pStyle w:val="FirstParagraph"/>
      </w:pPr>
      <w:r>
        <w:t xml:space="preserve">–</w:t>
      </w:r>
    </w:p>
    <w:p>
      <w:pPr>
        <w:pStyle w:val="BodyText"/>
      </w:pPr>
      <w:r>
        <w:t xml:space="preserve">305</w:t>
      </w:r>
    </w:p>
    <w:p>
      <w:pPr>
        <w:pStyle w:val="FirstParagraph"/>
      </w:pPr>
      <w:r>
        <w:t xml:space="preserve">256</w:t>
      </w:r>
    </w:p>
    <w:p>
      <w:pPr>
        <w:pStyle w:val="BodyText"/>
      </w:pPr>
      <w:r>
        <w:t xml:space="preserve">284</w:t>
      </w:r>
    </w:p>
    <w:p>
      <w:pPr>
        <w:pStyle w:val="BodyText"/>
      </w:pPr>
      <w:r>
        <w:t xml:space="preserve">6,018</w:t>
      </w:r>
    </w:p>
    <w:p>
      <w:pPr>
        <w:pStyle w:val="BodyText"/>
      </w:pPr>
      <w:r>
        <w:t xml:space="preserve">5,689</w:t>
      </w:r>
    </w:p>
    <w:p>
      <w:pPr>
        <w:pStyle w:val="BodyText"/>
      </w:pPr>
      <w:r>
        <w:t xml:space="preserve">45</w:t>
      </w:r>
    </w:p>
    <w:p>
      <w:pPr>
        <w:pStyle w:val="BodyText"/>
      </w:pPr>
      <w:r>
        <w:t xml:space="preserve">5,979</w:t>
      </w:r>
    </w:p>
    <w:p>
      <w:pPr>
        <w:pStyle w:val="BodyText"/>
      </w:pPr>
      <w:r>
        <w:t xml:space="preserve">39</w:t>
      </w:r>
    </w:p>
    <w:p>
      <w:pPr>
        <w:pStyle w:val="Compact"/>
        <w:numPr>
          <w:ilvl w:val="0"/>
          <w:numId w:val="1630"/>
        </w:numPr>
      </w:pPr>
      <w:r>
        <w:rPr>
          <w:rFonts w:hint="eastAsia"/>
        </w:rPr>
        <w:t xml:space="preserve">經調整金額已扣除稅項為零（如前期呈報：100萬美元）。稅前的經調整金額為2.84億美元（如前期呈報：9.00億美元）。</w:t>
      </w:r>
    </w:p>
    <w:p>
      <w:pPr>
        <w:pStyle w:val="FirstParagraph"/>
      </w:pPr>
      <w:r>
        <w:t xml:space="preserve">264</w:t>
      </w:r>
    </w:p>
    <w:p>
      <w:pPr>
        <w:pStyle w:val="BodyText"/>
      </w:pPr>
      <w:r>
        <w:rPr>
          <w:rFonts w:hint="eastAsia"/>
        </w:rPr>
        <w:t xml:space="preserve">友邦保險控股有限公司</w:t>
      </w:r>
    </w:p>
    <w:p>
      <w:pPr>
        <w:pStyle w:val="BodyText"/>
      </w:pPr>
      <w:r>
        <w:rPr>
          <w:rFonts w:hint="eastAsia"/>
        </w:rPr>
        <w:t xml:space="preserve">有關於2020年12月31日及截至該日止年度的內涵價值補充資料的獨立核數師報告</w:t>
      </w:r>
      <w:r>
        <w:br/>
      </w:r>
      <w:r>
        <w:rPr>
          <w:rFonts w:hint="eastAsia"/>
        </w:rPr>
        <w:t xml:space="preserve">致友邦保險控股有限公司董事會</w:t>
      </w:r>
    </w:p>
    <w:p>
      <w:pPr>
        <w:pStyle w:val="BodyText"/>
      </w:pPr>
      <w:r>
        <w:rPr>
          <w:rFonts w:hint="eastAsia"/>
        </w:rPr>
        <w:t xml:space="preserve">（於香港註冊成立的有限公司）</w:t>
      </w:r>
    </w:p>
    <w:p>
      <w:pPr>
        <w:pStyle w:val="BodyText"/>
      </w:pPr>
      <w:r>
        <w:rPr>
          <w:rFonts w:hint="eastAsia"/>
        </w:rPr>
        <w:t xml:space="preserve">意見</w:t>
      </w:r>
    </w:p>
    <w:p>
      <w:pPr>
        <w:pStyle w:val="BodyText"/>
      </w:pPr>
      <w:r>
        <w:rPr>
          <w:rFonts w:hint="eastAsia"/>
        </w:rPr>
        <w:t xml:space="preserve">我們已審計的內容</w:t>
      </w:r>
    </w:p>
    <w:p>
      <w:pPr>
        <w:pStyle w:val="BodyText"/>
      </w:pPr>
      <w:r>
        <w:rPr>
          <w:rFonts w:hint="eastAsia"/>
        </w:rPr>
        <w:t xml:space="preserve">友邦保險控股有限公司（以下簡稱「貴公司」）及其附屬公司（以下統稱「貴集團」）列載於第269頁至</w:t>
      </w:r>
    </w:p>
    <w:p>
      <w:pPr>
        <w:pStyle w:val="BodyText"/>
      </w:pPr>
      <w:r>
        <w:rPr>
          <w:rFonts w:hint="eastAsia"/>
        </w:rPr>
        <w:t xml:space="preserve">第294頁的內涵價值補充資料（「內涵價值資料」），包括：</w:t>
      </w:r>
    </w:p>
    <w:p>
      <w:pPr>
        <w:pStyle w:val="BodyText"/>
      </w:pPr>
      <w:r>
        <w:t xml:space="preserve">• </w:t>
      </w:r>
      <w:r>
        <w:rPr>
          <w:rFonts w:hint="eastAsia"/>
        </w:rPr>
        <w:t xml:space="preserve">於2020年12月31日及截至該日止年度的合併內涵價值結果；</w:t>
      </w:r>
    </w:p>
    <w:p>
      <w:pPr>
        <w:pStyle w:val="BodyText"/>
      </w:pPr>
      <w:r>
        <w:t xml:space="preserve">• </w:t>
      </w:r>
      <w:r>
        <w:rPr>
          <w:rFonts w:hint="eastAsia"/>
        </w:rPr>
        <w:t xml:space="preserve">於該日及截至該日止年度的敏感度分析；及</w:t>
      </w:r>
    </w:p>
    <w:p>
      <w:pPr>
        <w:pStyle w:val="BodyText"/>
      </w:pPr>
      <w:r>
        <w:t xml:space="preserve">• </w:t>
      </w:r>
      <w:r>
        <w:rPr>
          <w:rFonts w:hint="eastAsia"/>
        </w:rPr>
        <w:t xml:space="preserve">主要方法及假設的概要和其他附註解釋。</w:t>
      </w:r>
    </w:p>
    <w:p>
      <w:pPr>
        <w:pStyle w:val="BodyText"/>
      </w:pPr>
      <w:r>
        <w:rPr>
          <w:rFonts w:hint="eastAsia"/>
        </w:rPr>
        <w:t xml:space="preserve">我們的意見</w:t>
      </w:r>
    </w:p>
    <w:p>
      <w:pPr>
        <w:pStyle w:val="BodyText"/>
      </w:pPr>
      <w:r>
        <w:rPr>
          <w:rFonts w:hint="eastAsia"/>
        </w:rPr>
        <w:t xml:space="preserve">我們認為，</w:t>
      </w:r>
      <w:r>
        <w:t xml:space="preserve"> </w:t>
      </w:r>
      <w:r>
        <w:rPr>
          <w:rFonts w:hint="eastAsia"/>
        </w:rPr>
        <w:t xml:space="preserve">貴集團於2020年12月31日及截至該日止年度的內涵價值資料已在各重大方面根據內涵</w:t>
      </w:r>
    </w:p>
    <w:p>
      <w:pPr>
        <w:pStyle w:val="BodyText"/>
      </w:pPr>
      <w:r>
        <w:rPr>
          <w:rFonts w:hint="eastAsia"/>
        </w:rPr>
        <w:t xml:space="preserve">價值資料第4及5節所載的內涵價值編製基準擬備。</w:t>
      </w:r>
    </w:p>
    <w:p>
      <w:pPr>
        <w:pStyle w:val="BodyText"/>
      </w:pPr>
      <w:r>
        <w:rPr>
          <w:rFonts w:hint="eastAsia"/>
        </w:rPr>
        <w:t xml:space="preserve">意見的基礎</w:t>
      </w:r>
    </w:p>
    <w:p>
      <w:pPr>
        <w:pStyle w:val="BodyText"/>
      </w:pPr>
      <w:r>
        <w:rPr>
          <w:rFonts w:hint="eastAsia"/>
        </w:rPr>
        <w:t xml:space="preserve">我們已根據香港會計師公會頒布的《香港審計準則》進行審計。我們在該等準則下承擔的責任已在</w:t>
      </w:r>
    </w:p>
    <w:p>
      <w:pPr>
        <w:pStyle w:val="BodyText"/>
      </w:pPr>
      <w:r>
        <w:rPr>
          <w:rFonts w:hint="eastAsia"/>
        </w:rPr>
        <w:t xml:space="preserve">本報告「核數師就審計內涵價值資料承擔的責任」部分中作進一步闡述。</w:t>
      </w:r>
    </w:p>
    <w:p>
      <w:pPr>
        <w:pStyle w:val="BodyText"/>
      </w:pPr>
      <w:r>
        <w:rPr>
          <w:rFonts w:hint="eastAsia"/>
        </w:rPr>
        <w:t xml:space="preserve">我們相信，我們所獲得的審計憑證能充足及適當地為我們的審計意見提供基礎。</w:t>
      </w:r>
    </w:p>
    <w:p>
      <w:pPr>
        <w:pStyle w:val="BodyText"/>
      </w:pPr>
      <w:r>
        <w:rPr>
          <w:rFonts w:hint="eastAsia"/>
        </w:rPr>
        <w:t xml:space="preserve">獨立性</w:t>
      </w:r>
    </w:p>
    <w:p>
      <w:pPr>
        <w:pStyle w:val="BodyText"/>
      </w:pPr>
      <w:r>
        <w:rPr>
          <w:rFonts w:hint="eastAsia"/>
        </w:rPr>
        <w:t xml:space="preserve">根據香港會計師公會頒布的《專業會計師道德守則》（以下簡稱「守則」），我們獨立於</w:t>
      </w:r>
      <w:r>
        <w:t xml:space="preserve"> </w:t>
      </w:r>
      <w:r>
        <w:rPr>
          <w:rFonts w:hint="eastAsia"/>
        </w:rPr>
        <w:t xml:space="preserve">貴集團，並</w:t>
      </w:r>
    </w:p>
    <w:p>
      <w:pPr>
        <w:pStyle w:val="BodyText"/>
      </w:pPr>
      <w:r>
        <w:rPr>
          <w:rFonts w:hint="eastAsia"/>
        </w:rPr>
        <w:t xml:space="preserve">已履行守則中的其他專業道德責任。</w:t>
      </w:r>
    </w:p>
    <w:p>
      <w:pPr>
        <w:pStyle w:val="BodyText"/>
      </w:pPr>
      <w:r>
        <w:rPr>
          <w:rFonts w:hint="eastAsia"/>
        </w:rPr>
        <w:t xml:space="preserve">強調事項</w:t>
      </w:r>
      <w:r>
        <w:t xml:space="preserve"> </w:t>
      </w:r>
      <w:r>
        <w:rPr>
          <w:rFonts w:hint="eastAsia"/>
        </w:rPr>
        <w:t xml:space="preserve">－</w:t>
      </w:r>
      <w:r>
        <w:t xml:space="preserve"> </w:t>
      </w:r>
      <w:r>
        <w:rPr>
          <w:rFonts w:hint="eastAsia"/>
        </w:rPr>
        <w:t xml:space="preserve">編製基準</w:t>
      </w:r>
    </w:p>
    <w:p>
      <w:pPr>
        <w:pStyle w:val="BodyText"/>
      </w:pPr>
      <w:r>
        <w:rPr>
          <w:rFonts w:hint="eastAsia"/>
        </w:rPr>
        <w:t xml:space="preserve">敬請留意內涵價值資料第4及5節，其載列內涵價值編製基準。因此，內涵價值資料可能不適用於其</w:t>
      </w:r>
    </w:p>
    <w:p>
      <w:pPr>
        <w:pStyle w:val="BodyText"/>
      </w:pPr>
      <w:r>
        <w:rPr>
          <w:rFonts w:hint="eastAsia"/>
        </w:rPr>
        <w:t xml:space="preserve">他目的。我們的意見未有就此事項作出修訂。</w:t>
      </w:r>
    </w:p>
    <w:p>
      <w:pPr>
        <w:pStyle w:val="BodyText"/>
      </w:pPr>
      <w:r>
        <w:t xml:space="preserve">265</w:t>
      </w:r>
    </w:p>
    <w:p>
      <w:pPr>
        <w:pStyle w:val="BodyText"/>
      </w:pPr>
      <w:r>
        <w:rPr>
          <w:rFonts w:hint="eastAsia"/>
        </w:rPr>
        <w:t xml:space="preserve">羅兵咸永道會計師事務所，香港中環太子大廈廿二樓電話：傳真：，內涵價值補充資料的獨立核數師報告概覽財務及營運回顧企業管治其他資料財務報表2020年報</w:t>
      </w:r>
    </w:p>
    <w:p>
      <w:pPr>
        <w:pStyle w:val="BodyText"/>
      </w:pPr>
      <w:r>
        <w:rPr>
          <w:rFonts w:hint="eastAsia"/>
        </w:rPr>
        <w:t xml:space="preserve">其他事項</w:t>
      </w:r>
    </w:p>
    <w:p>
      <w:pPr>
        <w:pStyle w:val="BodyText"/>
      </w:pPr>
      <w:r>
        <w:rPr>
          <w:rFonts w:hint="eastAsia"/>
        </w:rPr>
        <w:t xml:space="preserve">貴集團已根據香港會計師公會頒布的《香港財務報告準則》及國際會計準則理事會頒布的《國際財</w:t>
      </w:r>
    </w:p>
    <w:p>
      <w:pPr>
        <w:pStyle w:val="BodyText"/>
      </w:pPr>
      <w:r>
        <w:rPr>
          <w:rFonts w:hint="eastAsia"/>
        </w:rPr>
        <w:t xml:space="preserve">務報告準則》單獨擬備一份截至2020年12月31日止年度的合併財務報表，而我們已單獨就該合併財</w:t>
      </w:r>
    </w:p>
    <w:p>
      <w:pPr>
        <w:pStyle w:val="BodyText"/>
      </w:pPr>
      <w:r>
        <w:rPr>
          <w:rFonts w:hint="eastAsia"/>
        </w:rPr>
        <w:t xml:space="preserve">務報表向</w:t>
      </w:r>
      <w:r>
        <w:t xml:space="preserve"> </w:t>
      </w:r>
      <w:r>
        <w:rPr>
          <w:rFonts w:hint="eastAsia"/>
        </w:rPr>
        <w:t xml:space="preserve">貴公司股東出具一份日期為2021年3月12日的核數師報告。</w:t>
      </w:r>
    </w:p>
    <w:p>
      <w:pPr>
        <w:pStyle w:val="BodyText"/>
      </w:pPr>
      <w:r>
        <w:rPr>
          <w:rFonts w:hint="eastAsia"/>
        </w:rPr>
        <w:t xml:space="preserve">其他信息</w:t>
      </w:r>
    </w:p>
    <w:p>
      <w:pPr>
        <w:pStyle w:val="BodyText"/>
      </w:pPr>
      <w:r>
        <w:rPr>
          <w:rFonts w:hint="eastAsia"/>
        </w:rPr>
        <w:t xml:space="preserve">貴公司董事須對其他信息負責。其他信息包括年報內的所有信息，但不包括內涵價值資料及我們的</w:t>
      </w:r>
    </w:p>
    <w:p>
      <w:pPr>
        <w:pStyle w:val="BodyText"/>
      </w:pPr>
      <w:r>
        <w:rPr>
          <w:rFonts w:hint="eastAsia"/>
        </w:rPr>
        <w:t xml:space="preserve">核數師報告。</w:t>
      </w:r>
    </w:p>
    <w:p>
      <w:pPr>
        <w:pStyle w:val="BodyText"/>
      </w:pPr>
      <w:r>
        <w:rPr>
          <w:rFonts w:hint="eastAsia"/>
        </w:rPr>
        <w:t xml:space="preserve">我們對內涵價值資料的意見並不涵蓋其他信息，我們亦不對該等其他信息發表任何形式的鑒證結</w:t>
      </w:r>
    </w:p>
    <w:p>
      <w:pPr>
        <w:pStyle w:val="BodyText"/>
      </w:pPr>
      <w:r>
        <w:rPr>
          <w:rFonts w:hint="eastAsia"/>
        </w:rPr>
        <w:t xml:space="preserve">論。</w:t>
      </w:r>
    </w:p>
    <w:p>
      <w:pPr>
        <w:pStyle w:val="BodyText"/>
      </w:pPr>
      <w:r>
        <w:rPr>
          <w:rFonts w:hint="eastAsia"/>
        </w:rPr>
        <w:t xml:space="preserve">結合我們對內涵價值資料的審計，我們的責任是閱讀其他信息，在此過程中，考慮其他信息是否與</w:t>
      </w:r>
    </w:p>
    <w:p>
      <w:pPr>
        <w:pStyle w:val="BodyText"/>
      </w:pPr>
      <w:r>
        <w:rPr>
          <w:rFonts w:hint="eastAsia"/>
        </w:rPr>
        <w:t xml:space="preserve">內涵價值資料或我們在審計過程中所了解的情況存在重大抵觸或者似乎存在重大錯誤陳述的情況。</w:t>
      </w:r>
    </w:p>
    <w:p>
      <w:pPr>
        <w:pStyle w:val="BodyText"/>
      </w:pPr>
      <w:r>
        <w:rPr>
          <w:rFonts w:hint="eastAsia"/>
        </w:rPr>
        <w:t xml:space="preserve">基於我們已執行的工作，如果我們認為其他信息存在重大錯誤陳述，我們需要報告該事實。在這方</w:t>
      </w:r>
    </w:p>
    <w:p>
      <w:pPr>
        <w:pStyle w:val="BodyText"/>
      </w:pPr>
      <w:r>
        <w:rPr>
          <w:rFonts w:hint="eastAsia"/>
        </w:rPr>
        <w:t xml:space="preserve">面，我們沒有任何報告。</w:t>
      </w:r>
    </w:p>
    <w:p>
      <w:pPr>
        <w:pStyle w:val="BodyText"/>
      </w:pPr>
      <w:r>
        <w:t xml:space="preserve">266</w:t>
      </w:r>
    </w:p>
    <w:p>
      <w:pPr>
        <w:pStyle w:val="BodyText"/>
      </w:pPr>
      <w:r>
        <w:rPr>
          <w:rFonts w:hint="eastAsia"/>
        </w:rPr>
        <w:t xml:space="preserve">羅兵咸永道會計師事務所，香港中環太子大廈廿二樓電話：傳真：，友邦保險控股有限公司</w:t>
      </w:r>
    </w:p>
    <w:p>
      <w:pPr>
        <w:pStyle w:val="BodyText"/>
      </w:pPr>
      <w:r>
        <w:rPr>
          <w:rFonts w:hint="eastAsia"/>
        </w:rPr>
        <w:t xml:space="preserve">董事及治理層就內涵價值資料須承擔的責任</w:t>
      </w:r>
    </w:p>
    <w:p>
      <w:pPr>
        <w:pStyle w:val="BodyText"/>
      </w:pPr>
      <w:r>
        <w:rPr>
          <w:rFonts w:hint="eastAsia"/>
        </w:rPr>
        <w:t xml:space="preserve">貴公司董事須負責根據內涵價值資料第4及5節所載內涵價值編製基準擬備內涵價值資料，並對其認</w:t>
      </w:r>
    </w:p>
    <w:p>
      <w:pPr>
        <w:pStyle w:val="BodyText"/>
      </w:pPr>
      <w:r>
        <w:rPr>
          <w:rFonts w:hint="eastAsia"/>
        </w:rPr>
        <w:t xml:space="preserve">為為使內涵價值資料的擬備不存在由於欺詐或錯誤而導致的重大錯誤陳述所需的內部控制負責。</w:t>
      </w:r>
    </w:p>
    <w:p>
      <w:pPr>
        <w:pStyle w:val="BodyText"/>
      </w:pPr>
      <w:r>
        <w:rPr>
          <w:rFonts w:hint="eastAsia"/>
        </w:rPr>
        <w:t xml:space="preserve">在擬備內涵價值資料時，董事負責評估</w:t>
      </w:r>
      <w:r>
        <w:t xml:space="preserve"> </w:t>
      </w:r>
      <w:r>
        <w:rPr>
          <w:rFonts w:hint="eastAsia"/>
        </w:rPr>
        <w:t xml:space="preserve">貴集團持續經營的能力，並在適用情況下披露與持續經營</w:t>
      </w:r>
    </w:p>
    <w:p>
      <w:pPr>
        <w:pStyle w:val="BodyText"/>
      </w:pPr>
      <w:r>
        <w:rPr>
          <w:rFonts w:hint="eastAsia"/>
        </w:rPr>
        <w:t xml:space="preserve">有關的事項，以及使用持續經營為會計基礎，除非董事有意將</w:t>
      </w:r>
      <w:r>
        <w:t xml:space="preserve"> </w:t>
      </w:r>
      <w:r>
        <w:rPr>
          <w:rFonts w:hint="eastAsia"/>
        </w:rPr>
        <w:t xml:space="preserve">貴集團清盤或停止經營，或別無其</w:t>
      </w:r>
    </w:p>
    <w:p>
      <w:pPr>
        <w:pStyle w:val="BodyText"/>
      </w:pPr>
      <w:r>
        <w:rPr>
          <w:rFonts w:hint="eastAsia"/>
        </w:rPr>
        <w:t xml:space="preserve">他實際的替代方案。</w:t>
      </w:r>
    </w:p>
    <w:p>
      <w:pPr>
        <w:pStyle w:val="BodyText"/>
      </w:pPr>
      <w:r>
        <w:rPr>
          <w:rFonts w:hint="eastAsia"/>
        </w:rPr>
        <w:t xml:space="preserve">治理層須負責監督</w:t>
      </w:r>
      <w:r>
        <w:t xml:space="preserve"> </w:t>
      </w:r>
      <w:r>
        <w:rPr>
          <w:rFonts w:hint="eastAsia"/>
        </w:rPr>
        <w:t xml:space="preserve">貴集團的內涵價值資料報告過程。</w:t>
      </w:r>
    </w:p>
    <w:p>
      <w:pPr>
        <w:pStyle w:val="BodyText"/>
      </w:pPr>
      <w:r>
        <w:rPr>
          <w:rFonts w:hint="eastAsia"/>
        </w:rPr>
        <w:t xml:space="preserve">核數師就審計內涵價值資料承擔的責任</w:t>
      </w:r>
    </w:p>
    <w:p>
      <w:pPr>
        <w:pStyle w:val="BodyText"/>
      </w:pPr>
      <w:r>
        <w:rPr>
          <w:rFonts w:hint="eastAsia"/>
        </w:rPr>
        <w:t xml:space="preserve">我們的目標，是對內涵價值資料整體是否不存在由於欺詐或錯誤而導致的重大錯誤陳述取得合理保</w:t>
      </w:r>
    </w:p>
    <w:p>
      <w:pPr>
        <w:pStyle w:val="BodyText"/>
      </w:pPr>
      <w:r>
        <w:rPr>
          <w:rFonts w:hint="eastAsia"/>
        </w:rPr>
        <w:t xml:space="preserve">證，並出具包括我們意見的核數師報告。我們僅向</w:t>
      </w:r>
      <w:r>
        <w:t xml:space="preserve"> </w:t>
      </w:r>
      <w:r>
        <w:rPr>
          <w:rFonts w:hint="eastAsia"/>
        </w:rPr>
        <w:t xml:space="preserve">閣下（作為整體）報告我們的意見，除此之外</w:t>
      </w:r>
    </w:p>
    <w:p>
      <w:pPr>
        <w:pStyle w:val="BodyText"/>
      </w:pPr>
      <w:r>
        <w:rPr>
          <w:rFonts w:hint="eastAsia"/>
        </w:rPr>
        <w:t xml:space="preserve">本報告別無其他目的。我們不會就本報告的內容向任何其他人士負上或承擔任何責任。合理保證是</w:t>
      </w:r>
    </w:p>
    <w:p>
      <w:pPr>
        <w:pStyle w:val="BodyText"/>
      </w:pPr>
      <w:r>
        <w:rPr>
          <w:rFonts w:hint="eastAsia"/>
        </w:rPr>
        <w:t xml:space="preserve">高水平的保證，但不能保證按照《香港審計準則》進行的審計，在某一重大錯誤陳述存在時總能發</w:t>
      </w:r>
    </w:p>
    <w:p>
      <w:pPr>
        <w:pStyle w:val="BodyText"/>
      </w:pPr>
      <w:r>
        <w:rPr>
          <w:rFonts w:hint="eastAsia"/>
        </w:rPr>
        <w:t xml:space="preserve">現。錯誤陳述可以由欺詐或錯誤引起，如果合理預期它們單獨或匯總起來可能影響內涵價值資料使</w:t>
      </w:r>
    </w:p>
    <w:p>
      <w:pPr>
        <w:pStyle w:val="BodyText"/>
      </w:pPr>
      <w:r>
        <w:rPr>
          <w:rFonts w:hint="eastAsia"/>
        </w:rPr>
        <w:t xml:space="preserve">用者基於內涵價值資料作出的經濟決定，則有關的錯誤陳述可被視作重大。</w:t>
      </w:r>
    </w:p>
    <w:p>
      <w:pPr>
        <w:pStyle w:val="BodyText"/>
      </w:pPr>
      <w:r>
        <w:rPr>
          <w:rFonts w:hint="eastAsia"/>
        </w:rPr>
        <w:t xml:space="preserve">在根據《香港審計準則》進行審計的過程中，我們運用了專業判斷，保持了專業懷疑態度。我們</w:t>
      </w:r>
    </w:p>
    <w:p>
      <w:pPr>
        <w:pStyle w:val="BodyText"/>
      </w:pPr>
      <w:r>
        <w:rPr>
          <w:rFonts w:hint="eastAsia"/>
        </w:rPr>
        <w:t xml:space="preserve">亦：</w:t>
      </w:r>
    </w:p>
    <w:p>
      <w:pPr>
        <w:pStyle w:val="BodyText"/>
      </w:pPr>
      <w:r>
        <w:t xml:space="preserve">• </w:t>
      </w:r>
      <w:r>
        <w:rPr>
          <w:rFonts w:hint="eastAsia"/>
        </w:rPr>
        <w:t xml:space="preserve">識別和評估由於欺詐或錯誤而導致內涵價值資料存在重大錯誤陳述的風險，設計及執行審計程</w:t>
      </w:r>
    </w:p>
    <w:p>
      <w:pPr>
        <w:pStyle w:val="BodyText"/>
      </w:pPr>
      <w:r>
        <w:rPr>
          <w:rFonts w:hint="eastAsia"/>
        </w:rPr>
        <w:t xml:space="preserve">序以應對這些風險，以及獲取充足和適當的審計憑證，作為我們意見的基礎。由於欺詐可能涉</w:t>
      </w:r>
    </w:p>
    <w:p>
      <w:pPr>
        <w:pStyle w:val="BodyText"/>
      </w:pPr>
      <w:r>
        <w:rPr>
          <w:rFonts w:hint="eastAsia"/>
        </w:rPr>
        <w:t xml:space="preserve">及串謀、偽造、蓄意遺漏、虛假陳述，或凌駕於內部控制之上，因此未能發現因欺詐而導致的</w:t>
      </w:r>
    </w:p>
    <w:p>
      <w:pPr>
        <w:pStyle w:val="BodyText"/>
      </w:pPr>
      <w:r>
        <w:rPr>
          <w:rFonts w:hint="eastAsia"/>
        </w:rPr>
        <w:t xml:space="preserve">重大錯誤陳述的風險高於未能發現因錯誤而導致的重大錯誤陳述的風險。</w:t>
      </w:r>
    </w:p>
    <w:p>
      <w:pPr>
        <w:pStyle w:val="BodyText"/>
      </w:pPr>
      <w:r>
        <w:t xml:space="preserve">• </w:t>
      </w:r>
      <w:r>
        <w:rPr>
          <w:rFonts w:hint="eastAsia"/>
        </w:rPr>
        <w:t xml:space="preserve">了解與審計相關的內部控制，以設計適當的審計程序，但目的並非對</w:t>
      </w:r>
      <w:r>
        <w:t xml:space="preserve"> </w:t>
      </w:r>
      <w:r>
        <w:rPr>
          <w:rFonts w:hint="eastAsia"/>
        </w:rPr>
        <w:t xml:space="preserve">貴集團內部控制的有效</w:t>
      </w:r>
    </w:p>
    <w:p>
      <w:pPr>
        <w:pStyle w:val="BodyText"/>
      </w:pPr>
      <w:r>
        <w:rPr>
          <w:rFonts w:hint="eastAsia"/>
        </w:rPr>
        <w:t xml:space="preserve">性發表意見。</w:t>
      </w:r>
    </w:p>
    <w:p>
      <w:pPr>
        <w:pStyle w:val="BodyText"/>
      </w:pPr>
      <w:r>
        <w:t xml:space="preserve">267</w:t>
      </w:r>
    </w:p>
    <w:p>
      <w:pPr>
        <w:pStyle w:val="BodyText"/>
      </w:pPr>
      <w:r>
        <w:rPr>
          <w:rFonts w:hint="eastAsia"/>
        </w:rPr>
        <w:t xml:space="preserve">羅兵咸永道會計師事務所，香港中環太子大廈廿二樓電話：傳真：，概覽財務及營運回顧企業管治其他資料財務報表2020年報</w:t>
      </w:r>
    </w:p>
    <w:p>
      <w:pPr>
        <w:pStyle w:val="BodyText"/>
      </w:pPr>
      <w:r>
        <w:rPr>
          <w:rFonts w:hint="eastAsia"/>
        </w:rPr>
        <w:t xml:space="preserve">核數師就審計內涵價值資料承擔的責任（續）</w:t>
      </w:r>
    </w:p>
    <w:p>
      <w:pPr>
        <w:pStyle w:val="BodyText"/>
      </w:pPr>
      <w:r>
        <w:t xml:space="preserve">• </w:t>
      </w:r>
      <w:r>
        <w:rPr>
          <w:rFonts w:hint="eastAsia"/>
        </w:rPr>
        <w:t xml:space="preserve">評價董事所採用內涵價值編製基準的恰當性及作出會計估計和相關披露的合理性。</w:t>
      </w:r>
    </w:p>
    <w:p>
      <w:pPr>
        <w:pStyle w:val="BodyText"/>
      </w:pPr>
      <w:r>
        <w:t xml:space="preserve">• </w:t>
      </w:r>
      <w:r>
        <w:rPr>
          <w:rFonts w:hint="eastAsia"/>
        </w:rPr>
        <w:t xml:space="preserve">對董事採用持續經營會計基礎的恰當性作出結論。根據所獲取的審計憑證，確定是否存在與事</w:t>
      </w:r>
    </w:p>
    <w:p>
      <w:pPr>
        <w:pStyle w:val="BodyText"/>
      </w:pPr>
      <w:r>
        <w:rPr>
          <w:rFonts w:hint="eastAsia"/>
        </w:rPr>
        <w:t xml:space="preserve">項或情況有關的重大不確定性，從而可能導致對</w:t>
      </w:r>
      <w:r>
        <w:t xml:space="preserve"> </w:t>
      </w:r>
      <w:r>
        <w:rPr>
          <w:rFonts w:hint="eastAsia"/>
        </w:rPr>
        <w:t xml:space="preserve">貴集團的持續經營能力產生重大疑慮。如果</w:t>
      </w:r>
    </w:p>
    <w:p>
      <w:pPr>
        <w:pStyle w:val="BodyText"/>
      </w:pPr>
      <w:r>
        <w:rPr>
          <w:rFonts w:hint="eastAsia"/>
        </w:rPr>
        <w:t xml:space="preserve">我們認為存在重大不確定性，則有必要在核數師報告中提請使用者注意內涵價值資料中的相關</w:t>
      </w:r>
    </w:p>
    <w:p>
      <w:pPr>
        <w:pStyle w:val="BodyText"/>
      </w:pPr>
      <w:r>
        <w:rPr>
          <w:rFonts w:hint="eastAsia"/>
        </w:rPr>
        <w:t xml:space="preserve">披露。假若有關的披露不足，則我們應當發表非無保留意見。我們的結論是基於核數師報告日</w:t>
      </w:r>
    </w:p>
    <w:p>
      <w:pPr>
        <w:pStyle w:val="BodyText"/>
      </w:pPr>
      <w:r>
        <w:rPr>
          <w:rFonts w:hint="eastAsia"/>
        </w:rPr>
        <w:t xml:space="preserve">止所取得的審計憑證。然而，未來事項或情況可能導致</w:t>
      </w:r>
      <w:r>
        <w:t xml:space="preserve"> </w:t>
      </w:r>
      <w:r>
        <w:rPr>
          <w:rFonts w:hint="eastAsia"/>
        </w:rPr>
        <w:t xml:space="preserve">貴集團不能持續經營。</w:t>
      </w:r>
    </w:p>
    <w:p>
      <w:pPr>
        <w:pStyle w:val="BodyText"/>
      </w:pPr>
      <w:r>
        <w:t xml:space="preserve">• </w:t>
      </w:r>
      <w:r>
        <w:rPr>
          <w:rFonts w:hint="eastAsia"/>
        </w:rPr>
        <w:t xml:space="preserve">就</w:t>
      </w:r>
      <w:r>
        <w:t xml:space="preserve"> </w:t>
      </w:r>
      <w:r>
        <w:rPr>
          <w:rFonts w:hint="eastAsia"/>
        </w:rPr>
        <w:t xml:space="preserve">貴集團內實體或業務活動的內涵價值資料獲取充足、適當的審計憑證，以便對內涵價值資</w:t>
      </w:r>
    </w:p>
    <w:p>
      <w:pPr>
        <w:pStyle w:val="BodyText"/>
      </w:pPr>
      <w:r>
        <w:rPr>
          <w:rFonts w:hint="eastAsia"/>
        </w:rPr>
        <w:t xml:space="preserve">料發表意見。我們負責</w:t>
      </w:r>
      <w:r>
        <w:t xml:space="preserve"> </w:t>
      </w:r>
      <w:r>
        <w:rPr>
          <w:rFonts w:hint="eastAsia"/>
        </w:rPr>
        <w:t xml:space="preserve">貴集團審計的方向、監督和執行。我們為審計意見承擔全部責任。</w:t>
      </w:r>
    </w:p>
    <w:p>
      <w:pPr>
        <w:pStyle w:val="BodyText"/>
      </w:pPr>
      <w:r>
        <w:rPr>
          <w:rFonts w:hint="eastAsia"/>
        </w:rPr>
        <w:t xml:space="preserve">除其他事項外，我們與治理層溝通了計劃的審計範圍、時間安排、重大審計發現等，包括我們在審</w:t>
      </w:r>
    </w:p>
    <w:p>
      <w:pPr>
        <w:pStyle w:val="BodyText"/>
      </w:pPr>
      <w:r>
        <w:rPr>
          <w:rFonts w:hint="eastAsia"/>
        </w:rPr>
        <w:t xml:space="preserve">計中識別出內部控制的任何重大缺陷。</w:t>
      </w:r>
    </w:p>
    <w:p>
      <w:pPr>
        <w:pStyle w:val="BodyText"/>
      </w:pPr>
      <w:r>
        <w:rPr>
          <w:rFonts w:hint="eastAsia"/>
        </w:rPr>
        <w:t xml:space="preserve">我們還向治理層提交聲明，說明我們已符合有關獨立性的相關專業道德要求，並與他們溝通有可能</w:t>
      </w:r>
    </w:p>
    <w:p>
      <w:pPr>
        <w:pStyle w:val="BodyText"/>
      </w:pPr>
      <w:r>
        <w:rPr>
          <w:rFonts w:hint="eastAsia"/>
        </w:rPr>
        <w:t xml:space="preserve">合理地被認為會影響我們獨立性的所有關係和其他事項，以及在適用的情況下，用以消除對獨立性</w:t>
      </w:r>
    </w:p>
    <w:p>
      <w:pPr>
        <w:pStyle w:val="BodyText"/>
      </w:pPr>
      <w:r>
        <w:rPr>
          <w:rFonts w:hint="eastAsia"/>
        </w:rPr>
        <w:t xml:space="preserve">產生威脅的行動或採取的防範措施。</w:t>
      </w:r>
    </w:p>
    <w:p>
      <w:pPr>
        <w:pStyle w:val="BodyText"/>
      </w:pPr>
      <w:r>
        <w:rPr>
          <w:rFonts w:hint="eastAsia"/>
        </w:rPr>
        <w:t xml:space="preserve">出具本獨立核數師報告的審計項目合夥人是林同文。</w:t>
      </w:r>
    </w:p>
    <w:p>
      <w:pPr>
        <w:pStyle w:val="BodyText"/>
      </w:pPr>
      <w:r>
        <w:rPr>
          <w:rFonts w:hint="eastAsia"/>
        </w:rPr>
        <w:t xml:space="preserve">羅兵咸永道會計師事務所</w:t>
      </w:r>
    </w:p>
    <w:p>
      <w:pPr>
        <w:pStyle w:val="BodyText"/>
      </w:pPr>
      <w:r>
        <w:rPr>
          <w:rFonts w:hint="eastAsia"/>
        </w:rPr>
        <w:t xml:space="preserve">執業會計師</w:t>
      </w:r>
    </w:p>
    <w:p>
      <w:pPr>
        <w:pStyle w:val="BodyText"/>
      </w:pPr>
      <w:r>
        <w:rPr>
          <w:rFonts w:hint="eastAsia"/>
        </w:rPr>
        <w:t xml:space="preserve">香港</w:t>
      </w:r>
    </w:p>
    <w:p>
      <w:pPr>
        <w:pStyle w:val="BodyText"/>
      </w:pPr>
      <w:r>
        <w:rPr>
          <w:rFonts w:hint="eastAsia"/>
        </w:rPr>
        <w:t xml:space="preserve">2021年3月12日</w:t>
      </w:r>
    </w:p>
    <w:p>
      <w:pPr>
        <w:pStyle w:val="BodyText"/>
      </w:pPr>
      <w:r>
        <w:t xml:space="preserve">268</w:t>
      </w:r>
    </w:p>
    <w:p>
      <w:pPr>
        <w:pStyle w:val="BodyText"/>
      </w:pPr>
      <w:r>
        <w:rPr>
          <w:rFonts w:hint="eastAsia"/>
        </w:rPr>
        <w:t xml:space="preserve">羅兵咸永道會計師事務所，香港中環太子大廈廿二樓電話：傳真：，友邦保險控股有限公司</w:t>
      </w:r>
    </w:p>
    <w:p>
      <w:pPr>
        <w:pStyle w:val="BodyText"/>
      </w:pPr>
      <w:r>
        <w:rPr>
          <w:rFonts w:hint="eastAsia"/>
        </w:rPr>
        <w:t xml:space="preserve">有關內涵價值補充資料的警示聲明</w:t>
      </w:r>
    </w:p>
    <w:p>
      <w:pPr>
        <w:pStyle w:val="BodyText"/>
      </w:pPr>
      <w:r>
        <w:rPr>
          <w:rFonts w:hint="eastAsia"/>
        </w:rPr>
        <w:t xml:space="preserve">本報告包含不屬於國際財務報告準則的財務計量標準，亦不應被視為國際財務報告準則下財務計量標準的替代品。</w:t>
      </w:r>
    </w:p>
    <w:p>
      <w:pPr>
        <w:pStyle w:val="BodyText"/>
      </w:pPr>
      <w:r>
        <w:rPr>
          <w:rFonts w:hint="eastAsia"/>
        </w:rPr>
        <w:t xml:space="preserve">本報告所示結果並非對市值的意見，故不應對結果作該方面的詮釋。本報告並非旨在包含釐定市值所需依據的全部眾多因</w:t>
      </w:r>
    </w:p>
    <w:p>
      <w:pPr>
        <w:pStyle w:val="BodyText"/>
      </w:pPr>
      <w:r>
        <w:rPr>
          <w:rFonts w:hint="eastAsia"/>
        </w:rPr>
        <w:t xml:space="preserve">素。</w:t>
      </w:r>
    </w:p>
    <w:p>
      <w:pPr>
        <w:pStyle w:val="BodyText"/>
      </w:pPr>
      <w:r>
        <w:rPr>
          <w:rFonts w:hint="eastAsia"/>
        </w:rPr>
        <w:t xml:space="preserve">本報告的結果乃基於有關未來的一連串假設而得出。務請注意，由於營運及經濟環境的改變及經驗的自然偏差，實際未來結</w:t>
      </w:r>
    </w:p>
    <w:p>
      <w:pPr>
        <w:pStyle w:val="BodyText"/>
      </w:pPr>
      <w:r>
        <w:rPr>
          <w:rFonts w:hint="eastAsia"/>
        </w:rPr>
        <w:t xml:space="preserve">果或與所示者不同。所示結果基於本報告所載估值日期呈列，本集團並不保證估值日期後的未來經驗將與所作假設一致。</w:t>
      </w:r>
    </w:p>
    <w:p>
      <w:pPr>
        <w:pStyle w:val="BodyText"/>
      </w:pPr>
      <w:r>
        <w:t xml:space="preserve">269</w:t>
      </w:r>
    </w:p>
    <w:p>
      <w:pPr>
        <w:pStyle w:val="BodyText"/>
      </w:pPr>
      <w:r>
        <w:rPr>
          <w:rFonts w:hint="eastAsia"/>
        </w:rPr>
        <w:t xml:space="preserve">內涵價值補充資料概覽財務及營運回顧企業管治其他資料財務報表2020年報</w:t>
      </w:r>
    </w:p>
    <w:p>
      <w:pPr>
        <w:pStyle w:val="Compact"/>
        <w:numPr>
          <w:ilvl w:val="0"/>
          <w:numId w:val="1631"/>
        </w:numPr>
      </w:pPr>
      <w:r>
        <w:rPr>
          <w:rFonts w:hint="eastAsia"/>
        </w:rPr>
        <w:t xml:space="preserve">摘要</w:t>
      </w:r>
    </w:p>
    <w:p>
      <w:pPr>
        <w:pStyle w:val="FirstParagraph"/>
      </w:pPr>
      <w:r>
        <w:rPr>
          <w:rFonts w:hint="eastAsia"/>
        </w:rPr>
        <w:t xml:space="preserve">內涵價值為以分配至有效保單業務的資產中，除去對有關業務總風險作出撥備後的可分派盈利的股東權益價值。本集團使用</w:t>
      </w:r>
    </w:p>
    <w:p>
      <w:pPr>
        <w:pStyle w:val="BodyText"/>
      </w:pPr>
      <w:r>
        <w:rPr>
          <w:rFonts w:hint="eastAsia"/>
        </w:rPr>
        <w:t xml:space="preserve">傳統確定性貼現現金流方法釐定Tata</w:t>
      </w:r>
      <w:r>
        <w:t xml:space="preserve"> AIA Life Insurance Company Limited (Tata AIA </w:t>
      </w:r>
      <w:r>
        <w:rPr>
          <w:rFonts w:hint="eastAsia"/>
        </w:rPr>
        <w:t xml:space="preserve">Life)以外所有實體的內涵價值及新業務</w:t>
      </w:r>
    </w:p>
    <w:p>
      <w:pPr>
        <w:pStyle w:val="BodyText"/>
      </w:pPr>
      <w:r>
        <w:rPr>
          <w:rFonts w:hint="eastAsia"/>
        </w:rPr>
        <w:t xml:space="preserve">價值。該方法透過使用風險貼現率，就風險作出整體隱含撥備，風險來源包括投資回報保證及保單持有人期權成本、資產負</w:t>
      </w:r>
    </w:p>
    <w:p>
      <w:pPr>
        <w:pStyle w:val="BodyText"/>
      </w:pPr>
      <w:r>
        <w:rPr>
          <w:rFonts w:hint="eastAsia"/>
        </w:rPr>
        <w:t xml:space="preserve">債錯配風險、信貸風險、未來實際經驗偏離假設的風險及資本經濟成本。對於Tata</w:t>
      </w:r>
      <w:r>
        <w:t xml:space="preserve"> AIA </w:t>
      </w:r>
      <w:r>
        <w:rPr>
          <w:rFonts w:hint="eastAsia"/>
        </w:rPr>
        <w:t xml:space="preserve">Life，本集團使用印度精算師協會頒</w:t>
      </w:r>
    </w:p>
    <w:p>
      <w:pPr>
        <w:pStyle w:val="BodyText"/>
      </w:pPr>
      <w:r>
        <w:rPr>
          <w:rFonts w:hint="eastAsia"/>
        </w:rPr>
        <w:t xml:space="preserve">佈的精算實踐標準第10號所界定的印度內涵價值方法，與印度當地慣例一致。</w:t>
      </w:r>
    </w:p>
    <w:p>
      <w:pPr>
        <w:pStyle w:val="BodyText"/>
      </w:pPr>
      <w:r>
        <w:rPr>
          <w:rFonts w:hint="eastAsia"/>
        </w:rPr>
        <w:t xml:space="preserve">按內涵價值基準本公司股東應佔權益（內涵價值權益）為經計及稅項後本公司股東應佔內涵價值、商譽及其他無形資產的總</w:t>
      </w:r>
    </w:p>
    <w:p>
      <w:pPr>
        <w:pStyle w:val="BodyText"/>
      </w:pPr>
      <w:r>
        <w:rPr>
          <w:rFonts w:hint="eastAsia"/>
        </w:rPr>
        <w:t xml:space="preserve">和。於2020年之前，本集團將預扣稅的影響反映於集團企業中心項下。自2020年起，本集團加強分部資料披露，將預扣稅於</w:t>
      </w:r>
    </w:p>
    <w:p>
      <w:pPr>
        <w:pStyle w:val="BodyText"/>
      </w:pPr>
      <w:r>
        <w:rPr>
          <w:rFonts w:hint="eastAsia"/>
        </w:rPr>
        <w:t xml:space="preserve">適當經營分部項下呈列。關於內涵價值結果、方法及假設的詳情在本報告較後部分說明。</w:t>
      </w:r>
    </w:p>
    <w:p>
      <w:pPr>
        <w:pStyle w:val="BodyText"/>
      </w:pPr>
      <w:r>
        <w:rPr>
          <w:rFonts w:hint="eastAsia"/>
        </w:rPr>
        <w:t xml:space="preserve">除另有說明外，評述所載之增長率乃按固定匯率基準列示。</w:t>
      </w:r>
    </w:p>
    <w:p>
      <w:pPr>
        <w:pStyle w:val="BodyText"/>
      </w:pPr>
      <w:r>
        <w:rPr>
          <w:rFonts w:hint="eastAsia"/>
        </w:rPr>
        <w:t xml:space="preserve">重要指標概要(1)（百萬美元）</w:t>
      </w:r>
    </w:p>
    <w:p>
      <w:pPr>
        <w:pStyle w:val="BodyText"/>
      </w:pPr>
      <w:r>
        <w:rPr>
          <w:rFonts w:hint="eastAsia"/>
        </w:rPr>
        <w:t xml:space="preserve">按內涵價值基準本公司股東應佔權益（內涵價值權益）</w:t>
      </w:r>
    </w:p>
    <w:p>
      <w:pPr>
        <w:pStyle w:val="BodyText"/>
      </w:pPr>
      <w:r>
        <w:rPr>
          <w:rFonts w:hint="eastAsia"/>
        </w:rPr>
        <w:t xml:space="preserve">內涵價值</w:t>
      </w:r>
    </w:p>
    <w:p>
      <w:pPr>
        <w:pStyle w:val="BodyText"/>
      </w:pPr>
      <w:r>
        <w:rPr>
          <w:rFonts w:hint="eastAsia"/>
        </w:rPr>
        <w:t xml:space="preserve">經調整資產淨值</w:t>
      </w:r>
    </w:p>
    <w:p>
      <w:pPr>
        <w:pStyle w:val="BodyText"/>
      </w:pPr>
      <w:r>
        <w:rPr>
          <w:rFonts w:hint="eastAsia"/>
        </w:rPr>
        <w:t xml:space="preserve">有效保單業務價值</w:t>
      </w:r>
    </w:p>
    <w:p>
      <w:pPr>
        <w:pStyle w:val="BodyText"/>
      </w:pPr>
      <w:r>
        <w:rPr>
          <w:rFonts w:hint="eastAsia"/>
        </w:rPr>
        <w:t xml:space="preserve">新業務價值</w:t>
      </w:r>
    </w:p>
    <w:p>
      <w:pPr>
        <w:pStyle w:val="BodyText"/>
      </w:pPr>
      <w:r>
        <w:rPr>
          <w:rFonts w:hint="eastAsia"/>
        </w:rPr>
        <w:t xml:space="preserve">年化新保費</w:t>
      </w:r>
    </w:p>
    <w:p>
      <w:pPr>
        <w:pStyle w:val="BodyText"/>
      </w:pPr>
      <w:r>
        <w:rPr>
          <w:rFonts w:hint="eastAsia"/>
        </w:rPr>
        <w:t xml:space="preserve">新業務價值利潤率</w:t>
      </w:r>
    </w:p>
    <w:p>
      <w:pPr>
        <w:pStyle w:val="BodyText"/>
      </w:pPr>
      <w:r>
        <w:rPr>
          <w:rFonts w:hint="eastAsia"/>
        </w:rPr>
        <w:t xml:space="preserve">內涵價值營運溢利</w:t>
      </w:r>
    </w:p>
    <w:p>
      <w:pPr>
        <w:pStyle w:val="BodyText"/>
      </w:pPr>
      <w:r>
        <w:rPr>
          <w:rFonts w:hint="eastAsia"/>
        </w:rPr>
        <w:t xml:space="preserve">內涵價值營運回報</w:t>
      </w:r>
    </w:p>
    <w:p>
      <w:pPr>
        <w:pStyle w:val="BodyText"/>
      </w:pPr>
      <w:r>
        <w:rPr>
          <w:rFonts w:hint="eastAsia"/>
        </w:rPr>
        <w:t xml:space="preserve">產生的基本自由盈餘</w:t>
      </w:r>
    </w:p>
    <w:p>
      <w:pPr>
        <w:pStyle w:val="BodyText"/>
      </w:pPr>
      <w:r>
        <w:rPr>
          <w:rFonts w:hint="eastAsia"/>
        </w:rPr>
        <w:t xml:space="preserve">附註：</w:t>
      </w:r>
    </w:p>
    <w:p>
      <w:pPr>
        <w:pStyle w:val="BodyText"/>
      </w:pPr>
      <w:r>
        <w:rPr>
          <w:rFonts w:hint="eastAsia"/>
        </w:rPr>
        <w:t xml:space="preserve">於2020年</w:t>
      </w:r>
      <w:r>
        <w:br/>
      </w:r>
      <w:r>
        <w:rPr>
          <w:rFonts w:hint="eastAsia"/>
        </w:rPr>
        <w:t xml:space="preserve">12月31日</w:t>
      </w:r>
    </w:p>
    <w:p>
      <w:pPr>
        <w:pStyle w:val="BodyText"/>
      </w:pPr>
      <w:r>
        <w:t xml:space="preserve">67,185</w:t>
      </w:r>
    </w:p>
    <w:p>
      <w:pPr>
        <w:pStyle w:val="BodyText"/>
      </w:pPr>
      <w:r>
        <w:t xml:space="preserve">65,247</w:t>
      </w:r>
    </w:p>
    <w:p>
      <w:pPr>
        <w:pStyle w:val="BodyText"/>
      </w:pPr>
      <w:r>
        <w:t xml:space="preserve">28,503</w:t>
      </w:r>
    </w:p>
    <w:p>
      <w:pPr>
        <w:pStyle w:val="BodyText"/>
      </w:pPr>
      <w:r>
        <w:t xml:space="preserve">36,744</w:t>
      </w:r>
    </w:p>
    <w:p>
      <w:pPr>
        <w:pStyle w:val="BodyText"/>
      </w:pPr>
      <w:r>
        <w:rPr>
          <w:rFonts w:hint="eastAsia"/>
        </w:rPr>
        <w:t xml:space="preserve">於2019年</w:t>
      </w:r>
      <w:r>
        <w:br/>
      </w:r>
      <w:r>
        <w:rPr>
          <w:rFonts w:hint="eastAsia"/>
        </w:rPr>
        <w:t xml:space="preserve">12月31日</w:t>
      </w:r>
    </w:p>
    <w:p>
      <w:pPr>
        <w:pStyle w:val="BodyText"/>
      </w:pPr>
      <w:r>
        <w:rPr>
          <w:rFonts w:hint="eastAsia"/>
        </w:rPr>
        <w:t xml:space="preserve">變動</w:t>
      </w:r>
      <w:r>
        <w:br/>
      </w:r>
      <w:r>
        <w:rPr>
          <w:rFonts w:hint="eastAsia"/>
        </w:rPr>
        <w:t xml:space="preserve">（固定匯率）</w:t>
      </w:r>
    </w:p>
    <w:p>
      <w:pPr>
        <w:pStyle w:val="BodyText"/>
      </w:pPr>
      <w:r>
        <w:rPr>
          <w:rFonts w:hint="eastAsia"/>
        </w:rPr>
        <w:t xml:space="preserve">變動</w:t>
      </w:r>
      <w:r>
        <w:br/>
      </w:r>
      <w:r>
        <w:rPr>
          <w:rFonts w:hint="eastAsia"/>
        </w:rPr>
        <w:t xml:space="preserve">（實質匯率）</w:t>
      </w:r>
    </w:p>
    <w:p>
      <w:pPr>
        <w:pStyle w:val="BodyText"/>
      </w:pPr>
      <w:r>
        <w:t xml:space="preserve">63,905</w:t>
      </w:r>
    </w:p>
    <w:p>
      <w:pPr>
        <w:pStyle w:val="BodyText"/>
      </w:pPr>
      <w:r>
        <w:t xml:space="preserve">61,985</w:t>
      </w:r>
    </w:p>
    <w:p>
      <w:pPr>
        <w:pStyle w:val="BodyText"/>
      </w:pPr>
      <w:r>
        <w:t xml:space="preserve">28,241</w:t>
      </w:r>
    </w:p>
    <w:p>
      <w:pPr>
        <w:pStyle w:val="BodyText"/>
      </w:pPr>
      <w:r>
        <w:t xml:space="preserve">33,744</w:t>
      </w:r>
    </w:p>
    <w:p>
      <w:pPr>
        <w:pStyle w:val="BodyText"/>
      </w:pPr>
      <w:r>
        <w:t xml:space="preserve">3%</w:t>
      </w:r>
    </w:p>
    <w:p>
      <w:pPr>
        <w:pStyle w:val="BodyText"/>
      </w:pPr>
      <w:r>
        <w:t xml:space="preserve">3%</w:t>
      </w:r>
    </w:p>
    <w:p>
      <w:pPr>
        <w:pStyle w:val="BodyText"/>
      </w:pPr>
      <w:r>
        <w:t xml:space="preserve">(1)%</w:t>
      </w:r>
    </w:p>
    <w:p>
      <w:pPr>
        <w:pStyle w:val="BodyText"/>
      </w:pPr>
      <w:r>
        <w:t xml:space="preserve">7%</w:t>
      </w:r>
    </w:p>
    <w:p>
      <w:pPr>
        <w:pStyle w:val="BodyText"/>
      </w:pPr>
      <w:r>
        <w:t xml:space="preserve">5%</w:t>
      </w:r>
    </w:p>
    <w:p>
      <w:pPr>
        <w:pStyle w:val="BodyText"/>
      </w:pPr>
      <w:r>
        <w:t xml:space="preserve">5%</w:t>
      </w:r>
    </w:p>
    <w:p>
      <w:pPr>
        <w:pStyle w:val="BodyText"/>
      </w:pPr>
      <w:r>
        <w:t xml:space="preserve">1%</w:t>
      </w:r>
    </w:p>
    <w:p>
      <w:pPr>
        <w:pStyle w:val="BodyText"/>
      </w:pPr>
      <w:r>
        <w:t xml:space="preserve">9%</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2,765</w:t>
      </w:r>
    </w:p>
    <w:p>
      <w:pPr>
        <w:pStyle w:val="BodyText"/>
      </w:pPr>
      <w:r>
        <w:t xml:space="preserve">5,219</w:t>
      </w:r>
    </w:p>
    <w:p>
      <w:pPr>
        <w:pStyle w:val="BodyText"/>
      </w:pPr>
      <w:r>
        <w:t xml:space="preserve">52.6%</w:t>
      </w:r>
    </w:p>
    <w:p>
      <w:pPr>
        <w:pStyle w:val="BodyText"/>
      </w:pPr>
      <w:r>
        <w:t xml:space="preserve">7,243</w:t>
      </w:r>
    </w:p>
    <w:p>
      <w:pPr>
        <w:pStyle w:val="BodyText"/>
      </w:pPr>
      <w:r>
        <w:t xml:space="preserve">11.7%</w:t>
      </w:r>
    </w:p>
    <w:p>
      <w:pPr>
        <w:pStyle w:val="BodyText"/>
      </w:pPr>
      <w:r>
        <w:t xml:space="preserve">5,843</w:t>
      </w:r>
    </w:p>
    <w:p>
      <w:pPr>
        <w:pStyle w:val="BodyText"/>
      </w:pPr>
      <w:r>
        <w:t xml:space="preserve">4,154</w:t>
      </w:r>
    </w:p>
    <w:p>
      <w:pPr>
        <w:pStyle w:val="BodyText"/>
      </w:pPr>
      <w:r>
        <w:t xml:space="preserve">6,585</w:t>
      </w:r>
    </w:p>
    <w:p>
      <w:pPr>
        <w:pStyle w:val="BodyText"/>
      </w:pPr>
      <w:r>
        <w:t xml:space="preserve">(33)%</w:t>
      </w:r>
    </w:p>
    <w:p>
      <w:pPr>
        <w:pStyle w:val="BodyText"/>
      </w:pPr>
      <w:r>
        <w:t xml:space="preserve">(20)%</w:t>
      </w:r>
    </w:p>
    <w:p>
      <w:pPr>
        <w:pStyle w:val="BodyText"/>
      </w:pPr>
      <w:r>
        <w:t xml:space="preserve">(33)%</w:t>
      </w:r>
    </w:p>
    <w:p>
      <w:pPr>
        <w:pStyle w:val="BodyText"/>
      </w:pPr>
      <w:r>
        <w:t xml:space="preserve">(21)%</w:t>
      </w:r>
    </w:p>
    <w:p>
      <w:pPr>
        <w:pStyle w:val="BodyText"/>
      </w:pPr>
      <w:r>
        <w:t xml:space="preserve">62.9% </w:t>
      </w:r>
      <w:r>
        <w:rPr>
          <w:rFonts w:hint="eastAsia"/>
        </w:rPr>
        <w:t xml:space="preserve">(10.4)個百分點</w:t>
      </w:r>
      <w:r>
        <w:t xml:space="preserve"> </w:t>
      </w:r>
      <w:r>
        <w:rPr>
          <w:rFonts w:hint="eastAsia"/>
        </w:rPr>
        <w:t xml:space="preserve">(10.3)個百分點</w:t>
      </w:r>
    </w:p>
    <w:p>
      <w:pPr>
        <w:pStyle w:val="BodyText"/>
      </w:pPr>
      <w:r>
        <w:t xml:space="preserve">8,685</w:t>
      </w:r>
    </w:p>
    <w:p>
      <w:pPr>
        <w:pStyle w:val="BodyText"/>
      </w:pPr>
      <w:r>
        <w:t xml:space="preserve">15.9%</w:t>
      </w:r>
    </w:p>
    <w:p>
      <w:pPr>
        <w:pStyle w:val="BodyText"/>
      </w:pPr>
      <w:r>
        <w:t xml:space="preserve">5,501</w:t>
      </w:r>
    </w:p>
    <w:p>
      <w:pPr>
        <w:pStyle w:val="BodyText"/>
      </w:pPr>
      <w:r>
        <w:t xml:space="preserve">(17)%</w:t>
      </w:r>
    </w:p>
    <w:p>
      <w:pPr>
        <w:pStyle w:val="BodyText"/>
      </w:pPr>
      <w:r>
        <w:t xml:space="preserve">(17)%</w:t>
      </w:r>
    </w:p>
    <w:p>
      <w:pPr>
        <w:pStyle w:val="BodyText"/>
      </w:pPr>
      <w:r>
        <w:rPr>
          <w:rFonts w:hint="eastAsia"/>
        </w:rPr>
        <w:t xml:space="preserve">(4.1)個百分點</w:t>
      </w:r>
      <w:r>
        <w:t xml:space="preserve"> </w:t>
      </w:r>
      <w:r>
        <w:rPr>
          <w:rFonts w:hint="eastAsia"/>
        </w:rPr>
        <w:t xml:space="preserve">(4.2)個百分點</w:t>
      </w:r>
    </w:p>
    <w:p>
      <w:pPr>
        <w:pStyle w:val="BodyText"/>
      </w:pPr>
      <w:r>
        <w:t xml:space="preserve">7%</w:t>
      </w:r>
    </w:p>
    <w:p>
      <w:pPr>
        <w:pStyle w:val="BodyText"/>
      </w:pPr>
      <w:r>
        <w:t xml:space="preserve">6%</w:t>
      </w:r>
    </w:p>
    <w:p>
      <w:pPr>
        <w:pStyle w:val="Compact"/>
        <w:numPr>
          <w:ilvl w:val="0"/>
          <w:numId w:val="1632"/>
        </w:numPr>
      </w:pPr>
      <w:r>
        <w:rPr>
          <w:rFonts w:hint="eastAsia"/>
        </w:rPr>
        <w:t xml:space="preserve">結果已經反映為符合合併準備金及資本要求所作之調整及未來除稅後未分配集團總部開支的現值。</w:t>
      </w:r>
    </w:p>
    <w:p>
      <w:pPr>
        <w:pStyle w:val="FirstParagraph"/>
      </w:pPr>
      <w:r>
        <w:t xml:space="preserve">270</w:t>
      </w:r>
    </w:p>
    <w:p>
      <w:pPr>
        <w:pStyle w:val="BodyText"/>
      </w:pPr>
      <w:r>
        <w:rPr>
          <w:rFonts w:hint="eastAsia"/>
        </w:rPr>
        <w:t xml:space="preserve">友邦保險控股有限公司</w:t>
      </w:r>
    </w:p>
    <w:p>
      <w:pPr>
        <w:pStyle w:val="Compact"/>
        <w:numPr>
          <w:ilvl w:val="0"/>
          <w:numId w:val="1633"/>
        </w:numPr>
      </w:pPr>
      <w:r>
        <w:rPr>
          <w:rFonts w:hint="eastAsia"/>
        </w:rPr>
        <w:t xml:space="preserve">內涵價值結果</w:t>
      </w:r>
    </w:p>
    <w:p>
      <w:pPr>
        <w:pStyle w:val="FirstParagraph"/>
      </w:pPr>
      <w:r>
        <w:t xml:space="preserve">2.1 </w:t>
      </w:r>
      <w:r>
        <w:rPr>
          <w:rFonts w:hint="eastAsia"/>
        </w:rPr>
        <w:t xml:space="preserve">按業務單位劃分的內涵價值</w:t>
      </w:r>
    </w:p>
    <w:p>
      <w:pPr>
        <w:pStyle w:val="BodyText"/>
      </w:pPr>
      <w:r>
        <w:rPr>
          <w:rFonts w:hint="eastAsia"/>
        </w:rPr>
        <w:t xml:space="preserve">於2020年12月31日的內涵價值呈列與按國際財務報告準則所編製的合併財務報表中的分部資料一致。</w:t>
      </w:r>
    </w:p>
    <w:p>
      <w:pPr>
        <w:pStyle w:val="BodyText"/>
      </w:pPr>
      <w:r>
        <w:rPr>
          <w:rFonts w:hint="eastAsia"/>
        </w:rPr>
        <w:t xml:space="preserve">按業務單位劃分的內涵價值概要（百萬美元）</w:t>
      </w:r>
    </w:p>
    <w:p>
      <w:pPr>
        <w:pStyle w:val="BodyText"/>
      </w:pPr>
      <w:r>
        <w:rPr>
          <w:rFonts w:hint="eastAsia"/>
        </w:rPr>
        <w:t xml:space="preserve">業務單位</w:t>
      </w:r>
    </w:p>
    <w:p>
      <w:pPr>
        <w:pStyle w:val="BodyText"/>
      </w:pPr>
      <w:r>
        <w:rPr>
          <w:rFonts w:hint="eastAsia"/>
        </w:rPr>
        <w:t xml:space="preserve">AIA香港</w:t>
      </w:r>
    </w:p>
    <w:p>
      <w:pPr>
        <w:pStyle w:val="BodyText"/>
      </w:pPr>
      <w:r>
        <w:rPr>
          <w:rFonts w:hint="eastAsia"/>
        </w:rPr>
        <w:t xml:space="preserve">AIA泰國</w:t>
      </w:r>
    </w:p>
    <w:p>
      <w:pPr>
        <w:pStyle w:val="BodyText"/>
      </w:pPr>
      <w:r>
        <w:rPr>
          <w:rFonts w:hint="eastAsia"/>
        </w:rPr>
        <w:t xml:space="preserve">AIA新加坡</w:t>
      </w:r>
    </w:p>
    <w:p>
      <w:pPr>
        <w:pStyle w:val="BodyText"/>
      </w:pPr>
      <w:r>
        <w:rPr>
          <w:rFonts w:hint="eastAsia"/>
        </w:rPr>
        <w:t xml:space="preserve">AIA馬來西亞</w:t>
      </w:r>
    </w:p>
    <w:p>
      <w:pPr>
        <w:pStyle w:val="BodyText"/>
      </w:pPr>
      <w:r>
        <w:rPr>
          <w:rFonts w:hint="eastAsia"/>
        </w:rPr>
        <w:t xml:space="preserve">AIA中國</w:t>
      </w:r>
    </w:p>
    <w:p>
      <w:pPr>
        <w:pStyle w:val="BodyText"/>
      </w:pPr>
      <w:r>
        <w:rPr>
          <w:rFonts w:hint="eastAsia"/>
        </w:rPr>
        <w:t xml:space="preserve">其他市場</w:t>
      </w:r>
    </w:p>
    <w:p>
      <w:pPr>
        <w:pStyle w:val="BodyText"/>
      </w:pPr>
      <w:r>
        <w:rPr>
          <w:rFonts w:hint="eastAsia"/>
        </w:rPr>
        <w:t xml:space="preserve">集團企業中心</w:t>
      </w:r>
    </w:p>
    <w:p>
      <w:pPr>
        <w:pStyle w:val="BodyText"/>
      </w:pPr>
      <w:r>
        <w:rPr>
          <w:rFonts w:hint="eastAsia"/>
        </w:rPr>
        <w:t xml:space="preserve">小計</w:t>
      </w:r>
    </w:p>
    <w:p>
      <w:pPr>
        <w:pStyle w:val="BodyText"/>
      </w:pPr>
      <w:r>
        <w:rPr>
          <w:rFonts w:hint="eastAsia"/>
        </w:rPr>
        <w:t xml:space="preserve">為符合合併準備金及資本要求所作調整(3)</w:t>
      </w:r>
    </w:p>
    <w:p>
      <w:pPr>
        <w:pStyle w:val="BodyText"/>
      </w:pPr>
      <w:r>
        <w:rPr>
          <w:rFonts w:hint="eastAsia"/>
        </w:rPr>
        <w:t xml:space="preserve">未分配集團總部開支的稅後價值</w:t>
      </w:r>
    </w:p>
    <w:p>
      <w:pPr>
        <w:pStyle w:val="BodyText"/>
      </w:pPr>
      <w:r>
        <w:rPr>
          <w:rFonts w:hint="eastAsia"/>
        </w:rPr>
        <w:t xml:space="preserve">總計（未計非控股權益）</w:t>
      </w:r>
    </w:p>
    <w:p>
      <w:pPr>
        <w:pStyle w:val="BodyText"/>
      </w:pPr>
      <w:r>
        <w:rPr>
          <w:rFonts w:hint="eastAsia"/>
        </w:rPr>
        <w:t xml:space="preserve">非控股權益</w:t>
      </w:r>
    </w:p>
    <w:p>
      <w:pPr>
        <w:pStyle w:val="BodyText"/>
      </w:pPr>
      <w:r>
        <w:rPr>
          <w:rFonts w:hint="eastAsia"/>
        </w:rPr>
        <w:t xml:space="preserve">總計</w:t>
      </w:r>
    </w:p>
    <w:p>
      <w:pPr>
        <w:pStyle w:val="BodyText"/>
      </w:pPr>
      <w:r>
        <w:rPr>
          <w:rFonts w:hint="eastAsia"/>
        </w:rPr>
        <w:t xml:space="preserve">業務單位</w:t>
      </w:r>
    </w:p>
    <w:p>
      <w:pPr>
        <w:pStyle w:val="BodyText"/>
      </w:pPr>
      <w:r>
        <w:rPr>
          <w:rFonts w:hint="eastAsia"/>
        </w:rPr>
        <w:t xml:space="preserve">AIA香港</w:t>
      </w:r>
    </w:p>
    <w:p>
      <w:pPr>
        <w:pStyle w:val="BodyText"/>
      </w:pPr>
      <w:r>
        <w:rPr>
          <w:rFonts w:hint="eastAsia"/>
        </w:rPr>
        <w:t xml:space="preserve">AIA泰國</w:t>
      </w:r>
    </w:p>
    <w:p>
      <w:pPr>
        <w:pStyle w:val="BodyText"/>
      </w:pPr>
      <w:r>
        <w:rPr>
          <w:rFonts w:hint="eastAsia"/>
        </w:rPr>
        <w:t xml:space="preserve">AIA新加坡</w:t>
      </w:r>
    </w:p>
    <w:p>
      <w:pPr>
        <w:pStyle w:val="BodyText"/>
      </w:pPr>
      <w:r>
        <w:rPr>
          <w:rFonts w:hint="eastAsia"/>
        </w:rPr>
        <w:t xml:space="preserve">AIA馬來西亞</w:t>
      </w:r>
    </w:p>
    <w:p>
      <w:pPr>
        <w:pStyle w:val="BodyText"/>
      </w:pPr>
      <w:r>
        <w:rPr>
          <w:rFonts w:hint="eastAsia"/>
        </w:rPr>
        <w:t xml:space="preserve">AIA中國</w:t>
      </w:r>
    </w:p>
    <w:p>
      <w:pPr>
        <w:pStyle w:val="BodyText"/>
      </w:pPr>
      <w:r>
        <w:rPr>
          <w:rFonts w:hint="eastAsia"/>
        </w:rPr>
        <w:t xml:space="preserve">其他市場</w:t>
      </w:r>
    </w:p>
    <w:p>
      <w:pPr>
        <w:pStyle w:val="BodyText"/>
      </w:pPr>
      <w:r>
        <w:rPr>
          <w:rFonts w:hint="eastAsia"/>
        </w:rPr>
        <w:t xml:space="preserve">集團企業中心</w:t>
      </w:r>
    </w:p>
    <w:p>
      <w:pPr>
        <w:pStyle w:val="BodyText"/>
      </w:pPr>
      <w:r>
        <w:rPr>
          <w:rFonts w:hint="eastAsia"/>
        </w:rPr>
        <w:t xml:space="preserve">小計</w:t>
      </w:r>
    </w:p>
    <w:p>
      <w:pPr>
        <w:pStyle w:val="BodyText"/>
      </w:pPr>
      <w:r>
        <w:rPr>
          <w:rFonts w:hint="eastAsia"/>
        </w:rPr>
        <w:t xml:space="preserve">為符合合併準備金及資本要求所作調整(3)</w:t>
      </w:r>
    </w:p>
    <w:p>
      <w:pPr>
        <w:pStyle w:val="BodyText"/>
      </w:pPr>
      <w:r>
        <w:rPr>
          <w:rFonts w:hint="eastAsia"/>
        </w:rPr>
        <w:t xml:space="preserve">未分配集團總部開支的稅後價值</w:t>
      </w:r>
    </w:p>
    <w:p>
      <w:pPr>
        <w:pStyle w:val="BodyText"/>
      </w:pPr>
      <w:r>
        <w:rPr>
          <w:rFonts w:hint="eastAsia"/>
        </w:rPr>
        <w:t xml:space="preserve">總計（未計非控股權益）</w:t>
      </w:r>
    </w:p>
    <w:p>
      <w:pPr>
        <w:pStyle w:val="BodyText"/>
      </w:pPr>
      <w:r>
        <w:rPr>
          <w:rFonts w:hint="eastAsia"/>
        </w:rPr>
        <w:t xml:space="preserve">非控股權益</w:t>
      </w:r>
    </w:p>
    <w:p>
      <w:pPr>
        <w:pStyle w:val="BodyText"/>
      </w:pPr>
      <w:r>
        <w:rPr>
          <w:rFonts w:hint="eastAsia"/>
        </w:rPr>
        <w:t xml:space="preserve">總計</w:t>
      </w:r>
    </w:p>
    <w:p>
      <w:pPr>
        <w:pStyle w:val="BodyText"/>
      </w:pPr>
      <w:r>
        <w:rPr>
          <w:rFonts w:hint="eastAsia"/>
        </w:rPr>
        <w:t xml:space="preserve">附註：</w:t>
      </w:r>
    </w:p>
    <w:p>
      <w:pPr>
        <w:pStyle w:val="BodyText"/>
      </w:pPr>
      <w:r>
        <w:rPr>
          <w:rFonts w:hint="eastAsia"/>
        </w:rPr>
        <w:t xml:space="preserve">於2020年12月31日</w:t>
      </w:r>
    </w:p>
    <w:p>
      <w:pPr>
        <w:pStyle w:val="BodyText"/>
      </w:pPr>
      <w:r>
        <w:rPr>
          <w:rFonts w:hint="eastAsia"/>
        </w:rPr>
        <w:t xml:space="preserve">經調整</w:t>
      </w:r>
      <w:r>
        <w:br/>
      </w:r>
      <w:r>
        <w:rPr>
          <w:rFonts w:hint="eastAsia"/>
        </w:rPr>
        <w:t xml:space="preserve">資產淨值(2)</w:t>
      </w:r>
    </w:p>
    <w:p>
      <w:pPr>
        <w:pStyle w:val="BodyText"/>
      </w:pPr>
      <w:r>
        <w:rPr>
          <w:rFonts w:hint="eastAsia"/>
        </w:rPr>
        <w:t xml:space="preserve">未計所需資本</w:t>
      </w:r>
      <w:r>
        <w:br/>
      </w:r>
      <w:r>
        <w:rPr>
          <w:rFonts w:hint="eastAsia"/>
        </w:rPr>
        <w:t xml:space="preserve">成本的有效</w:t>
      </w:r>
      <w:r>
        <w:br/>
      </w:r>
      <w:r>
        <w:rPr>
          <w:rFonts w:hint="eastAsia"/>
        </w:rPr>
        <w:t xml:space="preserve">保單業務價值</w:t>
      </w:r>
    </w:p>
    <w:p>
      <w:pPr>
        <w:pStyle w:val="BodyText"/>
      </w:pPr>
      <w:r>
        <w:rPr>
          <w:rFonts w:hint="eastAsia"/>
        </w:rPr>
        <w:t xml:space="preserve">所需資本</w:t>
      </w:r>
      <w:r>
        <w:br/>
      </w:r>
      <w:r>
        <w:rPr>
          <w:rFonts w:hint="eastAsia"/>
        </w:rPr>
        <w:t xml:space="preserve">成本</w:t>
      </w:r>
    </w:p>
    <w:p>
      <w:pPr>
        <w:pStyle w:val="BodyText"/>
      </w:pPr>
      <w:r>
        <w:rPr>
          <w:rFonts w:hint="eastAsia"/>
        </w:rPr>
        <w:t xml:space="preserve">扣除所需資本</w:t>
      </w:r>
      <w:r>
        <w:br/>
      </w:r>
      <w:r>
        <w:rPr>
          <w:rFonts w:hint="eastAsia"/>
        </w:rPr>
        <w:t xml:space="preserve">成本後的有效</w:t>
      </w:r>
      <w:r>
        <w:br/>
      </w:r>
      <w:r>
        <w:rPr>
          <w:rFonts w:hint="eastAsia"/>
        </w:rPr>
        <w:t xml:space="preserve">保單業務價值</w:t>
      </w:r>
    </w:p>
    <w:p>
      <w:pPr>
        <w:pStyle w:val="BodyText"/>
      </w:pPr>
      <w:r>
        <w:rPr>
          <w:rFonts w:hint="eastAsia"/>
        </w:rPr>
        <w:t xml:space="preserve">內涵價值</w:t>
      </w:r>
    </w:p>
    <w:p>
      <w:pPr>
        <w:pStyle w:val="BodyText"/>
      </w:pPr>
      <w:r>
        <w:t xml:space="preserve">7,735</w:t>
      </w:r>
    </w:p>
    <w:p>
      <w:pPr>
        <w:pStyle w:val="BodyText"/>
      </w:pPr>
      <w:r>
        <w:t xml:space="preserve">3,008</w:t>
      </w:r>
    </w:p>
    <w:p>
      <w:pPr>
        <w:pStyle w:val="BodyText"/>
      </w:pPr>
      <w:r>
        <w:t xml:space="preserve">2,984</w:t>
      </w:r>
    </w:p>
    <w:p>
      <w:pPr>
        <w:pStyle w:val="BodyText"/>
      </w:pPr>
      <w:r>
        <w:t xml:space="preserve">1,293</w:t>
      </w:r>
    </w:p>
    <w:p>
      <w:pPr>
        <w:pStyle w:val="BodyText"/>
      </w:pPr>
      <w:r>
        <w:t xml:space="preserve">3,439</w:t>
      </w:r>
    </w:p>
    <w:p>
      <w:pPr>
        <w:pStyle w:val="BodyText"/>
      </w:pPr>
      <w:r>
        <w:t xml:space="preserve">5,983</w:t>
      </w:r>
    </w:p>
    <w:p>
      <w:pPr>
        <w:pStyle w:val="BodyText"/>
      </w:pPr>
      <w:r>
        <w:t xml:space="preserve">11,472</w:t>
      </w:r>
    </w:p>
    <w:p>
      <w:pPr>
        <w:pStyle w:val="BodyText"/>
      </w:pPr>
      <w:r>
        <w:t xml:space="preserve">35,914</w:t>
      </w:r>
    </w:p>
    <w:p>
      <w:pPr>
        <w:pStyle w:val="BodyText"/>
      </w:pPr>
      <w:r>
        <w:t xml:space="preserve">(7,064)</w:t>
      </w:r>
    </w:p>
    <w:p>
      <w:pPr>
        <w:pStyle w:val="BodyText"/>
      </w:pPr>
      <w:r>
        <w:t xml:space="preserve">–</w:t>
      </w:r>
    </w:p>
    <w:p>
      <w:pPr>
        <w:pStyle w:val="BodyText"/>
      </w:pPr>
      <w:r>
        <w:t xml:space="preserve">28,850</w:t>
      </w:r>
    </w:p>
    <w:p>
      <w:pPr>
        <w:pStyle w:val="FirstParagraph"/>
      </w:pPr>
      <w:r>
        <w:t xml:space="preserve">28,503</w:t>
      </w:r>
    </w:p>
    <w:p>
      <w:pPr>
        <w:pStyle w:val="BodyText"/>
      </w:pPr>
      <w:r>
        <w:t xml:space="preserve">17,319</w:t>
      </w:r>
    </w:p>
    <w:p>
      <w:pPr>
        <w:pStyle w:val="BodyText"/>
      </w:pPr>
      <w:r>
        <w:t xml:space="preserve">5,145</w:t>
      </w:r>
    </w:p>
    <w:p>
      <w:pPr>
        <w:pStyle w:val="BodyText"/>
      </w:pPr>
      <w:r>
        <w:t xml:space="preserve">4,416</w:t>
      </w:r>
    </w:p>
    <w:p>
      <w:pPr>
        <w:pStyle w:val="BodyText"/>
      </w:pPr>
      <w:r>
        <w:t xml:space="preserve">2,084</w:t>
      </w:r>
    </w:p>
    <w:p>
      <w:pPr>
        <w:pStyle w:val="BodyText"/>
      </w:pPr>
      <w:r>
        <w:t xml:space="preserve">8,409</w:t>
      </w:r>
    </w:p>
    <w:p>
      <w:pPr>
        <w:pStyle w:val="BodyText"/>
      </w:pPr>
      <w:r>
        <w:t xml:space="preserve">5,018</w:t>
      </w:r>
    </w:p>
    <w:p>
      <w:pPr>
        <w:pStyle w:val="FirstParagraph"/>
      </w:pPr>
      <w:r>
        <w:t xml:space="preserve">42,391</w:t>
      </w:r>
    </w:p>
    <w:p>
      <w:pPr>
        <w:pStyle w:val="BodyText"/>
      </w:pPr>
      <w:r>
        <w:t xml:space="preserve">3,115</w:t>
      </w:r>
    </w:p>
    <w:p>
      <w:pPr>
        <w:pStyle w:val="BodyText"/>
      </w:pPr>
      <w:r>
        <w:t xml:space="preserve">(1,138)</w:t>
      </w:r>
    </w:p>
    <w:p>
      <w:pPr>
        <w:pStyle w:val="BodyText"/>
      </w:pPr>
      <w:r>
        <w:t xml:space="preserve">44,368</w:t>
      </w:r>
    </w:p>
    <w:p>
      <w:pPr>
        <w:pStyle w:val="FirstParagraph"/>
      </w:pPr>
      <w:r>
        <w:t xml:space="preserve">44,195</w:t>
      </w:r>
    </w:p>
    <w:p>
      <w:pPr>
        <w:pStyle w:val="BodyText"/>
      </w:pPr>
      <w:r>
        <w:t xml:space="preserve">2,159</w:t>
      </w:r>
    </w:p>
    <w:p>
      <w:pPr>
        <w:pStyle w:val="BodyText"/>
      </w:pPr>
      <w:r>
        <w:t xml:space="preserve">1,096</w:t>
      </w:r>
    </w:p>
    <w:p>
      <w:pPr>
        <w:pStyle w:val="BodyText"/>
      </w:pPr>
      <w:r>
        <w:t xml:space="preserve">814</w:t>
      </w:r>
    </w:p>
    <w:p>
      <w:pPr>
        <w:pStyle w:val="BodyText"/>
      </w:pPr>
      <w:r>
        <w:t xml:space="preserve">233</w:t>
      </w:r>
    </w:p>
    <w:p>
      <w:pPr>
        <w:pStyle w:val="BodyText"/>
      </w:pPr>
      <w:r>
        <w:t xml:space="preserve">4</w:t>
      </w:r>
    </w:p>
    <w:p>
      <w:pPr>
        <w:pStyle w:val="BodyText"/>
      </w:pPr>
      <w:r>
        <w:t xml:space="preserve">1,561</w:t>
      </w:r>
    </w:p>
    <w:p>
      <w:pPr>
        <w:pStyle w:val="FirstParagraph"/>
      </w:pPr>
      <w:r>
        <w:t xml:space="preserve">5,867</w:t>
      </w:r>
    </w:p>
    <w:p>
      <w:pPr>
        <w:pStyle w:val="BodyText"/>
      </w:pPr>
      <w:r>
        <w:t xml:space="preserve">1,596</w:t>
      </w:r>
    </w:p>
    <w:p>
      <w:pPr>
        <w:pStyle w:val="FirstParagraph"/>
      </w:pPr>
      <w:r>
        <w:t xml:space="preserve">7,463</w:t>
      </w:r>
    </w:p>
    <w:p>
      <w:pPr>
        <w:pStyle w:val="FirstParagraph"/>
      </w:pPr>
      <w:r>
        <w:t xml:space="preserve">7,451</w:t>
      </w:r>
    </w:p>
    <w:p>
      <w:pPr>
        <w:pStyle w:val="BodyText"/>
      </w:pPr>
      <w:r>
        <w:t xml:space="preserve">15,160</w:t>
      </w:r>
    </w:p>
    <w:p>
      <w:pPr>
        <w:pStyle w:val="BodyText"/>
      </w:pPr>
      <w:r>
        <w:t xml:space="preserve">22,895</w:t>
      </w:r>
    </w:p>
    <w:p>
      <w:pPr>
        <w:pStyle w:val="BodyText"/>
      </w:pPr>
      <w:r>
        <w:t xml:space="preserve">4,049</w:t>
      </w:r>
    </w:p>
    <w:p>
      <w:pPr>
        <w:pStyle w:val="BodyText"/>
      </w:pPr>
      <w:r>
        <w:t xml:space="preserve">3,602</w:t>
      </w:r>
    </w:p>
    <w:p>
      <w:pPr>
        <w:pStyle w:val="BodyText"/>
      </w:pPr>
      <w:r>
        <w:t xml:space="preserve">1,851</w:t>
      </w:r>
    </w:p>
    <w:p>
      <w:pPr>
        <w:pStyle w:val="BodyText"/>
      </w:pPr>
      <w:r>
        <w:t xml:space="preserve">8,405</w:t>
      </w:r>
    </w:p>
    <w:p>
      <w:pPr>
        <w:pStyle w:val="BodyText"/>
      </w:pPr>
      <w:r>
        <w:t xml:space="preserve">3,457</w:t>
      </w:r>
    </w:p>
    <w:p>
      <w:pPr>
        <w:pStyle w:val="FirstParagraph"/>
      </w:pPr>
      <w:r>
        <w:t xml:space="preserve">36,524</w:t>
      </w:r>
    </w:p>
    <w:p>
      <w:pPr>
        <w:pStyle w:val="BodyText"/>
      </w:pPr>
      <w:r>
        <w:t xml:space="preserve">1,519</w:t>
      </w:r>
    </w:p>
    <w:p>
      <w:pPr>
        <w:pStyle w:val="BodyText"/>
      </w:pPr>
      <w:r>
        <w:t xml:space="preserve">(1,138)</w:t>
      </w:r>
    </w:p>
    <w:p>
      <w:pPr>
        <w:pStyle w:val="BodyText"/>
      </w:pPr>
      <w:r>
        <w:t xml:space="preserve">36,905</w:t>
      </w:r>
    </w:p>
    <w:p>
      <w:pPr>
        <w:pStyle w:val="FirstParagraph"/>
      </w:pPr>
      <w:r>
        <w:t xml:space="preserve">36,744</w:t>
      </w:r>
    </w:p>
    <w:p>
      <w:pPr>
        <w:pStyle w:val="BodyText"/>
      </w:pPr>
      <w:r>
        <w:t xml:space="preserve">7,057</w:t>
      </w:r>
    </w:p>
    <w:p>
      <w:pPr>
        <w:pStyle w:val="BodyText"/>
      </w:pPr>
      <w:r>
        <w:t xml:space="preserve">6,586</w:t>
      </w:r>
    </w:p>
    <w:p>
      <w:pPr>
        <w:pStyle w:val="BodyText"/>
      </w:pPr>
      <w:r>
        <w:t xml:space="preserve">3,144</w:t>
      </w:r>
    </w:p>
    <w:p>
      <w:pPr>
        <w:pStyle w:val="BodyText"/>
      </w:pPr>
      <w:r>
        <w:t xml:space="preserve">11,844</w:t>
      </w:r>
    </w:p>
    <w:p>
      <w:pPr>
        <w:pStyle w:val="BodyText"/>
      </w:pPr>
      <w:r>
        <w:t xml:space="preserve">9,440</w:t>
      </w:r>
    </w:p>
    <w:p>
      <w:pPr>
        <w:pStyle w:val="BodyText"/>
      </w:pPr>
      <w:r>
        <w:t xml:space="preserve">11,472</w:t>
      </w:r>
    </w:p>
    <w:p>
      <w:pPr>
        <w:pStyle w:val="BodyText"/>
      </w:pPr>
      <w:r>
        <w:t xml:space="preserve">72,438</w:t>
      </w:r>
    </w:p>
    <w:p>
      <w:pPr>
        <w:pStyle w:val="BodyText"/>
      </w:pPr>
      <w:r>
        <w:t xml:space="preserve">(5,545)</w:t>
      </w:r>
    </w:p>
    <w:p>
      <w:pPr>
        <w:pStyle w:val="BodyText"/>
      </w:pPr>
      <w:r>
        <w:t xml:space="preserve">(1,138)</w:t>
      </w:r>
    </w:p>
    <w:p>
      <w:pPr>
        <w:pStyle w:val="BodyText"/>
      </w:pPr>
      <w:r>
        <w:t xml:space="preserve">65,755</w:t>
      </w:r>
    </w:p>
    <w:p>
      <w:pPr>
        <w:pStyle w:val="FirstParagraph"/>
      </w:pPr>
      <w:r>
        <w:t xml:space="preserve">65,247</w:t>
      </w:r>
    </w:p>
    <w:p>
      <w:pPr>
        <w:pStyle w:val="BodyText"/>
      </w:pPr>
      <w:r>
        <w:rPr>
          <w:rFonts w:hint="eastAsia"/>
        </w:rPr>
        <w:t xml:space="preserve">於2019年12月31日（經調整）(1)</w:t>
      </w:r>
    </w:p>
    <w:p>
      <w:pPr>
        <w:pStyle w:val="BodyText"/>
      </w:pPr>
      <w:r>
        <w:rPr>
          <w:rFonts w:hint="eastAsia"/>
        </w:rPr>
        <w:t xml:space="preserve">經調整</w:t>
      </w:r>
      <w:r>
        <w:br/>
      </w:r>
      <w:r>
        <w:rPr>
          <w:rFonts w:hint="eastAsia"/>
        </w:rPr>
        <w:t xml:space="preserve">資產淨值(2)</w:t>
      </w:r>
    </w:p>
    <w:p>
      <w:pPr>
        <w:pStyle w:val="BodyText"/>
      </w:pPr>
      <w:r>
        <w:rPr>
          <w:rFonts w:hint="eastAsia"/>
        </w:rPr>
        <w:t xml:space="preserve">未計所需資本</w:t>
      </w:r>
      <w:r>
        <w:br/>
      </w:r>
      <w:r>
        <w:rPr>
          <w:rFonts w:hint="eastAsia"/>
        </w:rPr>
        <w:t xml:space="preserve">成本的有效</w:t>
      </w:r>
      <w:r>
        <w:br/>
      </w:r>
      <w:r>
        <w:rPr>
          <w:rFonts w:hint="eastAsia"/>
        </w:rPr>
        <w:t xml:space="preserve">保單業務價值</w:t>
      </w:r>
    </w:p>
    <w:p>
      <w:pPr>
        <w:pStyle w:val="BodyText"/>
      </w:pPr>
      <w:r>
        <w:rPr>
          <w:rFonts w:hint="eastAsia"/>
        </w:rPr>
        <w:t xml:space="preserve">所需資本</w:t>
      </w:r>
      <w:r>
        <w:br/>
      </w:r>
      <w:r>
        <w:rPr>
          <w:rFonts w:hint="eastAsia"/>
        </w:rPr>
        <w:t xml:space="preserve">成本</w:t>
      </w:r>
    </w:p>
    <w:p>
      <w:pPr>
        <w:pStyle w:val="BodyText"/>
      </w:pPr>
      <w:r>
        <w:rPr>
          <w:rFonts w:hint="eastAsia"/>
        </w:rPr>
        <w:t xml:space="preserve">扣除所需資本</w:t>
      </w:r>
      <w:r>
        <w:br/>
      </w:r>
      <w:r>
        <w:rPr>
          <w:rFonts w:hint="eastAsia"/>
        </w:rPr>
        <w:t xml:space="preserve">成本後的有效</w:t>
      </w:r>
      <w:r>
        <w:br/>
      </w:r>
      <w:r>
        <w:rPr>
          <w:rFonts w:hint="eastAsia"/>
        </w:rPr>
        <w:t xml:space="preserve">保單業務價值</w:t>
      </w:r>
    </w:p>
    <w:p>
      <w:pPr>
        <w:pStyle w:val="BodyText"/>
      </w:pPr>
      <w:r>
        <w:rPr>
          <w:rFonts w:hint="eastAsia"/>
        </w:rPr>
        <w:t xml:space="preserve">內涵價值</w:t>
      </w:r>
    </w:p>
    <w:p>
      <w:pPr>
        <w:pStyle w:val="BodyText"/>
      </w:pPr>
      <w:r>
        <w:t xml:space="preserve">8,372</w:t>
      </w:r>
    </w:p>
    <w:p>
      <w:pPr>
        <w:pStyle w:val="BodyText"/>
      </w:pPr>
      <w:r>
        <w:t xml:space="preserve">4,802</w:t>
      </w:r>
    </w:p>
    <w:p>
      <w:pPr>
        <w:pStyle w:val="BodyText"/>
      </w:pPr>
      <w:r>
        <w:t xml:space="preserve">2,805</w:t>
      </w:r>
    </w:p>
    <w:p>
      <w:pPr>
        <w:pStyle w:val="BodyText"/>
      </w:pPr>
      <w:r>
        <w:t xml:space="preserve">1,211</w:t>
      </w:r>
    </w:p>
    <w:p>
      <w:pPr>
        <w:pStyle w:val="BodyText"/>
      </w:pPr>
      <w:r>
        <w:t xml:space="preserve">3,074</w:t>
      </w:r>
    </w:p>
    <w:p>
      <w:pPr>
        <w:pStyle w:val="BodyText"/>
      </w:pPr>
      <w:r>
        <w:t xml:space="preserve">5,949</w:t>
      </w:r>
    </w:p>
    <w:p>
      <w:pPr>
        <w:pStyle w:val="BodyText"/>
      </w:pPr>
      <w:r>
        <w:t xml:space="preserve">9,291</w:t>
      </w:r>
    </w:p>
    <w:p>
      <w:pPr>
        <w:pStyle w:val="BodyText"/>
      </w:pPr>
      <w:r>
        <w:t xml:space="preserve">35,504</w:t>
      </w:r>
    </w:p>
    <w:p>
      <w:pPr>
        <w:pStyle w:val="BodyText"/>
      </w:pPr>
      <w:r>
        <w:t xml:space="preserve">(6,905)</w:t>
      </w:r>
    </w:p>
    <w:p>
      <w:pPr>
        <w:pStyle w:val="BodyText"/>
      </w:pPr>
      <w:r>
        <w:t xml:space="preserve">–</w:t>
      </w:r>
    </w:p>
    <w:p>
      <w:pPr>
        <w:pStyle w:val="BodyText"/>
      </w:pPr>
      <w:r>
        <w:t xml:space="preserve">28,599</w:t>
      </w:r>
    </w:p>
    <w:p>
      <w:pPr>
        <w:pStyle w:val="FirstParagraph"/>
      </w:pPr>
      <w:r>
        <w:t xml:space="preserve">28,241</w:t>
      </w:r>
    </w:p>
    <w:p>
      <w:pPr>
        <w:pStyle w:val="BodyText"/>
      </w:pPr>
      <w:r>
        <w:t xml:space="preserve">15,059</w:t>
      </w:r>
    </w:p>
    <w:p>
      <w:pPr>
        <w:pStyle w:val="BodyText"/>
      </w:pPr>
      <w:r>
        <w:t xml:space="preserve">5,583</w:t>
      </w:r>
    </w:p>
    <w:p>
      <w:pPr>
        <w:pStyle w:val="BodyText"/>
      </w:pPr>
      <w:r>
        <w:t xml:space="preserve">4,360</w:t>
      </w:r>
    </w:p>
    <w:p>
      <w:pPr>
        <w:pStyle w:val="BodyText"/>
      </w:pPr>
      <w:r>
        <w:t xml:space="preserve">1,946</w:t>
      </w:r>
    </w:p>
    <w:p>
      <w:pPr>
        <w:pStyle w:val="BodyText"/>
      </w:pPr>
      <w:r>
        <w:t xml:space="preserve">6,968</w:t>
      </w:r>
    </w:p>
    <w:p>
      <w:pPr>
        <w:pStyle w:val="BodyText"/>
      </w:pPr>
      <w:r>
        <w:t xml:space="preserve">4,708</w:t>
      </w:r>
    </w:p>
    <w:p>
      <w:pPr>
        <w:pStyle w:val="BodyText"/>
      </w:pPr>
      <w:r>
        <w:t xml:space="preserve">–</w:t>
      </w:r>
    </w:p>
    <w:p>
      <w:pPr>
        <w:pStyle w:val="BodyText"/>
      </w:pPr>
      <w:r>
        <w:t xml:space="preserve">38,624</w:t>
      </w:r>
    </w:p>
    <w:p>
      <w:pPr>
        <w:pStyle w:val="BodyText"/>
      </w:pPr>
      <w:r>
        <w:t xml:space="preserve">3,180</w:t>
      </w:r>
    </w:p>
    <w:p>
      <w:pPr>
        <w:pStyle w:val="BodyText"/>
      </w:pPr>
      <w:r>
        <w:t xml:space="preserve">(1,067)</w:t>
      </w:r>
    </w:p>
    <w:p>
      <w:pPr>
        <w:pStyle w:val="BodyText"/>
      </w:pPr>
      <w:r>
        <w:t xml:space="preserve">40,737</w:t>
      </w:r>
    </w:p>
    <w:p>
      <w:pPr>
        <w:pStyle w:val="FirstParagraph"/>
      </w:pPr>
      <w:r>
        <w:t xml:space="preserve">40,573</w:t>
      </w:r>
    </w:p>
    <w:p>
      <w:pPr>
        <w:pStyle w:val="BodyText"/>
      </w:pPr>
      <w:r>
        <w:t xml:space="preserve">1,534</w:t>
      </w:r>
    </w:p>
    <w:p>
      <w:pPr>
        <w:pStyle w:val="BodyText"/>
      </w:pPr>
      <w:r>
        <w:t xml:space="preserve">1,365</w:t>
      </w:r>
    </w:p>
    <w:p>
      <w:pPr>
        <w:pStyle w:val="BodyText"/>
      </w:pPr>
      <w:r>
        <w:t xml:space="preserve">831</w:t>
      </w:r>
    </w:p>
    <w:p>
      <w:pPr>
        <w:pStyle w:val="BodyText"/>
      </w:pPr>
      <w:r>
        <w:t xml:space="preserve">215</w:t>
      </w:r>
    </w:p>
    <w:p>
      <w:pPr>
        <w:pStyle w:val="BodyText"/>
      </w:pPr>
      <w:r>
        <w:t xml:space="preserve">–</w:t>
      </w:r>
    </w:p>
    <w:p>
      <w:pPr>
        <w:pStyle w:val="BodyText"/>
      </w:pPr>
      <w:r>
        <w:t xml:space="preserve">1,309</w:t>
      </w:r>
    </w:p>
    <w:p>
      <w:pPr>
        <w:pStyle w:val="BodyText"/>
      </w:pPr>
      <w:r>
        <w:t xml:space="preserve">–</w:t>
      </w:r>
    </w:p>
    <w:p>
      <w:pPr>
        <w:pStyle w:val="BodyText"/>
      </w:pPr>
      <w:r>
        <w:t xml:space="preserve">5,254</w:t>
      </w:r>
    </w:p>
    <w:p>
      <w:pPr>
        <w:pStyle w:val="BodyText"/>
      </w:pPr>
      <w:r>
        <w:t xml:space="preserve">1,583</w:t>
      </w:r>
    </w:p>
    <w:p>
      <w:pPr>
        <w:pStyle w:val="BodyText"/>
      </w:pPr>
      <w:r>
        <w:t xml:space="preserve">–</w:t>
      </w:r>
    </w:p>
    <w:p>
      <w:pPr>
        <w:pStyle w:val="BodyText"/>
      </w:pPr>
      <w:r>
        <w:t xml:space="preserve">6,837</w:t>
      </w:r>
    </w:p>
    <w:p>
      <w:pPr>
        <w:pStyle w:val="FirstParagraph"/>
      </w:pPr>
      <w:r>
        <w:t xml:space="preserve">6,829</w:t>
      </w:r>
    </w:p>
    <w:p>
      <w:pPr>
        <w:pStyle w:val="BodyText"/>
      </w:pPr>
      <w:r>
        <w:t xml:space="preserve">13,525</w:t>
      </w:r>
    </w:p>
    <w:p>
      <w:pPr>
        <w:pStyle w:val="BodyText"/>
      </w:pPr>
      <w:r>
        <w:t xml:space="preserve">21,897</w:t>
      </w:r>
    </w:p>
    <w:p>
      <w:pPr>
        <w:pStyle w:val="BodyText"/>
      </w:pPr>
      <w:r>
        <w:t xml:space="preserve">4,218</w:t>
      </w:r>
    </w:p>
    <w:p>
      <w:pPr>
        <w:pStyle w:val="BodyText"/>
      </w:pPr>
      <w:r>
        <w:t xml:space="preserve">3,529</w:t>
      </w:r>
    </w:p>
    <w:p>
      <w:pPr>
        <w:pStyle w:val="BodyText"/>
      </w:pPr>
      <w:r>
        <w:t xml:space="preserve">1,731</w:t>
      </w:r>
    </w:p>
    <w:p>
      <w:pPr>
        <w:pStyle w:val="BodyText"/>
      </w:pPr>
      <w:r>
        <w:t xml:space="preserve">6,968</w:t>
      </w:r>
    </w:p>
    <w:p>
      <w:pPr>
        <w:pStyle w:val="BodyText"/>
      </w:pPr>
      <w:r>
        <w:t xml:space="preserve">3,399</w:t>
      </w:r>
    </w:p>
    <w:p>
      <w:pPr>
        <w:pStyle w:val="BodyText"/>
      </w:pPr>
      <w:r>
        <w:t xml:space="preserve">–</w:t>
      </w:r>
    </w:p>
    <w:p>
      <w:pPr>
        <w:pStyle w:val="BodyText"/>
      </w:pPr>
      <w:r>
        <w:t xml:space="preserve">33,370</w:t>
      </w:r>
    </w:p>
    <w:p>
      <w:pPr>
        <w:pStyle w:val="BodyText"/>
      </w:pPr>
      <w:r>
        <w:t xml:space="preserve">1,597</w:t>
      </w:r>
    </w:p>
    <w:p>
      <w:pPr>
        <w:pStyle w:val="BodyText"/>
      </w:pPr>
      <w:r>
        <w:t xml:space="preserve">(1,067)</w:t>
      </w:r>
    </w:p>
    <w:p>
      <w:pPr>
        <w:pStyle w:val="BodyText"/>
      </w:pPr>
      <w:r>
        <w:t xml:space="preserve">33,900</w:t>
      </w:r>
    </w:p>
    <w:p>
      <w:pPr>
        <w:pStyle w:val="FirstParagraph"/>
      </w:pPr>
      <w:r>
        <w:t xml:space="preserve">33,744</w:t>
      </w:r>
    </w:p>
    <w:p>
      <w:pPr>
        <w:pStyle w:val="BodyText"/>
      </w:pPr>
      <w:r>
        <w:t xml:space="preserve">9,020</w:t>
      </w:r>
    </w:p>
    <w:p>
      <w:pPr>
        <w:pStyle w:val="BodyText"/>
      </w:pPr>
      <w:r>
        <w:t xml:space="preserve">6,334</w:t>
      </w:r>
    </w:p>
    <w:p>
      <w:pPr>
        <w:pStyle w:val="BodyText"/>
      </w:pPr>
      <w:r>
        <w:t xml:space="preserve">2,942</w:t>
      </w:r>
    </w:p>
    <w:p>
      <w:pPr>
        <w:pStyle w:val="BodyText"/>
      </w:pPr>
      <w:r>
        <w:t xml:space="preserve">10,042</w:t>
      </w:r>
    </w:p>
    <w:p>
      <w:pPr>
        <w:pStyle w:val="BodyText"/>
      </w:pPr>
      <w:r>
        <w:t xml:space="preserve">9,348</w:t>
      </w:r>
    </w:p>
    <w:p>
      <w:pPr>
        <w:pStyle w:val="BodyText"/>
      </w:pPr>
      <w:r>
        <w:t xml:space="preserve">9,291</w:t>
      </w:r>
    </w:p>
    <w:p>
      <w:pPr>
        <w:pStyle w:val="BodyText"/>
      </w:pPr>
      <w:r>
        <w:t xml:space="preserve">68,874</w:t>
      </w:r>
    </w:p>
    <w:p>
      <w:pPr>
        <w:pStyle w:val="BodyText"/>
      </w:pPr>
      <w:r>
        <w:t xml:space="preserve">(5,308)</w:t>
      </w:r>
    </w:p>
    <w:p>
      <w:pPr>
        <w:pStyle w:val="BodyText"/>
      </w:pPr>
      <w:r>
        <w:t xml:space="preserve">(1,067)</w:t>
      </w:r>
    </w:p>
    <w:p>
      <w:pPr>
        <w:pStyle w:val="BodyText"/>
      </w:pPr>
      <w:r>
        <w:t xml:space="preserve">62,499</w:t>
      </w:r>
    </w:p>
    <w:p>
      <w:pPr>
        <w:pStyle w:val="FirstParagraph"/>
      </w:pPr>
      <w:r>
        <w:t xml:space="preserve">61,985</w:t>
      </w:r>
    </w:p>
    <w:p>
      <w:pPr>
        <w:numPr>
          <w:ilvl w:val="0"/>
          <w:numId w:val="1648"/>
        </w:numPr>
      </w:pPr>
      <w:r>
        <w:rPr>
          <w:rFonts w:hint="eastAsia"/>
        </w:rPr>
        <w:t xml:space="preserve">於2020年，本集團加強分部資料披露，將預扣稅於適當經營分部項下呈列。2019年之比較資料已予調整，以與本呈列相符。</w:t>
      </w:r>
    </w:p>
    <w:p>
      <w:pPr>
        <w:numPr>
          <w:ilvl w:val="0"/>
          <w:numId w:val="1648"/>
        </w:numPr>
      </w:pPr>
      <w:r>
        <w:rPr>
          <w:rFonts w:hint="eastAsia"/>
        </w:rPr>
        <w:t xml:space="preserve">按業務單位劃分的經調整資產淨值已扣除按國際財務報告準則所編製的合併財務報表中所呈列的業務單位與集團企業中心之間的資金淨流量。</w:t>
      </w:r>
    </w:p>
    <w:p>
      <w:pPr>
        <w:numPr>
          <w:ilvl w:val="0"/>
          <w:numId w:val="1648"/>
        </w:numPr>
      </w:pPr>
      <w:r>
        <w:rPr>
          <w:rFonts w:hint="eastAsia"/>
        </w:rPr>
        <w:t xml:space="preserve">如本報告第4.4節所述，就反映為符合合併準備金及資本要求所作調整。</w:t>
      </w:r>
    </w:p>
    <w:p>
      <w:pPr>
        <w:pStyle w:val="FirstParagraph"/>
      </w:pPr>
      <w:r>
        <w:t xml:space="preserve">271</w:t>
      </w:r>
    </w:p>
    <w:p>
      <w:pPr>
        <w:pStyle w:val="BodyText"/>
      </w:pPr>
      <w:r>
        <w:rPr>
          <w:rFonts w:hint="eastAsia"/>
        </w:rPr>
        <w:t xml:space="preserve">概覽財務及營運回顧企業管治其他資料財務報表2020年報</w:t>
      </w:r>
    </w:p>
    <w:p>
      <w:pPr>
        <w:pStyle w:val="Compact"/>
        <w:numPr>
          <w:ilvl w:val="0"/>
          <w:numId w:val="1649"/>
        </w:numPr>
      </w:pPr>
      <w:r>
        <w:rPr>
          <w:rFonts w:hint="eastAsia"/>
        </w:rPr>
        <w:t xml:space="preserve">內涵價值結果（續）</w:t>
      </w:r>
    </w:p>
    <w:p>
      <w:pPr>
        <w:pStyle w:val="FirstParagraph"/>
      </w:pPr>
      <w:r>
        <w:t xml:space="preserve">2.2 </w:t>
      </w:r>
      <w:r>
        <w:rPr>
          <w:rFonts w:hint="eastAsia"/>
        </w:rPr>
        <w:t xml:space="preserve">經調整資產淨值與國際財務報告準則權益之對賬</w:t>
      </w:r>
    </w:p>
    <w:p>
      <w:pPr>
        <w:pStyle w:val="BodyText"/>
      </w:pPr>
      <w:r>
        <w:rPr>
          <w:rFonts w:hint="eastAsia"/>
        </w:rPr>
        <w:t xml:space="preserve">從國際財務報告準則權益到合併經調整資產淨值的推導（百萬美元）</w:t>
      </w:r>
    </w:p>
    <w:p>
      <w:pPr>
        <w:pStyle w:val="BodyText"/>
      </w:pPr>
      <w:r>
        <w:rPr>
          <w:rFonts w:hint="eastAsia"/>
        </w:rPr>
        <w:t xml:space="preserve">本公司股東應佔國際財務報告準則權益</w:t>
      </w:r>
    </w:p>
    <w:p>
      <w:pPr>
        <w:pStyle w:val="BodyText"/>
      </w:pPr>
      <w:r>
        <w:rPr>
          <w:rFonts w:hint="eastAsia"/>
        </w:rPr>
        <w:t xml:space="preserve">撇銷國際財務報告準則遞延承保及啟動成本資產</w:t>
      </w:r>
    </w:p>
    <w:p>
      <w:pPr>
        <w:pStyle w:val="BodyText"/>
      </w:pPr>
      <w:r>
        <w:rPr>
          <w:rFonts w:hint="eastAsia"/>
        </w:rPr>
        <w:t xml:space="preserve">國際財務報告準則保單負債與當地法定保單負債的差額</w:t>
      </w:r>
    </w:p>
    <w:p>
      <w:pPr>
        <w:pStyle w:val="BodyText"/>
      </w:pPr>
      <w:r>
        <w:rPr>
          <w:rFonts w:hint="eastAsia"/>
        </w:rPr>
        <w:t xml:space="preserve">國際財務報告準則保單負債淨額與當地法定保單負債的差額</w:t>
      </w:r>
    </w:p>
    <w:p>
      <w:pPr>
        <w:pStyle w:val="BodyText"/>
      </w:pPr>
      <w:r>
        <w:rPr>
          <w:rFonts w:hint="eastAsia"/>
        </w:rPr>
        <w:t xml:space="preserve">按市值調整物業及按揭貸款投資（已扣除分紅基金應佔金額）</w:t>
      </w:r>
    </w:p>
    <w:p>
      <w:pPr>
        <w:pStyle w:val="BodyText"/>
      </w:pPr>
      <w:r>
        <w:rPr>
          <w:rFonts w:hint="eastAsia"/>
        </w:rPr>
        <w:t xml:space="preserve">撇銷無形資產</w:t>
      </w:r>
    </w:p>
    <w:p>
      <w:pPr>
        <w:pStyle w:val="BodyText"/>
      </w:pPr>
      <w:r>
        <w:rPr>
          <w:rFonts w:hint="eastAsia"/>
        </w:rPr>
        <w:t xml:space="preserve">確認上述調整的遞延稅項影響</w:t>
      </w:r>
    </w:p>
    <w:p>
      <w:pPr>
        <w:pStyle w:val="BodyText"/>
      </w:pPr>
      <w:r>
        <w:rPr>
          <w:rFonts w:hint="eastAsia"/>
        </w:rPr>
        <w:t xml:space="preserve">確認上述調整的非控股權益影響</w:t>
      </w:r>
    </w:p>
    <w:p>
      <w:pPr>
        <w:pStyle w:val="BodyText"/>
      </w:pPr>
      <w:r>
        <w:rPr>
          <w:rFonts w:hint="eastAsia"/>
        </w:rPr>
        <w:t xml:space="preserve">經調整資產淨值（業務單位）</w:t>
      </w:r>
    </w:p>
    <w:p>
      <w:pPr>
        <w:pStyle w:val="BodyText"/>
      </w:pPr>
      <w:r>
        <w:rPr>
          <w:rFonts w:hint="eastAsia"/>
        </w:rPr>
        <w:t xml:space="preserve">為符合合併準備金要求所作調整（已扣除稅項）</w:t>
      </w:r>
    </w:p>
    <w:p>
      <w:pPr>
        <w:pStyle w:val="BodyText"/>
      </w:pPr>
      <w:r>
        <w:rPr>
          <w:rFonts w:hint="eastAsia"/>
        </w:rPr>
        <w:t xml:space="preserve">經調整資產淨值（經合併）</w:t>
      </w:r>
    </w:p>
    <w:p>
      <w:pPr>
        <w:pStyle w:val="BodyText"/>
      </w:pPr>
      <w:r>
        <w:rPr>
          <w:rFonts w:hint="eastAsia"/>
        </w:rPr>
        <w:t xml:space="preserve">於2020年</w:t>
      </w:r>
      <w:r>
        <w:br/>
      </w:r>
      <w:r>
        <w:rPr>
          <w:rFonts w:hint="eastAsia"/>
        </w:rPr>
        <w:t xml:space="preserve">12月31日</w:t>
      </w:r>
    </w:p>
    <w:p>
      <w:pPr>
        <w:pStyle w:val="BodyText"/>
      </w:pPr>
      <w:r>
        <w:t xml:space="preserve">63,200</w:t>
      </w:r>
    </w:p>
    <w:p>
      <w:pPr>
        <w:pStyle w:val="BodyText"/>
      </w:pPr>
      <w:r>
        <w:t xml:space="preserve">(27,915)</w:t>
      </w:r>
    </w:p>
    <w:p>
      <w:pPr>
        <w:pStyle w:val="FirstParagraph"/>
      </w:pPr>
      <w:r>
        <w:t xml:space="preserve">(28,852)</w:t>
      </w:r>
    </w:p>
    <w:p>
      <w:pPr>
        <w:pStyle w:val="FirstParagraph"/>
      </w:pPr>
      <w:r>
        <w:t xml:space="preserve">(2,634)</w:t>
      </w:r>
    </w:p>
    <w:p>
      <w:pPr>
        <w:pStyle w:val="BodyText"/>
      </w:pPr>
      <w:r>
        <w:t xml:space="preserve">3,735</w:t>
      </w:r>
    </w:p>
    <w:p>
      <w:pPr>
        <w:pStyle w:val="BodyText"/>
      </w:pPr>
      <w:r>
        <w:t xml:space="preserve">121</w:t>
      </w:r>
    </w:p>
    <w:p>
      <w:pPr>
        <w:pStyle w:val="BodyText"/>
      </w:pPr>
      <w:r>
        <w:t xml:space="preserve">35,567</w:t>
      </w:r>
    </w:p>
    <w:p>
      <w:pPr>
        <w:pStyle w:val="BodyText"/>
      </w:pPr>
      <w:r>
        <w:t xml:space="preserve">(7,064)</w:t>
      </w:r>
    </w:p>
    <w:p>
      <w:pPr>
        <w:pStyle w:val="BodyText"/>
      </w:pPr>
      <w:r>
        <w:t xml:space="preserve">28,503</w:t>
      </w:r>
    </w:p>
    <w:p>
      <w:pPr>
        <w:pStyle w:val="BodyText"/>
      </w:pPr>
      <w:r>
        <w:rPr>
          <w:rFonts w:hint="eastAsia"/>
        </w:rPr>
        <w:t xml:space="preserve">於2019年</w:t>
      </w:r>
      <w:r>
        <w:br/>
      </w:r>
      <w:r>
        <w:rPr>
          <w:rFonts w:hint="eastAsia"/>
        </w:rPr>
        <w:t xml:space="preserve">12月31日</w:t>
      </w:r>
      <w:r>
        <w:br/>
      </w:r>
      <w:r>
        <w:rPr>
          <w:rFonts w:hint="eastAsia"/>
        </w:rPr>
        <w:t xml:space="preserve">（經調整）</w:t>
      </w:r>
    </w:p>
    <w:p>
      <w:pPr>
        <w:pStyle w:val="BodyText"/>
      </w:pPr>
      <w:r>
        <w:t xml:space="preserve">54,947</w:t>
      </w:r>
    </w:p>
    <w:p>
      <w:pPr>
        <w:pStyle w:val="BodyText"/>
      </w:pPr>
      <w:r>
        <w:t xml:space="preserve">(26,328)</w:t>
      </w:r>
    </w:p>
    <w:p>
      <w:pPr>
        <w:pStyle w:val="BodyText"/>
      </w:pPr>
      <w:r>
        <w:t xml:space="preserve">5,949</w:t>
      </w:r>
    </w:p>
    <w:p>
      <w:pPr>
        <w:pStyle w:val="BodyText"/>
      </w:pPr>
      <w:r>
        <w:t xml:space="preserve">(20,379)</w:t>
      </w:r>
    </w:p>
    <w:p>
      <w:pPr>
        <w:pStyle w:val="BodyText"/>
      </w:pPr>
      <w:r>
        <w:t xml:space="preserve">–</w:t>
      </w:r>
    </w:p>
    <w:p>
      <w:pPr>
        <w:pStyle w:val="BodyText"/>
      </w:pPr>
      <w:r>
        <w:t xml:space="preserve">(2,520)</w:t>
      </w:r>
    </w:p>
    <w:p>
      <w:pPr>
        <w:pStyle w:val="BodyText"/>
      </w:pPr>
      <w:r>
        <w:t xml:space="preserve">3,008</w:t>
      </w:r>
    </w:p>
    <w:p>
      <w:pPr>
        <w:pStyle w:val="BodyText"/>
      </w:pPr>
      <w:r>
        <w:t xml:space="preserve">90</w:t>
      </w:r>
    </w:p>
    <w:p>
      <w:pPr>
        <w:pStyle w:val="BodyText"/>
      </w:pPr>
      <w:r>
        <w:t xml:space="preserve">35,146</w:t>
      </w:r>
    </w:p>
    <w:p>
      <w:pPr>
        <w:pStyle w:val="BodyText"/>
      </w:pPr>
      <w:r>
        <w:t xml:space="preserve">(6,905)</w:t>
      </w:r>
    </w:p>
    <w:p>
      <w:pPr>
        <w:pStyle w:val="BodyText"/>
      </w:pPr>
      <w:r>
        <w:t xml:space="preserve">28,241</w:t>
      </w:r>
    </w:p>
    <w:p>
      <w:pPr>
        <w:pStyle w:val="BodyText"/>
      </w:pPr>
      <w:r>
        <w:rPr>
          <w:rFonts w:hint="eastAsia"/>
        </w:rPr>
        <w:t xml:space="preserve">於2019年12月31日的本公司股東應佔國際財務報告準則權益已予調整，以反映按國際財務報告準則所編製的合併財務報表附</w:t>
      </w:r>
    </w:p>
    <w:p>
      <w:pPr>
        <w:pStyle w:val="BodyText"/>
      </w:pPr>
      <w:r>
        <w:rPr>
          <w:rFonts w:hint="eastAsia"/>
        </w:rPr>
        <w:t xml:space="preserve">註48的會計政策修訂。</w:t>
      </w:r>
    </w:p>
    <w:p>
      <w:pPr>
        <w:pStyle w:val="BodyText"/>
      </w:pPr>
      <w:r>
        <w:t xml:space="preserve">2.3 </w:t>
      </w:r>
      <w:r>
        <w:rPr>
          <w:rFonts w:hint="eastAsia"/>
        </w:rPr>
        <w:t xml:space="preserve">經調整資產淨值明細</w:t>
      </w:r>
    </w:p>
    <w:p>
      <w:pPr>
        <w:pStyle w:val="BodyText"/>
      </w:pPr>
      <w:r>
        <w:rPr>
          <w:rFonts w:hint="eastAsia"/>
        </w:rPr>
        <w:t xml:space="preserve">本集團的經調整資產淨值中所需資本（本報告第4.6節所定義者）與自由盈餘（即經調整資產淨值超出所需資本的部分）的明</w:t>
      </w:r>
    </w:p>
    <w:p>
      <w:pPr>
        <w:pStyle w:val="BodyText"/>
      </w:pPr>
      <w:r>
        <w:rPr>
          <w:rFonts w:hint="eastAsia"/>
        </w:rPr>
        <w:t xml:space="preserve">細如下：</w:t>
      </w:r>
    </w:p>
    <w:p>
      <w:pPr>
        <w:pStyle w:val="BodyText"/>
      </w:pPr>
      <w:r>
        <w:rPr>
          <w:rFonts w:hint="eastAsia"/>
        </w:rPr>
        <w:t xml:space="preserve">本集團的自由盈餘及所需資本（百萬美元）</w:t>
      </w:r>
    </w:p>
    <w:p>
      <w:pPr>
        <w:pStyle w:val="BodyText"/>
      </w:pPr>
      <w:r>
        <w:rPr>
          <w:rFonts w:hint="eastAsia"/>
        </w:rPr>
        <w:t xml:space="preserve">自由盈餘</w:t>
      </w:r>
    </w:p>
    <w:p>
      <w:pPr>
        <w:pStyle w:val="BodyText"/>
      </w:pPr>
      <w:r>
        <w:rPr>
          <w:rFonts w:hint="eastAsia"/>
        </w:rPr>
        <w:t xml:space="preserve">所需資本</w:t>
      </w:r>
    </w:p>
    <w:p>
      <w:pPr>
        <w:pStyle w:val="BodyText"/>
      </w:pPr>
      <w:r>
        <w:rPr>
          <w:rFonts w:hint="eastAsia"/>
        </w:rPr>
        <w:t xml:space="preserve">經調整資產淨值</w:t>
      </w:r>
    </w:p>
    <w:p>
      <w:pPr>
        <w:pStyle w:val="BodyText"/>
      </w:pPr>
      <w:r>
        <w:rPr>
          <w:rFonts w:hint="eastAsia"/>
        </w:rPr>
        <w:t xml:space="preserve">於2020年12月31日</w:t>
      </w:r>
    </w:p>
    <w:p>
      <w:pPr>
        <w:pStyle w:val="BodyText"/>
      </w:pPr>
      <w:r>
        <w:rPr>
          <w:rFonts w:hint="eastAsia"/>
        </w:rPr>
        <w:t xml:space="preserve">於2019年12月31日</w:t>
      </w:r>
    </w:p>
    <w:p>
      <w:pPr>
        <w:pStyle w:val="BodyText"/>
      </w:pPr>
      <w:r>
        <w:rPr>
          <w:rFonts w:hint="eastAsia"/>
        </w:rPr>
        <w:t xml:space="preserve">業務單位</w:t>
      </w:r>
    </w:p>
    <w:p>
      <w:pPr>
        <w:pStyle w:val="BodyText"/>
      </w:pPr>
      <w:r>
        <w:rPr>
          <w:rFonts w:hint="eastAsia"/>
        </w:rPr>
        <w:t xml:space="preserve">經合併</w:t>
      </w:r>
    </w:p>
    <w:p>
      <w:pPr>
        <w:pStyle w:val="BodyText"/>
      </w:pPr>
      <w:r>
        <w:rPr>
          <w:rFonts w:hint="eastAsia"/>
        </w:rPr>
        <w:t xml:space="preserve">業務單位</w:t>
      </w:r>
    </w:p>
    <w:p>
      <w:pPr>
        <w:pStyle w:val="BodyText"/>
      </w:pPr>
      <w:r>
        <w:rPr>
          <w:rFonts w:hint="eastAsia"/>
        </w:rPr>
        <w:t xml:space="preserve">經合併</w:t>
      </w:r>
    </w:p>
    <w:p>
      <w:pPr>
        <w:pStyle w:val="BodyText"/>
      </w:pPr>
      <w:r>
        <w:t xml:space="preserve">24,093</w:t>
      </w:r>
    </w:p>
    <w:p>
      <w:pPr>
        <w:pStyle w:val="BodyText"/>
      </w:pPr>
      <w:r>
        <w:t xml:space="preserve">11,474</w:t>
      </w:r>
    </w:p>
    <w:p>
      <w:pPr>
        <w:pStyle w:val="BodyText"/>
      </w:pPr>
      <w:r>
        <w:t xml:space="preserve">35,567</w:t>
      </w:r>
    </w:p>
    <w:p>
      <w:pPr>
        <w:pStyle w:val="BodyText"/>
      </w:pPr>
      <w:r>
        <w:t xml:space="preserve">13,473</w:t>
      </w:r>
    </w:p>
    <w:p>
      <w:pPr>
        <w:pStyle w:val="BodyText"/>
      </w:pPr>
      <w:r>
        <w:t xml:space="preserve">15,030</w:t>
      </w:r>
    </w:p>
    <w:p>
      <w:pPr>
        <w:pStyle w:val="BodyText"/>
      </w:pPr>
      <w:r>
        <w:t xml:space="preserve">28,503</w:t>
      </w:r>
    </w:p>
    <w:p>
      <w:pPr>
        <w:pStyle w:val="BodyText"/>
      </w:pPr>
      <w:r>
        <w:t xml:space="preserve">24,523</w:t>
      </w:r>
    </w:p>
    <w:p>
      <w:pPr>
        <w:pStyle w:val="BodyText"/>
      </w:pPr>
      <w:r>
        <w:t xml:space="preserve">10,623</w:t>
      </w:r>
    </w:p>
    <w:p>
      <w:pPr>
        <w:pStyle w:val="BodyText"/>
      </w:pPr>
      <w:r>
        <w:t xml:space="preserve">35,146</w:t>
      </w:r>
    </w:p>
    <w:p>
      <w:pPr>
        <w:pStyle w:val="BodyText"/>
      </w:pPr>
      <w:r>
        <w:t xml:space="preserve">14,917</w:t>
      </w:r>
    </w:p>
    <w:p>
      <w:pPr>
        <w:pStyle w:val="BodyText"/>
      </w:pPr>
      <w:r>
        <w:t xml:space="preserve">13,324</w:t>
      </w:r>
    </w:p>
    <w:p>
      <w:pPr>
        <w:pStyle w:val="BodyText"/>
      </w:pPr>
      <w:r>
        <w:t xml:space="preserve">28,241</w:t>
      </w:r>
    </w:p>
    <w:p>
      <w:pPr>
        <w:pStyle w:val="BodyText"/>
      </w:pPr>
      <w:r>
        <w:rPr>
          <w:rFonts w:hint="eastAsia"/>
        </w:rPr>
        <w:t xml:space="preserve">本公司的附屬公司友邦保險有限公司(AIA</w:t>
      </w:r>
      <w:r>
        <w:t xml:space="preserve"> </w:t>
      </w:r>
      <w:r>
        <w:rPr>
          <w:rFonts w:hint="eastAsia"/>
        </w:rPr>
        <w:t xml:space="preserve">Co.)及友邦保險（國際）有限公司(AIA</w:t>
      </w:r>
      <w:r>
        <w:t xml:space="preserve"> </w:t>
      </w:r>
      <w:r>
        <w:rPr>
          <w:rFonts w:hint="eastAsia"/>
        </w:rPr>
        <w:t xml:space="preserve">International)均受香港準備金及資本要求所規</w:t>
      </w:r>
    </w:p>
    <w:p>
      <w:pPr>
        <w:pStyle w:val="BodyText"/>
      </w:pPr>
      <w:r>
        <w:rPr>
          <w:rFonts w:hint="eastAsia"/>
        </w:rPr>
        <w:t xml:space="preserve">限。此外，AIA</w:t>
      </w:r>
      <w:r>
        <w:t xml:space="preserve"> </w:t>
      </w:r>
      <w:r>
        <w:rPr>
          <w:rFonts w:hint="eastAsia"/>
        </w:rPr>
        <w:t xml:space="preserve">International於百慕達註冊成立，其受百慕達金融管理局（百慕達金管局）準備金及資本要求所規限。除我們</w:t>
      </w:r>
    </w:p>
    <w:p>
      <w:pPr>
        <w:pStyle w:val="BodyText"/>
      </w:pPr>
      <w:r>
        <w:rPr>
          <w:rFonts w:hint="eastAsia"/>
        </w:rPr>
        <w:t xml:space="preserve">的業務單位所適用的有關當地要求外，此等監管準備金及資本要求及本集團釐定的其他合併準備金及資本要求亦適用。</w:t>
      </w:r>
    </w:p>
    <w:p>
      <w:pPr>
        <w:pStyle w:val="BodyText"/>
      </w:pPr>
      <w:r>
        <w:t xml:space="preserve">272</w:t>
      </w:r>
    </w:p>
    <w:p>
      <w:pPr>
        <w:pStyle w:val="BodyText"/>
      </w:pPr>
      <w:r>
        <w:rPr>
          <w:rFonts w:hint="eastAsia"/>
        </w:rPr>
        <w:t xml:space="preserve">友邦保險控股有限公司</w:t>
      </w:r>
    </w:p>
    <w:p>
      <w:pPr>
        <w:pStyle w:val="Compact"/>
        <w:numPr>
          <w:ilvl w:val="0"/>
          <w:numId w:val="1652"/>
        </w:numPr>
      </w:pPr>
      <w:r>
        <w:rPr>
          <w:rFonts w:hint="eastAsia"/>
        </w:rPr>
        <w:t xml:space="preserve">內涵價值結果（續）</w:t>
      </w:r>
    </w:p>
    <w:p>
      <w:pPr>
        <w:pStyle w:val="FirstParagraph"/>
      </w:pPr>
      <w:r>
        <w:t xml:space="preserve">2.4 </w:t>
      </w:r>
      <w:r>
        <w:rPr>
          <w:rFonts w:hint="eastAsia"/>
        </w:rPr>
        <w:t xml:space="preserve">盈利概況</w:t>
      </w:r>
    </w:p>
    <w:p>
      <w:pPr>
        <w:pStyle w:val="BodyText"/>
      </w:pPr>
      <w:r>
        <w:rPr>
          <w:rFonts w:hint="eastAsia"/>
        </w:rPr>
        <w:t xml:space="preserve">下表預測未來年度支持本集團有效保單業務之法定準備金及所需資本的資產所賺取的稅後可分派盈利。預期價值已反映為符</w:t>
      </w:r>
    </w:p>
    <w:p>
      <w:pPr>
        <w:pStyle w:val="BodyText"/>
      </w:pPr>
      <w:r>
        <w:rPr>
          <w:rFonts w:hint="eastAsia"/>
        </w:rPr>
        <w:t xml:space="preserve">合合併準備金及資本要求所作調整。</w:t>
      </w:r>
    </w:p>
    <w:p>
      <w:pPr>
        <w:pStyle w:val="BodyText"/>
      </w:pPr>
      <w:r>
        <w:rPr>
          <w:rFonts w:hint="eastAsia"/>
        </w:rPr>
        <w:t xml:space="preserve">本集團有效保單業務的稅後可分派盈利預期概況（百萬美元）</w:t>
      </w:r>
    </w:p>
    <w:p>
      <w:pPr>
        <w:pStyle w:val="BodyText"/>
      </w:pPr>
      <w:r>
        <w:rPr>
          <w:rFonts w:hint="eastAsia"/>
        </w:rPr>
        <w:t xml:space="preserve">預期出現期間</w:t>
      </w:r>
    </w:p>
    <w:p>
      <w:pPr>
        <w:pStyle w:val="BodyText"/>
      </w:pPr>
      <w:r>
        <w:rPr>
          <w:rFonts w:hint="eastAsia"/>
        </w:rPr>
        <w:t xml:space="preserve">1-5年</w:t>
      </w:r>
    </w:p>
    <w:p>
      <w:pPr>
        <w:pStyle w:val="BodyText"/>
      </w:pPr>
      <w:r>
        <w:rPr>
          <w:rFonts w:hint="eastAsia"/>
        </w:rPr>
        <w:t xml:space="preserve">6-10年</w:t>
      </w:r>
    </w:p>
    <w:p>
      <w:pPr>
        <w:pStyle w:val="BodyText"/>
      </w:pPr>
      <w:r>
        <w:rPr>
          <w:rFonts w:hint="eastAsia"/>
        </w:rPr>
        <w:t xml:space="preserve">11-15年</w:t>
      </w:r>
    </w:p>
    <w:p>
      <w:pPr>
        <w:pStyle w:val="BodyText"/>
      </w:pPr>
      <w:r>
        <w:rPr>
          <w:rFonts w:hint="eastAsia"/>
        </w:rPr>
        <w:t xml:space="preserve">16-20年</w:t>
      </w:r>
    </w:p>
    <w:p>
      <w:pPr>
        <w:pStyle w:val="BodyText"/>
      </w:pPr>
      <w:r>
        <w:rPr>
          <w:rFonts w:hint="eastAsia"/>
        </w:rPr>
        <w:t xml:space="preserve">21年及以後</w:t>
      </w:r>
    </w:p>
    <w:p>
      <w:pPr>
        <w:pStyle w:val="BodyText"/>
      </w:pPr>
      <w:r>
        <w:rPr>
          <w:rFonts w:hint="eastAsia"/>
        </w:rPr>
        <w:t xml:space="preserve">總計</w:t>
      </w:r>
    </w:p>
    <w:p>
      <w:pPr>
        <w:pStyle w:val="BodyText"/>
      </w:pPr>
      <w:r>
        <w:rPr>
          <w:rFonts w:hint="eastAsia"/>
        </w:rPr>
        <w:t xml:space="preserve">預期出現期間</w:t>
      </w:r>
    </w:p>
    <w:p>
      <w:pPr>
        <w:pStyle w:val="BodyText"/>
      </w:pPr>
      <w:r>
        <w:rPr>
          <w:rFonts w:hint="eastAsia"/>
        </w:rPr>
        <w:t xml:space="preserve">1-5年</w:t>
      </w:r>
    </w:p>
    <w:p>
      <w:pPr>
        <w:pStyle w:val="BodyText"/>
      </w:pPr>
      <w:r>
        <w:rPr>
          <w:rFonts w:hint="eastAsia"/>
        </w:rPr>
        <w:t xml:space="preserve">6-10年</w:t>
      </w:r>
    </w:p>
    <w:p>
      <w:pPr>
        <w:pStyle w:val="BodyText"/>
      </w:pPr>
      <w:r>
        <w:rPr>
          <w:rFonts w:hint="eastAsia"/>
        </w:rPr>
        <w:t xml:space="preserve">11-15年</w:t>
      </w:r>
    </w:p>
    <w:p>
      <w:pPr>
        <w:pStyle w:val="BodyText"/>
      </w:pPr>
      <w:r>
        <w:rPr>
          <w:rFonts w:hint="eastAsia"/>
        </w:rPr>
        <w:t xml:space="preserve">16-20年</w:t>
      </w:r>
    </w:p>
    <w:p>
      <w:pPr>
        <w:pStyle w:val="BodyText"/>
      </w:pPr>
      <w:r>
        <w:rPr>
          <w:rFonts w:hint="eastAsia"/>
        </w:rPr>
        <w:t xml:space="preserve">21年及以後</w:t>
      </w:r>
    </w:p>
    <w:p>
      <w:pPr>
        <w:pStyle w:val="BodyText"/>
      </w:pPr>
      <w:r>
        <w:rPr>
          <w:rFonts w:hint="eastAsia"/>
        </w:rPr>
        <w:t xml:space="preserve">總計</w:t>
      </w:r>
    </w:p>
    <w:p>
      <w:pPr>
        <w:pStyle w:val="BodyText"/>
      </w:pPr>
      <w:r>
        <w:rPr>
          <w:rFonts w:hint="eastAsia"/>
        </w:rPr>
        <w:t xml:space="preserve">於2020年12月31日</w:t>
      </w:r>
    </w:p>
    <w:p>
      <w:pPr>
        <w:pStyle w:val="BodyText"/>
      </w:pPr>
      <w:r>
        <w:rPr>
          <w:rFonts w:hint="eastAsia"/>
        </w:rPr>
        <w:t xml:space="preserve">未貼現</w:t>
      </w:r>
    </w:p>
    <w:p>
      <w:pPr>
        <w:pStyle w:val="BodyText"/>
      </w:pPr>
      <w:r>
        <w:rPr>
          <w:rFonts w:hint="eastAsia"/>
        </w:rPr>
        <w:t xml:space="preserve">貼現</w:t>
      </w:r>
    </w:p>
    <w:p>
      <w:pPr>
        <w:pStyle w:val="BodyText"/>
      </w:pPr>
      <w:r>
        <w:t xml:space="preserve">21,452</w:t>
      </w:r>
    </w:p>
    <w:p>
      <w:pPr>
        <w:pStyle w:val="BodyText"/>
      </w:pPr>
      <w:r>
        <w:t xml:space="preserve">19,489</w:t>
      </w:r>
    </w:p>
    <w:p>
      <w:pPr>
        <w:pStyle w:val="BodyText"/>
      </w:pPr>
      <w:r>
        <w:t xml:space="preserve">22,452</w:t>
      </w:r>
    </w:p>
    <w:p>
      <w:pPr>
        <w:pStyle w:val="BodyText"/>
      </w:pPr>
      <w:r>
        <w:t xml:space="preserve">20,070</w:t>
      </w:r>
    </w:p>
    <w:p>
      <w:pPr>
        <w:pStyle w:val="BodyText"/>
      </w:pPr>
      <w:r>
        <w:t xml:space="preserve">143,817</w:t>
      </w:r>
    </w:p>
    <w:p>
      <w:pPr>
        <w:pStyle w:val="BodyText"/>
      </w:pPr>
      <w:r>
        <w:t xml:space="preserve">227,280</w:t>
      </w:r>
    </w:p>
    <w:p>
      <w:pPr>
        <w:pStyle w:val="BodyText"/>
      </w:pPr>
      <w:r>
        <w:t xml:space="preserve">17,845</w:t>
      </w:r>
    </w:p>
    <w:p>
      <w:pPr>
        <w:pStyle w:val="BodyText"/>
      </w:pPr>
      <w:r>
        <w:t xml:space="preserve">10,980</w:t>
      </w:r>
    </w:p>
    <w:p>
      <w:pPr>
        <w:pStyle w:val="BodyText"/>
      </w:pPr>
      <w:r>
        <w:t xml:space="preserve">8,615</w:t>
      </w:r>
    </w:p>
    <w:p>
      <w:pPr>
        <w:pStyle w:val="BodyText"/>
      </w:pPr>
      <w:r>
        <w:t xml:space="preserve">5,356</w:t>
      </w:r>
    </w:p>
    <w:p>
      <w:pPr>
        <w:pStyle w:val="BodyText"/>
      </w:pPr>
      <w:r>
        <w:t xml:space="preserve">8,978</w:t>
      </w:r>
    </w:p>
    <w:p>
      <w:pPr>
        <w:pStyle w:val="BodyText"/>
      </w:pPr>
      <w:r>
        <w:t xml:space="preserve">51,774</w:t>
      </w:r>
    </w:p>
    <w:p>
      <w:pPr>
        <w:pStyle w:val="BodyText"/>
      </w:pPr>
      <w:r>
        <w:rPr>
          <w:rFonts w:hint="eastAsia"/>
        </w:rPr>
        <w:t xml:space="preserve">於2019年12月31日</w:t>
      </w:r>
    </w:p>
    <w:p>
      <w:pPr>
        <w:pStyle w:val="BodyText"/>
      </w:pPr>
      <w:r>
        <w:rPr>
          <w:rFonts w:hint="eastAsia"/>
        </w:rPr>
        <w:t xml:space="preserve">未貼現</w:t>
      </w:r>
    </w:p>
    <w:p>
      <w:pPr>
        <w:pStyle w:val="BodyText"/>
      </w:pPr>
      <w:r>
        <w:rPr>
          <w:rFonts w:hint="eastAsia"/>
        </w:rPr>
        <w:t xml:space="preserve">貼現</w:t>
      </w:r>
    </w:p>
    <w:p>
      <w:pPr>
        <w:pStyle w:val="BodyText"/>
      </w:pPr>
      <w:r>
        <w:t xml:space="preserve">20,000</w:t>
      </w:r>
    </w:p>
    <w:p>
      <w:pPr>
        <w:pStyle w:val="BodyText"/>
      </w:pPr>
      <w:r>
        <w:t xml:space="preserve">16,759</w:t>
      </w:r>
    </w:p>
    <w:p>
      <w:pPr>
        <w:pStyle w:val="BodyText"/>
      </w:pPr>
      <w:r>
        <w:t xml:space="preserve">18,398</w:t>
      </w:r>
    </w:p>
    <w:p>
      <w:pPr>
        <w:pStyle w:val="BodyText"/>
      </w:pPr>
      <w:r>
        <w:t xml:space="preserve">18,724</w:t>
      </w:r>
    </w:p>
    <w:p>
      <w:pPr>
        <w:pStyle w:val="BodyText"/>
      </w:pPr>
      <w:r>
        <w:t xml:space="preserve">166,423</w:t>
      </w:r>
    </w:p>
    <w:p>
      <w:pPr>
        <w:pStyle w:val="BodyText"/>
      </w:pPr>
      <w:r>
        <w:t xml:space="preserve">240,304</w:t>
      </w:r>
    </w:p>
    <w:p>
      <w:pPr>
        <w:pStyle w:val="BodyText"/>
      </w:pPr>
      <w:r>
        <w:t xml:space="preserve">16,641</w:t>
      </w:r>
    </w:p>
    <w:p>
      <w:pPr>
        <w:pStyle w:val="BodyText"/>
      </w:pPr>
      <w:r>
        <w:t xml:space="preserve">9,383</w:t>
      </w:r>
    </w:p>
    <w:p>
      <w:pPr>
        <w:pStyle w:val="BodyText"/>
      </w:pPr>
      <w:r>
        <w:t xml:space="preserve">7,029</w:t>
      </w:r>
    </w:p>
    <w:p>
      <w:pPr>
        <w:pStyle w:val="BodyText"/>
      </w:pPr>
      <w:r>
        <w:t xml:space="preserve">4,963</w:t>
      </w:r>
    </w:p>
    <w:p>
      <w:pPr>
        <w:pStyle w:val="BodyText"/>
      </w:pPr>
      <w:r>
        <w:t xml:space="preserve">9,052</w:t>
      </w:r>
    </w:p>
    <w:p>
      <w:pPr>
        <w:pStyle w:val="BodyText"/>
      </w:pPr>
      <w:r>
        <w:t xml:space="preserve">47,068</w:t>
      </w:r>
    </w:p>
    <w:p>
      <w:pPr>
        <w:pStyle w:val="BodyText"/>
      </w:pPr>
      <w:r>
        <w:rPr>
          <w:rFonts w:hint="eastAsia"/>
        </w:rPr>
        <w:t xml:space="preserve">可分派盈利概況按未貼現及貼現基準列示。稅後可分派盈利的貼現價值517.74億美元（2019年：470.68億美元）加上本報</w:t>
      </w:r>
    </w:p>
    <w:p>
      <w:pPr>
        <w:pStyle w:val="BodyText"/>
      </w:pPr>
      <w:r>
        <w:rPr>
          <w:rFonts w:hint="eastAsia"/>
        </w:rPr>
        <w:t xml:space="preserve">告第2.3節所示自由盈餘134.73億美元（2019年：149.17億美元）等於本報告第2.1節所示內涵價值652.47億美元（2019年：</w:t>
      </w:r>
    </w:p>
    <w:p>
      <w:pPr>
        <w:pStyle w:val="BodyText"/>
      </w:pPr>
      <w:r>
        <w:rPr>
          <w:rFonts w:hint="eastAsia"/>
        </w:rPr>
        <w:t xml:space="preserve">619.85億美元）。</w:t>
      </w:r>
    </w:p>
    <w:p>
      <w:pPr>
        <w:pStyle w:val="BodyText"/>
      </w:pPr>
      <w:r>
        <w:t xml:space="preserve">273</w:t>
      </w:r>
    </w:p>
    <w:p>
      <w:pPr>
        <w:pStyle w:val="BodyText"/>
      </w:pPr>
      <w:r>
        <w:rPr>
          <w:rFonts w:hint="eastAsia"/>
        </w:rPr>
        <w:t xml:space="preserve">概覽財務及營運回顧企業管治其他資料財務報表2020年報</w:t>
      </w:r>
    </w:p>
    <w:p>
      <w:pPr>
        <w:pStyle w:val="Compact"/>
        <w:numPr>
          <w:ilvl w:val="0"/>
          <w:numId w:val="1653"/>
        </w:numPr>
      </w:pPr>
      <w:r>
        <w:rPr>
          <w:rFonts w:hint="eastAsia"/>
        </w:rPr>
        <w:t xml:space="preserve">內涵價值結果（續）</w:t>
      </w:r>
    </w:p>
    <w:p>
      <w:pPr>
        <w:pStyle w:val="FirstParagraph"/>
      </w:pPr>
      <w:r>
        <w:t xml:space="preserve">2.5 </w:t>
      </w:r>
      <w:r>
        <w:rPr>
          <w:rFonts w:hint="eastAsia"/>
        </w:rPr>
        <w:t xml:space="preserve">新業務價值</w:t>
      </w:r>
    </w:p>
    <w:p>
      <w:pPr>
        <w:pStyle w:val="BodyText"/>
      </w:pPr>
      <w:r>
        <w:rPr>
          <w:rFonts w:hint="eastAsia"/>
        </w:rPr>
        <w:t xml:space="preserve">下表概述本集團截至2020年12月31日止年度的新業務價值。新業務價值界定為銷售點的預期稅後法定溢利扣除所需資本成本</w:t>
      </w:r>
    </w:p>
    <w:p>
      <w:pPr>
        <w:pStyle w:val="BodyText"/>
      </w:pPr>
      <w:r>
        <w:rPr>
          <w:rFonts w:hint="eastAsia"/>
        </w:rPr>
        <w:t xml:space="preserve">的現值。結果的呈列與按國際財務報告準則所編製的合併財務報表中的分部資料一致。本報告第4.1節已列出本報告所載實</w:t>
      </w:r>
    </w:p>
    <w:p>
      <w:pPr>
        <w:pStyle w:val="BodyText"/>
      </w:pPr>
      <w:r>
        <w:rPr>
          <w:rFonts w:hint="eastAsia"/>
        </w:rPr>
        <w:t xml:space="preserve">體的名單及本報告中所對應的業務單位。</w:t>
      </w:r>
    </w:p>
    <w:p>
      <w:pPr>
        <w:pStyle w:val="BodyText"/>
      </w:pPr>
      <w:r>
        <w:rPr>
          <w:rFonts w:hint="eastAsia"/>
        </w:rPr>
        <w:t xml:space="preserve">截至2020年12月31日止年度本集團的新業務價值為27.65億美元，較截至2019年12月31日止年度的41.54億美元減少13.89億</w:t>
      </w:r>
    </w:p>
    <w:p>
      <w:pPr>
        <w:pStyle w:val="BodyText"/>
      </w:pPr>
      <w:r>
        <w:rPr>
          <w:rFonts w:hint="eastAsia"/>
        </w:rPr>
        <w:t xml:space="preserve">美元或減少33%。</w:t>
      </w:r>
    </w:p>
    <w:p>
      <w:pPr>
        <w:pStyle w:val="BodyText"/>
      </w:pPr>
      <w:r>
        <w:rPr>
          <w:rFonts w:hint="eastAsia"/>
        </w:rPr>
        <w:t xml:space="preserve">按業務單位劃分的新業務價值概要（百萬美元）</w:t>
      </w:r>
    </w:p>
    <w:p>
      <w:pPr>
        <w:pStyle w:val="BodyText"/>
      </w:pPr>
      <w:r>
        <w:rPr>
          <w:rFonts w:hint="eastAsia"/>
        </w:rPr>
        <w:t xml:space="preserve">業務單位</w:t>
      </w:r>
    </w:p>
    <w:p>
      <w:pPr>
        <w:pStyle w:val="BodyText"/>
      </w:pPr>
      <w:r>
        <w:rPr>
          <w:rFonts w:hint="eastAsia"/>
        </w:rPr>
        <w:t xml:space="preserve">AIA香港</w:t>
      </w:r>
    </w:p>
    <w:p>
      <w:pPr>
        <w:pStyle w:val="BodyText"/>
      </w:pPr>
      <w:r>
        <w:rPr>
          <w:rFonts w:hint="eastAsia"/>
        </w:rPr>
        <w:t xml:space="preserve">AIA泰國</w:t>
      </w:r>
    </w:p>
    <w:p>
      <w:pPr>
        <w:pStyle w:val="BodyText"/>
      </w:pPr>
      <w:r>
        <w:rPr>
          <w:rFonts w:hint="eastAsia"/>
        </w:rPr>
        <w:t xml:space="preserve">AIA新加坡</w:t>
      </w:r>
    </w:p>
    <w:p>
      <w:pPr>
        <w:pStyle w:val="BodyText"/>
      </w:pPr>
      <w:r>
        <w:rPr>
          <w:rFonts w:hint="eastAsia"/>
        </w:rPr>
        <w:t xml:space="preserve">AIA馬來西亞</w:t>
      </w:r>
    </w:p>
    <w:p>
      <w:pPr>
        <w:pStyle w:val="BodyText"/>
      </w:pPr>
      <w:r>
        <w:rPr>
          <w:rFonts w:hint="eastAsia"/>
        </w:rPr>
        <w:t xml:space="preserve">AIA中國</w:t>
      </w:r>
    </w:p>
    <w:p>
      <w:pPr>
        <w:pStyle w:val="BodyText"/>
      </w:pPr>
      <w:r>
        <w:rPr>
          <w:rFonts w:hint="eastAsia"/>
        </w:rPr>
        <w:t xml:space="preserve">其他市場</w:t>
      </w:r>
    </w:p>
    <w:p>
      <w:pPr>
        <w:pStyle w:val="BodyText"/>
      </w:pPr>
      <w:r>
        <w:rPr>
          <w:rFonts w:hint="eastAsia"/>
        </w:rPr>
        <w:t xml:space="preserve">未計未分配集團總部開支及非控股權益的總額</w:t>
      </w:r>
      <w:r>
        <w:br/>
      </w:r>
      <w:r>
        <w:rPr>
          <w:rFonts w:hint="eastAsia"/>
        </w:rPr>
        <w:t xml:space="preserve">（業務單位）</w:t>
      </w:r>
    </w:p>
    <w:p>
      <w:pPr>
        <w:pStyle w:val="BodyText"/>
      </w:pPr>
      <w:r>
        <w:rPr>
          <w:rFonts w:hint="eastAsia"/>
        </w:rPr>
        <w:t xml:space="preserve">為符合合併準備金及資本要求所作調整</w:t>
      </w:r>
    </w:p>
    <w:p>
      <w:pPr>
        <w:pStyle w:val="BodyText"/>
      </w:pPr>
      <w:r>
        <w:rPr>
          <w:rFonts w:hint="eastAsia"/>
        </w:rPr>
        <w:t xml:space="preserve">未計未分配集團總部開支及非控股權益的總額</w:t>
      </w:r>
      <w:r>
        <w:br/>
      </w:r>
      <w:r>
        <w:rPr>
          <w:rFonts w:hint="eastAsia"/>
        </w:rPr>
        <w:t xml:space="preserve">（經合併）</w:t>
      </w:r>
    </w:p>
    <w:p>
      <w:pPr>
        <w:pStyle w:val="BodyText"/>
      </w:pPr>
      <w:r>
        <w:rPr>
          <w:rFonts w:hint="eastAsia"/>
        </w:rPr>
        <w:t xml:space="preserve">未分配集團總部開支的稅後價值</w:t>
      </w:r>
    </w:p>
    <w:p>
      <w:pPr>
        <w:pStyle w:val="BodyText"/>
      </w:pPr>
      <w:r>
        <w:rPr>
          <w:rFonts w:hint="eastAsia"/>
        </w:rPr>
        <w:t xml:space="preserve">未計非控股權益的總額（經合併）</w:t>
      </w:r>
    </w:p>
    <w:p>
      <w:pPr>
        <w:pStyle w:val="BodyText"/>
      </w:pPr>
      <w:r>
        <w:rPr>
          <w:rFonts w:hint="eastAsia"/>
        </w:rPr>
        <w:t xml:space="preserve">非控股權益</w:t>
      </w:r>
    </w:p>
    <w:p>
      <w:pPr>
        <w:pStyle w:val="BodyText"/>
      </w:pPr>
      <w:r>
        <w:rPr>
          <w:rFonts w:hint="eastAsia"/>
        </w:rPr>
        <w:t xml:space="preserve">總計</w:t>
      </w:r>
    </w:p>
    <w:p>
      <w:pPr>
        <w:pStyle w:val="BodyText"/>
      </w:pPr>
      <w:r>
        <w:rPr>
          <w:rFonts w:hint="eastAsia"/>
        </w:rPr>
        <w:t xml:space="preserve">截至2020年12月31日止年度</w:t>
      </w:r>
    </w:p>
    <w:p>
      <w:pPr>
        <w:pStyle w:val="BodyText"/>
      </w:pPr>
      <w:r>
        <w:rPr>
          <w:rFonts w:hint="eastAsia"/>
        </w:rPr>
        <w:t xml:space="preserve">截至2019年12月31日止年度</w:t>
      </w:r>
    </w:p>
    <w:p>
      <w:pPr>
        <w:pStyle w:val="BodyText"/>
      </w:pPr>
      <w:r>
        <w:rPr>
          <w:rFonts w:hint="eastAsia"/>
        </w:rPr>
        <w:t xml:space="preserve">未計所需</w:t>
      </w:r>
      <w:r>
        <w:br/>
      </w:r>
      <w:r>
        <w:rPr>
          <w:rFonts w:hint="eastAsia"/>
        </w:rPr>
        <w:t xml:space="preserve">資本成本的</w:t>
      </w:r>
      <w:r>
        <w:br/>
      </w:r>
      <w:r>
        <w:rPr>
          <w:rFonts w:hint="eastAsia"/>
        </w:rPr>
        <w:t xml:space="preserve">新業務價值</w:t>
      </w:r>
    </w:p>
    <w:p>
      <w:pPr>
        <w:pStyle w:val="BodyText"/>
      </w:pPr>
      <w:r>
        <w:rPr>
          <w:rFonts w:hint="eastAsia"/>
        </w:rPr>
        <w:t xml:space="preserve">所需資本</w:t>
      </w:r>
      <w:r>
        <w:br/>
      </w:r>
      <w:r>
        <w:rPr>
          <w:rFonts w:hint="eastAsia"/>
        </w:rPr>
        <w:t xml:space="preserve">成本</w:t>
      </w:r>
    </w:p>
    <w:p>
      <w:pPr>
        <w:pStyle w:val="BodyText"/>
      </w:pPr>
      <w:r>
        <w:rPr>
          <w:rFonts w:hint="eastAsia"/>
        </w:rPr>
        <w:t xml:space="preserve">扣除所需</w:t>
      </w:r>
      <w:r>
        <w:br/>
      </w:r>
      <w:r>
        <w:rPr>
          <w:rFonts w:hint="eastAsia"/>
        </w:rPr>
        <w:t xml:space="preserve">資本成本後</w:t>
      </w:r>
      <w:r>
        <w:br/>
      </w:r>
      <w:r>
        <w:rPr>
          <w:rFonts w:hint="eastAsia"/>
        </w:rPr>
        <w:t xml:space="preserve">的新業務</w:t>
      </w:r>
      <w:r>
        <w:br/>
      </w:r>
      <w:r>
        <w:rPr>
          <w:rFonts w:hint="eastAsia"/>
        </w:rPr>
        <w:t xml:space="preserve">價值</w:t>
      </w:r>
    </w:p>
    <w:p>
      <w:pPr>
        <w:pStyle w:val="BodyText"/>
      </w:pPr>
      <w:r>
        <w:rPr>
          <w:rFonts w:hint="eastAsia"/>
        </w:rPr>
        <w:t xml:space="preserve">未計所需</w:t>
      </w:r>
      <w:r>
        <w:br/>
      </w:r>
      <w:r>
        <w:rPr>
          <w:rFonts w:hint="eastAsia"/>
        </w:rPr>
        <w:t xml:space="preserve">資本成本的</w:t>
      </w:r>
      <w:r>
        <w:br/>
      </w:r>
      <w:r>
        <w:rPr>
          <w:rFonts w:hint="eastAsia"/>
        </w:rPr>
        <w:t xml:space="preserve">新業務價值</w:t>
      </w:r>
    </w:p>
    <w:p>
      <w:pPr>
        <w:pStyle w:val="BodyText"/>
      </w:pPr>
      <w:r>
        <w:rPr>
          <w:rFonts w:hint="eastAsia"/>
        </w:rPr>
        <w:t xml:space="preserve">所需資本</w:t>
      </w:r>
      <w:r>
        <w:br/>
      </w:r>
      <w:r>
        <w:rPr>
          <w:rFonts w:hint="eastAsia"/>
        </w:rPr>
        <w:t xml:space="preserve">成本</w:t>
      </w:r>
    </w:p>
    <w:p>
      <w:pPr>
        <w:pStyle w:val="BodyText"/>
      </w:pPr>
      <w:r>
        <w:rPr>
          <w:rFonts w:hint="eastAsia"/>
        </w:rPr>
        <w:t xml:space="preserve">扣除所需</w:t>
      </w:r>
      <w:r>
        <w:br/>
      </w:r>
      <w:r>
        <w:rPr>
          <w:rFonts w:hint="eastAsia"/>
        </w:rPr>
        <w:t xml:space="preserve">資本成本後</w:t>
      </w:r>
      <w:r>
        <w:br/>
      </w:r>
      <w:r>
        <w:rPr>
          <w:rFonts w:hint="eastAsia"/>
        </w:rPr>
        <w:t xml:space="preserve">的新業務</w:t>
      </w:r>
      <w:r>
        <w:br/>
      </w:r>
      <w:r>
        <w:rPr>
          <w:rFonts w:hint="eastAsia"/>
        </w:rPr>
        <w:t xml:space="preserve">價值</w:t>
      </w:r>
    </w:p>
    <w:p>
      <w:pPr>
        <w:pStyle w:val="BodyText"/>
      </w:pPr>
      <w:r>
        <w:t xml:space="preserve">670</w:t>
      </w:r>
    </w:p>
    <w:p>
      <w:pPr>
        <w:pStyle w:val="BodyText"/>
      </w:pPr>
      <w:r>
        <w:t xml:space="preserve">520</w:t>
      </w:r>
    </w:p>
    <w:p>
      <w:pPr>
        <w:pStyle w:val="BodyText"/>
      </w:pPr>
      <w:r>
        <w:t xml:space="preserve">347</w:t>
      </w:r>
    </w:p>
    <w:p>
      <w:pPr>
        <w:pStyle w:val="BodyText"/>
      </w:pPr>
      <w:r>
        <w:t xml:space="preserve">239</w:t>
      </w:r>
    </w:p>
    <w:p>
      <w:pPr>
        <w:pStyle w:val="BodyText"/>
      </w:pPr>
      <w:r>
        <w:t xml:space="preserve">1,030</w:t>
      </w:r>
    </w:p>
    <w:p>
      <w:pPr>
        <w:pStyle w:val="BodyText"/>
      </w:pPr>
      <w:r>
        <w:t xml:space="preserve">632</w:t>
      </w:r>
    </w:p>
    <w:p>
      <w:pPr>
        <w:pStyle w:val="BodyText"/>
      </w:pPr>
      <w:r>
        <w:t xml:space="preserve">3,438</w:t>
      </w:r>
    </w:p>
    <w:p>
      <w:pPr>
        <w:pStyle w:val="FirstParagraph"/>
      </w:pPr>
      <w:r>
        <w:t xml:space="preserve">3,382</w:t>
      </w:r>
    </w:p>
    <w:p>
      <w:pPr>
        <w:pStyle w:val="FirstParagraph"/>
      </w:pPr>
      <w:r>
        <w:t xml:space="preserve">3,221</w:t>
      </w:r>
    </w:p>
    <w:p>
      <w:pPr>
        <w:pStyle w:val="FirstParagraph"/>
      </w:pPr>
      <w:r>
        <w:t xml:space="preserve">3,196</w:t>
      </w:r>
    </w:p>
    <w:p>
      <w:pPr>
        <w:pStyle w:val="BodyText"/>
      </w:pPr>
      <w:r>
        <w:t xml:space="preserve">120</w:t>
      </w:r>
    </w:p>
    <w:p>
      <w:pPr>
        <w:pStyle w:val="BodyText"/>
      </w:pPr>
      <w:r>
        <w:t xml:space="preserve">51</w:t>
      </w:r>
    </w:p>
    <w:p>
      <w:pPr>
        <w:pStyle w:val="BodyText"/>
      </w:pPr>
      <w:r>
        <w:t xml:space="preserve">17</w:t>
      </w:r>
    </w:p>
    <w:p>
      <w:pPr>
        <w:pStyle w:val="BodyText"/>
      </w:pPr>
      <w:r>
        <w:t xml:space="preserve">17</w:t>
      </w:r>
    </w:p>
    <w:p>
      <w:pPr>
        <w:pStyle w:val="BodyText"/>
      </w:pPr>
      <w:r>
        <w:t xml:space="preserve">62</w:t>
      </w:r>
    </w:p>
    <w:p>
      <w:pPr>
        <w:pStyle w:val="BodyText"/>
      </w:pPr>
      <w:r>
        <w:t xml:space="preserve">118</w:t>
      </w:r>
    </w:p>
    <w:p>
      <w:pPr>
        <w:pStyle w:val="BodyText"/>
      </w:pPr>
      <w:r>
        <w:t xml:space="preserve">385</w:t>
      </w:r>
    </w:p>
    <w:p>
      <w:pPr>
        <w:pStyle w:val="BodyText"/>
      </w:pPr>
      <w:r>
        <w:t xml:space="preserve">47</w:t>
      </w:r>
    </w:p>
    <w:p>
      <w:pPr>
        <w:pStyle w:val="BodyText"/>
      </w:pPr>
      <w:r>
        <w:t xml:space="preserve">432</w:t>
      </w:r>
    </w:p>
    <w:p>
      <w:pPr>
        <w:pStyle w:val="BodyText"/>
      </w:pPr>
      <w:r>
        <w:t xml:space="preserve">–</w:t>
      </w:r>
    </w:p>
    <w:p>
      <w:pPr>
        <w:pStyle w:val="BodyText"/>
      </w:pPr>
      <w:r>
        <w:t xml:space="preserve">432</w:t>
      </w:r>
    </w:p>
    <w:p>
      <w:pPr>
        <w:pStyle w:val="FirstParagraph"/>
      </w:pPr>
      <w:r>
        <w:t xml:space="preserve">431</w:t>
      </w:r>
    </w:p>
    <w:p>
      <w:pPr>
        <w:pStyle w:val="BodyText"/>
      </w:pPr>
      <w:r>
        <w:t xml:space="preserve">550</w:t>
      </w:r>
    </w:p>
    <w:p>
      <w:pPr>
        <w:pStyle w:val="BodyText"/>
      </w:pPr>
      <w:r>
        <w:t xml:space="preserve">469</w:t>
      </w:r>
    </w:p>
    <w:p>
      <w:pPr>
        <w:pStyle w:val="BodyText"/>
      </w:pPr>
      <w:r>
        <w:t xml:space="preserve">330</w:t>
      </w:r>
    </w:p>
    <w:p>
      <w:pPr>
        <w:pStyle w:val="BodyText"/>
      </w:pPr>
      <w:r>
        <w:t xml:space="preserve">222</w:t>
      </w:r>
    </w:p>
    <w:p>
      <w:pPr>
        <w:pStyle w:val="BodyText"/>
      </w:pPr>
      <w:r>
        <w:t xml:space="preserve">968</w:t>
      </w:r>
    </w:p>
    <w:p>
      <w:pPr>
        <w:pStyle w:val="BodyText"/>
      </w:pPr>
      <w:r>
        <w:t xml:space="preserve">514</w:t>
      </w:r>
    </w:p>
    <w:p>
      <w:pPr>
        <w:pStyle w:val="BodyText"/>
      </w:pPr>
      <w:r>
        <w:t xml:space="preserve">3,053</w:t>
      </w:r>
    </w:p>
    <w:p>
      <w:pPr>
        <w:pStyle w:val="FirstParagraph"/>
      </w:pPr>
      <w:r>
        <w:t xml:space="preserve">2,950</w:t>
      </w:r>
    </w:p>
    <w:p>
      <w:pPr>
        <w:pStyle w:val="FirstParagraph"/>
      </w:pPr>
      <w:r>
        <w:t xml:space="preserve">2,789</w:t>
      </w:r>
    </w:p>
    <w:p>
      <w:pPr>
        <w:pStyle w:val="FirstParagraph"/>
      </w:pPr>
      <w:r>
        <w:t xml:space="preserve">2,765</w:t>
      </w:r>
    </w:p>
    <w:p>
      <w:pPr>
        <w:pStyle w:val="BodyText"/>
      </w:pPr>
      <w:r>
        <w:t xml:space="preserve">1,728</w:t>
      </w:r>
    </w:p>
    <w:p>
      <w:pPr>
        <w:pStyle w:val="BodyText"/>
      </w:pPr>
      <w:r>
        <w:t xml:space="preserve">107</w:t>
      </w:r>
    </w:p>
    <w:p>
      <w:pPr>
        <w:pStyle w:val="BodyText"/>
      </w:pPr>
      <w:r>
        <w:t xml:space="preserve">1,621</w:t>
      </w:r>
    </w:p>
    <w:p>
      <w:pPr>
        <w:pStyle w:val="BodyText"/>
      </w:pPr>
      <w:r>
        <w:t xml:space="preserve">559</w:t>
      </w:r>
    </w:p>
    <w:p>
      <w:pPr>
        <w:pStyle w:val="BodyText"/>
      </w:pPr>
      <w:r>
        <w:t xml:space="preserve">384</w:t>
      </w:r>
    </w:p>
    <w:p>
      <w:pPr>
        <w:pStyle w:val="BodyText"/>
      </w:pPr>
      <w:r>
        <w:t xml:space="preserve">276</w:t>
      </w:r>
    </w:p>
    <w:p>
      <w:pPr>
        <w:pStyle w:val="BodyText"/>
      </w:pPr>
      <w:r>
        <w:t xml:space="preserve">1,248</w:t>
      </w:r>
    </w:p>
    <w:p>
      <w:pPr>
        <w:pStyle w:val="BodyText"/>
      </w:pPr>
      <w:r>
        <w:t xml:space="preserve">646</w:t>
      </w:r>
    </w:p>
    <w:p>
      <w:pPr>
        <w:pStyle w:val="BodyText"/>
      </w:pPr>
      <w:r>
        <w:t xml:space="preserve">4,841</w:t>
      </w:r>
    </w:p>
    <w:p>
      <w:pPr>
        <w:pStyle w:val="FirstParagraph"/>
      </w:pPr>
      <w:r>
        <w:t xml:space="preserve">4,753</w:t>
      </w:r>
    </w:p>
    <w:p>
      <w:pPr>
        <w:pStyle w:val="FirstParagraph"/>
      </w:pPr>
      <w:r>
        <w:t xml:space="preserve">4,599</w:t>
      </w:r>
    </w:p>
    <w:p>
      <w:pPr>
        <w:pStyle w:val="FirstParagraph"/>
      </w:pPr>
      <w:r>
        <w:t xml:space="preserve">4,567</w:t>
      </w:r>
    </w:p>
    <w:p>
      <w:pPr>
        <w:pStyle w:val="BodyText"/>
      </w:pPr>
      <w:r>
        <w:t xml:space="preserve">65</w:t>
      </w:r>
    </w:p>
    <w:p>
      <w:pPr>
        <w:pStyle w:val="BodyText"/>
      </w:pPr>
      <w:r>
        <w:t xml:space="preserve">32</w:t>
      </w:r>
    </w:p>
    <w:p>
      <w:pPr>
        <w:pStyle w:val="BodyText"/>
      </w:pPr>
      <w:r>
        <w:t xml:space="preserve">18</w:t>
      </w:r>
    </w:p>
    <w:p>
      <w:pPr>
        <w:pStyle w:val="BodyText"/>
      </w:pPr>
      <w:r>
        <w:t xml:space="preserve">81</w:t>
      </w:r>
    </w:p>
    <w:p>
      <w:pPr>
        <w:pStyle w:val="BodyText"/>
      </w:pPr>
      <w:r>
        <w:t xml:space="preserve">111</w:t>
      </w:r>
    </w:p>
    <w:p>
      <w:pPr>
        <w:pStyle w:val="BodyText"/>
      </w:pPr>
      <w:r>
        <w:t xml:space="preserve">414</w:t>
      </w:r>
    </w:p>
    <w:p>
      <w:pPr>
        <w:pStyle w:val="FirstParagraph"/>
      </w:pPr>
      <w:r>
        <w:t xml:space="preserve">413</w:t>
      </w:r>
    </w:p>
    <w:p>
      <w:pPr>
        <w:pStyle w:val="BodyText"/>
      </w:pPr>
      <w:r>
        <w:t xml:space="preserve">–</w:t>
      </w:r>
    </w:p>
    <w:p>
      <w:pPr>
        <w:pStyle w:val="BodyText"/>
      </w:pPr>
      <w:r>
        <w:t xml:space="preserve">413</w:t>
      </w:r>
    </w:p>
    <w:p>
      <w:pPr>
        <w:pStyle w:val="BodyText"/>
      </w:pPr>
      <w:r>
        <w:t xml:space="preserve">–</w:t>
      </w:r>
    </w:p>
    <w:p>
      <w:pPr>
        <w:pStyle w:val="BodyText"/>
      </w:pPr>
      <w:r>
        <w:t xml:space="preserve">413</w:t>
      </w:r>
    </w:p>
    <w:p>
      <w:pPr>
        <w:pStyle w:val="BodyText"/>
      </w:pPr>
      <w:r>
        <w:t xml:space="preserve">494</w:t>
      </w:r>
    </w:p>
    <w:p>
      <w:pPr>
        <w:pStyle w:val="BodyText"/>
      </w:pPr>
      <w:r>
        <w:t xml:space="preserve">352</w:t>
      </w:r>
    </w:p>
    <w:p>
      <w:pPr>
        <w:pStyle w:val="BodyText"/>
      </w:pPr>
      <w:r>
        <w:t xml:space="preserve">258</w:t>
      </w:r>
    </w:p>
    <w:p>
      <w:pPr>
        <w:pStyle w:val="BodyText"/>
      </w:pPr>
      <w:r>
        <w:t xml:space="preserve">1,167</w:t>
      </w:r>
    </w:p>
    <w:p>
      <w:pPr>
        <w:pStyle w:val="BodyText"/>
      </w:pPr>
      <w:r>
        <w:t xml:space="preserve">535</w:t>
      </w:r>
    </w:p>
    <w:p>
      <w:pPr>
        <w:pStyle w:val="BodyText"/>
      </w:pPr>
      <w:r>
        <w:t xml:space="preserve">4,427</w:t>
      </w:r>
    </w:p>
    <w:p>
      <w:pPr>
        <w:pStyle w:val="FirstParagraph"/>
      </w:pPr>
      <w:r>
        <w:t xml:space="preserve">4,340</w:t>
      </w:r>
    </w:p>
    <w:p>
      <w:pPr>
        <w:pStyle w:val="FirstParagraph"/>
      </w:pPr>
      <w:r>
        <w:t xml:space="preserve">4,186</w:t>
      </w:r>
    </w:p>
    <w:p>
      <w:pPr>
        <w:pStyle w:val="FirstParagraph"/>
      </w:pPr>
      <w:r>
        <w:t xml:space="preserve">4,154</w:t>
      </w:r>
    </w:p>
    <w:p>
      <w:pPr>
        <w:pStyle w:val="BodyText"/>
      </w:pPr>
      <w:r>
        <w:t xml:space="preserve">274</w:t>
      </w:r>
    </w:p>
    <w:p>
      <w:pPr>
        <w:pStyle w:val="BodyText"/>
      </w:pPr>
      <w:r>
        <w:rPr>
          <w:rFonts w:hint="eastAsia"/>
        </w:rPr>
        <w:t xml:space="preserve">友邦保險控股有限公司</w:t>
      </w:r>
    </w:p>
    <w:p>
      <w:pPr>
        <w:pStyle w:val="Compact"/>
        <w:numPr>
          <w:ilvl w:val="0"/>
          <w:numId w:val="1668"/>
        </w:numPr>
      </w:pPr>
      <w:r>
        <w:rPr>
          <w:rFonts w:hint="eastAsia"/>
        </w:rPr>
        <w:t xml:space="preserve">內涵價值結果（續）</w:t>
      </w:r>
    </w:p>
    <w:p>
      <w:pPr>
        <w:pStyle w:val="FirstParagraph"/>
      </w:pPr>
      <w:r>
        <w:t xml:space="preserve">2.5 </w:t>
      </w:r>
      <w:r>
        <w:rPr>
          <w:rFonts w:hint="eastAsia"/>
        </w:rPr>
        <w:t xml:space="preserve">新業務價值（續）</w:t>
      </w:r>
    </w:p>
    <w:p>
      <w:pPr>
        <w:pStyle w:val="BodyText"/>
      </w:pPr>
      <w:r>
        <w:rPr>
          <w:rFonts w:hint="eastAsia"/>
        </w:rPr>
        <w:t xml:space="preserve">下表列出本集團截至2020年12月31日止年度承保業務按季度劃分的新業務價值、年化新保費、新業務價值利潤率及新業務保</w:t>
      </w:r>
    </w:p>
    <w:p>
      <w:pPr>
        <w:pStyle w:val="BodyText"/>
      </w:pPr>
      <w:r>
        <w:rPr>
          <w:rFonts w:hint="eastAsia"/>
        </w:rPr>
        <w:t xml:space="preserve">費現值利潤率明細。</w:t>
      </w:r>
    </w:p>
    <w:p>
      <w:pPr>
        <w:pStyle w:val="BodyText"/>
      </w:pPr>
      <w:r>
        <w:rPr>
          <w:rFonts w:hint="eastAsia"/>
        </w:rPr>
        <w:t xml:space="preserve">新業務價值利潤率及新業務保費現值利潤率分別界定為新業務價值（未扣除非控股權益且不包括退休金業務）佔年化新保費</w:t>
      </w:r>
    </w:p>
    <w:p>
      <w:pPr>
        <w:pStyle w:val="BodyText"/>
      </w:pPr>
      <w:r>
        <w:rPr>
          <w:rFonts w:hint="eastAsia"/>
        </w:rPr>
        <w:t xml:space="preserve">及新業務保費現值的百分比。為與年化新保費及新業務保費現值的定義保持一致，計算利潤率所用新業務價值為未扣除非控</w:t>
      </w:r>
    </w:p>
    <w:p>
      <w:pPr>
        <w:pStyle w:val="BodyText"/>
      </w:pPr>
      <w:r>
        <w:rPr>
          <w:rFonts w:hint="eastAsia"/>
        </w:rPr>
        <w:t xml:space="preserve">股權益且並無計入退休金業務。</w:t>
      </w:r>
    </w:p>
    <w:p>
      <w:pPr>
        <w:pStyle w:val="BodyText"/>
      </w:pPr>
      <w:r>
        <w:rPr>
          <w:rFonts w:hint="eastAsia"/>
        </w:rPr>
        <w:t xml:space="preserve">本集團截至2020年12月31日止年度的新業務價值利潤率為52.6%，截至2019年12月31日止年度則為62.9%。本集團截至2020</w:t>
      </w:r>
    </w:p>
    <w:p>
      <w:pPr>
        <w:pStyle w:val="BodyText"/>
      </w:pPr>
      <w:r>
        <w:rPr>
          <w:rFonts w:hint="eastAsia"/>
        </w:rPr>
        <w:t xml:space="preserve">年12月31日止年度的新業務保費現值利潤率為9%，截至2019年12月31日止年度則為11%。</w:t>
      </w:r>
    </w:p>
    <w:p>
      <w:pPr>
        <w:pStyle w:val="BodyText"/>
      </w:pPr>
      <w:r>
        <w:rPr>
          <w:rFonts w:hint="eastAsia"/>
        </w:rPr>
        <w:t xml:space="preserve">新業務價值、年化新保費、新業務價值利潤率及新業務保費現值利潤率明細(1)（百萬美元）</w:t>
      </w:r>
    </w:p>
    <w:p>
      <w:pPr>
        <w:pStyle w:val="BodyText"/>
      </w:pPr>
      <w:r>
        <w:rPr>
          <w:rFonts w:hint="eastAsia"/>
        </w:rPr>
        <w:t xml:space="preserve">扣除所需</w:t>
      </w:r>
      <w:r>
        <w:br/>
      </w:r>
      <w:r>
        <w:rPr>
          <w:rFonts w:hint="eastAsia"/>
        </w:rPr>
        <w:t xml:space="preserve">資本成本後的</w:t>
      </w:r>
      <w:r>
        <w:br/>
      </w:r>
      <w:r>
        <w:rPr>
          <w:rFonts w:hint="eastAsia"/>
        </w:rPr>
        <w:t xml:space="preserve">新業務價值(1)</w:t>
      </w:r>
    </w:p>
    <w:p>
      <w:pPr>
        <w:pStyle w:val="BodyText"/>
      </w:pPr>
      <w:r>
        <w:rPr>
          <w:rFonts w:hint="eastAsia"/>
        </w:rPr>
        <w:t xml:space="preserve">年化</w:t>
      </w:r>
      <w:r>
        <w:br/>
      </w:r>
      <w:r>
        <w:rPr>
          <w:rFonts w:hint="eastAsia"/>
        </w:rPr>
        <w:t xml:space="preserve">新保費(1)</w:t>
      </w:r>
    </w:p>
    <w:p>
      <w:pPr>
        <w:pStyle w:val="BodyText"/>
      </w:pPr>
      <w:r>
        <w:rPr>
          <w:rFonts w:hint="eastAsia"/>
        </w:rPr>
        <w:t xml:space="preserve">新業務價值</w:t>
      </w:r>
      <w:r>
        <w:br/>
      </w:r>
      <w:r>
        <w:rPr>
          <w:rFonts w:hint="eastAsia"/>
        </w:rPr>
        <w:t xml:space="preserve">利潤率(1)</w:t>
      </w:r>
    </w:p>
    <w:p>
      <w:pPr>
        <w:pStyle w:val="BodyText"/>
      </w:pPr>
      <w:r>
        <w:rPr>
          <w:rFonts w:hint="eastAsia"/>
        </w:rPr>
        <w:t xml:space="preserve">新業務保費</w:t>
      </w:r>
      <w:r>
        <w:br/>
      </w:r>
      <w:r>
        <w:rPr>
          <w:rFonts w:hint="eastAsia"/>
        </w:rPr>
        <w:t xml:space="preserve">現值利潤率(1)</w:t>
      </w:r>
    </w:p>
    <w:p>
      <w:pPr>
        <w:pStyle w:val="BodyText"/>
      </w:pPr>
      <w:r>
        <w:rPr>
          <w:rFonts w:hint="eastAsia"/>
        </w:rPr>
        <w:t xml:space="preserve">年度</w:t>
      </w:r>
    </w:p>
    <w:p>
      <w:pPr>
        <w:pStyle w:val="BodyText"/>
      </w:pPr>
      <w:r>
        <w:rPr>
          <w:rFonts w:hint="eastAsia"/>
        </w:rPr>
        <w:t xml:space="preserve">2020年價值</w:t>
      </w:r>
    </w:p>
    <w:p>
      <w:pPr>
        <w:pStyle w:val="BodyText"/>
      </w:pPr>
      <w:r>
        <w:rPr>
          <w:rFonts w:hint="eastAsia"/>
        </w:rPr>
        <w:t xml:space="preserve">截至2020年12月31日止十二個月</w:t>
      </w:r>
    </w:p>
    <w:p>
      <w:pPr>
        <w:pStyle w:val="BodyText"/>
      </w:pPr>
      <w:r>
        <w:rPr>
          <w:rFonts w:hint="eastAsia"/>
        </w:rPr>
        <w:t xml:space="preserve">2019年價值</w:t>
      </w:r>
    </w:p>
    <w:p>
      <w:pPr>
        <w:pStyle w:val="BodyText"/>
      </w:pPr>
      <w:r>
        <w:rPr>
          <w:rFonts w:hint="eastAsia"/>
        </w:rPr>
        <w:t xml:space="preserve">截至2019年12月31日止十二個月(1)</w:t>
      </w:r>
    </w:p>
    <w:p>
      <w:pPr>
        <w:pStyle w:val="BodyText"/>
      </w:pPr>
      <w:r>
        <w:rPr>
          <w:rFonts w:hint="eastAsia"/>
        </w:rPr>
        <w:t xml:space="preserve">季度</w:t>
      </w:r>
    </w:p>
    <w:p>
      <w:pPr>
        <w:pStyle w:val="BodyText"/>
      </w:pPr>
      <w:r>
        <w:rPr>
          <w:rFonts w:hint="eastAsia"/>
        </w:rPr>
        <w:t xml:space="preserve">2020年價值</w:t>
      </w:r>
    </w:p>
    <w:p>
      <w:pPr>
        <w:pStyle w:val="BodyText"/>
      </w:pPr>
      <w:r>
        <w:rPr>
          <w:rFonts w:hint="eastAsia"/>
        </w:rPr>
        <w:t xml:space="preserve">截至2020年3月31日止三個月</w:t>
      </w:r>
    </w:p>
    <w:p>
      <w:pPr>
        <w:pStyle w:val="BodyText"/>
      </w:pPr>
      <w:r>
        <w:rPr>
          <w:rFonts w:hint="eastAsia"/>
        </w:rPr>
        <w:t xml:space="preserve">截至2020年6月30日止三個月</w:t>
      </w:r>
    </w:p>
    <w:p>
      <w:pPr>
        <w:pStyle w:val="BodyText"/>
      </w:pPr>
      <w:r>
        <w:rPr>
          <w:rFonts w:hint="eastAsia"/>
        </w:rPr>
        <w:t xml:space="preserve">截至2020年9月30日止三個月</w:t>
      </w:r>
    </w:p>
    <w:p>
      <w:pPr>
        <w:pStyle w:val="BodyText"/>
      </w:pPr>
      <w:r>
        <w:rPr>
          <w:rFonts w:hint="eastAsia"/>
        </w:rPr>
        <w:t xml:space="preserve">截至2020年12月31日止三個月</w:t>
      </w:r>
    </w:p>
    <w:p>
      <w:pPr>
        <w:pStyle w:val="BodyText"/>
      </w:pPr>
      <w:r>
        <w:rPr>
          <w:rFonts w:hint="eastAsia"/>
        </w:rPr>
        <w:t xml:space="preserve">2019年價值</w:t>
      </w:r>
    </w:p>
    <w:p>
      <w:pPr>
        <w:pStyle w:val="BodyText"/>
      </w:pPr>
      <w:r>
        <w:rPr>
          <w:rFonts w:hint="eastAsia"/>
        </w:rPr>
        <w:t xml:space="preserve">截至2019年3月31日止三個月(1)</w:t>
      </w:r>
    </w:p>
    <w:p>
      <w:pPr>
        <w:pStyle w:val="BodyText"/>
      </w:pPr>
      <w:r>
        <w:rPr>
          <w:rFonts w:hint="eastAsia"/>
        </w:rPr>
        <w:t xml:space="preserve">截至2019年6月30日止三個月(1)</w:t>
      </w:r>
    </w:p>
    <w:p>
      <w:pPr>
        <w:pStyle w:val="BodyText"/>
      </w:pPr>
      <w:r>
        <w:rPr>
          <w:rFonts w:hint="eastAsia"/>
        </w:rPr>
        <w:t xml:space="preserve">截至2019年9月30日止三個月(1)</w:t>
      </w:r>
    </w:p>
    <w:p>
      <w:pPr>
        <w:pStyle w:val="BodyText"/>
      </w:pPr>
      <w:r>
        <w:rPr>
          <w:rFonts w:hint="eastAsia"/>
        </w:rPr>
        <w:t xml:space="preserve">截至2019年12月31日止三個月(1)</w:t>
      </w:r>
    </w:p>
    <w:p>
      <w:pPr>
        <w:pStyle w:val="BodyText"/>
      </w:pPr>
      <w:r>
        <w:rPr>
          <w:rFonts w:hint="eastAsia"/>
        </w:rPr>
        <w:t xml:space="preserve">附註：</w:t>
      </w:r>
    </w:p>
    <w:p>
      <w:pPr>
        <w:pStyle w:val="BodyText"/>
      </w:pPr>
      <w:r>
        <w:t xml:space="preserve">2,765</w:t>
      </w:r>
    </w:p>
    <w:p>
      <w:pPr>
        <w:pStyle w:val="BodyText"/>
      </w:pPr>
      <w:r>
        <w:t xml:space="preserve">5,219</w:t>
      </w:r>
    </w:p>
    <w:p>
      <w:pPr>
        <w:pStyle w:val="BodyText"/>
      </w:pPr>
      <w:r>
        <w:t xml:space="preserve">52.6%</w:t>
      </w:r>
    </w:p>
    <w:p>
      <w:pPr>
        <w:pStyle w:val="BodyText"/>
      </w:pPr>
      <w:r>
        <w:t xml:space="preserve">4,154</w:t>
      </w:r>
    </w:p>
    <w:p>
      <w:pPr>
        <w:pStyle w:val="BodyText"/>
      </w:pPr>
      <w:r>
        <w:t xml:space="preserve">6,585</w:t>
      </w:r>
    </w:p>
    <w:p>
      <w:pPr>
        <w:pStyle w:val="BodyText"/>
      </w:pPr>
      <w:r>
        <w:t xml:space="preserve">62.9%</w:t>
      </w:r>
    </w:p>
    <w:p>
      <w:pPr>
        <w:pStyle w:val="BodyText"/>
      </w:pPr>
      <w:r>
        <w:t xml:space="preserve">841</w:t>
      </w:r>
    </w:p>
    <w:p>
      <w:pPr>
        <w:pStyle w:val="BodyText"/>
      </w:pPr>
      <w:r>
        <w:t xml:space="preserve">569</w:t>
      </w:r>
    </w:p>
    <w:p>
      <w:pPr>
        <w:pStyle w:val="BodyText"/>
      </w:pPr>
      <w:r>
        <w:t xml:space="preserve">706</w:t>
      </w:r>
    </w:p>
    <w:p>
      <w:pPr>
        <w:pStyle w:val="BodyText"/>
      </w:pPr>
      <w:r>
        <w:t xml:space="preserve">649</w:t>
      </w:r>
    </w:p>
    <w:p>
      <w:pPr>
        <w:pStyle w:val="BodyText"/>
      </w:pPr>
      <w:r>
        <w:t xml:space="preserve">1,169</w:t>
      </w:r>
    </w:p>
    <w:p>
      <w:pPr>
        <w:pStyle w:val="BodyText"/>
      </w:pPr>
      <w:r>
        <w:t xml:space="preserve">1,106</w:t>
      </w:r>
    </w:p>
    <w:p>
      <w:pPr>
        <w:pStyle w:val="BodyText"/>
      </w:pPr>
      <w:r>
        <w:t xml:space="preserve">980</w:t>
      </w:r>
    </w:p>
    <w:p>
      <w:pPr>
        <w:pStyle w:val="BodyText"/>
      </w:pPr>
      <w:r>
        <w:t xml:space="preserve">899</w:t>
      </w:r>
    </w:p>
    <w:p>
      <w:pPr>
        <w:pStyle w:val="BodyText"/>
      </w:pPr>
      <w:r>
        <w:t xml:space="preserve">1,483</w:t>
      </w:r>
    </w:p>
    <w:p>
      <w:pPr>
        <w:pStyle w:val="BodyText"/>
      </w:pPr>
      <w:r>
        <w:t xml:space="preserve">1,096</w:t>
      </w:r>
    </w:p>
    <w:p>
      <w:pPr>
        <w:pStyle w:val="BodyText"/>
      </w:pPr>
      <w:r>
        <w:t xml:space="preserve">1,359</w:t>
      </w:r>
    </w:p>
    <w:p>
      <w:pPr>
        <w:pStyle w:val="BodyText"/>
      </w:pPr>
      <w:r>
        <w:t xml:space="preserve">1,281</w:t>
      </w:r>
    </w:p>
    <w:p>
      <w:pPr>
        <w:pStyle w:val="BodyText"/>
      </w:pPr>
      <w:r>
        <w:t xml:space="preserve">1,827</w:t>
      </w:r>
    </w:p>
    <w:p>
      <w:pPr>
        <w:pStyle w:val="BodyText"/>
      </w:pPr>
      <w:r>
        <w:t xml:space="preserve">1,616</w:t>
      </w:r>
    </w:p>
    <w:p>
      <w:pPr>
        <w:pStyle w:val="BodyText"/>
      </w:pPr>
      <w:r>
        <w:t xml:space="preserve">1,444</w:t>
      </w:r>
    </w:p>
    <w:p>
      <w:pPr>
        <w:pStyle w:val="BodyText"/>
      </w:pPr>
      <w:r>
        <w:t xml:space="preserve">1,698</w:t>
      </w:r>
    </w:p>
    <w:p>
      <w:pPr>
        <w:pStyle w:val="BodyText"/>
      </w:pPr>
      <w:r>
        <w:t xml:space="preserve">56.6%</w:t>
      </w:r>
    </w:p>
    <w:p>
      <w:pPr>
        <w:pStyle w:val="BodyText"/>
      </w:pPr>
      <w:r>
        <w:t xml:space="preserve">51.4%</w:t>
      </w:r>
    </w:p>
    <w:p>
      <w:pPr>
        <w:pStyle w:val="BodyText"/>
      </w:pPr>
      <w:r>
        <w:t xml:space="preserve">51.6%</w:t>
      </w:r>
    </w:p>
    <w:p>
      <w:pPr>
        <w:pStyle w:val="BodyText"/>
      </w:pPr>
      <w:r>
        <w:t xml:space="preserve">50.2%</w:t>
      </w:r>
    </w:p>
    <w:p>
      <w:pPr>
        <w:pStyle w:val="BodyText"/>
      </w:pPr>
      <w:r>
        <w:t xml:space="preserve">63.6%</w:t>
      </w:r>
    </w:p>
    <w:p>
      <w:pPr>
        <w:pStyle w:val="BodyText"/>
      </w:pPr>
      <w:r>
        <w:t xml:space="preserve">67.9%</w:t>
      </w:r>
    </w:p>
    <w:p>
      <w:pPr>
        <w:pStyle w:val="BodyText"/>
      </w:pPr>
      <w:r>
        <w:t xml:space="preserve">67.0%</w:t>
      </w:r>
    </w:p>
    <w:p>
      <w:pPr>
        <w:pStyle w:val="BodyText"/>
      </w:pPr>
      <w:r>
        <w:t xml:space="preserve">54.1%</w:t>
      </w:r>
    </w:p>
    <w:p>
      <w:pPr>
        <w:pStyle w:val="BodyText"/>
      </w:pPr>
      <w:r>
        <w:t xml:space="preserve">9%</w:t>
      </w:r>
    </w:p>
    <w:p>
      <w:pPr>
        <w:pStyle w:val="BodyText"/>
      </w:pPr>
      <w:r>
        <w:t xml:space="preserve">11%</w:t>
      </w:r>
    </w:p>
    <w:p>
      <w:pPr>
        <w:pStyle w:val="BodyText"/>
      </w:pPr>
      <w:r>
        <w:t xml:space="preserve">10%</w:t>
      </w:r>
    </w:p>
    <w:p>
      <w:pPr>
        <w:pStyle w:val="BodyText"/>
      </w:pPr>
      <w:r>
        <w:t xml:space="preserve">9%</w:t>
      </w:r>
    </w:p>
    <w:p>
      <w:pPr>
        <w:pStyle w:val="BodyText"/>
      </w:pPr>
      <w:r>
        <w:t xml:space="preserve">9%</w:t>
      </w:r>
    </w:p>
    <w:p>
      <w:pPr>
        <w:pStyle w:val="BodyText"/>
      </w:pPr>
      <w:r>
        <w:t xml:space="preserve">9%</w:t>
      </w:r>
    </w:p>
    <w:p>
      <w:pPr>
        <w:pStyle w:val="BodyText"/>
      </w:pPr>
      <w:r>
        <w:t xml:space="preserve">11%</w:t>
      </w:r>
    </w:p>
    <w:p>
      <w:pPr>
        <w:pStyle w:val="BodyText"/>
      </w:pPr>
      <w:r>
        <w:t xml:space="preserve">11%</w:t>
      </w:r>
    </w:p>
    <w:p>
      <w:pPr>
        <w:pStyle w:val="BodyText"/>
      </w:pPr>
      <w:r>
        <w:t xml:space="preserve">12%</w:t>
      </w:r>
    </w:p>
    <w:p>
      <w:pPr>
        <w:pStyle w:val="BodyText"/>
      </w:pPr>
      <w:r>
        <w:t xml:space="preserve">9%</w:t>
      </w:r>
    </w:p>
    <w:p>
      <w:pPr>
        <w:pStyle w:val="Compact"/>
        <w:numPr>
          <w:ilvl w:val="0"/>
          <w:numId w:val="1669"/>
        </w:numPr>
      </w:pPr>
      <w:r>
        <w:rPr>
          <w:rFonts w:hint="eastAsia"/>
        </w:rPr>
        <w:t xml:space="preserve">截至2019年9月30日止或之前各季度的新業務價值、年化新保費、新業務價值利潤率及新業務保費現值利潤率以未計本集團分佔Tata</w:t>
      </w:r>
      <w:r>
        <w:t xml:space="preserve"> AIA </w:t>
      </w:r>
      <w:r>
        <w:rPr>
          <w:rFonts w:hint="eastAsia"/>
        </w:rPr>
        <w:t xml:space="preserve">Life的份</w:t>
      </w:r>
      <w:r>
        <w:br/>
      </w:r>
      <w:r>
        <w:rPr>
          <w:rFonts w:hint="eastAsia"/>
        </w:rPr>
        <w:t xml:space="preserve">額且未扣除非控股權益應佔金額前呈列。截至2019年12月31日止三個月及十二個月的新業務價值、年化新保費、新業務價值利潤率及新業務保費</w:t>
      </w:r>
      <w:r>
        <w:br/>
      </w:r>
      <w:r>
        <w:rPr>
          <w:rFonts w:hint="eastAsia"/>
        </w:rPr>
        <w:t xml:space="preserve">現值利潤率已包括2019年全年本集團分佔Tata</w:t>
      </w:r>
      <w:r>
        <w:t xml:space="preserve"> AIA </w:t>
      </w:r>
      <w:r>
        <w:rPr>
          <w:rFonts w:hint="eastAsia"/>
        </w:rPr>
        <w:t xml:space="preserve">Life的份額，且（在適用情況下）以扣除2019年全年的非控股權益應佔金額後呈列。</w:t>
      </w:r>
    </w:p>
    <w:p>
      <w:pPr>
        <w:pStyle w:val="FirstParagraph"/>
      </w:pPr>
      <w:r>
        <w:t xml:space="preserve">275</w:t>
      </w:r>
    </w:p>
    <w:p>
      <w:pPr>
        <w:pStyle w:val="BodyText"/>
      </w:pPr>
      <w:r>
        <w:rPr>
          <w:rFonts w:hint="eastAsia"/>
        </w:rPr>
        <w:t xml:space="preserve">概覽財務及營運回顧企業管治其他資料財務報表2020年報</w:t>
      </w:r>
    </w:p>
    <w:p>
      <w:pPr>
        <w:pStyle w:val="Compact"/>
        <w:numPr>
          <w:ilvl w:val="0"/>
          <w:numId w:val="1670"/>
        </w:numPr>
      </w:pPr>
      <w:r>
        <w:rPr>
          <w:rFonts w:hint="eastAsia"/>
        </w:rPr>
        <w:t xml:space="preserve">內涵價值結果（續）</w:t>
      </w:r>
    </w:p>
    <w:p>
      <w:pPr>
        <w:pStyle w:val="FirstParagraph"/>
      </w:pPr>
      <w:r>
        <w:t xml:space="preserve">2.5 </w:t>
      </w:r>
      <w:r>
        <w:rPr>
          <w:rFonts w:hint="eastAsia"/>
        </w:rPr>
        <w:t xml:space="preserve">新業務價值（續）</w:t>
      </w:r>
    </w:p>
    <w:p>
      <w:pPr>
        <w:pStyle w:val="BodyText"/>
      </w:pPr>
      <w:r>
        <w:rPr>
          <w:rFonts w:hint="eastAsia"/>
        </w:rPr>
        <w:t xml:space="preserve">下表列出按業務單位劃分的新業務價值（不包括退休金業務）、年化新保費及新業務價值利潤率。</w:t>
      </w:r>
    </w:p>
    <w:p>
      <w:pPr>
        <w:pStyle w:val="BodyText"/>
      </w:pPr>
      <w:r>
        <w:rPr>
          <w:rFonts w:hint="eastAsia"/>
        </w:rPr>
        <w:t xml:space="preserve">按業務單位劃分的不包括退休金業務的新業務價值、年化新保費及新業務價值利潤率概要（百萬美元）</w:t>
      </w:r>
    </w:p>
    <w:p>
      <w:pPr>
        <w:pStyle w:val="BodyText"/>
      </w:pPr>
      <w:r>
        <w:rPr>
          <w:rFonts w:hint="eastAsia"/>
        </w:rPr>
        <w:t xml:space="preserve">截至2020年12月31日止年度</w:t>
      </w:r>
    </w:p>
    <w:p>
      <w:pPr>
        <w:pStyle w:val="BodyText"/>
      </w:pPr>
      <w:r>
        <w:rPr>
          <w:rFonts w:hint="eastAsia"/>
        </w:rPr>
        <w:t xml:space="preserve">截至2019年12月31日止年度</w:t>
      </w:r>
    </w:p>
    <w:p>
      <w:pPr>
        <w:pStyle w:val="BodyText"/>
      </w:pPr>
      <w:r>
        <w:rPr>
          <w:rFonts w:hint="eastAsia"/>
        </w:rPr>
        <w:t xml:space="preserve">新業務價值</w:t>
      </w:r>
      <w:r>
        <w:br/>
      </w:r>
      <w:r>
        <w:rPr>
          <w:rFonts w:hint="eastAsia"/>
        </w:rPr>
        <w:t xml:space="preserve">（不包括</w:t>
      </w:r>
      <w:r>
        <w:br/>
      </w:r>
      <w:r>
        <w:rPr>
          <w:rFonts w:hint="eastAsia"/>
        </w:rPr>
        <w:t xml:space="preserve">退休金業務）</w:t>
      </w:r>
    </w:p>
    <w:p>
      <w:pPr>
        <w:pStyle w:val="BodyText"/>
      </w:pPr>
      <w:r>
        <w:rPr>
          <w:rFonts w:hint="eastAsia"/>
        </w:rPr>
        <w:t xml:space="preserve">年化</w:t>
      </w:r>
      <w:r>
        <w:br/>
      </w:r>
      <w:r>
        <w:rPr>
          <w:rFonts w:hint="eastAsia"/>
        </w:rPr>
        <w:t xml:space="preserve">新保費</w:t>
      </w:r>
    </w:p>
    <w:p>
      <w:pPr>
        <w:pStyle w:val="BodyText"/>
      </w:pPr>
      <w:r>
        <w:rPr>
          <w:rFonts w:hint="eastAsia"/>
        </w:rPr>
        <w:t xml:space="preserve">新業務價值</w:t>
      </w:r>
      <w:r>
        <w:br/>
      </w:r>
      <w:r>
        <w:rPr>
          <w:rFonts w:hint="eastAsia"/>
        </w:rPr>
        <w:t xml:space="preserve">利潤率</w:t>
      </w:r>
    </w:p>
    <w:p>
      <w:pPr>
        <w:pStyle w:val="BodyText"/>
      </w:pPr>
      <w:r>
        <w:rPr>
          <w:rFonts w:hint="eastAsia"/>
        </w:rPr>
        <w:t xml:space="preserve">新業務價值</w:t>
      </w:r>
      <w:r>
        <w:br/>
      </w:r>
      <w:r>
        <w:rPr>
          <w:rFonts w:hint="eastAsia"/>
        </w:rPr>
        <w:t xml:space="preserve">（不包括</w:t>
      </w:r>
      <w:r>
        <w:br/>
      </w:r>
      <w:r>
        <w:rPr>
          <w:rFonts w:hint="eastAsia"/>
        </w:rPr>
        <w:t xml:space="preserve">退休金業務）</w:t>
      </w:r>
    </w:p>
    <w:p>
      <w:pPr>
        <w:pStyle w:val="BodyText"/>
      </w:pPr>
      <w:r>
        <w:rPr>
          <w:rFonts w:hint="eastAsia"/>
        </w:rPr>
        <w:t xml:space="preserve">年化</w:t>
      </w:r>
      <w:r>
        <w:br/>
      </w:r>
      <w:r>
        <w:rPr>
          <w:rFonts w:hint="eastAsia"/>
        </w:rPr>
        <w:t xml:space="preserve">新保費</w:t>
      </w:r>
    </w:p>
    <w:p>
      <w:pPr>
        <w:pStyle w:val="BodyText"/>
      </w:pPr>
      <w:r>
        <w:rPr>
          <w:rFonts w:hint="eastAsia"/>
        </w:rPr>
        <w:t xml:space="preserve">新業務價值</w:t>
      </w:r>
      <w:r>
        <w:br/>
      </w:r>
      <w:r>
        <w:rPr>
          <w:rFonts w:hint="eastAsia"/>
        </w:rPr>
        <w:t xml:space="preserve">利潤率</w:t>
      </w:r>
    </w:p>
    <w:p>
      <w:pPr>
        <w:pStyle w:val="BodyText"/>
      </w:pPr>
      <w:r>
        <w:t xml:space="preserve">509</w:t>
      </w:r>
    </w:p>
    <w:p>
      <w:pPr>
        <w:pStyle w:val="BodyText"/>
      </w:pPr>
      <w:r>
        <w:t xml:space="preserve">469</w:t>
      </w:r>
    </w:p>
    <w:p>
      <w:pPr>
        <w:pStyle w:val="BodyText"/>
      </w:pPr>
      <w:r>
        <w:t xml:space="preserve">330</w:t>
      </w:r>
    </w:p>
    <w:p>
      <w:pPr>
        <w:pStyle w:val="BodyText"/>
      </w:pPr>
      <w:r>
        <w:t xml:space="preserve">221</w:t>
      </w:r>
    </w:p>
    <w:p>
      <w:pPr>
        <w:pStyle w:val="BodyText"/>
      </w:pPr>
      <w:r>
        <w:t xml:space="preserve">968</w:t>
      </w:r>
    </w:p>
    <w:p>
      <w:pPr>
        <w:pStyle w:val="BodyText"/>
      </w:pPr>
      <w:r>
        <w:t xml:space="preserve">512</w:t>
      </w:r>
    </w:p>
    <w:p>
      <w:pPr>
        <w:pStyle w:val="BodyText"/>
      </w:pPr>
      <w:r>
        <w:t xml:space="preserve">3,009</w:t>
      </w:r>
    </w:p>
    <w:p>
      <w:pPr>
        <w:pStyle w:val="FirstParagraph"/>
      </w:pPr>
      <w:r>
        <w:t xml:space="preserve">2,907</w:t>
      </w:r>
    </w:p>
    <w:p>
      <w:pPr>
        <w:pStyle w:val="FirstParagraph"/>
      </w:pPr>
      <w:r>
        <w:t xml:space="preserve">2,746</w:t>
      </w:r>
    </w:p>
    <w:p>
      <w:pPr>
        <w:pStyle w:val="BodyText"/>
      </w:pPr>
      <w:r>
        <w:t xml:space="preserve">1,138</w:t>
      </w:r>
    </w:p>
    <w:p>
      <w:pPr>
        <w:pStyle w:val="BodyText"/>
      </w:pPr>
      <w:r>
        <w:t xml:space="preserve">661</w:t>
      </w:r>
    </w:p>
    <w:p>
      <w:pPr>
        <w:pStyle w:val="BodyText"/>
      </w:pPr>
      <w:r>
        <w:t xml:space="preserve">520</w:t>
      </w:r>
    </w:p>
    <w:p>
      <w:pPr>
        <w:pStyle w:val="BodyText"/>
      </w:pPr>
      <w:r>
        <w:t xml:space="preserve">369</w:t>
      </w:r>
    </w:p>
    <w:p>
      <w:pPr>
        <w:pStyle w:val="BodyText"/>
      </w:pPr>
      <w:r>
        <w:t xml:space="preserve">1,197</w:t>
      </w:r>
    </w:p>
    <w:p>
      <w:pPr>
        <w:pStyle w:val="BodyText"/>
      </w:pPr>
      <w:r>
        <w:t xml:space="preserve">1,334</w:t>
      </w:r>
    </w:p>
    <w:p>
      <w:pPr>
        <w:pStyle w:val="BodyText"/>
      </w:pPr>
      <w:r>
        <w:t xml:space="preserve">5,219</w:t>
      </w:r>
    </w:p>
    <w:p>
      <w:pPr>
        <w:pStyle w:val="BodyText"/>
      </w:pPr>
      <w:r>
        <w:t xml:space="preserve">–</w:t>
      </w:r>
    </w:p>
    <w:p>
      <w:pPr>
        <w:pStyle w:val="BodyText"/>
      </w:pPr>
      <w:r>
        <w:t xml:space="preserve">44.7%</w:t>
      </w:r>
    </w:p>
    <w:p>
      <w:pPr>
        <w:pStyle w:val="BodyText"/>
      </w:pPr>
      <w:r>
        <w:t xml:space="preserve">71.0%</w:t>
      </w:r>
    </w:p>
    <w:p>
      <w:pPr>
        <w:pStyle w:val="BodyText"/>
      </w:pPr>
      <w:r>
        <w:t xml:space="preserve">63.4%</w:t>
      </w:r>
    </w:p>
    <w:p>
      <w:pPr>
        <w:pStyle w:val="BodyText"/>
      </w:pPr>
      <w:r>
        <w:t xml:space="preserve">59.9%</w:t>
      </w:r>
    </w:p>
    <w:p>
      <w:pPr>
        <w:pStyle w:val="BodyText"/>
      </w:pPr>
      <w:r>
        <w:t xml:space="preserve">80.9%</w:t>
      </w:r>
    </w:p>
    <w:p>
      <w:pPr>
        <w:pStyle w:val="BodyText"/>
      </w:pPr>
      <w:r>
        <w:t xml:space="preserve">38.4%</w:t>
      </w:r>
    </w:p>
    <w:p>
      <w:pPr>
        <w:pStyle w:val="BodyText"/>
      </w:pPr>
      <w:r>
        <w:t xml:space="preserve">57.7%</w:t>
      </w:r>
    </w:p>
    <w:p>
      <w:pPr>
        <w:pStyle w:val="BodyText"/>
      </w:pPr>
      <w:r>
        <w:t xml:space="preserve">5,219</w:t>
      </w:r>
    </w:p>
    <w:p>
      <w:pPr>
        <w:pStyle w:val="BodyText"/>
      </w:pPr>
      <w:r>
        <w:t xml:space="preserve">55.7%</w:t>
      </w:r>
    </w:p>
    <w:p>
      <w:pPr>
        <w:pStyle w:val="BodyText"/>
      </w:pPr>
      <w:r>
        <w:t xml:space="preserve">–</w:t>
      </w:r>
    </w:p>
    <w:p>
      <w:pPr>
        <w:pStyle w:val="BodyText"/>
      </w:pPr>
      <w:r>
        <w:t xml:space="preserve">5,219</w:t>
      </w:r>
    </w:p>
    <w:p>
      <w:pPr>
        <w:pStyle w:val="BodyText"/>
      </w:pPr>
      <w:r>
        <w:t xml:space="preserve">52.6%</w:t>
      </w:r>
    </w:p>
    <w:p>
      <w:pPr>
        <w:pStyle w:val="BodyText"/>
      </w:pPr>
      <w:r>
        <w:t xml:space="preserve">1,583</w:t>
      </w:r>
    </w:p>
    <w:p>
      <w:pPr>
        <w:pStyle w:val="BodyText"/>
      </w:pPr>
      <w:r>
        <w:t xml:space="preserve">2,393</w:t>
      </w:r>
    </w:p>
    <w:p>
      <w:pPr>
        <w:pStyle w:val="BodyText"/>
      </w:pPr>
      <w:r>
        <w:t xml:space="preserve">494</w:t>
      </w:r>
    </w:p>
    <w:p>
      <w:pPr>
        <w:pStyle w:val="BodyText"/>
      </w:pPr>
      <w:r>
        <w:t xml:space="preserve">352</w:t>
      </w:r>
    </w:p>
    <w:p>
      <w:pPr>
        <w:pStyle w:val="BodyText"/>
      </w:pPr>
      <w:r>
        <w:t xml:space="preserve">256</w:t>
      </w:r>
    </w:p>
    <w:p>
      <w:pPr>
        <w:pStyle w:val="BodyText"/>
      </w:pPr>
      <w:r>
        <w:t xml:space="preserve">1,167</w:t>
      </w:r>
    </w:p>
    <w:p>
      <w:pPr>
        <w:pStyle w:val="BodyText"/>
      </w:pPr>
      <w:r>
        <w:t xml:space="preserve">533</w:t>
      </w:r>
    </w:p>
    <w:p>
      <w:pPr>
        <w:pStyle w:val="BodyText"/>
      </w:pPr>
      <w:r>
        <w:t xml:space="preserve">4,385</w:t>
      </w:r>
    </w:p>
    <w:p>
      <w:pPr>
        <w:pStyle w:val="FirstParagraph"/>
      </w:pPr>
      <w:r>
        <w:t xml:space="preserve">4,298</w:t>
      </w:r>
    </w:p>
    <w:p>
      <w:pPr>
        <w:pStyle w:val="FirstParagraph"/>
      </w:pPr>
      <w:r>
        <w:t xml:space="preserve">4,144</w:t>
      </w:r>
    </w:p>
    <w:p>
      <w:pPr>
        <w:pStyle w:val="BodyText"/>
      </w:pPr>
      <w:r>
        <w:t xml:space="preserve">66.1%</w:t>
      </w:r>
    </w:p>
    <w:p>
      <w:pPr>
        <w:pStyle w:val="BodyText"/>
      </w:pPr>
      <w:r>
        <w:t xml:space="preserve">67.7%</w:t>
      </w:r>
    </w:p>
    <w:p>
      <w:pPr>
        <w:pStyle w:val="BodyText"/>
      </w:pPr>
      <w:r>
        <w:t xml:space="preserve">65.5%</w:t>
      </w:r>
    </w:p>
    <w:p>
      <w:pPr>
        <w:pStyle w:val="BodyText"/>
      </w:pPr>
      <w:r>
        <w:t xml:space="preserve">63.1%</w:t>
      </w:r>
    </w:p>
    <w:p>
      <w:pPr>
        <w:pStyle w:val="BodyText"/>
      </w:pPr>
      <w:r>
        <w:t xml:space="preserve">93.5%</w:t>
      </w:r>
    </w:p>
    <w:p>
      <w:pPr>
        <w:pStyle w:val="BodyText"/>
      </w:pPr>
      <w:r>
        <w:t xml:space="preserve">41.9%</w:t>
      </w:r>
    </w:p>
    <w:p>
      <w:pPr>
        <w:pStyle w:val="BodyText"/>
      </w:pPr>
      <w:r>
        <w:t xml:space="preserve">66.6%</w:t>
      </w:r>
    </w:p>
    <w:p>
      <w:pPr>
        <w:pStyle w:val="BodyText"/>
      </w:pPr>
      <w:r>
        <w:t xml:space="preserve">729</w:t>
      </w:r>
    </w:p>
    <w:p>
      <w:pPr>
        <w:pStyle w:val="BodyText"/>
      </w:pPr>
      <w:r>
        <w:t xml:space="preserve">538</w:t>
      </w:r>
    </w:p>
    <w:p>
      <w:pPr>
        <w:pStyle w:val="BodyText"/>
      </w:pPr>
      <w:r>
        <w:t xml:space="preserve">406</w:t>
      </w:r>
    </w:p>
    <w:p>
      <w:pPr>
        <w:pStyle w:val="BodyText"/>
      </w:pPr>
      <w:r>
        <w:t xml:space="preserve">1,248</w:t>
      </w:r>
    </w:p>
    <w:p>
      <w:pPr>
        <w:pStyle w:val="BodyText"/>
      </w:pPr>
      <w:r>
        <w:t xml:space="preserve">1,271</w:t>
      </w:r>
    </w:p>
    <w:p>
      <w:pPr>
        <w:pStyle w:val="BodyText"/>
      </w:pPr>
      <w:r>
        <w:t xml:space="preserve">6,585</w:t>
      </w:r>
    </w:p>
    <w:p>
      <w:pPr>
        <w:pStyle w:val="BodyText"/>
      </w:pPr>
      <w:r>
        <w:t xml:space="preserve">–</w:t>
      </w:r>
    </w:p>
    <w:p>
      <w:pPr>
        <w:pStyle w:val="BodyText"/>
      </w:pPr>
      <w:r>
        <w:t xml:space="preserve">6,585</w:t>
      </w:r>
    </w:p>
    <w:p>
      <w:pPr>
        <w:pStyle w:val="BodyText"/>
      </w:pPr>
      <w:r>
        <w:t xml:space="preserve">65.3%</w:t>
      </w:r>
    </w:p>
    <w:p>
      <w:pPr>
        <w:pStyle w:val="BodyText"/>
      </w:pPr>
      <w:r>
        <w:t xml:space="preserve">–</w:t>
      </w:r>
    </w:p>
    <w:p>
      <w:pPr>
        <w:pStyle w:val="BodyText"/>
      </w:pPr>
      <w:r>
        <w:t xml:space="preserve">6,585</w:t>
      </w:r>
    </w:p>
    <w:p>
      <w:pPr>
        <w:pStyle w:val="BodyText"/>
      </w:pPr>
      <w:r>
        <w:t xml:space="preserve">62.9%</w:t>
      </w:r>
    </w:p>
    <w:p>
      <w:pPr>
        <w:pStyle w:val="BodyText"/>
      </w:pPr>
      <w:r>
        <w:rPr>
          <w:rFonts w:hint="eastAsia"/>
        </w:rPr>
        <w:t xml:space="preserve">業務單位</w:t>
      </w:r>
    </w:p>
    <w:p>
      <w:pPr>
        <w:pStyle w:val="BodyText"/>
      </w:pPr>
      <w:r>
        <w:rPr>
          <w:rFonts w:hint="eastAsia"/>
        </w:rPr>
        <w:t xml:space="preserve">AIA香港</w:t>
      </w:r>
    </w:p>
    <w:p>
      <w:pPr>
        <w:pStyle w:val="BodyText"/>
      </w:pPr>
      <w:r>
        <w:rPr>
          <w:rFonts w:hint="eastAsia"/>
        </w:rPr>
        <w:t xml:space="preserve">AIA泰國</w:t>
      </w:r>
    </w:p>
    <w:p>
      <w:pPr>
        <w:pStyle w:val="BodyText"/>
      </w:pPr>
      <w:r>
        <w:rPr>
          <w:rFonts w:hint="eastAsia"/>
        </w:rPr>
        <w:t xml:space="preserve">AIA新加坡</w:t>
      </w:r>
    </w:p>
    <w:p>
      <w:pPr>
        <w:pStyle w:val="BodyText"/>
      </w:pPr>
      <w:r>
        <w:rPr>
          <w:rFonts w:hint="eastAsia"/>
        </w:rPr>
        <w:t xml:space="preserve">AIA馬來西亞</w:t>
      </w:r>
    </w:p>
    <w:p>
      <w:pPr>
        <w:pStyle w:val="BodyText"/>
      </w:pPr>
      <w:r>
        <w:rPr>
          <w:rFonts w:hint="eastAsia"/>
        </w:rPr>
        <w:t xml:space="preserve">AIA中國</w:t>
      </w:r>
    </w:p>
    <w:p>
      <w:pPr>
        <w:pStyle w:val="BodyText"/>
      </w:pPr>
      <w:r>
        <w:rPr>
          <w:rFonts w:hint="eastAsia"/>
        </w:rPr>
        <w:t xml:space="preserve">其他市場</w:t>
      </w:r>
    </w:p>
    <w:p>
      <w:pPr>
        <w:pStyle w:val="BodyText"/>
      </w:pPr>
      <w:r>
        <w:rPr>
          <w:rFonts w:hint="eastAsia"/>
        </w:rPr>
        <w:t xml:space="preserve">未計未分配集團總部開支的總額（業務單位）</w:t>
      </w:r>
    </w:p>
    <w:p>
      <w:pPr>
        <w:pStyle w:val="BodyText"/>
      </w:pPr>
      <w:r>
        <w:rPr>
          <w:rFonts w:hint="eastAsia"/>
        </w:rPr>
        <w:t xml:space="preserve">為符合合併準備金及資本要求所作調整</w:t>
      </w:r>
    </w:p>
    <w:p>
      <w:pPr>
        <w:pStyle w:val="BodyText"/>
      </w:pPr>
      <w:r>
        <w:rPr>
          <w:rFonts w:hint="eastAsia"/>
        </w:rPr>
        <w:t xml:space="preserve">未計未分配集團總部開支的總額（經合併）</w:t>
      </w:r>
    </w:p>
    <w:p>
      <w:pPr>
        <w:pStyle w:val="BodyText"/>
      </w:pPr>
      <w:r>
        <w:rPr>
          <w:rFonts w:hint="eastAsia"/>
        </w:rPr>
        <w:t xml:space="preserve">未分配集團總部開支的稅後價值</w:t>
      </w:r>
    </w:p>
    <w:p>
      <w:pPr>
        <w:pStyle w:val="BodyText"/>
      </w:pPr>
      <w:r>
        <w:rPr>
          <w:rFonts w:hint="eastAsia"/>
        </w:rPr>
        <w:t xml:space="preserve">總計</w:t>
      </w:r>
    </w:p>
    <w:p>
      <w:pPr>
        <w:pStyle w:val="BodyText"/>
      </w:pPr>
      <w:r>
        <w:t xml:space="preserve">276</w:t>
      </w:r>
    </w:p>
    <w:p>
      <w:pPr>
        <w:pStyle w:val="BodyText"/>
      </w:pPr>
      <w:r>
        <w:rPr>
          <w:rFonts w:hint="eastAsia"/>
        </w:rPr>
        <w:t xml:space="preserve">友邦保險控股有限公司</w:t>
      </w:r>
    </w:p>
    <w:p>
      <w:pPr>
        <w:pStyle w:val="Compact"/>
        <w:numPr>
          <w:ilvl w:val="0"/>
          <w:numId w:val="1675"/>
        </w:numPr>
      </w:pPr>
      <w:r>
        <w:rPr>
          <w:rFonts w:hint="eastAsia"/>
        </w:rPr>
        <w:t xml:space="preserve">內涵價值結果（續）</w:t>
      </w:r>
    </w:p>
    <w:p>
      <w:pPr>
        <w:pStyle w:val="FirstParagraph"/>
      </w:pPr>
      <w:r>
        <w:t xml:space="preserve">2.6 </w:t>
      </w:r>
      <w:r>
        <w:rPr>
          <w:rFonts w:hint="eastAsia"/>
        </w:rPr>
        <w:t xml:space="preserve">內涵價值變動分析</w:t>
      </w:r>
    </w:p>
    <w:p>
      <w:pPr>
        <w:pStyle w:val="BodyText"/>
      </w:pPr>
      <w:r>
        <w:rPr>
          <w:rFonts w:hint="eastAsia"/>
        </w:rPr>
        <w:t xml:space="preserve">內涵價值變動分析（百萬美元）</w:t>
      </w:r>
    </w:p>
    <w:p>
      <w:pPr>
        <w:pStyle w:val="BodyText"/>
      </w:pPr>
      <w:r>
        <w:rPr>
          <w:rFonts w:hint="eastAsia"/>
        </w:rPr>
        <w:t xml:space="preserve">期初內涵價值</w:t>
      </w:r>
    </w:p>
    <w:p>
      <w:pPr>
        <w:pStyle w:val="BodyText"/>
      </w:pPr>
      <w:r>
        <w:rPr>
          <w:rFonts w:hint="eastAsia"/>
        </w:rPr>
        <w:t xml:space="preserve">購買價(2)</w:t>
      </w:r>
    </w:p>
    <w:p>
      <w:pPr>
        <w:pStyle w:val="BodyText"/>
      </w:pPr>
      <w:r>
        <w:rPr>
          <w:rFonts w:hint="eastAsia"/>
        </w:rPr>
        <w:t xml:space="preserve">已收購內涵價值(3)</w:t>
      </w:r>
    </w:p>
    <w:p>
      <w:pPr>
        <w:pStyle w:val="BodyText"/>
      </w:pPr>
      <w:r>
        <w:rPr>
          <w:rFonts w:hint="eastAsia"/>
        </w:rPr>
        <w:t xml:space="preserve">收購的影響</w:t>
      </w:r>
    </w:p>
    <w:p>
      <w:pPr>
        <w:pStyle w:val="BodyText"/>
      </w:pPr>
      <w:r>
        <w:rPr>
          <w:rFonts w:hint="eastAsia"/>
        </w:rPr>
        <w:t xml:space="preserve">新業務價值</w:t>
      </w:r>
    </w:p>
    <w:p>
      <w:pPr>
        <w:pStyle w:val="BodyText"/>
      </w:pPr>
      <w:r>
        <w:rPr>
          <w:rFonts w:hint="eastAsia"/>
        </w:rPr>
        <w:t xml:space="preserve">內涵價值的預期回報</w:t>
      </w:r>
    </w:p>
    <w:p>
      <w:pPr>
        <w:pStyle w:val="BodyText"/>
      </w:pPr>
      <w:r>
        <w:rPr>
          <w:rFonts w:hint="eastAsia"/>
        </w:rPr>
        <w:t xml:space="preserve">營運經驗差異</w:t>
      </w:r>
    </w:p>
    <w:p>
      <w:pPr>
        <w:pStyle w:val="BodyText"/>
      </w:pPr>
      <w:r>
        <w:rPr>
          <w:rFonts w:hint="eastAsia"/>
        </w:rPr>
        <w:t xml:space="preserve">營運假設變動</w:t>
      </w:r>
    </w:p>
    <w:p>
      <w:pPr>
        <w:pStyle w:val="BodyText"/>
      </w:pPr>
      <w:r>
        <w:rPr>
          <w:rFonts w:hint="eastAsia"/>
        </w:rPr>
        <w:t xml:space="preserve">財務費用</w:t>
      </w:r>
    </w:p>
    <w:p>
      <w:pPr>
        <w:pStyle w:val="BodyText"/>
      </w:pPr>
      <w:r>
        <w:rPr>
          <w:rFonts w:hint="eastAsia"/>
        </w:rPr>
        <w:t xml:space="preserve">內涵價值營運溢利</w:t>
      </w:r>
    </w:p>
    <w:p>
      <w:pPr>
        <w:pStyle w:val="BodyText"/>
      </w:pPr>
      <w:r>
        <w:rPr>
          <w:rFonts w:hint="eastAsia"/>
        </w:rPr>
        <w:t xml:space="preserve">投資回報差異</w:t>
      </w:r>
    </w:p>
    <w:p>
      <w:pPr>
        <w:pStyle w:val="BodyText"/>
      </w:pPr>
      <w:r>
        <w:rPr>
          <w:rFonts w:hint="eastAsia"/>
        </w:rPr>
        <w:t xml:space="preserve">經濟假設變動的影響</w:t>
      </w:r>
    </w:p>
    <w:p>
      <w:pPr>
        <w:pStyle w:val="BodyText"/>
      </w:pPr>
      <w:r>
        <w:rPr>
          <w:rFonts w:hint="eastAsia"/>
        </w:rPr>
        <w:t xml:space="preserve">其他非營運差異</w:t>
      </w:r>
    </w:p>
    <w:p>
      <w:pPr>
        <w:pStyle w:val="BodyText"/>
      </w:pPr>
      <w:r>
        <w:rPr>
          <w:rFonts w:hint="eastAsia"/>
        </w:rPr>
        <w:t xml:space="preserve">內涵價值溢利總額</w:t>
      </w:r>
    </w:p>
    <w:p>
      <w:pPr>
        <w:pStyle w:val="BodyText"/>
      </w:pPr>
      <w:r>
        <w:rPr>
          <w:rFonts w:hint="eastAsia"/>
        </w:rPr>
        <w:t xml:space="preserve">股息</w:t>
      </w:r>
    </w:p>
    <w:p>
      <w:pPr>
        <w:pStyle w:val="BodyText"/>
      </w:pPr>
      <w:r>
        <w:rPr>
          <w:rFonts w:hint="eastAsia"/>
        </w:rPr>
        <w:t xml:space="preserve">其他資本變動</w:t>
      </w:r>
    </w:p>
    <w:p>
      <w:pPr>
        <w:pStyle w:val="BodyText"/>
      </w:pPr>
      <w:r>
        <w:rPr>
          <w:rFonts w:hint="eastAsia"/>
        </w:rPr>
        <w:t xml:space="preserve">匯率變動的影響</w:t>
      </w:r>
    </w:p>
    <w:p>
      <w:pPr>
        <w:pStyle w:val="BodyText"/>
      </w:pPr>
      <w:r>
        <w:rPr>
          <w:rFonts w:hint="eastAsia"/>
        </w:rPr>
        <w:t xml:space="preserve">期末內涵價值</w:t>
      </w:r>
    </w:p>
    <w:p>
      <w:pPr>
        <w:pStyle w:val="BodyText"/>
      </w:pPr>
      <w:r>
        <w:rPr>
          <w:rFonts w:hint="eastAsia"/>
        </w:rPr>
        <w:t xml:space="preserve">附註：</w:t>
      </w:r>
    </w:p>
    <w:p>
      <w:pPr>
        <w:pStyle w:val="Compact"/>
        <w:numPr>
          <w:ilvl w:val="0"/>
          <w:numId w:val="1676"/>
        </w:numPr>
      </w:pPr>
      <w:r>
        <w:rPr>
          <w:rFonts w:hint="eastAsia"/>
        </w:rPr>
        <w:t xml:space="preserve">無意義。</w:t>
      </w:r>
    </w:p>
    <w:p>
      <w:pPr>
        <w:pStyle w:val="FirstParagraph"/>
      </w:pPr>
      <w:r>
        <w:rPr>
          <w:rFonts w:hint="eastAsia"/>
        </w:rPr>
        <w:t xml:space="preserve">截至2020年12月31日止年度</w:t>
      </w:r>
    </w:p>
    <w:p>
      <w:pPr>
        <w:pStyle w:val="BodyText"/>
      </w:pPr>
      <w:r>
        <w:rPr>
          <w:rFonts w:hint="eastAsia"/>
        </w:rPr>
        <w:t xml:space="preserve">截至2019年12月31日止年度</w:t>
      </w:r>
    </w:p>
    <w:p>
      <w:pPr>
        <w:pStyle w:val="BodyText"/>
      </w:pPr>
      <w:r>
        <w:rPr>
          <w:rFonts w:hint="eastAsia"/>
        </w:rPr>
        <w:t xml:space="preserve">按年變動</w:t>
      </w:r>
      <w:r>
        <w:br/>
      </w:r>
      <w:r>
        <w:rPr>
          <w:rFonts w:hint="eastAsia"/>
        </w:rPr>
        <w:t xml:space="preserve">（實質匯率）</w:t>
      </w:r>
    </w:p>
    <w:p>
      <w:pPr>
        <w:pStyle w:val="BodyText"/>
      </w:pPr>
      <w:r>
        <w:rPr>
          <w:rFonts w:hint="eastAsia"/>
        </w:rPr>
        <w:t xml:space="preserve">經調整</w:t>
      </w:r>
      <w:r>
        <w:br/>
      </w:r>
      <w:r>
        <w:rPr>
          <w:rFonts w:hint="eastAsia"/>
        </w:rPr>
        <w:t xml:space="preserve">資產淨值</w:t>
      </w:r>
    </w:p>
    <w:p>
      <w:pPr>
        <w:pStyle w:val="BodyText"/>
      </w:pPr>
      <w:r>
        <w:rPr>
          <w:rFonts w:hint="eastAsia"/>
        </w:rPr>
        <w:t xml:space="preserve">有效保單</w:t>
      </w:r>
      <w:r>
        <w:br/>
      </w:r>
      <w:r>
        <w:rPr>
          <w:rFonts w:hint="eastAsia"/>
        </w:rPr>
        <w:t xml:space="preserve">業務價值</w:t>
      </w:r>
    </w:p>
    <w:p>
      <w:pPr>
        <w:pStyle w:val="BodyText"/>
      </w:pPr>
      <w:r>
        <w:rPr>
          <w:rFonts w:hint="eastAsia"/>
        </w:rPr>
        <w:t xml:space="preserve">內涵價值</w:t>
      </w:r>
    </w:p>
    <w:p>
      <w:pPr>
        <w:pStyle w:val="BodyText"/>
      </w:pPr>
      <w:r>
        <w:rPr>
          <w:rFonts w:hint="eastAsia"/>
        </w:rPr>
        <w:t xml:space="preserve">經調整</w:t>
      </w:r>
      <w:r>
        <w:br/>
      </w:r>
      <w:r>
        <w:rPr>
          <w:rFonts w:hint="eastAsia"/>
        </w:rPr>
        <w:t xml:space="preserve">資產淨值</w:t>
      </w:r>
    </w:p>
    <w:p>
      <w:pPr>
        <w:pStyle w:val="BodyText"/>
      </w:pPr>
      <w:r>
        <w:rPr>
          <w:rFonts w:hint="eastAsia"/>
        </w:rPr>
        <w:t xml:space="preserve">有效保單</w:t>
      </w:r>
      <w:r>
        <w:br/>
      </w:r>
      <w:r>
        <w:rPr>
          <w:rFonts w:hint="eastAsia"/>
        </w:rPr>
        <w:t xml:space="preserve">業務價值</w:t>
      </w:r>
    </w:p>
    <w:p>
      <w:pPr>
        <w:pStyle w:val="BodyText"/>
      </w:pPr>
      <w:r>
        <w:rPr>
          <w:rFonts w:hint="eastAsia"/>
        </w:rPr>
        <w:t xml:space="preserve">內涵價值</w:t>
      </w:r>
    </w:p>
    <w:p>
      <w:pPr>
        <w:pStyle w:val="BodyText"/>
      </w:pPr>
      <w:r>
        <w:rPr>
          <w:rFonts w:hint="eastAsia"/>
        </w:rPr>
        <w:t xml:space="preserve">內涵價值</w:t>
      </w:r>
    </w:p>
    <w:p>
      <w:pPr>
        <w:pStyle w:val="BodyText"/>
      </w:pPr>
      <w:r>
        <w:t xml:space="preserve">28,241</w:t>
      </w:r>
    </w:p>
    <w:p>
      <w:pPr>
        <w:pStyle w:val="BodyText"/>
      </w:pPr>
      <w:r>
        <w:t xml:space="preserve">33,744</w:t>
      </w:r>
    </w:p>
    <w:p>
      <w:pPr>
        <w:pStyle w:val="BodyText"/>
      </w:pPr>
      <w:r>
        <w:t xml:space="preserve">61,985</w:t>
      </w:r>
    </w:p>
    <w:p>
      <w:pPr>
        <w:pStyle w:val="BodyText"/>
      </w:pPr>
      <w:r>
        <w:t xml:space="preserve">24,637</w:t>
      </w:r>
    </w:p>
    <w:p>
      <w:pPr>
        <w:pStyle w:val="BodyText"/>
      </w:pPr>
      <w:r>
        <w:t xml:space="preserve">29,880</w:t>
      </w:r>
    </w:p>
    <w:p>
      <w:pPr>
        <w:pStyle w:val="BodyText"/>
      </w:pPr>
      <w:r>
        <w:t xml:space="preserve">54,517</w:t>
      </w:r>
    </w:p>
    <w:p>
      <w:pPr>
        <w:pStyle w:val="BodyText"/>
      </w:pPr>
      <w:r>
        <w:t xml:space="preserve">14%</w:t>
      </w:r>
    </w:p>
    <w:p>
      <w:pPr>
        <w:pStyle w:val="FirstParagraph"/>
      </w:pPr>
      <w:r>
        <w:t xml:space="preserve">–</w:t>
      </w:r>
    </w:p>
    <w:p>
      <w:pPr>
        <w:pStyle w:val="FirstParagraph"/>
      </w:pPr>
      <w:r>
        <w:t xml:space="preserve">5,591</w:t>
      </w:r>
    </w:p>
    <w:p>
      <w:pPr>
        <w:pStyle w:val="BodyText"/>
      </w:pPr>
      <w:r>
        <w:t xml:space="preserve">538</w:t>
      </w:r>
    </w:p>
    <w:p>
      <w:pPr>
        <w:pStyle w:val="FirstParagraph"/>
      </w:pPr>
      <w:r>
        <w:t xml:space="preserve">5,125</w:t>
      </w:r>
    </w:p>
    <w:p>
      <w:pPr>
        <w:pStyle w:val="BodyText"/>
      </w:pPr>
      <w:r>
        <w:t xml:space="preserve">(3,446)</w:t>
      </w:r>
    </w:p>
    <w:p>
      <w:pPr>
        <w:pStyle w:val="BodyText"/>
      </w:pPr>
      <w:r>
        <w:t xml:space="preserve">35</w:t>
      </w:r>
    </w:p>
    <w:p>
      <w:pPr>
        <w:pStyle w:val="BodyText"/>
      </w:pPr>
      <w:r>
        <w:t xml:space="preserve">160</w:t>
      </w:r>
    </w:p>
    <w:p>
      <w:pPr>
        <w:pStyle w:val="BodyText"/>
      </w:pPr>
      <w:r>
        <w:t xml:space="preserve">1,874</w:t>
      </w:r>
    </w:p>
    <w:p>
      <w:pPr>
        <w:pStyle w:val="BodyText"/>
      </w:pPr>
      <w:r>
        <w:t xml:space="preserve">(1,997)</w:t>
      </w:r>
    </w:p>
    <w:p>
      <w:pPr>
        <w:pStyle w:val="BodyText"/>
      </w:pPr>
      <w:r>
        <w:t xml:space="preserve">81</w:t>
      </w:r>
    </w:p>
    <w:p>
      <w:pPr>
        <w:pStyle w:val="BodyText"/>
      </w:pPr>
      <w:r>
        <w:t xml:space="preserve">322</w:t>
      </w:r>
    </w:p>
    <w:p>
      <w:pPr>
        <w:pStyle w:val="BodyText"/>
      </w:pPr>
      <w:r>
        <w:t xml:space="preserve">–</w:t>
      </w:r>
    </w:p>
    <w:p>
      <w:pPr>
        <w:pStyle w:val="BodyText"/>
      </w:pPr>
      <w:r>
        <w:t xml:space="preserve">–</w:t>
      </w:r>
    </w:p>
    <w:p>
      <w:pPr>
        <w:pStyle w:val="BodyText"/>
      </w:pPr>
      <w:r>
        <w:t xml:space="preserve">–</w:t>
      </w:r>
    </w:p>
    <w:p>
      <w:pPr>
        <w:pStyle w:val="BodyText"/>
      </w:pPr>
      <w:r>
        <w:t xml:space="preserve">3,491</w:t>
      </w:r>
    </w:p>
    <w:p>
      <w:pPr>
        <w:pStyle w:val="BodyText"/>
      </w:pPr>
      <w:r>
        <w:t xml:space="preserve">(1,415)</w:t>
      </w:r>
    </w:p>
    <w:p>
      <w:pPr>
        <w:pStyle w:val="FirstParagraph"/>
      </w:pPr>
      <w:r>
        <w:t xml:space="preserve">47</w:t>
      </w:r>
    </w:p>
    <w:p>
      <w:pPr>
        <w:pStyle w:val="BodyText"/>
      </w:pPr>
      <w:r>
        <w:t xml:space="preserve">–</w:t>
      </w:r>
    </w:p>
    <w:p>
      <w:pPr>
        <w:pStyle w:val="BodyText"/>
      </w:pPr>
      <w:r>
        <w:t xml:space="preserve">2,118</w:t>
      </w:r>
    </w:p>
    <w:p>
      <w:pPr>
        <w:pStyle w:val="BodyText"/>
      </w:pPr>
      <w:r>
        <w:t xml:space="preserve">1,578</w:t>
      </w:r>
    </w:p>
    <w:p>
      <w:pPr>
        <w:pStyle w:val="BodyText"/>
      </w:pPr>
      <w:r>
        <w:t xml:space="preserve">(1,048)</w:t>
      </w:r>
    </w:p>
    <w:p>
      <w:pPr>
        <w:pStyle w:val="FirstParagraph"/>
      </w:pPr>
      <w:r>
        <w:t xml:space="preserve">2,158</w:t>
      </w:r>
    </w:p>
    <w:p>
      <w:pPr>
        <w:pStyle w:val="BodyText"/>
      </w:pPr>
      <w:r>
        <w:t xml:space="preserve">–</w:t>
      </w:r>
    </w:p>
    <w:p>
      <w:pPr>
        <w:pStyle w:val="BodyText"/>
      </w:pPr>
      <w:r>
        <w:t xml:space="preserve">–</w:t>
      </w:r>
    </w:p>
    <w:p>
      <w:pPr>
        <w:pStyle w:val="FirstParagraph"/>
      </w:pPr>
      <w:r>
        <w:t xml:space="preserve">–</w:t>
      </w:r>
    </w:p>
    <w:p>
      <w:pPr>
        <w:pStyle w:val="FirstParagraph"/>
      </w:pPr>
      <w:r>
        <w:t xml:space="preserve">2,765</w:t>
      </w:r>
    </w:p>
    <w:p>
      <w:pPr>
        <w:pStyle w:val="BodyText"/>
      </w:pPr>
      <w:r>
        <w:t xml:space="preserve">4,176</w:t>
      </w:r>
    </w:p>
    <w:p>
      <w:pPr>
        <w:pStyle w:val="BodyText"/>
      </w:pPr>
      <w:r>
        <w:t xml:space="preserve">533</w:t>
      </w:r>
    </w:p>
    <w:p>
      <w:pPr>
        <w:pStyle w:val="BodyText"/>
      </w:pPr>
      <w:r>
        <w:t xml:space="preserve">16</w:t>
      </w:r>
    </w:p>
    <w:p>
      <w:pPr>
        <w:pStyle w:val="FirstParagraph"/>
      </w:pPr>
      <w:r>
        <w:t xml:space="preserve">7,243</w:t>
      </w:r>
    </w:p>
    <w:p>
      <w:pPr>
        <w:pStyle w:val="BodyText"/>
      </w:pPr>
      <w:r>
        <w:t xml:space="preserve">(1,868)</w:t>
      </w:r>
    </w:p>
    <w:p>
      <w:pPr>
        <w:pStyle w:val="BodyText"/>
      </w:pPr>
      <w:r>
        <w:t xml:space="preserve">(1,013)</w:t>
      </w:r>
    </w:p>
    <w:p>
      <w:pPr>
        <w:pStyle w:val="FirstParagraph"/>
      </w:pPr>
      <w:r>
        <w:t xml:space="preserve">4,032</w:t>
      </w:r>
    </w:p>
    <w:p>
      <w:pPr>
        <w:pStyle w:val="BodyText"/>
      </w:pPr>
      <w:r>
        <w:t xml:space="preserve">(1,454)</w:t>
      </w:r>
    </w:p>
    <w:p>
      <w:pPr>
        <w:pStyle w:val="BodyText"/>
      </w:pPr>
      <w:r>
        <w:t xml:space="preserve">790</w:t>
      </w:r>
    </w:p>
    <w:p>
      <w:pPr>
        <w:pStyle w:val="FirstParagraph"/>
      </w:pPr>
      <w:r>
        <w:t xml:space="preserve">5,072</w:t>
      </w:r>
    </w:p>
    <w:p>
      <w:pPr>
        <w:pStyle w:val="BodyText"/>
      </w:pPr>
      <w:r>
        <w:t xml:space="preserve">394</w:t>
      </w:r>
    </w:p>
    <w:p>
      <w:pPr>
        <w:pStyle w:val="FirstParagraph"/>
      </w:pPr>
      <w:r>
        <w:t xml:space="preserve">4,538</w:t>
      </w:r>
    </w:p>
    <w:p>
      <w:pPr>
        <w:pStyle w:val="FirstParagraph"/>
      </w:pPr>
      <w:r>
        <w:t xml:space="preserve">65</w:t>
      </w:r>
    </w:p>
    <w:p>
      <w:pPr>
        <w:pStyle w:val="BodyText"/>
      </w:pPr>
      <w:r>
        <w:t xml:space="preserve">2,491</w:t>
      </w:r>
    </w:p>
    <w:p>
      <w:pPr>
        <w:pStyle w:val="BodyText"/>
      </w:pPr>
      <w:r>
        <w:t xml:space="preserve">6,152</w:t>
      </w:r>
    </w:p>
    <w:p>
      <w:pPr>
        <w:pStyle w:val="BodyText"/>
      </w:pPr>
      <w:r>
        <w:t xml:space="preserve">(1,997)</w:t>
      </w:r>
    </w:p>
    <w:p>
      <w:pPr>
        <w:pStyle w:val="BodyText"/>
      </w:pPr>
      <w:r>
        <w:t xml:space="preserve">(1,961)</w:t>
      </w:r>
    </w:p>
    <w:p>
      <w:pPr>
        <w:pStyle w:val="BodyText"/>
      </w:pPr>
      <w:r>
        <w:t xml:space="preserve">–</w:t>
      </w:r>
    </w:p>
    <w:p>
      <w:pPr>
        <w:pStyle w:val="BodyText"/>
      </w:pPr>
      <w:r>
        <w:t xml:space="preserve">417</w:t>
      </w:r>
    </w:p>
    <w:p>
      <w:pPr>
        <w:pStyle w:val="BodyText"/>
      </w:pPr>
      <w:r>
        <w:t xml:space="preserve">417</w:t>
      </w:r>
    </w:p>
    <w:p>
      <w:pPr>
        <w:pStyle w:val="BodyText"/>
      </w:pPr>
      <w:r>
        <w:t xml:space="preserve">4,856</w:t>
      </w:r>
    </w:p>
    <w:p>
      <w:pPr>
        <w:pStyle w:val="FirstParagraph"/>
      </w:pPr>
      <w:r>
        <w:t xml:space="preserve">206</w:t>
      </w:r>
    </w:p>
    <w:p>
      <w:pPr>
        <w:pStyle w:val="BodyText"/>
      </w:pPr>
      <w:r>
        <w:t xml:space="preserve">52</w:t>
      </w:r>
    </w:p>
    <w:p>
      <w:pPr>
        <w:pStyle w:val="BodyText"/>
      </w:pPr>
      <w:r>
        <w:t xml:space="preserve">–</w:t>
      </w:r>
    </w:p>
    <w:p>
      <w:pPr>
        <w:pStyle w:val="BodyText"/>
      </w:pPr>
      <w:r>
        <w:t xml:space="preserve">4,147</w:t>
      </w:r>
    </w:p>
    <w:p>
      <w:pPr>
        <w:pStyle w:val="BodyText"/>
      </w:pPr>
      <w:r>
        <w:t xml:space="preserve">1,459</w:t>
      </w:r>
    </w:p>
    <w:p>
      <w:pPr>
        <w:pStyle w:val="FirstParagraph"/>
      </w:pPr>
      <w:r>
        <w:t xml:space="preserve">(2,569)</w:t>
      </w:r>
    </w:p>
    <w:p>
      <w:pPr>
        <w:pStyle w:val="BodyText"/>
      </w:pPr>
      <w:r>
        <w:t xml:space="preserve">2,718</w:t>
      </w:r>
    </w:p>
    <w:p>
      <w:pPr>
        <w:pStyle w:val="BodyText"/>
      </w:pPr>
      <w:r>
        <w:t xml:space="preserve">–</w:t>
      </w:r>
    </w:p>
    <w:p>
      <w:pPr>
        <w:pStyle w:val="BodyText"/>
      </w:pPr>
      <w:r>
        <w:t xml:space="preserve">–</w:t>
      </w:r>
    </w:p>
    <w:p>
      <w:pPr>
        <w:pStyle w:val="BodyText"/>
      </w:pPr>
      <w:r>
        <w:t xml:space="preserve">729</w:t>
      </w:r>
    </w:p>
    <w:p>
      <w:pPr>
        <w:pStyle w:val="BodyText"/>
      </w:pPr>
      <w:r>
        <w:t xml:space="preserve">(1,454) </w:t>
      </w:r>
      <w:r>
        <w:rPr>
          <w:rFonts w:hint="eastAsia"/>
        </w:rPr>
        <w:t xml:space="preserve">無意義(1)</w:t>
      </w:r>
    </w:p>
    <w:p>
      <w:pPr>
        <w:pStyle w:val="BodyText"/>
      </w:pPr>
      <w:r>
        <w:t xml:space="preserve">1,207</w:t>
      </w:r>
    </w:p>
    <w:p>
      <w:pPr>
        <w:pStyle w:val="BodyText"/>
      </w:pPr>
      <w:r>
        <w:rPr>
          <w:rFonts w:hint="eastAsia"/>
        </w:rPr>
        <w:t xml:space="preserve">無意義</w:t>
      </w:r>
    </w:p>
    <w:p>
      <w:pPr>
        <w:pStyle w:val="Compact"/>
        <w:numPr>
          <w:ilvl w:val="0"/>
          <w:numId w:val="1691"/>
        </w:numPr>
      </w:pPr>
      <w:r>
        <w:rPr>
          <w:rFonts w:hint="eastAsia"/>
        </w:rPr>
        <w:t xml:space="preserve">無意義</w:t>
      </w:r>
    </w:p>
    <w:p>
      <w:pPr>
        <w:pStyle w:val="FirstParagraph"/>
      </w:pPr>
      <w:r>
        <w:t xml:space="preserve">4,154</w:t>
      </w:r>
    </w:p>
    <w:p>
      <w:pPr>
        <w:pStyle w:val="BodyText"/>
      </w:pPr>
      <w:r>
        <w:t xml:space="preserve">4,105</w:t>
      </w:r>
    </w:p>
    <w:p>
      <w:pPr>
        <w:pStyle w:val="BodyText"/>
      </w:pPr>
      <w:r>
        <w:t xml:space="preserve">600</w:t>
      </w:r>
    </w:p>
    <w:p>
      <w:pPr>
        <w:pStyle w:val="BodyText"/>
      </w:pPr>
      <w:r>
        <w:t xml:space="preserve">34</w:t>
      </w:r>
    </w:p>
    <w:p>
      <w:pPr>
        <w:pStyle w:val="FirstParagraph"/>
      </w:pPr>
      <w:r>
        <w:t xml:space="preserve">8,685</w:t>
      </w:r>
    </w:p>
    <w:p>
      <w:pPr>
        <w:pStyle w:val="BodyText"/>
      </w:pPr>
      <w:r>
        <w:t xml:space="preserve">517</w:t>
      </w:r>
    </w:p>
    <w:p>
      <w:pPr>
        <w:pStyle w:val="BodyText"/>
      </w:pPr>
      <w:r>
        <w:t xml:space="preserve">(33)%</w:t>
      </w:r>
    </w:p>
    <w:p>
      <w:pPr>
        <w:pStyle w:val="BodyText"/>
      </w:pPr>
      <w:r>
        <w:t xml:space="preserve">2%</w:t>
      </w:r>
    </w:p>
    <w:p>
      <w:pPr>
        <w:pStyle w:val="BodyText"/>
      </w:pPr>
      <w:r>
        <w:rPr>
          <w:rFonts w:hint="eastAsia"/>
        </w:rPr>
        <w:t xml:space="preserve">無意義</w:t>
      </w:r>
    </w:p>
    <w:p>
      <w:pPr>
        <w:pStyle w:val="BodyText"/>
      </w:pPr>
      <w:r>
        <w:rPr>
          <w:rFonts w:hint="eastAsia"/>
        </w:rPr>
        <w:t xml:space="preserve">無意義</w:t>
      </w:r>
    </w:p>
    <w:p>
      <w:pPr>
        <w:pStyle w:val="BodyText"/>
      </w:pPr>
      <w:r>
        <w:t xml:space="preserve">19%</w:t>
      </w:r>
    </w:p>
    <w:p>
      <w:pPr>
        <w:pStyle w:val="BodyText"/>
      </w:pPr>
      <w:r>
        <w:t xml:space="preserve">(17)%</w:t>
      </w:r>
    </w:p>
    <w:p>
      <w:pPr>
        <w:pStyle w:val="BodyText"/>
      </w:pPr>
      <w:r>
        <w:rPr>
          <w:rFonts w:hint="eastAsia"/>
        </w:rPr>
        <w:t xml:space="preserve">無意義</w:t>
      </w:r>
    </w:p>
    <w:p>
      <w:pPr>
        <w:numPr>
          <w:ilvl w:val="0"/>
          <w:numId w:val="1693"/>
        </w:numPr>
      </w:pPr>
      <w:r>
        <w:rPr>
          <w:rFonts w:hint="eastAsia"/>
        </w:rPr>
        <w:t xml:space="preserve">無意義</w:t>
      </w:r>
    </w:p>
    <w:p>
      <w:pPr>
        <w:numPr>
          <w:ilvl w:val="0"/>
          <w:numId w:val="1693"/>
        </w:numPr>
      </w:pPr>
      <w:r>
        <w:rPr>
          <w:rFonts w:hint="eastAsia"/>
        </w:rPr>
        <w:t xml:space="preserve">無意義</w:t>
      </w:r>
    </w:p>
    <w:p>
      <w:pPr>
        <w:pStyle w:val="FirstParagraph"/>
      </w:pPr>
      <w:r>
        <w:t xml:space="preserve">8,870</w:t>
      </w:r>
    </w:p>
    <w:p>
      <w:pPr>
        <w:pStyle w:val="BodyText"/>
      </w:pPr>
      <w:r>
        <w:t xml:space="preserve">(1,961)</w:t>
      </w:r>
    </w:p>
    <w:p>
      <w:pPr>
        <w:pStyle w:val="BodyText"/>
      </w:pPr>
      <w:r>
        <w:t xml:space="preserve">136</w:t>
      </w:r>
    </w:p>
    <w:p>
      <w:pPr>
        <w:pStyle w:val="BodyText"/>
      </w:pPr>
      <w:r>
        <w:t xml:space="preserve">670</w:t>
      </w:r>
    </w:p>
    <w:p>
      <w:pPr>
        <w:pStyle w:val="BodyText"/>
      </w:pPr>
      <w:r>
        <w:rPr>
          <w:rFonts w:hint="eastAsia"/>
        </w:rPr>
        <w:t xml:space="preserve">無意義</w:t>
      </w:r>
    </w:p>
    <w:p>
      <w:pPr>
        <w:pStyle w:val="BodyText"/>
      </w:pPr>
      <w:r>
        <w:t xml:space="preserve">2%</w:t>
      </w:r>
    </w:p>
    <w:p>
      <w:pPr>
        <w:pStyle w:val="BodyText"/>
      </w:pPr>
      <w:r>
        <w:t xml:space="preserve">(40)%</w:t>
      </w:r>
    </w:p>
    <w:p>
      <w:pPr>
        <w:pStyle w:val="BodyText"/>
      </w:pPr>
      <w:r>
        <w:rPr>
          <w:rFonts w:hint="eastAsia"/>
        </w:rPr>
        <w:t xml:space="preserve">無意義</w:t>
      </w:r>
    </w:p>
    <w:p>
      <w:pPr>
        <w:pStyle w:val="BodyText"/>
      </w:pPr>
      <w:r>
        <w:t xml:space="preserve">5%</w:t>
      </w:r>
    </w:p>
    <w:p>
      <w:pPr>
        <w:pStyle w:val="BodyText"/>
      </w:pPr>
      <w:r>
        <w:t xml:space="preserve">81</w:t>
      </w:r>
    </w:p>
    <w:p>
      <w:pPr>
        <w:pStyle w:val="BodyText"/>
      </w:pPr>
      <w:r>
        <w:t xml:space="preserve">842</w:t>
      </w:r>
    </w:p>
    <w:p>
      <w:pPr>
        <w:pStyle w:val="BodyText"/>
      </w:pPr>
      <w:r>
        <w:t xml:space="preserve">1,164</w:t>
      </w:r>
    </w:p>
    <w:p>
      <w:pPr>
        <w:pStyle w:val="BodyText"/>
      </w:pPr>
      <w:r>
        <w:t xml:space="preserve">136</w:t>
      </w:r>
    </w:p>
    <w:p>
      <w:pPr>
        <w:pStyle w:val="FirstParagraph"/>
      </w:pPr>
      <w:r>
        <w:t xml:space="preserve">28,503</w:t>
      </w:r>
    </w:p>
    <w:p>
      <w:pPr>
        <w:pStyle w:val="BodyText"/>
      </w:pPr>
      <w:r>
        <w:t xml:space="preserve">36,744</w:t>
      </w:r>
    </w:p>
    <w:p>
      <w:pPr>
        <w:pStyle w:val="BodyText"/>
      </w:pPr>
      <w:r>
        <w:t xml:space="preserve">65,247</w:t>
      </w:r>
    </w:p>
    <w:p>
      <w:pPr>
        <w:pStyle w:val="BodyText"/>
      </w:pPr>
      <w:r>
        <w:t xml:space="preserve">28,241</w:t>
      </w:r>
    </w:p>
    <w:p>
      <w:pPr>
        <w:pStyle w:val="BodyText"/>
      </w:pPr>
      <w:r>
        <w:t xml:space="preserve">33,744</w:t>
      </w:r>
    </w:p>
    <w:p>
      <w:pPr>
        <w:pStyle w:val="BodyText"/>
      </w:pPr>
      <w:r>
        <w:t xml:space="preserve">61,985</w:t>
      </w:r>
    </w:p>
    <w:p>
      <w:pPr>
        <w:pStyle w:val="Compact"/>
        <w:numPr>
          <w:ilvl w:val="0"/>
          <w:numId w:val="1695"/>
        </w:numPr>
      </w:pPr>
      <w:r>
        <w:rPr>
          <w:rFonts w:hint="eastAsia"/>
        </w:rPr>
        <w:t xml:space="preserve">2020年購買價指按國際財務報告準則所編製的合併財務報表附註5就The</w:t>
      </w:r>
      <w:r>
        <w:t xml:space="preserve"> Colonial Mutual Life Assurance Society Limited </w:t>
      </w:r>
      <w:r>
        <w:rPr>
          <w:rFonts w:hint="eastAsia"/>
        </w:rPr>
        <w:t xml:space="preserve">(CMLA)與澳洲聯邦銀行</w:t>
      </w:r>
    </w:p>
    <w:p>
      <w:pPr>
        <w:pStyle w:val="FirstParagraph"/>
      </w:pPr>
      <w:r>
        <w:rPr>
          <w:rFonts w:hint="eastAsia"/>
        </w:rPr>
        <w:t xml:space="preserve">訂立的交替安排的購買價調整。</w:t>
      </w:r>
    </w:p>
    <w:p>
      <w:pPr>
        <w:pStyle w:val="Compact"/>
        <w:numPr>
          <w:ilvl w:val="0"/>
          <w:numId w:val="1696"/>
        </w:numPr>
      </w:pPr>
      <w:r>
        <w:rPr>
          <w:rFonts w:hint="eastAsia"/>
        </w:rPr>
        <w:t xml:space="preserve">CMLA的已收購內涵價值乃按2019年11月1日的金額計算，並已扣除相關再保險協議的影響。</w:t>
      </w:r>
    </w:p>
    <w:p>
      <w:pPr>
        <w:pStyle w:val="FirstParagraph"/>
      </w:pPr>
      <w:r>
        <w:t xml:space="preserve">277</w:t>
      </w:r>
    </w:p>
    <w:p>
      <w:pPr>
        <w:pStyle w:val="BodyText"/>
      </w:pPr>
      <w:r>
        <w:rPr>
          <w:rFonts w:hint="eastAsia"/>
        </w:rPr>
        <w:t xml:space="preserve">概覽財務及營運回顧企業管治其他資料財務報表2020年報</w:t>
      </w:r>
    </w:p>
    <w:p>
      <w:pPr>
        <w:pStyle w:val="Compact"/>
        <w:numPr>
          <w:ilvl w:val="0"/>
          <w:numId w:val="1697"/>
        </w:numPr>
      </w:pPr>
      <w:r>
        <w:rPr>
          <w:rFonts w:hint="eastAsia"/>
        </w:rPr>
        <w:t xml:space="preserve">內涵價值結果（續）</w:t>
      </w:r>
    </w:p>
    <w:p>
      <w:pPr>
        <w:pStyle w:val="FirstParagraph"/>
      </w:pPr>
      <w:r>
        <w:t xml:space="preserve">2.6 </w:t>
      </w:r>
      <w:r>
        <w:rPr>
          <w:rFonts w:hint="eastAsia"/>
        </w:rPr>
        <w:t xml:space="preserve">內涵價值變動分析（續）</w:t>
      </w:r>
    </w:p>
    <w:p>
      <w:pPr>
        <w:pStyle w:val="BodyText"/>
      </w:pPr>
      <w:r>
        <w:rPr>
          <w:rFonts w:hint="eastAsia"/>
        </w:rPr>
        <w:t xml:space="preserve">於2020年12月31日，內涵價值增加至652.47億美元，較2019年12月31日的619.85億美元增長3%。</w:t>
      </w:r>
    </w:p>
    <w:p>
      <w:pPr>
        <w:pStyle w:val="BodyText"/>
      </w:pPr>
      <w:r>
        <w:rPr>
          <w:rFonts w:hint="eastAsia"/>
        </w:rPr>
        <w:t xml:space="preserve">內涵價值營運溢利為72.43億美元（2019年：86.85億美元），反映了新業務價值27.65億美元（2019年：41.54億美元）、內涵價</w:t>
      </w:r>
    </w:p>
    <w:p>
      <w:pPr>
        <w:pStyle w:val="BodyText"/>
      </w:pPr>
      <w:r>
        <w:rPr>
          <w:rFonts w:hint="eastAsia"/>
        </w:rPr>
        <w:t xml:space="preserve">值的預期回報41.76億美元（2019年：41.05億美元），及再次錄得正面影響的營運經驗差異及營運假設變動5.49億美元（2019</w:t>
      </w:r>
    </w:p>
    <w:p>
      <w:pPr>
        <w:pStyle w:val="BodyText"/>
      </w:pPr>
      <w:r>
        <w:rPr>
          <w:rFonts w:hint="eastAsia"/>
        </w:rPr>
        <w:t xml:space="preserve">年：6.34億美元），並扣除財務費用2.47億美元（2019年：2.08億美元）。</w:t>
      </w:r>
    </w:p>
    <w:p>
      <w:pPr>
        <w:pStyle w:val="BodyText"/>
      </w:pPr>
      <w:r>
        <w:rPr>
          <w:rFonts w:hint="eastAsia"/>
        </w:rPr>
        <w:t xml:space="preserve">截至2020年12月31日止年度新業務價值乃按年內承保業務於銷售當時計算。內涵價值的預期回報乃年內內涵價值的預期變</w:t>
      </w:r>
    </w:p>
    <w:p>
      <w:pPr>
        <w:pStyle w:val="BodyText"/>
      </w:pPr>
      <w:r>
        <w:rPr>
          <w:rFonts w:hint="eastAsia"/>
        </w:rPr>
        <w:t xml:space="preserve">動，加上截至2020年12月31日的新業務價值的預期回報。營運經驗差異反映年內實際經驗與按營運假設之預測的差別引致對</w:t>
      </w:r>
    </w:p>
    <w:p>
      <w:pPr>
        <w:pStyle w:val="BodyText"/>
      </w:pPr>
      <w:r>
        <w:rPr>
          <w:rFonts w:hint="eastAsia"/>
        </w:rPr>
        <w:t xml:space="preserve">經調整資產淨值及有效保單業務價值的影響。</w:t>
      </w:r>
    </w:p>
    <w:p>
      <w:pPr>
        <w:pStyle w:val="BodyText"/>
      </w:pPr>
      <w:r>
        <w:rPr>
          <w:rFonts w:hint="eastAsia"/>
        </w:rPr>
        <w:t xml:space="preserve">除稅後營運經驗差異令內涵價值增加5.33億美元（2019年：增加6.00億美元），此包括：</w:t>
      </w:r>
    </w:p>
    <w:p>
      <w:pPr>
        <w:pStyle w:val="BodyText"/>
      </w:pPr>
      <w:r>
        <w:t xml:space="preserve">• </w:t>
      </w:r>
      <w:r>
        <w:rPr>
          <w:rFonts w:hint="eastAsia"/>
        </w:rPr>
        <w:t xml:space="preserve">開支差異600萬美元（2019年：2,800萬美元）；部分被開發成本500萬美元（2019年：2,400萬美元）所抵銷；</w:t>
      </w:r>
    </w:p>
    <w:p>
      <w:pPr>
        <w:pStyle w:val="BodyText"/>
      </w:pPr>
      <w:r>
        <w:t xml:space="preserve">• </w:t>
      </w:r>
      <w:r>
        <w:rPr>
          <w:rFonts w:hint="eastAsia"/>
        </w:rPr>
        <w:t xml:space="preserve">死亡及傷病賠款差異3.84億美元（2019年：2.12億美元）；及</w:t>
      </w:r>
    </w:p>
    <w:p>
      <w:pPr>
        <w:pStyle w:val="BodyText"/>
      </w:pPr>
      <w:r>
        <w:t xml:space="preserve">• </w:t>
      </w:r>
      <w:r>
        <w:rPr>
          <w:rFonts w:hint="eastAsia"/>
        </w:rPr>
        <w:t xml:space="preserve">續保率及其他差異1.48億美元（2019年：3.84億美元），包括續保率差異(4,900)萬美元（2019年：7,700萬美元）及管理層</w:t>
      </w:r>
    </w:p>
    <w:p>
      <w:pPr>
        <w:pStyle w:val="BodyText"/>
      </w:pPr>
      <w:r>
        <w:rPr>
          <w:rFonts w:hint="eastAsia"/>
        </w:rPr>
        <w:t xml:space="preserve">採取的行動產生的其他差異1.97億美元（2019年：3.07億美元）。</w:t>
      </w:r>
    </w:p>
    <w:p>
      <w:pPr>
        <w:pStyle w:val="BodyText"/>
      </w:pPr>
      <w:r>
        <w:rPr>
          <w:rFonts w:hint="eastAsia"/>
        </w:rPr>
        <w:t xml:space="preserve">營運假設變動於年內的影響令內涵價值增加1,600萬美元（2019年：內涵價值增加3,400萬美元）。</w:t>
      </w:r>
    </w:p>
    <w:p>
      <w:pPr>
        <w:pStyle w:val="BodyText"/>
      </w:pPr>
      <w:r>
        <w:rPr>
          <w:rFonts w:hint="eastAsia"/>
        </w:rPr>
        <w:t xml:space="preserve">內涵價值溢利40.32億美元（2019年：88.70億美元）為內涵價值營運溢利、投資回報差異、經濟假設變動的影響及其他非營</w:t>
      </w:r>
    </w:p>
    <w:p>
      <w:pPr>
        <w:pStyle w:val="BodyText"/>
      </w:pPr>
      <w:r>
        <w:rPr>
          <w:rFonts w:hint="eastAsia"/>
        </w:rPr>
        <w:t xml:space="preserve">運差異的總和。</w:t>
      </w:r>
    </w:p>
    <w:p>
      <w:pPr>
        <w:pStyle w:val="BodyText"/>
      </w:pPr>
      <w:r>
        <w:rPr>
          <w:rFonts w:hint="eastAsia"/>
        </w:rPr>
        <w:t xml:space="preserve">投資回報差異反映投資回報的短期波動，此乃來自年內實際投資回報與預期投資回報差異的影響。投資回報差異金額令內涵</w:t>
      </w:r>
    </w:p>
    <w:p>
      <w:pPr>
        <w:pStyle w:val="BodyText"/>
      </w:pPr>
      <w:r>
        <w:rPr>
          <w:rFonts w:hint="eastAsia"/>
        </w:rPr>
        <w:t xml:space="preserve">價值減少18.68億美元（2019年：內涵價值增加5.17億美元），此乃由於與預期回報相比，利率及股票市場的短期波動及其他</w:t>
      </w:r>
    </w:p>
    <w:p>
      <w:pPr>
        <w:pStyle w:val="BodyText"/>
      </w:pPr>
      <w:r>
        <w:rPr>
          <w:rFonts w:hint="eastAsia"/>
        </w:rPr>
        <w:t xml:space="preserve">資本市場變動對本集團的投資組合及準備金及資本要求的影響。</w:t>
      </w:r>
    </w:p>
    <w:p>
      <w:pPr>
        <w:pStyle w:val="BodyText"/>
      </w:pPr>
      <w:r>
        <w:rPr>
          <w:rFonts w:hint="eastAsia"/>
        </w:rPr>
        <w:t xml:space="preserve">經濟假設變動的影響令內涵價值減少10.13億美元（2019年：內涵價值減少2.54億美元）。</w:t>
      </w:r>
    </w:p>
    <w:p>
      <w:pPr>
        <w:pStyle w:val="BodyText"/>
      </w:pPr>
      <w:r>
        <w:rPr>
          <w:rFonts w:hint="eastAsia"/>
        </w:rPr>
        <w:t xml:space="preserve">其他非營運差異令內涵價值減少3.30億美元（2019年：內涵價值減少7,800萬美元），此包含第4.1節所述因AIA中國將分公司</w:t>
      </w:r>
    </w:p>
    <w:p>
      <w:pPr>
        <w:pStyle w:val="BodyText"/>
      </w:pPr>
      <w:r>
        <w:rPr>
          <w:rFonts w:hint="eastAsia"/>
        </w:rPr>
        <w:t xml:space="preserve">改建為子公司而產生的預扣稅及其他影響帶來的負面影響、按國際財務報告準則所編製的合併財務報表附註12所披露的未確</w:t>
      </w:r>
    </w:p>
    <w:p>
      <w:pPr>
        <w:pStyle w:val="BodyText"/>
      </w:pPr>
      <w:r>
        <w:rPr>
          <w:rFonts w:hint="eastAsia"/>
        </w:rPr>
        <w:t xml:space="preserve">認稅務狀況撥備以及包括精算模型相關的優化處理及若干非營運開支等其他項目。此等負面影響部分被新西蘭分公司轉為附</w:t>
      </w:r>
    </w:p>
    <w:p>
      <w:pPr>
        <w:pStyle w:val="BodyText"/>
      </w:pPr>
      <w:r>
        <w:rPr>
          <w:rFonts w:hint="eastAsia"/>
        </w:rPr>
        <w:t xml:space="preserve">屬公司、新加坡推行風險基礎資本2監管規則、及調整合併資本要求帶來的正面影響所抵銷。</w:t>
      </w:r>
    </w:p>
    <w:p>
      <w:pPr>
        <w:pStyle w:val="BodyText"/>
      </w:pPr>
      <w:r>
        <w:rPr>
          <w:rFonts w:hint="eastAsia"/>
        </w:rPr>
        <w:t xml:space="preserve">本集團合共已派付股息19.97億美元（2019年：19.61億美元）。其他資本變動令內涵價值增加8,100萬美元（2019年：內涵價值</w:t>
      </w:r>
    </w:p>
    <w:p>
      <w:pPr>
        <w:pStyle w:val="BodyText"/>
      </w:pPr>
      <w:r>
        <w:rPr>
          <w:rFonts w:hint="eastAsia"/>
        </w:rPr>
        <w:t xml:space="preserve">增加1.36億美元）。</w:t>
      </w:r>
    </w:p>
    <w:p>
      <w:pPr>
        <w:pStyle w:val="BodyText"/>
      </w:pPr>
      <w:r>
        <w:rPr>
          <w:rFonts w:hint="eastAsia"/>
        </w:rPr>
        <w:t xml:space="preserve">外匯變動令內涵價值增加11.64億美元（2019年：內涵價值增加6.70億美元）。</w:t>
      </w:r>
    </w:p>
    <w:p>
      <w:pPr>
        <w:pStyle w:val="BodyText"/>
      </w:pPr>
      <w:r>
        <w:t xml:space="preserve">278</w:t>
      </w:r>
    </w:p>
    <w:p>
      <w:pPr>
        <w:pStyle w:val="BodyText"/>
      </w:pPr>
      <w:r>
        <w:rPr>
          <w:rFonts w:hint="eastAsia"/>
        </w:rPr>
        <w:t xml:space="preserve">友邦保險控股有限公司</w:t>
      </w:r>
    </w:p>
    <w:p>
      <w:pPr>
        <w:pStyle w:val="Compact"/>
        <w:numPr>
          <w:ilvl w:val="0"/>
          <w:numId w:val="1698"/>
        </w:numPr>
      </w:pPr>
      <w:r>
        <w:rPr>
          <w:rFonts w:hint="eastAsia"/>
        </w:rPr>
        <w:t xml:space="preserve">內涵價值結果（續）</w:t>
      </w:r>
    </w:p>
    <w:p>
      <w:pPr>
        <w:pStyle w:val="FirstParagraph"/>
      </w:pPr>
      <w:r>
        <w:t xml:space="preserve">2.6 </w:t>
      </w:r>
      <w:r>
        <w:rPr>
          <w:rFonts w:hint="eastAsia"/>
        </w:rPr>
        <w:t xml:space="preserve">內涵價值變動分析（續）</w:t>
      </w:r>
    </w:p>
    <w:p>
      <w:pPr>
        <w:pStyle w:val="BodyText"/>
      </w:pPr>
      <w:r>
        <w:rPr>
          <w:rFonts w:hint="eastAsia"/>
        </w:rPr>
        <w:t xml:space="preserve">內涵價值營運回報（百萬美元）</w:t>
      </w:r>
    </w:p>
    <w:p>
      <w:pPr>
        <w:pStyle w:val="BodyText"/>
      </w:pPr>
      <w:r>
        <w:rPr>
          <w:rFonts w:hint="eastAsia"/>
        </w:rPr>
        <w:t xml:space="preserve">內涵價值營運回報以內涵價值營運溢利計算，並以期初內涵價值的百分比表示。截至2020年12月31日止年度的內涵價值營運</w:t>
      </w:r>
    </w:p>
    <w:p>
      <w:pPr>
        <w:pStyle w:val="BodyText"/>
      </w:pPr>
      <w:r>
        <w:rPr>
          <w:rFonts w:hint="eastAsia"/>
        </w:rPr>
        <w:t xml:space="preserve">回報為11.7%（2019年：15.9%）。</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7,243</w:t>
      </w:r>
    </w:p>
    <w:p>
      <w:pPr>
        <w:pStyle w:val="BodyText"/>
      </w:pPr>
      <w:r>
        <w:t xml:space="preserve">61,985</w:t>
      </w:r>
    </w:p>
    <w:p>
      <w:pPr>
        <w:pStyle w:val="BodyText"/>
      </w:pPr>
      <w:r>
        <w:t xml:space="preserve">11.7%</w:t>
      </w:r>
    </w:p>
    <w:p>
      <w:pPr>
        <w:pStyle w:val="BodyText"/>
      </w:pPr>
      <w:r>
        <w:t xml:space="preserve">8,685</w:t>
      </w:r>
    </w:p>
    <w:p>
      <w:pPr>
        <w:pStyle w:val="BodyText"/>
      </w:pPr>
      <w:r>
        <w:t xml:space="preserve">54,517</w:t>
      </w:r>
    </w:p>
    <w:p>
      <w:pPr>
        <w:pStyle w:val="BodyText"/>
      </w:pPr>
      <w:r>
        <w:t xml:space="preserve">(17)%</w:t>
      </w:r>
    </w:p>
    <w:p>
      <w:pPr>
        <w:pStyle w:val="BodyText"/>
      </w:pPr>
      <w:r>
        <w:t xml:space="preserve">12%</w:t>
      </w:r>
    </w:p>
    <w:p>
      <w:pPr>
        <w:pStyle w:val="BodyText"/>
      </w:pPr>
      <w:r>
        <w:t xml:space="preserve">(17)%</w:t>
      </w:r>
    </w:p>
    <w:p>
      <w:pPr>
        <w:pStyle w:val="BodyText"/>
      </w:pPr>
      <w:r>
        <w:t xml:space="preserve">14%</w:t>
      </w:r>
    </w:p>
    <w:p>
      <w:pPr>
        <w:pStyle w:val="BodyText"/>
      </w:pPr>
      <w:r>
        <w:t xml:space="preserve">15.9%</w:t>
      </w:r>
    </w:p>
    <w:p>
      <w:pPr>
        <w:pStyle w:val="BodyText"/>
      </w:pPr>
      <w:r>
        <w:rPr>
          <w:rFonts w:hint="eastAsia"/>
        </w:rPr>
        <w:t xml:space="preserve">(4.1)個百分點</w:t>
      </w:r>
      <w:r>
        <w:t xml:space="preserve"> </w:t>
      </w:r>
      <w:r>
        <w:rPr>
          <w:rFonts w:hint="eastAsia"/>
        </w:rPr>
        <w:t xml:space="preserve">(4.2)個百分點</w:t>
      </w:r>
    </w:p>
    <w:p>
      <w:pPr>
        <w:pStyle w:val="BodyText"/>
      </w:pPr>
      <w:r>
        <w:rPr>
          <w:rFonts w:hint="eastAsia"/>
        </w:rPr>
        <w:t xml:space="preserve">內涵價值營運溢利</w:t>
      </w:r>
    </w:p>
    <w:p>
      <w:pPr>
        <w:pStyle w:val="BodyText"/>
      </w:pPr>
      <w:r>
        <w:rPr>
          <w:rFonts w:hint="eastAsia"/>
        </w:rPr>
        <w:t xml:space="preserve">期初內涵價值</w:t>
      </w:r>
    </w:p>
    <w:p>
      <w:pPr>
        <w:pStyle w:val="BodyText"/>
      </w:pPr>
      <w:r>
        <w:rPr>
          <w:rFonts w:hint="eastAsia"/>
        </w:rPr>
        <w:t xml:space="preserve">內涵價值營運回報</w:t>
      </w:r>
    </w:p>
    <w:p>
      <w:pPr>
        <w:pStyle w:val="BodyText"/>
      </w:pPr>
      <w:r>
        <w:t xml:space="preserve">2.7 </w:t>
      </w:r>
      <w:r>
        <w:rPr>
          <w:rFonts w:hint="eastAsia"/>
        </w:rPr>
        <w:t xml:space="preserve">內涵價值權益</w:t>
      </w:r>
    </w:p>
    <w:p>
      <w:pPr>
        <w:pStyle w:val="BodyText"/>
      </w:pPr>
      <w:r>
        <w:rPr>
          <w:rFonts w:hint="eastAsia"/>
        </w:rPr>
        <w:t xml:space="preserve">內涵價值權益由2019年12月31日的639.05億美元增長3%至2020年12月31日的671.85億美元。</w:t>
      </w:r>
    </w:p>
    <w:p>
      <w:pPr>
        <w:pStyle w:val="BodyText"/>
      </w:pPr>
      <w:r>
        <w:rPr>
          <w:rFonts w:hint="eastAsia"/>
        </w:rPr>
        <w:t xml:space="preserve">從內涵價值到內涵價值權益的推導（百萬美元）</w:t>
      </w:r>
    </w:p>
    <w:p>
      <w:pPr>
        <w:pStyle w:val="BodyText"/>
      </w:pPr>
      <w:r>
        <w:rPr>
          <w:rFonts w:hint="eastAsia"/>
        </w:rPr>
        <w:t xml:space="preserve">內涵價值</w:t>
      </w:r>
    </w:p>
    <w:p>
      <w:pPr>
        <w:pStyle w:val="BodyText"/>
      </w:pPr>
      <w:r>
        <w:rPr>
          <w:rFonts w:hint="eastAsia"/>
        </w:rPr>
        <w:t xml:space="preserve">商譽及其他無形資產(1)</w:t>
      </w:r>
    </w:p>
    <w:p>
      <w:pPr>
        <w:pStyle w:val="BodyText"/>
      </w:pPr>
      <w:r>
        <w:rPr>
          <w:rFonts w:hint="eastAsia"/>
        </w:rPr>
        <w:t xml:space="preserve">內涵價值權益</w:t>
      </w:r>
    </w:p>
    <w:p>
      <w:pPr>
        <w:pStyle w:val="BodyText"/>
      </w:pPr>
      <w:r>
        <w:rPr>
          <w:rFonts w:hint="eastAsia"/>
        </w:rPr>
        <w:t xml:space="preserve">附註：</w:t>
      </w:r>
    </w:p>
    <w:p>
      <w:pPr>
        <w:pStyle w:val="BodyText"/>
      </w:pPr>
      <w:r>
        <w:rPr>
          <w:rFonts w:hint="eastAsia"/>
        </w:rPr>
        <w:t xml:space="preserve">於2020年</w:t>
      </w:r>
      <w:r>
        <w:br/>
      </w:r>
      <w:r>
        <w:rPr>
          <w:rFonts w:hint="eastAsia"/>
        </w:rPr>
        <w:t xml:space="preserve">12月31日</w:t>
      </w:r>
    </w:p>
    <w:p>
      <w:pPr>
        <w:pStyle w:val="BodyText"/>
      </w:pPr>
      <w:r>
        <w:t xml:space="preserve">65,247</w:t>
      </w:r>
    </w:p>
    <w:p>
      <w:pPr>
        <w:pStyle w:val="BodyText"/>
      </w:pPr>
      <w:r>
        <w:t xml:space="preserve">1,938</w:t>
      </w:r>
    </w:p>
    <w:p>
      <w:pPr>
        <w:pStyle w:val="BodyText"/>
      </w:pPr>
      <w:r>
        <w:t xml:space="preserve">67,185</w:t>
      </w:r>
    </w:p>
    <w:p>
      <w:pPr>
        <w:pStyle w:val="BodyText"/>
      </w:pPr>
      <w:r>
        <w:rPr>
          <w:rFonts w:hint="eastAsia"/>
        </w:rPr>
        <w:t xml:space="preserve">於2019年</w:t>
      </w:r>
      <w:r>
        <w:br/>
      </w:r>
      <w:r>
        <w:rPr>
          <w:rFonts w:hint="eastAsia"/>
        </w:rPr>
        <w:t xml:space="preserve">12月31日</w:t>
      </w:r>
    </w:p>
    <w:p>
      <w:pPr>
        <w:pStyle w:val="BodyText"/>
      </w:pPr>
      <w:r>
        <w:rPr>
          <w:rFonts w:hint="eastAsia"/>
        </w:rPr>
        <w:t xml:space="preserve">變動</w:t>
      </w:r>
      <w:r>
        <w:br/>
      </w:r>
      <w:r>
        <w:rPr>
          <w:rFonts w:hint="eastAsia"/>
        </w:rPr>
        <w:t xml:space="preserve">（固定匯率）</w:t>
      </w:r>
    </w:p>
    <w:p>
      <w:pPr>
        <w:pStyle w:val="BodyText"/>
      </w:pPr>
      <w:r>
        <w:rPr>
          <w:rFonts w:hint="eastAsia"/>
        </w:rPr>
        <w:t xml:space="preserve">變動</w:t>
      </w:r>
      <w:r>
        <w:br/>
      </w:r>
      <w:r>
        <w:rPr>
          <w:rFonts w:hint="eastAsia"/>
        </w:rPr>
        <w:t xml:space="preserve">（實質匯率）</w:t>
      </w:r>
    </w:p>
    <w:p>
      <w:pPr>
        <w:pStyle w:val="BodyText"/>
      </w:pPr>
      <w:r>
        <w:t xml:space="preserve">61,985</w:t>
      </w:r>
    </w:p>
    <w:p>
      <w:pPr>
        <w:pStyle w:val="BodyText"/>
      </w:pPr>
      <w:r>
        <w:t xml:space="preserve">1,920</w:t>
      </w:r>
    </w:p>
    <w:p>
      <w:pPr>
        <w:pStyle w:val="BodyText"/>
      </w:pPr>
      <w:r>
        <w:t xml:space="preserve">63,905</w:t>
      </w:r>
    </w:p>
    <w:p>
      <w:pPr>
        <w:pStyle w:val="BodyText"/>
      </w:pPr>
      <w:r>
        <w:t xml:space="preserve">3%</w:t>
      </w:r>
    </w:p>
    <w:p>
      <w:pPr>
        <w:pStyle w:val="BodyText"/>
      </w:pPr>
      <w:r>
        <w:t xml:space="preserve">(3)%</w:t>
      </w:r>
    </w:p>
    <w:p>
      <w:pPr>
        <w:pStyle w:val="BodyText"/>
      </w:pPr>
      <w:r>
        <w:t xml:space="preserve">3%</w:t>
      </w:r>
    </w:p>
    <w:p>
      <w:pPr>
        <w:pStyle w:val="BodyText"/>
      </w:pPr>
      <w:r>
        <w:t xml:space="preserve">5%</w:t>
      </w:r>
    </w:p>
    <w:p>
      <w:pPr>
        <w:pStyle w:val="BodyText"/>
      </w:pPr>
      <w:r>
        <w:t xml:space="preserve">1%</w:t>
      </w:r>
    </w:p>
    <w:p>
      <w:pPr>
        <w:pStyle w:val="BodyText"/>
      </w:pPr>
      <w:r>
        <w:t xml:space="preserve">5%</w:t>
      </w:r>
    </w:p>
    <w:p>
      <w:pPr>
        <w:pStyle w:val="Compact"/>
        <w:numPr>
          <w:ilvl w:val="0"/>
          <w:numId w:val="1699"/>
        </w:numPr>
      </w:pPr>
      <w:r>
        <w:rPr>
          <w:rFonts w:hint="eastAsia"/>
        </w:rPr>
        <w:t xml:space="preserve">與按國際財務報告準則編製的合併財務報表呈列相符，已扣除稅項、分紅基金應佔金額及非控股權益。</w:t>
      </w:r>
    </w:p>
    <w:p>
      <w:pPr>
        <w:pStyle w:val="FirstParagraph"/>
      </w:pPr>
      <w:r>
        <w:t xml:space="preserve">279</w:t>
      </w:r>
    </w:p>
    <w:p>
      <w:pPr>
        <w:pStyle w:val="BodyText"/>
      </w:pPr>
      <w:r>
        <w:rPr>
          <w:rFonts w:hint="eastAsia"/>
        </w:rPr>
        <w:t xml:space="preserve">概覽財務及營運回顧企業管治其他資料財務報表2020年報</w:t>
      </w:r>
    </w:p>
    <w:p>
      <w:pPr>
        <w:pStyle w:val="Compact"/>
        <w:numPr>
          <w:ilvl w:val="0"/>
          <w:numId w:val="1700"/>
        </w:numPr>
      </w:pPr>
      <w:r>
        <w:rPr>
          <w:rFonts w:hint="eastAsia"/>
        </w:rPr>
        <w:t xml:space="preserve">內涵價值結果（續）</w:t>
      </w:r>
    </w:p>
    <w:p>
      <w:pPr>
        <w:pStyle w:val="FirstParagraph"/>
      </w:pPr>
      <w:r>
        <w:t xml:space="preserve">2.8 </w:t>
      </w:r>
      <w:r>
        <w:rPr>
          <w:rFonts w:hint="eastAsia"/>
        </w:rPr>
        <w:t xml:space="preserve">自由盈餘產生</w:t>
      </w:r>
    </w:p>
    <w:p>
      <w:pPr>
        <w:pStyle w:val="BodyText"/>
      </w:pPr>
      <w:r>
        <w:rPr>
          <w:rFonts w:hint="eastAsia"/>
        </w:rPr>
        <w:t xml:space="preserve">自由盈餘產生（百萬美元）</w:t>
      </w:r>
    </w:p>
    <w:p>
      <w:pPr>
        <w:pStyle w:val="BodyText"/>
      </w:pPr>
      <w:r>
        <w:rPr>
          <w:rFonts w:hint="eastAsia"/>
        </w:rPr>
        <w:t xml:space="preserve">期初自由盈餘</w:t>
      </w:r>
    </w:p>
    <w:p>
      <w:pPr>
        <w:pStyle w:val="BodyText"/>
      </w:pPr>
      <w:r>
        <w:rPr>
          <w:rFonts w:hint="eastAsia"/>
        </w:rPr>
        <w:t xml:space="preserve">收購的影響(1)</w:t>
      </w:r>
    </w:p>
    <w:p>
      <w:pPr>
        <w:pStyle w:val="BodyText"/>
      </w:pPr>
      <w:r>
        <w:rPr>
          <w:rFonts w:hint="eastAsia"/>
        </w:rPr>
        <w:t xml:space="preserve">產生的基本自由盈餘</w:t>
      </w:r>
    </w:p>
    <w:p>
      <w:pPr>
        <w:pStyle w:val="BodyText"/>
      </w:pPr>
      <w:r>
        <w:rPr>
          <w:rFonts w:hint="eastAsia"/>
        </w:rPr>
        <w:t xml:space="preserve">撥付新業務所用的自由盈餘</w:t>
      </w:r>
    </w:p>
    <w:p>
      <w:pPr>
        <w:pStyle w:val="BodyText"/>
      </w:pPr>
      <w:r>
        <w:rPr>
          <w:rFonts w:hint="eastAsia"/>
        </w:rPr>
        <w:t xml:space="preserve">投資回報差異及其他項目</w:t>
      </w:r>
    </w:p>
    <w:p>
      <w:pPr>
        <w:pStyle w:val="BodyText"/>
      </w:pPr>
      <w:r>
        <w:rPr>
          <w:rFonts w:hint="eastAsia"/>
        </w:rPr>
        <w:t xml:space="preserve">未分配集團總部開支</w:t>
      </w:r>
    </w:p>
    <w:p>
      <w:pPr>
        <w:pStyle w:val="BodyText"/>
      </w:pPr>
      <w:r>
        <w:rPr>
          <w:rFonts w:hint="eastAsia"/>
        </w:rPr>
        <w:t xml:space="preserve">股息</w:t>
      </w:r>
    </w:p>
    <w:p>
      <w:pPr>
        <w:pStyle w:val="BodyText"/>
      </w:pPr>
      <w:r>
        <w:rPr>
          <w:rFonts w:hint="eastAsia"/>
        </w:rPr>
        <w:t xml:space="preserve">財務費用及其他資本變動</w:t>
      </w:r>
    </w:p>
    <w:p>
      <w:pPr>
        <w:pStyle w:val="BodyText"/>
      </w:pPr>
      <w:r>
        <w:rPr>
          <w:rFonts w:hint="eastAsia"/>
        </w:rPr>
        <w:t xml:space="preserve">期末自由盈餘</w:t>
      </w:r>
    </w:p>
    <w:p>
      <w:pPr>
        <w:pStyle w:val="BodyText"/>
      </w:pPr>
      <w:r>
        <w:rPr>
          <w:rFonts w:hint="eastAsia"/>
        </w:rPr>
        <w:t xml:space="preserve">附註：</w:t>
      </w:r>
    </w:p>
    <w:p>
      <w:pPr>
        <w:pStyle w:val="BodyText"/>
      </w:pPr>
      <w:r>
        <w:rPr>
          <w:rFonts w:hint="eastAsia"/>
        </w:rPr>
        <w:t xml:space="preserve">截至2020年</w:t>
      </w:r>
      <w:r>
        <w:br/>
      </w:r>
      <w:r>
        <w:rPr>
          <w:rFonts w:hint="eastAsia"/>
        </w:rPr>
        <w:t xml:space="preserve">12月31日</w:t>
      </w:r>
      <w:r>
        <w:br/>
      </w:r>
      <w:r>
        <w:rPr>
          <w:rFonts w:hint="eastAsia"/>
        </w:rPr>
        <w:t xml:space="preserve">止年度</w:t>
      </w:r>
    </w:p>
    <w:p>
      <w:pPr>
        <w:pStyle w:val="BodyText"/>
      </w:pPr>
      <w:r>
        <w:rPr>
          <w:rFonts w:hint="eastAsia"/>
        </w:rPr>
        <w:t xml:space="preserve">截至2019年</w:t>
      </w:r>
      <w:r>
        <w:br/>
      </w:r>
      <w:r>
        <w:rPr>
          <w:rFonts w:hint="eastAsia"/>
        </w:rPr>
        <w:t xml:space="preserve">12月31日</w:t>
      </w:r>
      <w:r>
        <w:br/>
      </w:r>
      <w:r>
        <w:rPr>
          <w:rFonts w:hint="eastAsia"/>
        </w:rPr>
        <w:t xml:space="preserve">止年度</w:t>
      </w:r>
    </w:p>
    <w:p>
      <w:pPr>
        <w:pStyle w:val="BodyText"/>
      </w:pPr>
      <w:r>
        <w:rPr>
          <w:rFonts w:hint="eastAsia"/>
        </w:rPr>
        <w:t xml:space="preserve">按年變動</w:t>
      </w:r>
      <w:r>
        <w:br/>
      </w:r>
      <w:r>
        <w:rPr>
          <w:rFonts w:hint="eastAsia"/>
        </w:rPr>
        <w:t xml:space="preserve">（固定匯率）</w:t>
      </w:r>
    </w:p>
    <w:p>
      <w:pPr>
        <w:pStyle w:val="BodyText"/>
      </w:pPr>
      <w:r>
        <w:rPr>
          <w:rFonts w:hint="eastAsia"/>
        </w:rPr>
        <w:t xml:space="preserve">按年變動</w:t>
      </w:r>
      <w:r>
        <w:br/>
      </w:r>
      <w:r>
        <w:rPr>
          <w:rFonts w:hint="eastAsia"/>
        </w:rPr>
        <w:t xml:space="preserve">（實質匯率）</w:t>
      </w:r>
    </w:p>
    <w:p>
      <w:pPr>
        <w:pStyle w:val="BodyText"/>
      </w:pPr>
      <w:r>
        <w:t xml:space="preserve">14,917</w:t>
      </w:r>
    </w:p>
    <w:p>
      <w:pPr>
        <w:pStyle w:val="FirstParagraph"/>
      </w:pPr>
      <w:r>
        <w:t xml:space="preserve">5,843</w:t>
      </w:r>
    </w:p>
    <w:p>
      <w:pPr>
        <w:pStyle w:val="BodyText"/>
      </w:pPr>
      <w:r>
        <w:t xml:space="preserve">(1,428)</w:t>
      </w:r>
    </w:p>
    <w:p>
      <w:pPr>
        <w:pStyle w:val="BodyText"/>
      </w:pPr>
      <w:r>
        <w:t xml:space="preserve">(3,505)</w:t>
      </w:r>
    </w:p>
    <w:p>
      <w:pPr>
        <w:pStyle w:val="FirstParagraph"/>
      </w:pPr>
      <w:r>
        <w:t xml:space="preserve">(1,997)</w:t>
      </w:r>
    </w:p>
    <w:p>
      <w:pPr>
        <w:pStyle w:val="FirstParagraph"/>
      </w:pPr>
      <w:r>
        <w:t xml:space="preserve">13,473</w:t>
      </w:r>
    </w:p>
    <w:p>
      <w:pPr>
        <w:pStyle w:val="BodyText"/>
      </w:pPr>
      <w:r>
        <w:t xml:space="preserve">14,751</w:t>
      </w:r>
    </w:p>
    <w:p>
      <w:pPr>
        <w:pStyle w:val="BodyText"/>
      </w:pPr>
      <w:r>
        <w:t xml:space="preserve">(1,045)</w:t>
      </w:r>
    </w:p>
    <w:p>
      <w:pPr>
        <w:pStyle w:val="BodyText"/>
      </w:pPr>
      <w:r>
        <w:t xml:space="preserve">5,501</w:t>
      </w:r>
    </w:p>
    <w:p>
      <w:pPr>
        <w:pStyle w:val="BodyText"/>
      </w:pPr>
      <w:r>
        <w:t xml:space="preserve">(1,477)</w:t>
      </w:r>
    </w:p>
    <w:p>
      <w:pPr>
        <w:pStyle w:val="FirstParagraph"/>
      </w:pPr>
      <w:r>
        <w:t xml:space="preserve">(1,961)</w:t>
      </w:r>
    </w:p>
    <w:p>
      <w:pPr>
        <w:pStyle w:val="FirstParagraph"/>
      </w:pPr>
      <w:r>
        <w:t xml:space="preserve">14,917</w:t>
      </w:r>
    </w:p>
    <w:p>
      <w:pPr>
        <w:pStyle w:val="BodyText"/>
      </w:pPr>
      <w:r>
        <w:t xml:space="preserve">1%</w:t>
      </w:r>
    </w:p>
    <w:p>
      <w:pPr>
        <w:pStyle w:val="BodyText"/>
      </w:pPr>
      <w:r>
        <w:rPr>
          <w:rFonts w:hint="eastAsia"/>
        </w:rPr>
        <w:t xml:space="preserve">無意義</w:t>
      </w:r>
    </w:p>
    <w:p>
      <w:pPr>
        <w:pStyle w:val="BodyText"/>
      </w:pPr>
      <w:r>
        <w:t xml:space="preserve">7%</w:t>
      </w:r>
    </w:p>
    <w:p>
      <w:pPr>
        <w:pStyle w:val="BodyText"/>
      </w:pPr>
      <w:r>
        <w:t xml:space="preserve">(2)%</w:t>
      </w:r>
    </w:p>
    <w:p>
      <w:pPr>
        <w:pStyle w:val="BodyText"/>
      </w:pPr>
      <w:r>
        <w:rPr>
          <w:rFonts w:hint="eastAsia"/>
        </w:rPr>
        <w:t xml:space="preserve">無意義</w:t>
      </w:r>
    </w:p>
    <w:p>
      <w:pPr>
        <w:pStyle w:val="BodyText"/>
      </w:pPr>
      <w:r>
        <w:t xml:space="preserve">(10)%</w:t>
      </w:r>
    </w:p>
    <w:p>
      <w:pPr>
        <w:pStyle w:val="BodyText"/>
      </w:pPr>
      <w:r>
        <w:t xml:space="preserve">2%</w:t>
      </w:r>
    </w:p>
    <w:p>
      <w:pPr>
        <w:pStyle w:val="BodyText"/>
      </w:pPr>
      <w:r>
        <w:rPr>
          <w:rFonts w:hint="eastAsia"/>
        </w:rPr>
        <w:t xml:space="preserve">無意義</w:t>
      </w:r>
    </w:p>
    <w:p>
      <w:pPr>
        <w:pStyle w:val="BodyText"/>
      </w:pPr>
      <w:r>
        <w:t xml:space="preserve">(11)%</w:t>
      </w:r>
    </w:p>
    <w:p>
      <w:pPr>
        <w:pStyle w:val="BodyText"/>
      </w:pPr>
      <w:r>
        <w:t xml:space="preserve">1%</w:t>
      </w:r>
    </w:p>
    <w:p>
      <w:pPr>
        <w:pStyle w:val="BodyText"/>
      </w:pPr>
      <w:r>
        <w:rPr>
          <w:rFonts w:hint="eastAsia"/>
        </w:rPr>
        <w:t xml:space="preserve">無意義(2)</w:t>
      </w:r>
    </w:p>
    <w:p>
      <w:pPr>
        <w:pStyle w:val="BodyText"/>
      </w:pPr>
      <w:r>
        <w:t xml:space="preserve">6%</w:t>
      </w:r>
    </w:p>
    <w:p>
      <w:pPr>
        <w:pStyle w:val="BodyText"/>
      </w:pPr>
      <w:r>
        <w:t xml:space="preserve">(3)%</w:t>
      </w:r>
    </w:p>
    <w:p>
      <w:pPr>
        <w:pStyle w:val="BodyText"/>
      </w:pPr>
      <w:r>
        <w:rPr>
          <w:rFonts w:hint="eastAsia"/>
        </w:rPr>
        <w:t xml:space="preserve">無意義</w:t>
      </w:r>
    </w:p>
    <w:p>
      <w:pPr>
        <w:pStyle w:val="BodyText"/>
      </w:pPr>
      <w:r>
        <w:t xml:space="preserve">(10)%</w:t>
      </w:r>
    </w:p>
    <w:p>
      <w:pPr>
        <w:pStyle w:val="BodyText"/>
      </w:pPr>
      <w:r>
        <w:t xml:space="preserve">2%</w:t>
      </w:r>
    </w:p>
    <w:p>
      <w:pPr>
        <w:pStyle w:val="BodyText"/>
      </w:pPr>
      <w:r>
        <w:rPr>
          <w:rFonts w:hint="eastAsia"/>
        </w:rPr>
        <w:t xml:space="preserve">無意義</w:t>
      </w:r>
    </w:p>
    <w:p>
      <w:pPr>
        <w:pStyle w:val="BodyText"/>
      </w:pPr>
      <w:r>
        <w:t xml:space="preserve">(10)%</w:t>
      </w:r>
    </w:p>
    <w:p>
      <w:pPr>
        <w:numPr>
          <w:ilvl w:val="0"/>
          <w:numId w:val="1706"/>
        </w:numPr>
      </w:pPr>
      <w:r>
        <w:rPr>
          <w:rFonts w:hint="eastAsia"/>
        </w:rPr>
        <w:t xml:space="preserve">2020年收購的影響指按國際財務報告準則所編製的合併財務報表附註5就CMLA與澳洲聯邦銀行訂立的交替安排的購買價調整。</w:t>
      </w:r>
    </w:p>
    <w:p>
      <w:pPr>
        <w:numPr>
          <w:ilvl w:val="0"/>
          <w:numId w:val="1706"/>
        </w:numPr>
      </w:pPr>
      <w:r>
        <w:rPr>
          <w:rFonts w:hint="eastAsia"/>
        </w:rPr>
        <w:t xml:space="preserve">無意義。</w:t>
      </w:r>
    </w:p>
    <w:p>
      <w:pPr>
        <w:pStyle w:val="FirstParagraph"/>
      </w:pPr>
      <w:r>
        <w:rPr>
          <w:rFonts w:hint="eastAsia"/>
        </w:rPr>
        <w:t xml:space="preserve">自由盈餘減少14.44億美元（2019年：增加1.66億美元）至2020年12月31日的134.73億美元（2019年：149.17億美元）。</w:t>
      </w:r>
    </w:p>
    <w:p>
      <w:pPr>
        <w:pStyle w:val="BodyText"/>
      </w:pPr>
      <w:r>
        <w:rPr>
          <w:rFonts w:hint="eastAsia"/>
        </w:rPr>
        <w:t xml:space="preserve">產生的基本自由盈餘（第4.8節所定義者）增加7%至58.43億美元（2019年：55.01億美元）。於承保新業務的投資令自由盈餘減</w:t>
      </w:r>
    </w:p>
    <w:p>
      <w:pPr>
        <w:pStyle w:val="BodyText"/>
      </w:pPr>
      <w:r>
        <w:rPr>
          <w:rFonts w:hint="eastAsia"/>
        </w:rPr>
        <w:t xml:space="preserve">少14.28億美元（2019年：14.77億美元）。</w:t>
      </w:r>
    </w:p>
    <w:p>
      <w:pPr>
        <w:pStyle w:val="BodyText"/>
      </w:pPr>
      <w:r>
        <w:rPr>
          <w:rFonts w:hint="eastAsia"/>
        </w:rPr>
        <w:t xml:space="preserve">投資回報差異及其他項目為(35.05)億美元（2019年：(5.88)億美元），反映與預期回報相比，利率及股票市場的短期波動及其</w:t>
      </w:r>
    </w:p>
    <w:p>
      <w:pPr>
        <w:pStyle w:val="BodyText"/>
      </w:pPr>
      <w:r>
        <w:rPr>
          <w:rFonts w:hint="eastAsia"/>
        </w:rPr>
        <w:t xml:space="preserve">他資本市場變動對本集團的投資組合及準備金及資本要求的影響，及其他項目（包括第2.6節所述的其他非營運差異產生的自</w:t>
      </w:r>
    </w:p>
    <w:p>
      <w:pPr>
        <w:pStyle w:val="BodyText"/>
      </w:pPr>
      <w:r>
        <w:rPr>
          <w:rFonts w:hint="eastAsia"/>
        </w:rPr>
        <w:t xml:space="preserve">由盈餘影響）。</w:t>
      </w:r>
    </w:p>
    <w:p>
      <w:pPr>
        <w:pStyle w:val="BodyText"/>
      </w:pPr>
      <w:r>
        <w:rPr>
          <w:rFonts w:hint="eastAsia"/>
        </w:rPr>
        <w:t xml:space="preserve">未分配集團總部開支於2020年達1.73億美元（2019年：1.92億美元）。</w:t>
      </w:r>
    </w:p>
    <w:p>
      <w:pPr>
        <w:pStyle w:val="BodyText"/>
      </w:pPr>
      <w:r>
        <w:t xml:space="preserve">280</w:t>
      </w:r>
    </w:p>
    <w:p>
      <w:pPr>
        <w:pStyle w:val="BodyText"/>
      </w:pPr>
      <w:r>
        <w:rPr>
          <w:rFonts w:hint="eastAsia"/>
        </w:rPr>
        <w:t xml:space="preserve">友邦保險控股有限公司</w:t>
      </w:r>
    </w:p>
    <w:p>
      <w:pPr>
        <w:pStyle w:val="Compact"/>
        <w:numPr>
          <w:ilvl w:val="0"/>
          <w:numId w:val="1707"/>
        </w:numPr>
      </w:pPr>
      <w:r>
        <w:rPr>
          <w:rFonts w:hint="eastAsia"/>
        </w:rPr>
        <w:t xml:space="preserve">敏感度分析</w:t>
      </w:r>
    </w:p>
    <w:p>
      <w:pPr>
        <w:pStyle w:val="FirstParagraph"/>
      </w:pPr>
      <w:r>
        <w:rPr>
          <w:rFonts w:hint="eastAsia"/>
        </w:rPr>
        <w:t xml:space="preserve">於2020年12月31日的內涵價值及截至2020年12月31日止年度的新業務價值已進行重新計算，以反映有關結果對本報告第5節</w:t>
      </w:r>
    </w:p>
    <w:p>
      <w:pPr>
        <w:pStyle w:val="BodyText"/>
      </w:pPr>
      <w:r>
        <w:rPr>
          <w:rFonts w:hint="eastAsia"/>
        </w:rPr>
        <w:t xml:space="preserve">所論述若干中間假設變動的敏感度。</w:t>
      </w:r>
    </w:p>
    <w:p>
      <w:pPr>
        <w:pStyle w:val="BodyText"/>
      </w:pPr>
      <w:r>
        <w:rPr>
          <w:rFonts w:hint="eastAsia"/>
        </w:rPr>
        <w:t xml:space="preserve">敏感度分析如下：</w:t>
      </w:r>
    </w:p>
    <w:p>
      <w:pPr>
        <w:pStyle w:val="BodyText"/>
      </w:pPr>
      <w:r>
        <w:t xml:space="preserve">• </w:t>
      </w:r>
      <w:r>
        <w:rPr>
          <w:rFonts w:hint="eastAsia"/>
        </w:rPr>
        <w:t xml:space="preserve">風險貼現率較中間假設每年高出200個基點；</w:t>
      </w:r>
    </w:p>
    <w:p>
      <w:pPr>
        <w:pStyle w:val="BodyText"/>
      </w:pPr>
      <w:r>
        <w:t xml:space="preserve">• </w:t>
      </w:r>
      <w:r>
        <w:rPr>
          <w:rFonts w:hint="eastAsia"/>
        </w:rPr>
        <w:t xml:space="preserve">風險貼現率較中間假設每年低200個基點；</w:t>
      </w:r>
    </w:p>
    <w:p>
      <w:pPr>
        <w:pStyle w:val="BodyText"/>
      </w:pPr>
      <w:r>
        <w:t xml:space="preserve">• </w:t>
      </w:r>
      <w:r>
        <w:rPr>
          <w:rFonts w:hint="eastAsia"/>
        </w:rPr>
        <w:t xml:space="preserve">利率較中間假設每年高出50個基點；</w:t>
      </w:r>
    </w:p>
    <w:p>
      <w:pPr>
        <w:pStyle w:val="BodyText"/>
      </w:pPr>
      <w:r>
        <w:t xml:space="preserve">• </w:t>
      </w:r>
      <w:r>
        <w:rPr>
          <w:rFonts w:hint="eastAsia"/>
        </w:rPr>
        <w:t xml:space="preserve">利率較中間假設每年低50個基點；</w:t>
      </w:r>
    </w:p>
    <w:p>
      <w:pPr>
        <w:pStyle w:val="BodyText"/>
      </w:pPr>
      <w:r>
        <w:t xml:space="preserve">• </w:t>
      </w:r>
      <w:r>
        <w:rPr>
          <w:rFonts w:hint="eastAsia"/>
        </w:rPr>
        <w:t xml:space="preserve">呈列貨幣（如下文所闡述）升值5%；</w:t>
      </w:r>
    </w:p>
    <w:p>
      <w:pPr>
        <w:pStyle w:val="BodyText"/>
      </w:pPr>
      <w:r>
        <w:t xml:space="preserve">• </w:t>
      </w:r>
      <w:r>
        <w:rPr>
          <w:rFonts w:hint="eastAsia"/>
        </w:rPr>
        <w:t xml:space="preserve">呈列貨幣貶值5%；</w:t>
      </w:r>
    </w:p>
    <w:p>
      <w:pPr>
        <w:pStyle w:val="BodyText"/>
      </w:pPr>
      <w:r>
        <w:t xml:space="preserve">• </w:t>
      </w:r>
      <w:r>
        <w:rPr>
          <w:rFonts w:hint="eastAsia"/>
        </w:rPr>
        <w:t xml:space="preserve">失效及保費斷供率按比例上升10%（即根據中間假設所計算比率的110%）；</w:t>
      </w:r>
    </w:p>
    <w:p>
      <w:pPr>
        <w:pStyle w:val="BodyText"/>
      </w:pPr>
      <w:r>
        <w:t xml:space="preserve">• </w:t>
      </w:r>
      <w:r>
        <w:rPr>
          <w:rFonts w:hint="eastAsia"/>
        </w:rPr>
        <w:t xml:space="preserve">失效及保費斷供率按比例下跌10%（即根據中間假設所計算比率的90%）；</w:t>
      </w:r>
    </w:p>
    <w:p>
      <w:pPr>
        <w:pStyle w:val="BodyText"/>
      </w:pPr>
      <w:r>
        <w:t xml:space="preserve">• </w:t>
      </w:r>
      <w:r>
        <w:rPr>
          <w:rFonts w:hint="eastAsia"/>
        </w:rPr>
        <w:t xml:space="preserve">死亡</w:t>
      </w:r>
      <w:r>
        <w:t xml:space="preserve"> </w:t>
      </w:r>
      <w:r>
        <w:rPr>
          <w:rFonts w:hint="eastAsia"/>
        </w:rPr>
        <w:t xml:space="preserve">∕傷病率按比例上升10%（即根據中間假設所計算比率的110%）；</w:t>
      </w:r>
    </w:p>
    <w:p>
      <w:pPr>
        <w:pStyle w:val="BodyText"/>
      </w:pPr>
      <w:r>
        <w:t xml:space="preserve">• </w:t>
      </w:r>
      <w:r>
        <w:rPr>
          <w:rFonts w:hint="eastAsia"/>
        </w:rPr>
        <w:t xml:space="preserve">死亡</w:t>
      </w:r>
      <w:r>
        <w:t xml:space="preserve"> </w:t>
      </w:r>
      <w:r>
        <w:rPr>
          <w:rFonts w:hint="eastAsia"/>
        </w:rPr>
        <w:t xml:space="preserve">∕傷病率按比例下跌10%（即根據中間假設所計算比率的90%）；</w:t>
      </w:r>
    </w:p>
    <w:p>
      <w:pPr>
        <w:pStyle w:val="BodyText"/>
      </w:pPr>
      <w:r>
        <w:t xml:space="preserve">• </w:t>
      </w:r>
      <w:r>
        <w:rPr>
          <w:rFonts w:hint="eastAsia"/>
        </w:rPr>
        <w:t xml:space="preserve">維持開支減少10%（即中間假設成本的90%）；及</w:t>
      </w:r>
    </w:p>
    <w:p>
      <w:pPr>
        <w:pStyle w:val="BodyText"/>
      </w:pPr>
      <w:r>
        <w:t xml:space="preserve">• </w:t>
      </w:r>
      <w:r>
        <w:rPr>
          <w:rFonts w:hint="eastAsia"/>
        </w:rPr>
        <w:t xml:space="preserve">開支通脹定為0%。</w:t>
      </w:r>
    </w:p>
    <w:p>
      <w:pPr>
        <w:pStyle w:val="BodyText"/>
      </w:pPr>
      <w:r>
        <w:rPr>
          <w:rFonts w:hint="eastAsia"/>
        </w:rPr>
        <w:t xml:space="preserve">於2020年12月31日的內涵價值已就下列敏感度作出進一步分析：</w:t>
      </w:r>
    </w:p>
    <w:p>
      <w:pPr>
        <w:pStyle w:val="BodyText"/>
      </w:pPr>
      <w:r>
        <w:t xml:space="preserve">• </w:t>
      </w:r>
      <w:r>
        <w:rPr>
          <w:rFonts w:hint="eastAsia"/>
        </w:rPr>
        <w:t xml:space="preserve">股本價格按比例上升10%（即2020年12月31日價格的110%）；及</w:t>
      </w:r>
    </w:p>
    <w:p>
      <w:pPr>
        <w:pStyle w:val="BodyText"/>
      </w:pPr>
      <w:r>
        <w:t xml:space="preserve">• </w:t>
      </w:r>
      <w:r>
        <w:rPr>
          <w:rFonts w:hint="eastAsia"/>
        </w:rPr>
        <w:t xml:space="preserve">股本價格按比例下跌10%（即2020年12月31日價格的90%）。</w:t>
      </w:r>
    </w:p>
    <w:p>
      <w:pPr>
        <w:pStyle w:val="BodyText"/>
      </w:pPr>
      <w:r>
        <w:rPr>
          <w:rFonts w:hint="eastAsia"/>
        </w:rPr>
        <w:t xml:space="preserve">就利率敏感度而言，投資回報假設及風險貼現率的變動為每年50個基點，分紅業務的預期分紅利率、於2020年12月31日的法</w:t>
      </w:r>
    </w:p>
    <w:p>
      <w:pPr>
        <w:pStyle w:val="BodyText"/>
      </w:pPr>
      <w:r>
        <w:rPr>
          <w:rFonts w:hint="eastAsia"/>
        </w:rPr>
        <w:t xml:space="preserve">定準備金基準及於2020年12月31日所持債務工具及衍生工具的價值已調整為與敏感度分析的利率假設一致，而所有其他假設</w:t>
      </w:r>
    </w:p>
    <w:p>
      <w:pPr>
        <w:pStyle w:val="BodyText"/>
      </w:pPr>
      <w:r>
        <w:rPr>
          <w:rFonts w:hint="eastAsia"/>
        </w:rPr>
        <w:t xml:space="preserve">不變。</w:t>
      </w:r>
    </w:p>
    <w:p>
      <w:pPr>
        <w:pStyle w:val="BodyText"/>
      </w:pPr>
      <w:r>
        <w:rPr>
          <w:rFonts w:hint="eastAsia"/>
        </w:rPr>
        <w:t xml:space="preserve">由於本集團在多個市場內經營業務，本集團內涵價值結果由多種貨幣換算為美元（本集團的呈列貨幣）。為提供外匯變動對</w:t>
      </w:r>
    </w:p>
    <w:p>
      <w:pPr>
        <w:pStyle w:val="BodyText"/>
      </w:pPr>
      <w:r>
        <w:rPr>
          <w:rFonts w:hint="eastAsia"/>
        </w:rPr>
        <w:t xml:space="preserve">內涵價值及新業務價值影響的敏感度結果，我們已在此分析中納入美元變動5%時的情況。</w:t>
      </w:r>
    </w:p>
    <w:p>
      <w:pPr>
        <w:pStyle w:val="BodyText"/>
      </w:pPr>
      <w:r>
        <w:rPr>
          <w:rFonts w:hint="eastAsia"/>
        </w:rPr>
        <w:t xml:space="preserve">就股本價格敏感度而言，分紅業務的預期分紅利率及於2020年12月31日所持股本證券及股本基金之價值已調整為與敏感度分</w:t>
      </w:r>
    </w:p>
    <w:p>
      <w:pPr>
        <w:pStyle w:val="BodyText"/>
      </w:pPr>
      <w:r>
        <w:rPr>
          <w:rFonts w:hint="eastAsia"/>
        </w:rPr>
        <w:t xml:space="preserve">析的股本價格假設一致，而所有其他假設不變。</w:t>
      </w:r>
    </w:p>
    <w:p>
      <w:pPr>
        <w:pStyle w:val="BodyText"/>
      </w:pPr>
      <w:r>
        <w:rPr>
          <w:rFonts w:hint="eastAsia"/>
        </w:rPr>
        <w:t xml:space="preserve">就餘下各項敏感度分析而言，於2020年12月31日的法定準備金基準及分紅業務的預期分紅利率已調整為與敏感度分析的假設</w:t>
      </w:r>
    </w:p>
    <w:p>
      <w:pPr>
        <w:pStyle w:val="BodyText"/>
      </w:pPr>
      <w:r>
        <w:rPr>
          <w:rFonts w:hint="eastAsia"/>
        </w:rPr>
        <w:t xml:space="preserve">一致，而所有其他假設不變。</w:t>
      </w:r>
    </w:p>
    <w:p>
      <w:pPr>
        <w:pStyle w:val="BodyText"/>
      </w:pPr>
      <w:r>
        <w:t xml:space="preserve">281</w:t>
      </w:r>
    </w:p>
    <w:p>
      <w:pPr>
        <w:pStyle w:val="BodyText"/>
      </w:pPr>
      <w:r>
        <w:rPr>
          <w:rFonts w:hint="eastAsia"/>
        </w:rPr>
        <w:t xml:space="preserve">概覽財務及營運回顧企業管治其他資料財務報表2020年報</w:t>
      </w:r>
    </w:p>
    <w:p>
      <w:pPr>
        <w:pStyle w:val="Compact"/>
        <w:numPr>
          <w:ilvl w:val="0"/>
          <w:numId w:val="1708"/>
        </w:numPr>
      </w:pPr>
      <w:r>
        <w:rPr>
          <w:rFonts w:hint="eastAsia"/>
        </w:rPr>
        <w:t xml:space="preserve">敏感度分析（續）</w:t>
      </w:r>
    </w:p>
    <w:p>
      <w:pPr>
        <w:pStyle w:val="FirstParagraph"/>
      </w:pPr>
      <w:r>
        <w:rPr>
          <w:rFonts w:hint="eastAsia"/>
        </w:rPr>
        <w:t xml:space="preserve">所選擇敏感度並不代表可能結果變動範圍的上限</w:t>
      </w:r>
      <w:r>
        <w:t xml:space="preserve"> </w:t>
      </w:r>
      <w:r>
        <w:rPr>
          <w:rFonts w:hint="eastAsia"/>
        </w:rPr>
        <w:t xml:space="preserve">∕下限。相反，其闡述了若干其他有可能的假設是如何影響有關結果。</w:t>
      </w:r>
    </w:p>
    <w:p>
      <w:pPr>
        <w:pStyle w:val="BodyText"/>
      </w:pPr>
      <w:r>
        <w:rPr>
          <w:rFonts w:hint="eastAsia"/>
        </w:rPr>
        <w:t xml:space="preserve">內涵價值的敏感度（百萬美元）</w:t>
      </w:r>
    </w:p>
    <w:p>
      <w:pPr>
        <w:pStyle w:val="BodyText"/>
      </w:pPr>
      <w:r>
        <w:rPr>
          <w:rFonts w:hint="eastAsia"/>
        </w:rPr>
        <w:t xml:space="preserve">情況</w:t>
      </w:r>
    </w:p>
    <w:p>
      <w:pPr>
        <w:pStyle w:val="BodyText"/>
      </w:pPr>
      <w:r>
        <w:rPr>
          <w:rFonts w:hint="eastAsia"/>
        </w:rPr>
        <w:t xml:space="preserve">中間價值</w:t>
      </w:r>
    </w:p>
    <w:p>
      <w:pPr>
        <w:pStyle w:val="BodyText"/>
      </w:pPr>
      <w:r>
        <w:rPr>
          <w:rFonts w:hint="eastAsia"/>
        </w:rPr>
        <w:t xml:space="preserve">以下各項的影響：</w:t>
      </w:r>
    </w:p>
    <w:p>
      <w:pPr>
        <w:pStyle w:val="BodyText"/>
      </w:pPr>
      <w:r>
        <w:rPr>
          <w:rFonts w:hint="eastAsia"/>
        </w:rPr>
        <w:t xml:space="preserve">風險貼現率上升200個基點</w:t>
      </w:r>
    </w:p>
    <w:p>
      <w:pPr>
        <w:pStyle w:val="BodyText"/>
      </w:pPr>
      <w:r>
        <w:rPr>
          <w:rFonts w:hint="eastAsia"/>
        </w:rPr>
        <w:t xml:space="preserve">風險貼現率下降200個基點</w:t>
      </w:r>
    </w:p>
    <w:p>
      <w:pPr>
        <w:pStyle w:val="BodyText"/>
      </w:pPr>
      <w:r>
        <w:rPr>
          <w:rFonts w:hint="eastAsia"/>
        </w:rPr>
        <w:t xml:space="preserve">股本價格上升10%</w:t>
      </w:r>
    </w:p>
    <w:p>
      <w:pPr>
        <w:pStyle w:val="BodyText"/>
      </w:pPr>
      <w:r>
        <w:rPr>
          <w:rFonts w:hint="eastAsia"/>
        </w:rPr>
        <w:t xml:space="preserve">股本價格下跌10%</w:t>
      </w:r>
    </w:p>
    <w:p>
      <w:pPr>
        <w:pStyle w:val="BodyText"/>
      </w:pPr>
      <w:r>
        <w:rPr>
          <w:rFonts w:hint="eastAsia"/>
        </w:rPr>
        <w:t xml:space="preserve">利率上升50個基點</w:t>
      </w:r>
    </w:p>
    <w:p>
      <w:pPr>
        <w:pStyle w:val="BodyText"/>
      </w:pPr>
      <w:r>
        <w:rPr>
          <w:rFonts w:hint="eastAsia"/>
        </w:rPr>
        <w:t xml:space="preserve">利率下降50個基點</w:t>
      </w:r>
    </w:p>
    <w:p>
      <w:pPr>
        <w:pStyle w:val="BodyText"/>
      </w:pPr>
      <w:r>
        <w:rPr>
          <w:rFonts w:hint="eastAsia"/>
        </w:rPr>
        <w:t xml:space="preserve">呈列貨幣升值5%</w:t>
      </w:r>
    </w:p>
    <w:p>
      <w:pPr>
        <w:pStyle w:val="BodyText"/>
      </w:pPr>
      <w:r>
        <w:rPr>
          <w:rFonts w:hint="eastAsia"/>
        </w:rPr>
        <w:t xml:space="preserve">呈列貨幣貶值5%</w:t>
      </w:r>
    </w:p>
    <w:p>
      <w:pPr>
        <w:pStyle w:val="BodyText"/>
      </w:pPr>
      <w:r>
        <w:rPr>
          <w:rFonts w:hint="eastAsia"/>
        </w:rPr>
        <w:t xml:space="preserve">失效</w:t>
      </w:r>
      <w:r>
        <w:t xml:space="preserve"> </w:t>
      </w:r>
      <w:r>
        <w:rPr>
          <w:rFonts w:hint="eastAsia"/>
        </w:rPr>
        <w:t xml:space="preserve">∕斷供率上升10%</w:t>
      </w:r>
    </w:p>
    <w:p>
      <w:pPr>
        <w:pStyle w:val="BodyText"/>
      </w:pPr>
      <w:r>
        <w:rPr>
          <w:rFonts w:hint="eastAsia"/>
        </w:rPr>
        <w:t xml:space="preserve">失效</w:t>
      </w:r>
      <w:r>
        <w:t xml:space="preserve"> </w:t>
      </w:r>
      <w:r>
        <w:rPr>
          <w:rFonts w:hint="eastAsia"/>
        </w:rPr>
        <w:t xml:space="preserve">∕斷供率下降10%</w:t>
      </w:r>
    </w:p>
    <w:p>
      <w:pPr>
        <w:pStyle w:val="BodyText"/>
      </w:pPr>
      <w:r>
        <w:rPr>
          <w:rFonts w:hint="eastAsia"/>
        </w:rPr>
        <w:t xml:space="preserve">死亡</w:t>
      </w:r>
      <w:r>
        <w:t xml:space="preserve"> </w:t>
      </w:r>
      <w:r>
        <w:rPr>
          <w:rFonts w:hint="eastAsia"/>
        </w:rPr>
        <w:t xml:space="preserve">∕傷病率上升10%</w:t>
      </w:r>
    </w:p>
    <w:p>
      <w:pPr>
        <w:pStyle w:val="BodyText"/>
      </w:pPr>
      <w:r>
        <w:rPr>
          <w:rFonts w:hint="eastAsia"/>
        </w:rPr>
        <w:t xml:space="preserve">死亡</w:t>
      </w:r>
      <w:r>
        <w:t xml:space="preserve"> </w:t>
      </w:r>
      <w:r>
        <w:rPr>
          <w:rFonts w:hint="eastAsia"/>
        </w:rPr>
        <w:t xml:space="preserve">∕傷病率下降10%</w:t>
      </w:r>
    </w:p>
    <w:p>
      <w:pPr>
        <w:pStyle w:val="BodyText"/>
      </w:pPr>
      <w:r>
        <w:rPr>
          <w:rFonts w:hint="eastAsia"/>
        </w:rPr>
        <w:t xml:space="preserve">維持開支減少10%</w:t>
      </w:r>
    </w:p>
    <w:p>
      <w:pPr>
        <w:pStyle w:val="BodyText"/>
      </w:pPr>
      <w:r>
        <w:rPr>
          <w:rFonts w:hint="eastAsia"/>
        </w:rPr>
        <w:t xml:space="preserve">開支通脹定為0%</w:t>
      </w:r>
    </w:p>
    <w:p>
      <w:pPr>
        <w:pStyle w:val="BodyText"/>
      </w:pPr>
      <w:r>
        <w:rPr>
          <w:rFonts w:hint="eastAsia"/>
        </w:rPr>
        <w:t xml:space="preserve">新業務價值的敏感度（百萬美元）</w:t>
      </w:r>
    </w:p>
    <w:p>
      <w:pPr>
        <w:pStyle w:val="BodyText"/>
      </w:pPr>
      <w:r>
        <w:rPr>
          <w:rFonts w:hint="eastAsia"/>
        </w:rPr>
        <w:t xml:space="preserve">情況</w:t>
      </w:r>
    </w:p>
    <w:p>
      <w:pPr>
        <w:pStyle w:val="BodyText"/>
      </w:pPr>
      <w:r>
        <w:rPr>
          <w:rFonts w:hint="eastAsia"/>
        </w:rPr>
        <w:t xml:space="preserve">中間價值</w:t>
      </w:r>
    </w:p>
    <w:p>
      <w:pPr>
        <w:pStyle w:val="BodyText"/>
      </w:pPr>
      <w:r>
        <w:rPr>
          <w:rFonts w:hint="eastAsia"/>
        </w:rPr>
        <w:t xml:space="preserve">以下各項的影響：</w:t>
      </w:r>
    </w:p>
    <w:p>
      <w:pPr>
        <w:pStyle w:val="BodyText"/>
      </w:pPr>
      <w:r>
        <w:rPr>
          <w:rFonts w:hint="eastAsia"/>
        </w:rPr>
        <w:t xml:space="preserve">風險貼現率上升200個基點</w:t>
      </w:r>
    </w:p>
    <w:p>
      <w:pPr>
        <w:pStyle w:val="BodyText"/>
      </w:pPr>
      <w:r>
        <w:rPr>
          <w:rFonts w:hint="eastAsia"/>
        </w:rPr>
        <w:t xml:space="preserve">風險貼現率下降200個基點</w:t>
      </w:r>
    </w:p>
    <w:p>
      <w:pPr>
        <w:pStyle w:val="BodyText"/>
      </w:pPr>
      <w:r>
        <w:rPr>
          <w:rFonts w:hint="eastAsia"/>
        </w:rPr>
        <w:t xml:space="preserve">利率上升50個基點</w:t>
      </w:r>
    </w:p>
    <w:p>
      <w:pPr>
        <w:pStyle w:val="BodyText"/>
      </w:pPr>
      <w:r>
        <w:rPr>
          <w:rFonts w:hint="eastAsia"/>
        </w:rPr>
        <w:t xml:space="preserve">利率下降50個基點</w:t>
      </w:r>
    </w:p>
    <w:p>
      <w:pPr>
        <w:pStyle w:val="BodyText"/>
      </w:pPr>
      <w:r>
        <w:rPr>
          <w:rFonts w:hint="eastAsia"/>
        </w:rPr>
        <w:t xml:space="preserve">呈列貨幣升值5%</w:t>
      </w:r>
    </w:p>
    <w:p>
      <w:pPr>
        <w:pStyle w:val="BodyText"/>
      </w:pPr>
      <w:r>
        <w:rPr>
          <w:rFonts w:hint="eastAsia"/>
        </w:rPr>
        <w:t xml:space="preserve">呈列貨幣貶值5%</w:t>
      </w:r>
    </w:p>
    <w:p>
      <w:pPr>
        <w:pStyle w:val="BodyText"/>
      </w:pPr>
      <w:r>
        <w:rPr>
          <w:rFonts w:hint="eastAsia"/>
        </w:rPr>
        <w:t xml:space="preserve">失效</w:t>
      </w:r>
      <w:r>
        <w:t xml:space="preserve"> </w:t>
      </w:r>
      <w:r>
        <w:rPr>
          <w:rFonts w:hint="eastAsia"/>
        </w:rPr>
        <w:t xml:space="preserve">∕斷供率上升10%</w:t>
      </w:r>
    </w:p>
    <w:p>
      <w:pPr>
        <w:pStyle w:val="BodyText"/>
      </w:pPr>
      <w:r>
        <w:rPr>
          <w:rFonts w:hint="eastAsia"/>
        </w:rPr>
        <w:t xml:space="preserve">失效</w:t>
      </w:r>
      <w:r>
        <w:t xml:space="preserve"> </w:t>
      </w:r>
      <w:r>
        <w:rPr>
          <w:rFonts w:hint="eastAsia"/>
        </w:rPr>
        <w:t xml:space="preserve">∕斷供率下降10%</w:t>
      </w:r>
    </w:p>
    <w:p>
      <w:pPr>
        <w:pStyle w:val="BodyText"/>
      </w:pPr>
      <w:r>
        <w:rPr>
          <w:rFonts w:hint="eastAsia"/>
        </w:rPr>
        <w:t xml:space="preserve">死亡</w:t>
      </w:r>
      <w:r>
        <w:t xml:space="preserve"> </w:t>
      </w:r>
      <w:r>
        <w:rPr>
          <w:rFonts w:hint="eastAsia"/>
        </w:rPr>
        <w:t xml:space="preserve">∕傷病率上升10%</w:t>
      </w:r>
    </w:p>
    <w:p>
      <w:pPr>
        <w:pStyle w:val="BodyText"/>
      </w:pPr>
      <w:r>
        <w:rPr>
          <w:rFonts w:hint="eastAsia"/>
        </w:rPr>
        <w:t xml:space="preserve">死亡</w:t>
      </w:r>
      <w:r>
        <w:t xml:space="preserve"> </w:t>
      </w:r>
      <w:r>
        <w:rPr>
          <w:rFonts w:hint="eastAsia"/>
        </w:rPr>
        <w:t xml:space="preserve">∕傷病率下降10%</w:t>
      </w:r>
    </w:p>
    <w:p>
      <w:pPr>
        <w:pStyle w:val="BodyText"/>
      </w:pPr>
      <w:r>
        <w:rPr>
          <w:rFonts w:hint="eastAsia"/>
        </w:rPr>
        <w:t xml:space="preserve">維持開支減少10%</w:t>
      </w:r>
    </w:p>
    <w:p>
      <w:pPr>
        <w:pStyle w:val="BodyText"/>
      </w:pPr>
      <w:r>
        <w:rPr>
          <w:rFonts w:hint="eastAsia"/>
        </w:rPr>
        <w:t xml:space="preserve">開支通脹定為0%</w:t>
      </w:r>
    </w:p>
    <w:p>
      <w:pPr>
        <w:pStyle w:val="BodyText"/>
      </w:pPr>
      <w:r>
        <w:t xml:space="preserve">282</w:t>
      </w:r>
    </w:p>
    <w:p>
      <w:pPr>
        <w:pStyle w:val="BodyText"/>
      </w:pPr>
      <w:r>
        <w:rPr>
          <w:rFonts w:hint="eastAsia"/>
        </w:rPr>
        <w:t xml:space="preserve">於2020年12月31日</w:t>
      </w:r>
    </w:p>
    <w:p>
      <w:pPr>
        <w:pStyle w:val="BodyText"/>
      </w:pPr>
      <w:r>
        <w:rPr>
          <w:rFonts w:hint="eastAsia"/>
        </w:rPr>
        <w:t xml:space="preserve">於2019年12月31日</w:t>
      </w:r>
    </w:p>
    <w:p>
      <w:pPr>
        <w:pStyle w:val="BodyText"/>
      </w:pPr>
      <w:r>
        <w:rPr>
          <w:rFonts w:hint="eastAsia"/>
        </w:rPr>
        <w:t xml:space="preserve">內涵價值</w:t>
      </w:r>
    </w:p>
    <w:p>
      <w:pPr>
        <w:pStyle w:val="BodyText"/>
      </w:pPr>
      <w:r>
        <w:rPr>
          <w:rFonts w:hint="eastAsia"/>
        </w:rPr>
        <w:t xml:space="preserve">比率</w:t>
      </w:r>
    </w:p>
    <w:p>
      <w:pPr>
        <w:pStyle w:val="BodyText"/>
      </w:pPr>
      <w:r>
        <w:rPr>
          <w:rFonts w:hint="eastAsia"/>
        </w:rPr>
        <w:t xml:space="preserve">內涵價值</w:t>
      </w:r>
    </w:p>
    <w:p>
      <w:pPr>
        <w:pStyle w:val="BodyText"/>
      </w:pPr>
      <w:r>
        <w:rPr>
          <w:rFonts w:hint="eastAsia"/>
        </w:rPr>
        <w:t xml:space="preserve">比率</w:t>
      </w:r>
    </w:p>
    <w:p>
      <w:pPr>
        <w:pStyle w:val="BodyText"/>
      </w:pPr>
      <w:r>
        <w:t xml:space="preserve">65,247</w:t>
      </w:r>
    </w:p>
    <w:p>
      <w:pPr>
        <w:pStyle w:val="BodyText"/>
      </w:pPr>
      <w:r>
        <w:t xml:space="preserve">(9,098)</w:t>
      </w:r>
    </w:p>
    <w:p>
      <w:pPr>
        <w:pStyle w:val="BodyText"/>
      </w:pPr>
      <w:r>
        <w:t xml:space="preserve">(13.9)%</w:t>
      </w:r>
    </w:p>
    <w:p>
      <w:pPr>
        <w:pStyle w:val="BodyText"/>
      </w:pPr>
      <w:r>
        <w:t xml:space="preserve">14,409</w:t>
      </w:r>
    </w:p>
    <w:p>
      <w:pPr>
        <w:pStyle w:val="BodyText"/>
      </w:pPr>
      <w:r>
        <w:t xml:space="preserve">1,099</w:t>
      </w:r>
    </w:p>
    <w:p>
      <w:pPr>
        <w:pStyle w:val="BodyText"/>
      </w:pPr>
      <w:r>
        <w:t xml:space="preserve">(1,095)</w:t>
      </w:r>
    </w:p>
    <w:p>
      <w:pPr>
        <w:pStyle w:val="BodyText"/>
      </w:pPr>
      <w:r>
        <w:t xml:space="preserve">652</w:t>
      </w:r>
    </w:p>
    <w:p>
      <w:pPr>
        <w:pStyle w:val="BodyText"/>
      </w:pPr>
      <w:r>
        <w:t xml:space="preserve">(1,294)</w:t>
      </w:r>
    </w:p>
    <w:p>
      <w:pPr>
        <w:pStyle w:val="BodyText"/>
      </w:pPr>
      <w:r>
        <w:t xml:space="preserve">(1,906)</w:t>
      </w:r>
    </w:p>
    <w:p>
      <w:pPr>
        <w:pStyle w:val="BodyText"/>
      </w:pPr>
      <w:r>
        <w:t xml:space="preserve">1,906</w:t>
      </w:r>
    </w:p>
    <w:p>
      <w:pPr>
        <w:pStyle w:val="FirstParagraph"/>
      </w:pPr>
      <w:r>
        <w:t xml:space="preserve">1,049</w:t>
      </w:r>
    </w:p>
    <w:p>
      <w:pPr>
        <w:pStyle w:val="BodyText"/>
      </w:pPr>
      <w:r>
        <w:t xml:space="preserve">(4,556)</w:t>
      </w:r>
    </w:p>
    <w:p>
      <w:pPr>
        <w:pStyle w:val="BodyText"/>
      </w:pPr>
      <w:r>
        <w:t xml:space="preserve">4,665</w:t>
      </w:r>
    </w:p>
    <w:p>
      <w:pPr>
        <w:pStyle w:val="BodyText"/>
      </w:pPr>
      <w:r>
        <w:t xml:space="preserve">882</w:t>
      </w:r>
    </w:p>
    <w:p>
      <w:pPr>
        <w:pStyle w:val="BodyText"/>
      </w:pPr>
      <w:r>
        <w:t xml:space="preserve">1,063</w:t>
      </w:r>
    </w:p>
    <w:p>
      <w:pPr>
        <w:pStyle w:val="BodyText"/>
      </w:pPr>
      <w:r>
        <w:t xml:space="preserve">22.1%</w:t>
      </w:r>
    </w:p>
    <w:p>
      <w:pPr>
        <w:pStyle w:val="BodyText"/>
      </w:pPr>
      <w:r>
        <w:t xml:space="preserve">1.7%</w:t>
      </w:r>
    </w:p>
    <w:p>
      <w:pPr>
        <w:pStyle w:val="BodyText"/>
      </w:pPr>
      <w:r>
        <w:t xml:space="preserve">(1.7)%</w:t>
      </w:r>
    </w:p>
    <w:p>
      <w:pPr>
        <w:pStyle w:val="BodyText"/>
      </w:pPr>
      <w:r>
        <w:t xml:space="preserve">1.0%</w:t>
      </w:r>
    </w:p>
    <w:p>
      <w:pPr>
        <w:pStyle w:val="BodyText"/>
      </w:pPr>
      <w:r>
        <w:t xml:space="preserve">(2.0)%</w:t>
      </w:r>
    </w:p>
    <w:p>
      <w:pPr>
        <w:pStyle w:val="BodyText"/>
      </w:pPr>
      <w:r>
        <w:t xml:space="preserve">(2.9)%</w:t>
      </w:r>
    </w:p>
    <w:p>
      <w:pPr>
        <w:pStyle w:val="BodyText"/>
      </w:pPr>
      <w:r>
        <w:t xml:space="preserve">2.9%</w:t>
      </w:r>
    </w:p>
    <w:p>
      <w:pPr>
        <w:pStyle w:val="BodyText"/>
      </w:pPr>
      <w:r>
        <w:t xml:space="preserve">(1.4)%</w:t>
      </w:r>
    </w:p>
    <w:p>
      <w:pPr>
        <w:pStyle w:val="BodyText"/>
      </w:pPr>
      <w:r>
        <w:t xml:space="preserve">1.6%</w:t>
      </w:r>
    </w:p>
    <w:p>
      <w:pPr>
        <w:pStyle w:val="BodyText"/>
      </w:pPr>
      <w:r>
        <w:t xml:space="preserve">(7.0)%</w:t>
      </w:r>
    </w:p>
    <w:p>
      <w:pPr>
        <w:pStyle w:val="BodyText"/>
      </w:pPr>
      <w:r>
        <w:t xml:space="preserve">7.1%</w:t>
      </w:r>
    </w:p>
    <w:p>
      <w:pPr>
        <w:pStyle w:val="BodyText"/>
      </w:pPr>
      <w:r>
        <w:t xml:space="preserve">1.4%</w:t>
      </w:r>
    </w:p>
    <w:p>
      <w:pPr>
        <w:pStyle w:val="BodyText"/>
      </w:pPr>
      <w:r>
        <w:t xml:space="preserve">1.6%</w:t>
      </w:r>
    </w:p>
    <w:p>
      <w:pPr>
        <w:pStyle w:val="BodyText"/>
      </w:pPr>
      <w:r>
        <w:t xml:space="preserve">61,985</w:t>
      </w:r>
    </w:p>
    <w:p>
      <w:pPr>
        <w:pStyle w:val="BodyText"/>
      </w:pPr>
      <w:r>
        <w:t xml:space="preserve">(8,500)</w:t>
      </w:r>
    </w:p>
    <w:p>
      <w:pPr>
        <w:pStyle w:val="BodyText"/>
      </w:pPr>
      <w:r>
        <w:t xml:space="preserve">13,696</w:t>
      </w:r>
    </w:p>
    <w:p>
      <w:pPr>
        <w:pStyle w:val="BodyText"/>
      </w:pPr>
      <w:r>
        <w:t xml:space="preserve">968</w:t>
      </w:r>
    </w:p>
    <w:p>
      <w:pPr>
        <w:pStyle w:val="FirstParagraph"/>
      </w:pPr>
      <w:r>
        <w:t xml:space="preserve">719</w:t>
      </w:r>
    </w:p>
    <w:p>
      <w:pPr>
        <w:pStyle w:val="FirstParagraph"/>
      </w:pPr>
      <w:r>
        <w:t xml:space="preserve">(1,837)</w:t>
      </w:r>
    </w:p>
    <w:p>
      <w:pPr>
        <w:pStyle w:val="BodyText"/>
      </w:pPr>
      <w:r>
        <w:t xml:space="preserve">1,837</w:t>
      </w:r>
    </w:p>
    <w:p>
      <w:pPr>
        <w:pStyle w:val="FirstParagraph"/>
      </w:pPr>
      <w:r>
        <w:t xml:space="preserve">1,087</w:t>
      </w:r>
    </w:p>
    <w:p>
      <w:pPr>
        <w:pStyle w:val="BodyText"/>
      </w:pPr>
      <w:r>
        <w:t xml:space="preserve">(4,627)</w:t>
      </w:r>
    </w:p>
    <w:p>
      <w:pPr>
        <w:pStyle w:val="BodyText"/>
      </w:pPr>
      <w:r>
        <w:t xml:space="preserve">4,540</w:t>
      </w:r>
    </w:p>
    <w:p>
      <w:pPr>
        <w:pStyle w:val="BodyText"/>
      </w:pPr>
      <w:r>
        <w:t xml:space="preserve">699</w:t>
      </w:r>
    </w:p>
    <w:p>
      <w:pPr>
        <w:pStyle w:val="BodyText"/>
      </w:pPr>
      <w:r>
        <w:t xml:space="preserve">868</w:t>
      </w:r>
    </w:p>
    <w:p>
      <w:pPr>
        <w:pStyle w:val="BodyText"/>
      </w:pPr>
      <w:r>
        <w:t xml:space="preserve">(13.7)%</w:t>
      </w:r>
    </w:p>
    <w:p>
      <w:pPr>
        <w:pStyle w:val="BodyText"/>
      </w:pPr>
      <w:r>
        <w:t xml:space="preserve">22.1%</w:t>
      </w:r>
    </w:p>
    <w:p>
      <w:pPr>
        <w:pStyle w:val="BodyText"/>
      </w:pPr>
      <w:r>
        <w:t xml:space="preserve">1.6%</w:t>
      </w:r>
    </w:p>
    <w:p>
      <w:pPr>
        <w:pStyle w:val="BodyText"/>
      </w:pPr>
      <w:r>
        <w:t xml:space="preserve">(1.6)%</w:t>
      </w:r>
    </w:p>
    <w:p>
      <w:pPr>
        <w:pStyle w:val="BodyText"/>
      </w:pPr>
      <w:r>
        <w:t xml:space="preserve">1.2%</w:t>
      </w:r>
    </w:p>
    <w:p>
      <w:pPr>
        <w:pStyle w:val="BodyText"/>
      </w:pPr>
      <w:r>
        <w:t xml:space="preserve">(1.3)%</w:t>
      </w:r>
    </w:p>
    <w:p>
      <w:pPr>
        <w:pStyle w:val="BodyText"/>
      </w:pPr>
      <w:r>
        <w:t xml:space="preserve">(3.0)%</w:t>
      </w:r>
    </w:p>
    <w:p>
      <w:pPr>
        <w:pStyle w:val="BodyText"/>
      </w:pPr>
      <w:r>
        <w:t xml:space="preserve">3.0%</w:t>
      </w:r>
    </w:p>
    <w:p>
      <w:pPr>
        <w:pStyle w:val="BodyText"/>
      </w:pPr>
      <w:r>
        <w:t xml:space="preserve">(1.6)%</w:t>
      </w:r>
    </w:p>
    <w:p>
      <w:pPr>
        <w:pStyle w:val="BodyText"/>
      </w:pPr>
      <w:r>
        <w:t xml:space="preserve">1.8%</w:t>
      </w:r>
    </w:p>
    <w:p>
      <w:pPr>
        <w:pStyle w:val="BodyText"/>
      </w:pPr>
      <w:r>
        <w:t xml:space="preserve">(7.5)%</w:t>
      </w:r>
    </w:p>
    <w:p>
      <w:pPr>
        <w:pStyle w:val="BodyText"/>
      </w:pPr>
      <w:r>
        <w:t xml:space="preserve">7.3%</w:t>
      </w:r>
    </w:p>
    <w:p>
      <w:pPr>
        <w:pStyle w:val="BodyText"/>
      </w:pPr>
      <w:r>
        <w:t xml:space="preserve">1.1%</w:t>
      </w:r>
    </w:p>
    <w:p>
      <w:pPr>
        <w:pStyle w:val="BodyText"/>
      </w:pPr>
      <w:r>
        <w:t xml:space="preserve">1.4%</w:t>
      </w:r>
    </w:p>
    <w:p>
      <w:pPr>
        <w:pStyle w:val="BodyText"/>
      </w:pPr>
      <w:r>
        <w:rPr>
          <w:rFonts w:hint="eastAsia"/>
        </w:rPr>
        <w:t xml:space="preserve">截至2020年12月31日止年度</w:t>
      </w:r>
    </w:p>
    <w:p>
      <w:pPr>
        <w:pStyle w:val="BodyText"/>
      </w:pPr>
      <w:r>
        <w:rPr>
          <w:rFonts w:hint="eastAsia"/>
        </w:rPr>
        <w:t xml:space="preserve">截至2019年12月31日止年度</w:t>
      </w:r>
    </w:p>
    <w:p>
      <w:pPr>
        <w:pStyle w:val="BodyText"/>
      </w:pPr>
      <w:r>
        <w:rPr>
          <w:rFonts w:hint="eastAsia"/>
        </w:rPr>
        <w:t xml:space="preserve">新業務價值</w:t>
      </w:r>
    </w:p>
    <w:p>
      <w:pPr>
        <w:pStyle w:val="BodyText"/>
      </w:pPr>
      <w:r>
        <w:rPr>
          <w:rFonts w:hint="eastAsia"/>
        </w:rPr>
        <w:t xml:space="preserve">比率</w:t>
      </w:r>
    </w:p>
    <w:p>
      <w:pPr>
        <w:pStyle w:val="BodyText"/>
      </w:pPr>
      <w:r>
        <w:rPr>
          <w:rFonts w:hint="eastAsia"/>
        </w:rPr>
        <w:t xml:space="preserve">新業務價值</w:t>
      </w:r>
    </w:p>
    <w:p>
      <w:pPr>
        <w:pStyle w:val="BodyText"/>
      </w:pPr>
      <w:r>
        <w:rPr>
          <w:rFonts w:hint="eastAsia"/>
        </w:rPr>
        <w:t xml:space="preserve">比率</w:t>
      </w:r>
    </w:p>
    <w:p>
      <w:pPr>
        <w:pStyle w:val="BodyText"/>
      </w:pPr>
      <w:r>
        <w:t xml:space="preserve">2,765</w:t>
      </w:r>
    </w:p>
    <w:p>
      <w:pPr>
        <w:pStyle w:val="FirstParagraph"/>
      </w:pPr>
      <w:r>
        <w:t xml:space="preserve">(23.7)%</w:t>
      </w:r>
    </w:p>
    <w:p>
      <w:pPr>
        <w:pStyle w:val="BodyText"/>
      </w:pPr>
      <w:r>
        <w:t xml:space="preserve">963</w:t>
      </w:r>
    </w:p>
    <w:p>
      <w:pPr>
        <w:pStyle w:val="BodyText"/>
      </w:pPr>
      <w:r>
        <w:t xml:space="preserve">193</w:t>
      </w:r>
    </w:p>
    <w:p>
      <w:pPr>
        <w:pStyle w:val="FirstParagraph"/>
      </w:pPr>
      <w:r>
        <w:t xml:space="preserve">116</w:t>
      </w:r>
    </w:p>
    <w:p>
      <w:pPr>
        <w:pStyle w:val="FirstParagraph"/>
      </w:pPr>
      <w:r>
        <w:t xml:space="preserve">182</w:t>
      </w:r>
    </w:p>
    <w:p>
      <w:pPr>
        <w:pStyle w:val="FirstParagraph"/>
      </w:pPr>
      <w:r>
        <w:t xml:space="preserve">337</w:t>
      </w:r>
    </w:p>
    <w:p>
      <w:pPr>
        <w:pStyle w:val="BodyText"/>
      </w:pPr>
      <w:r>
        <w:t xml:space="preserve">89</w:t>
      </w:r>
    </w:p>
    <w:p>
      <w:pPr>
        <w:pStyle w:val="BodyText"/>
      </w:pPr>
      <w:r>
        <w:t xml:space="preserve">54</w:t>
      </w:r>
    </w:p>
    <w:p>
      <w:pPr>
        <w:pStyle w:val="BodyText"/>
      </w:pPr>
      <w:r>
        <w:t xml:space="preserve">34.8%</w:t>
      </w:r>
    </w:p>
    <w:p>
      <w:pPr>
        <w:pStyle w:val="BodyText"/>
      </w:pPr>
      <w:r>
        <w:t xml:space="preserve">7.0%</w:t>
      </w:r>
    </w:p>
    <w:p>
      <w:pPr>
        <w:pStyle w:val="BodyText"/>
      </w:pPr>
      <w:r>
        <w:t xml:space="preserve">(10.8)%</w:t>
      </w:r>
    </w:p>
    <w:p>
      <w:pPr>
        <w:pStyle w:val="BodyText"/>
      </w:pPr>
      <w:r>
        <w:t xml:space="preserve">(4.2)%</w:t>
      </w:r>
    </w:p>
    <w:p>
      <w:pPr>
        <w:pStyle w:val="BodyText"/>
      </w:pPr>
      <w:r>
        <w:t xml:space="preserve">4.2%</w:t>
      </w:r>
    </w:p>
    <w:p>
      <w:pPr>
        <w:pStyle w:val="BodyText"/>
      </w:pPr>
      <w:r>
        <w:t xml:space="preserve">(6.4)%</w:t>
      </w:r>
    </w:p>
    <w:p>
      <w:pPr>
        <w:pStyle w:val="BodyText"/>
      </w:pPr>
      <w:r>
        <w:t xml:space="preserve">6.6%</w:t>
      </w:r>
    </w:p>
    <w:p>
      <w:pPr>
        <w:pStyle w:val="BodyText"/>
      </w:pPr>
      <w:r>
        <w:t xml:space="preserve">(12.9)%</w:t>
      </w:r>
    </w:p>
    <w:p>
      <w:pPr>
        <w:pStyle w:val="BodyText"/>
      </w:pPr>
      <w:r>
        <w:t xml:space="preserve">12.2%</w:t>
      </w:r>
    </w:p>
    <w:p>
      <w:pPr>
        <w:pStyle w:val="BodyText"/>
      </w:pPr>
      <w:r>
        <w:t xml:space="preserve">3.2%</w:t>
      </w:r>
    </w:p>
    <w:p>
      <w:pPr>
        <w:pStyle w:val="BodyText"/>
      </w:pPr>
      <w:r>
        <w:t xml:space="preserve">2.0%</w:t>
      </w:r>
    </w:p>
    <w:p>
      <w:pPr>
        <w:pStyle w:val="BodyText"/>
      </w:pPr>
      <w:r>
        <w:t xml:space="preserve">4,154</w:t>
      </w:r>
    </w:p>
    <w:p>
      <w:pPr>
        <w:pStyle w:val="FirstParagraph"/>
      </w:pPr>
      <w:r>
        <w:t xml:space="preserve">1,527</w:t>
      </w:r>
    </w:p>
    <w:p>
      <w:pPr>
        <w:pStyle w:val="BodyText"/>
      </w:pPr>
      <w:r>
        <w:t xml:space="preserve">151</w:t>
      </w:r>
    </w:p>
    <w:p>
      <w:pPr>
        <w:pStyle w:val="FirstParagraph"/>
      </w:pPr>
      <w:r>
        <w:t xml:space="preserve">129</w:t>
      </w:r>
    </w:p>
    <w:p>
      <w:pPr>
        <w:pStyle w:val="FirstParagraph"/>
      </w:pPr>
      <w:r>
        <w:t xml:space="preserve">224</w:t>
      </w:r>
    </w:p>
    <w:p>
      <w:pPr>
        <w:pStyle w:val="FirstParagraph"/>
      </w:pPr>
      <w:r>
        <w:t xml:space="preserve">348</w:t>
      </w:r>
    </w:p>
    <w:p>
      <w:pPr>
        <w:pStyle w:val="BodyText"/>
      </w:pPr>
      <w:r>
        <w:t xml:space="preserve">97</w:t>
      </w:r>
    </w:p>
    <w:p>
      <w:pPr>
        <w:pStyle w:val="BodyText"/>
      </w:pPr>
      <w:r>
        <w:t xml:space="preserve">61</w:t>
      </w:r>
    </w:p>
    <w:p>
      <w:pPr>
        <w:pStyle w:val="BodyText"/>
      </w:pPr>
      <w:r>
        <w:t xml:space="preserve">(23.0)%</w:t>
      </w:r>
    </w:p>
    <w:p>
      <w:pPr>
        <w:pStyle w:val="BodyText"/>
      </w:pPr>
      <w:r>
        <w:t xml:space="preserve">36.8%</w:t>
      </w:r>
    </w:p>
    <w:p>
      <w:pPr>
        <w:pStyle w:val="BodyText"/>
      </w:pPr>
      <w:r>
        <w:t xml:space="preserve">3.6%</w:t>
      </w:r>
    </w:p>
    <w:p>
      <w:pPr>
        <w:pStyle w:val="BodyText"/>
      </w:pPr>
      <w:r>
        <w:t xml:space="preserve">(5.0)%</w:t>
      </w:r>
    </w:p>
    <w:p>
      <w:pPr>
        <w:pStyle w:val="BodyText"/>
      </w:pPr>
      <w:r>
        <w:t xml:space="preserve">(3.1)%</w:t>
      </w:r>
    </w:p>
    <w:p>
      <w:pPr>
        <w:pStyle w:val="BodyText"/>
      </w:pPr>
      <w:r>
        <w:t xml:space="preserve">3.1%</w:t>
      </w:r>
    </w:p>
    <w:p>
      <w:pPr>
        <w:pStyle w:val="BodyText"/>
      </w:pPr>
      <w:r>
        <w:t xml:space="preserve">(5.0)%</w:t>
      </w:r>
    </w:p>
    <w:p>
      <w:pPr>
        <w:pStyle w:val="BodyText"/>
      </w:pPr>
      <w:r>
        <w:t xml:space="preserve">5.4%</w:t>
      </w:r>
    </w:p>
    <w:p>
      <w:pPr>
        <w:pStyle w:val="BodyText"/>
      </w:pPr>
      <w:r>
        <w:t xml:space="preserve">(8.7)%</w:t>
      </w:r>
    </w:p>
    <w:p>
      <w:pPr>
        <w:pStyle w:val="BodyText"/>
      </w:pPr>
      <w:r>
        <w:t xml:space="preserve">8.4%</w:t>
      </w:r>
    </w:p>
    <w:p>
      <w:pPr>
        <w:pStyle w:val="BodyText"/>
      </w:pPr>
      <w:r>
        <w:t xml:space="preserve">2.3%</w:t>
      </w:r>
    </w:p>
    <w:p>
      <w:pPr>
        <w:pStyle w:val="BodyText"/>
      </w:pPr>
      <w:r>
        <w:t xml:space="preserve">1.5%</w:t>
      </w:r>
    </w:p>
    <w:p>
      <w:pPr>
        <w:pStyle w:val="BodyText"/>
      </w:pPr>
      <w:r>
        <w:rPr>
          <w:rFonts w:hint="eastAsia"/>
        </w:rPr>
        <w:t xml:space="preserve">友邦保險控股有限公司</w:t>
      </w:r>
    </w:p>
    <w:p>
      <w:pPr>
        <w:pStyle w:val="Compact"/>
        <w:numPr>
          <w:ilvl w:val="0"/>
          <w:numId w:val="1721"/>
        </w:numPr>
      </w:pPr>
      <w:r>
        <w:rPr>
          <w:rFonts w:hint="eastAsia"/>
        </w:rPr>
        <w:t xml:space="preserve">方法</w:t>
      </w:r>
      <w:r>
        <w:br/>
      </w:r>
      <w:r>
        <w:t xml:space="preserve">4.1 </w:t>
      </w:r>
      <w:r>
        <w:rPr>
          <w:rFonts w:hint="eastAsia"/>
        </w:rPr>
        <w:t xml:space="preserve">本報告中包括的實體</w:t>
      </w:r>
    </w:p>
    <w:p>
      <w:pPr>
        <w:pStyle w:val="FirstParagraph"/>
      </w:pPr>
      <w:r>
        <w:rPr>
          <w:rFonts w:hint="eastAsia"/>
        </w:rPr>
        <w:t xml:space="preserve">本集團透過多間附屬公司及分公司營運。其兩間主要營運附屬公司為AIA</w:t>
      </w:r>
      <w:r>
        <w:t xml:space="preserve"> </w:t>
      </w:r>
      <w:r>
        <w:rPr>
          <w:rFonts w:hint="eastAsia"/>
        </w:rPr>
        <w:t xml:space="preserve">Co.（一間在香港註冊成立的公司及為本公司的附屬</w:t>
      </w:r>
    </w:p>
    <w:p>
      <w:pPr>
        <w:pStyle w:val="BodyText"/>
      </w:pPr>
      <w:r>
        <w:rPr>
          <w:rFonts w:hint="eastAsia"/>
        </w:rPr>
        <w:t xml:space="preserve">公司）及AIA</w:t>
      </w:r>
      <w:r>
        <w:t xml:space="preserve"> </w:t>
      </w:r>
      <w:r>
        <w:rPr>
          <w:rFonts w:hint="eastAsia"/>
        </w:rPr>
        <w:t xml:space="preserve">International（一間於百慕達註冊成立的公司及為本公司的間接附屬公司）。此外，AIA</w:t>
      </w:r>
      <w:r>
        <w:t xml:space="preserve"> </w:t>
      </w:r>
      <w:r>
        <w:rPr>
          <w:rFonts w:hint="eastAsia"/>
        </w:rPr>
        <w:t xml:space="preserve">Co.在泰國設有分公司，</w:t>
      </w:r>
    </w:p>
    <w:p>
      <w:pPr>
        <w:pStyle w:val="BodyText"/>
      </w:pPr>
      <w:r>
        <w:rPr>
          <w:rFonts w:hint="eastAsia"/>
        </w:rPr>
        <w:t xml:space="preserve">而AIA</w:t>
      </w:r>
      <w:r>
        <w:t xml:space="preserve"> </w:t>
      </w:r>
      <w:r>
        <w:rPr>
          <w:rFonts w:hint="eastAsia"/>
        </w:rPr>
        <w:t xml:space="preserve">International則在香港、澳門及台灣設有分公司。</w:t>
      </w:r>
    </w:p>
    <w:p>
      <w:pPr>
        <w:pStyle w:val="BodyText"/>
      </w:pPr>
      <w:r>
        <w:rPr>
          <w:rFonts w:hint="eastAsia"/>
        </w:rPr>
        <w:t xml:space="preserve">實體的名單呈列如下，並附列其在本報告中所對應的業務單位。</w:t>
      </w:r>
    </w:p>
    <w:p>
      <w:pPr>
        <w:pStyle w:val="BodyText"/>
      </w:pPr>
      <w:r>
        <w:t xml:space="preserve">• </w:t>
      </w:r>
      <w:r>
        <w:rPr>
          <w:rFonts w:hint="eastAsia"/>
        </w:rPr>
        <w:t xml:space="preserve">AIA澳洲指AIA</w:t>
      </w:r>
      <w:r>
        <w:t xml:space="preserve"> </w:t>
      </w:r>
      <w:r>
        <w:rPr>
          <w:rFonts w:hint="eastAsia"/>
        </w:rPr>
        <w:t xml:space="preserve">Co.的附屬公司AIA</w:t>
      </w:r>
      <w:r>
        <w:t xml:space="preserve"> Australia </w:t>
      </w:r>
      <w:r>
        <w:rPr>
          <w:rFonts w:hint="eastAsia"/>
        </w:rPr>
        <w:t xml:space="preserve">Limited、本集團通過合約聯合合作協議向澳洲聯邦銀行收購的業務(CMLA)及</w:t>
      </w:r>
    </w:p>
    <w:p>
      <w:pPr>
        <w:pStyle w:val="BodyText"/>
      </w:pPr>
      <w:r>
        <w:t xml:space="preserve">AIA </w:t>
      </w:r>
      <w:r>
        <w:rPr>
          <w:rFonts w:hint="eastAsia"/>
        </w:rPr>
        <w:t xml:space="preserve">International的附屬公司AIA</w:t>
      </w:r>
      <w:r>
        <w:t xml:space="preserve"> Sovereign </w:t>
      </w:r>
      <w:r>
        <w:rPr>
          <w:rFonts w:hint="eastAsia"/>
        </w:rPr>
        <w:t xml:space="preserve">Limited；</w:t>
      </w:r>
    </w:p>
    <w:p>
      <w:pPr>
        <w:pStyle w:val="BodyText"/>
      </w:pPr>
      <w:r>
        <w:t xml:space="preserve">• </w:t>
      </w:r>
      <w:r>
        <w:rPr>
          <w:rFonts w:hint="eastAsia"/>
        </w:rPr>
        <w:t xml:space="preserve">AIA柬埔寨指AIA</w:t>
      </w:r>
      <w:r>
        <w:t xml:space="preserve"> </w:t>
      </w:r>
      <w:r>
        <w:rPr>
          <w:rFonts w:hint="eastAsia"/>
        </w:rPr>
        <w:t xml:space="preserve">International的附屬公司AIA</w:t>
      </w:r>
      <w:r>
        <w:t xml:space="preserve"> (Cambodia) Life Insurance </w:t>
      </w:r>
      <w:r>
        <w:rPr>
          <w:rFonts w:hint="eastAsia"/>
        </w:rPr>
        <w:t xml:space="preserve">Plc.；</w:t>
      </w:r>
    </w:p>
    <w:p>
      <w:pPr>
        <w:pStyle w:val="BodyText"/>
      </w:pPr>
      <w:r>
        <w:t xml:space="preserve">• </w:t>
      </w:r>
      <w:r>
        <w:rPr>
          <w:rFonts w:hint="eastAsia"/>
        </w:rPr>
        <w:t xml:space="preserve">AIA中國指AIA</w:t>
      </w:r>
      <w:r>
        <w:t xml:space="preserve"> </w:t>
      </w:r>
      <w:r>
        <w:rPr>
          <w:rFonts w:hint="eastAsia"/>
        </w:rPr>
        <w:t xml:space="preserve">Co.的附屬公司友邦人壽保險有限公司(1)；</w:t>
      </w:r>
    </w:p>
    <w:p>
      <w:pPr>
        <w:pStyle w:val="BodyText"/>
      </w:pPr>
      <w:r>
        <w:t xml:space="preserve">• </w:t>
      </w:r>
      <w:r>
        <w:rPr>
          <w:rFonts w:hint="eastAsia"/>
        </w:rPr>
        <w:t xml:space="preserve">AIA香港指以下三間實體的合稱：</w:t>
      </w:r>
    </w:p>
    <w:p>
      <w:pPr>
        <w:pStyle w:val="BodyText"/>
      </w:pPr>
      <w:r>
        <w:t xml:space="preserve">– AIA </w:t>
      </w:r>
      <w:r>
        <w:rPr>
          <w:rFonts w:hint="eastAsia"/>
        </w:rPr>
        <w:t xml:space="preserve">International的香港及澳門分公司；</w:t>
      </w:r>
    </w:p>
    <w:p>
      <w:pPr>
        <w:pStyle w:val="BodyText"/>
      </w:pPr>
      <w:r>
        <w:t xml:space="preserve">– AIA </w:t>
      </w:r>
      <w:r>
        <w:rPr>
          <w:rFonts w:hint="eastAsia"/>
        </w:rPr>
        <w:t xml:space="preserve">Co.承保的香港及澳門業務；及</w:t>
      </w:r>
    </w:p>
    <w:p>
      <w:pPr>
        <w:pStyle w:val="BodyText"/>
      </w:pPr>
      <w:r>
        <w:t xml:space="preserve">– AIA </w:t>
      </w:r>
      <w:r>
        <w:rPr>
          <w:rFonts w:hint="eastAsia"/>
        </w:rPr>
        <w:t xml:space="preserve">Co.的附屬公司友邦退休金管理及信託有限公司；</w:t>
      </w:r>
    </w:p>
    <w:p>
      <w:pPr>
        <w:pStyle w:val="BodyText"/>
      </w:pPr>
      <w:r>
        <w:t xml:space="preserve">• </w:t>
      </w:r>
      <w:r>
        <w:rPr>
          <w:rFonts w:hint="eastAsia"/>
        </w:rPr>
        <w:t xml:space="preserve">AIA印尼指AIA</w:t>
      </w:r>
      <w:r>
        <w:t xml:space="preserve"> </w:t>
      </w:r>
      <w:r>
        <w:rPr>
          <w:rFonts w:hint="eastAsia"/>
        </w:rPr>
        <w:t xml:space="preserve">International的附屬公司PT.</w:t>
      </w:r>
      <w:r>
        <w:t xml:space="preserve"> AIA </w:t>
      </w:r>
      <w:r>
        <w:rPr>
          <w:rFonts w:hint="eastAsia"/>
        </w:rPr>
        <w:t xml:space="preserve">Financial；</w:t>
      </w:r>
    </w:p>
    <w:p>
      <w:pPr>
        <w:pStyle w:val="BodyText"/>
      </w:pPr>
      <w:r>
        <w:t xml:space="preserve">• </w:t>
      </w:r>
      <w:r>
        <w:rPr>
          <w:rFonts w:hint="eastAsia"/>
        </w:rPr>
        <w:t xml:space="preserve">AIA韓國指AIA</w:t>
      </w:r>
      <w:r>
        <w:t xml:space="preserve"> </w:t>
      </w:r>
      <w:r>
        <w:rPr>
          <w:rFonts w:hint="eastAsia"/>
        </w:rPr>
        <w:t xml:space="preserve">International的附屬公司AIA</w:t>
      </w:r>
      <w:r>
        <w:t xml:space="preserve"> Life Insurance Co. </w:t>
      </w:r>
      <w:r>
        <w:rPr>
          <w:rFonts w:hint="eastAsia"/>
        </w:rPr>
        <w:t xml:space="preserve">Ltd.；</w:t>
      </w:r>
    </w:p>
    <w:p>
      <w:pPr>
        <w:pStyle w:val="BodyText"/>
      </w:pPr>
      <w:r>
        <w:t xml:space="preserve">• </w:t>
      </w:r>
      <w:r>
        <w:rPr>
          <w:rFonts w:hint="eastAsia"/>
        </w:rPr>
        <w:t xml:space="preserve">AIA馬來西亞指AIA</w:t>
      </w:r>
      <w:r>
        <w:t xml:space="preserve"> </w:t>
      </w:r>
      <w:r>
        <w:rPr>
          <w:rFonts w:hint="eastAsia"/>
        </w:rPr>
        <w:t xml:space="preserve">Co.的附屬公司AIA</w:t>
      </w:r>
      <w:r>
        <w:t xml:space="preserve"> Bhd.、AIA </w:t>
      </w:r>
      <w:r>
        <w:rPr>
          <w:rFonts w:hint="eastAsia"/>
        </w:rPr>
        <w:t xml:space="preserve">Bhd.擁有70%權益的附屬公司AIA</w:t>
      </w:r>
      <w:r>
        <w:t xml:space="preserve"> PUBLIC Takaful </w:t>
      </w:r>
      <w:r>
        <w:rPr>
          <w:rFonts w:hint="eastAsia"/>
        </w:rPr>
        <w:t xml:space="preserve">Bhd.，及AIA</w:t>
      </w:r>
      <w:r>
        <w:t xml:space="preserve"> General</w:t>
      </w:r>
    </w:p>
    <w:p>
      <w:pPr>
        <w:pStyle w:val="BodyText"/>
      </w:pPr>
      <w:r>
        <w:rPr>
          <w:rFonts w:hint="eastAsia"/>
        </w:rPr>
        <w:t xml:space="preserve">Bhd.；</w:t>
      </w:r>
    </w:p>
    <w:p>
      <w:pPr>
        <w:pStyle w:val="BodyText"/>
      </w:pPr>
      <w:r>
        <w:t xml:space="preserve">• </w:t>
      </w:r>
      <w:r>
        <w:rPr>
          <w:rFonts w:hint="eastAsia"/>
        </w:rPr>
        <w:t xml:space="preserve">AIA緬甸指AIA</w:t>
      </w:r>
      <w:r>
        <w:t xml:space="preserve"> </w:t>
      </w:r>
      <w:r>
        <w:rPr>
          <w:rFonts w:hint="eastAsia"/>
        </w:rPr>
        <w:t xml:space="preserve">Co.的附屬公司AIA</w:t>
      </w:r>
      <w:r>
        <w:t xml:space="preserve"> Myanmar Life Insurance Co. </w:t>
      </w:r>
      <w:r>
        <w:rPr>
          <w:rFonts w:hint="eastAsia"/>
        </w:rPr>
        <w:t xml:space="preserve">Ltd.；</w:t>
      </w:r>
    </w:p>
    <w:p>
      <w:pPr>
        <w:pStyle w:val="BodyText"/>
      </w:pPr>
      <w:r>
        <w:t xml:space="preserve">• </w:t>
      </w:r>
      <w:r>
        <w:rPr>
          <w:rFonts w:hint="eastAsia"/>
        </w:rPr>
        <w:t xml:space="preserve">AIA菲律賓指AIA</w:t>
      </w:r>
      <w:r>
        <w:t xml:space="preserve"> </w:t>
      </w:r>
      <w:r>
        <w:rPr>
          <w:rFonts w:hint="eastAsia"/>
        </w:rPr>
        <w:t xml:space="preserve">Co.的附屬公司The</w:t>
      </w:r>
      <w:r>
        <w:t xml:space="preserve"> Philippine American Life and General Insurance (PHILAM LIFE) </w:t>
      </w:r>
      <w:r>
        <w:rPr>
          <w:rFonts w:hint="eastAsia"/>
        </w:rPr>
        <w:t xml:space="preserve">Company及其擁有</w:t>
      </w:r>
    </w:p>
    <w:p>
      <w:pPr>
        <w:pStyle w:val="BodyText"/>
      </w:pPr>
      <w:r>
        <w:rPr>
          <w:rFonts w:hint="eastAsia"/>
        </w:rPr>
        <w:t xml:space="preserve">51%權益的附屬公司BPI-Philam</w:t>
      </w:r>
      <w:r>
        <w:t xml:space="preserve"> Life Assurance (BPLAC) </w:t>
      </w:r>
      <w:r>
        <w:rPr>
          <w:rFonts w:hint="eastAsia"/>
        </w:rPr>
        <w:t xml:space="preserve">Corporation；</w:t>
      </w:r>
    </w:p>
    <w:p>
      <w:pPr>
        <w:pStyle w:val="BodyText"/>
      </w:pPr>
      <w:r>
        <w:t xml:space="preserve">• </w:t>
      </w:r>
      <w:r>
        <w:rPr>
          <w:rFonts w:hint="eastAsia"/>
        </w:rPr>
        <w:t xml:space="preserve">AIA新加坡指AIA</w:t>
      </w:r>
      <w:r>
        <w:t xml:space="preserve"> </w:t>
      </w:r>
      <w:r>
        <w:rPr>
          <w:rFonts w:hint="eastAsia"/>
        </w:rPr>
        <w:t xml:space="preserve">Co.的附屬公司AIA</w:t>
      </w:r>
      <w:r>
        <w:t xml:space="preserve"> Singapore Private </w:t>
      </w:r>
      <w:r>
        <w:rPr>
          <w:rFonts w:hint="eastAsia"/>
        </w:rPr>
        <w:t xml:space="preserve">Limited及其汶萊分公司；</w:t>
      </w:r>
    </w:p>
    <w:p>
      <w:pPr>
        <w:pStyle w:val="BodyText"/>
      </w:pPr>
      <w:r>
        <w:t xml:space="preserve">• </w:t>
      </w:r>
      <w:r>
        <w:rPr>
          <w:rFonts w:hint="eastAsia"/>
        </w:rPr>
        <w:t xml:space="preserve">AIA斯里蘭卡指AIA</w:t>
      </w:r>
      <w:r>
        <w:t xml:space="preserve"> </w:t>
      </w:r>
      <w:r>
        <w:rPr>
          <w:rFonts w:hint="eastAsia"/>
        </w:rPr>
        <w:t xml:space="preserve">Co.的附屬公司AIA</w:t>
      </w:r>
      <w:r>
        <w:t xml:space="preserve"> Insurance Lanka </w:t>
      </w:r>
      <w:r>
        <w:rPr>
          <w:rFonts w:hint="eastAsia"/>
        </w:rPr>
        <w:t xml:space="preserve">Limited；</w:t>
      </w:r>
    </w:p>
    <w:p>
      <w:pPr>
        <w:pStyle w:val="BodyText"/>
      </w:pPr>
      <w:r>
        <w:t xml:space="preserve">• </w:t>
      </w:r>
      <w:r>
        <w:rPr>
          <w:rFonts w:hint="eastAsia"/>
        </w:rPr>
        <w:t xml:space="preserve">AIA台灣指AIA</w:t>
      </w:r>
      <w:r>
        <w:t xml:space="preserve"> </w:t>
      </w:r>
      <w:r>
        <w:rPr>
          <w:rFonts w:hint="eastAsia"/>
        </w:rPr>
        <w:t xml:space="preserve">International的台灣分公司；</w:t>
      </w:r>
    </w:p>
    <w:p>
      <w:pPr>
        <w:pStyle w:val="BodyText"/>
      </w:pPr>
      <w:r>
        <w:t xml:space="preserve">• </w:t>
      </w:r>
      <w:r>
        <w:rPr>
          <w:rFonts w:hint="eastAsia"/>
        </w:rPr>
        <w:t xml:space="preserve">AIA泰國指AIA</w:t>
      </w:r>
      <w:r>
        <w:t xml:space="preserve"> </w:t>
      </w:r>
      <w:r>
        <w:rPr>
          <w:rFonts w:hint="eastAsia"/>
        </w:rPr>
        <w:t xml:space="preserve">Co.的泰國分公司；</w:t>
      </w:r>
    </w:p>
    <w:p>
      <w:pPr>
        <w:pStyle w:val="BodyText"/>
      </w:pPr>
      <w:r>
        <w:t xml:space="preserve">• </w:t>
      </w:r>
      <w:r>
        <w:rPr>
          <w:rFonts w:hint="eastAsia"/>
        </w:rPr>
        <w:t xml:space="preserve">AIA越南指AIA</w:t>
      </w:r>
      <w:r>
        <w:t xml:space="preserve"> </w:t>
      </w:r>
      <w:r>
        <w:rPr>
          <w:rFonts w:hint="eastAsia"/>
        </w:rPr>
        <w:t xml:space="preserve">International的附屬公司AIA</w:t>
      </w:r>
      <w:r>
        <w:t xml:space="preserve"> (Vietnam) Life Insurance Company </w:t>
      </w:r>
      <w:r>
        <w:rPr>
          <w:rFonts w:hint="eastAsia"/>
        </w:rPr>
        <w:t xml:space="preserve">Limited；及</w:t>
      </w:r>
    </w:p>
    <w:p>
      <w:pPr>
        <w:pStyle w:val="BodyText"/>
      </w:pPr>
      <w:r>
        <w:t xml:space="preserve">• Tata AIA </w:t>
      </w:r>
      <w:r>
        <w:rPr>
          <w:rFonts w:hint="eastAsia"/>
        </w:rPr>
        <w:t xml:space="preserve">Life指AIA</w:t>
      </w:r>
      <w:r>
        <w:t xml:space="preserve"> </w:t>
      </w:r>
      <w:r>
        <w:rPr>
          <w:rFonts w:hint="eastAsia"/>
        </w:rPr>
        <w:t xml:space="preserve">International擁有49%權益的聯營公司Tata</w:t>
      </w:r>
      <w:r>
        <w:t xml:space="preserve"> AIA Life Insurance Company Limited。</w:t>
      </w:r>
    </w:p>
    <w:p>
      <w:pPr>
        <w:pStyle w:val="BodyText"/>
      </w:pPr>
      <w:r>
        <w:rPr>
          <w:rFonts w:hint="eastAsia"/>
        </w:rPr>
        <w:t xml:space="preserve">附註：</w:t>
      </w:r>
    </w:p>
    <w:p>
      <w:pPr>
        <w:pStyle w:val="Compact"/>
        <w:numPr>
          <w:ilvl w:val="0"/>
          <w:numId w:val="1722"/>
        </w:numPr>
      </w:pPr>
      <w:r>
        <w:rPr>
          <w:rFonts w:hint="eastAsia"/>
        </w:rPr>
        <w:t xml:space="preserve">於2020年7月9日，繼AIA</w:t>
      </w:r>
      <w:r>
        <w:t xml:space="preserve"> </w:t>
      </w:r>
      <w:r>
        <w:rPr>
          <w:rFonts w:hint="eastAsia"/>
        </w:rPr>
        <w:t xml:space="preserve">Co.獲中國銀行保險監督管理委員會批復，將其現有上海分公司改建為獨資子公司後，友邦人壽保險有限公司於上海註</w:t>
      </w:r>
      <w:r>
        <w:br/>
      </w:r>
      <w:r>
        <w:rPr>
          <w:rFonts w:hint="eastAsia"/>
        </w:rPr>
        <w:t xml:space="preserve">冊成立。其後，改建程序於2020年10月1日完成。於改建後，該新子公司須就向本集團的任何未來匯款按中國內地適用的稅率（目前為5%）繳納</w:t>
      </w:r>
      <w:r>
        <w:br/>
      </w:r>
      <w:r>
        <w:rPr>
          <w:rFonts w:hint="eastAsia"/>
        </w:rPr>
        <w:t xml:space="preserve">預扣稅。此外，該新子公司不再受香港法定最低償付能力要求所規限。自註冊成立之日以來，就未來匯款須繳納之預扣稅的影響已反映在內涵價</w:t>
      </w:r>
      <w:r>
        <w:br/>
      </w:r>
      <w:r>
        <w:rPr>
          <w:rFonts w:hint="eastAsia"/>
        </w:rPr>
        <w:t xml:space="preserve">值及新業務價值中，而自改建完成以來，因資本要求變動而產生的影響已反映在內涵價值及新業務價值中。</w:t>
      </w:r>
    </w:p>
    <w:p>
      <w:pPr>
        <w:pStyle w:val="FirstParagraph"/>
      </w:pPr>
      <w:r>
        <w:rPr>
          <w:rFonts w:hint="eastAsia"/>
        </w:rPr>
        <w:t xml:space="preserve">結果的呈列與按國際財務報告準則所編製的合併財務報表中的分部資料一致。本報告所顯示按業務單位劃分的本集團的內涵</w:t>
      </w:r>
    </w:p>
    <w:p>
      <w:pPr>
        <w:pStyle w:val="BodyText"/>
      </w:pPr>
      <w:r>
        <w:rPr>
          <w:rFonts w:hint="eastAsia"/>
        </w:rPr>
        <w:t xml:space="preserve">價值概要亦包括「集團企業中心」分部經調整資產淨值，計算方法為按國際財務報告準則釐定的該分部權益加市價調整再減</w:t>
      </w:r>
    </w:p>
    <w:p>
      <w:pPr>
        <w:pStyle w:val="BodyText"/>
      </w:pPr>
      <w:r>
        <w:rPr>
          <w:rFonts w:hint="eastAsia"/>
        </w:rPr>
        <w:t xml:space="preserve">去無形資產價值。於呈列內涵價值及新業務價值時，業務單位未來匯款的應付預扣稅的現值於適當經營分部下呈列。</w:t>
      </w:r>
    </w:p>
    <w:p>
      <w:pPr>
        <w:pStyle w:val="BodyText"/>
      </w:pPr>
      <w:r>
        <w:t xml:space="preserve">283</w:t>
      </w:r>
    </w:p>
    <w:p>
      <w:pPr>
        <w:pStyle w:val="BodyText"/>
      </w:pPr>
      <w:r>
        <w:rPr>
          <w:rFonts w:hint="eastAsia"/>
        </w:rPr>
        <w:t xml:space="preserve">概覽財務及營運回顧企業管治其他資料財務報表2020年報</w:t>
      </w:r>
    </w:p>
    <w:p>
      <w:pPr>
        <w:pStyle w:val="Compact"/>
        <w:numPr>
          <w:ilvl w:val="0"/>
          <w:numId w:val="1723"/>
        </w:numPr>
      </w:pPr>
      <w:r>
        <w:rPr>
          <w:rFonts w:hint="eastAsia"/>
        </w:rPr>
        <w:t xml:space="preserve">方法（續）</w:t>
      </w:r>
    </w:p>
    <w:p>
      <w:pPr>
        <w:pStyle w:val="FirstParagraph"/>
      </w:pPr>
      <w:r>
        <w:t xml:space="preserve">4.2 </w:t>
      </w:r>
      <w:r>
        <w:rPr>
          <w:rFonts w:hint="eastAsia"/>
        </w:rPr>
        <w:t xml:space="preserve">內涵價值及新業務價值</w:t>
      </w:r>
    </w:p>
    <w:p>
      <w:pPr>
        <w:pStyle w:val="BodyText"/>
      </w:pPr>
      <w:r>
        <w:rPr>
          <w:rFonts w:hint="eastAsia"/>
        </w:rPr>
        <w:t xml:space="preserve">本集團使用傳統確定性貼現現金流方法釐定Tata</w:t>
      </w:r>
      <w:r>
        <w:t xml:space="preserve"> AIA </w:t>
      </w:r>
      <w:r>
        <w:rPr>
          <w:rFonts w:hint="eastAsia"/>
        </w:rPr>
        <w:t xml:space="preserve">Life以外所有實體的內涵價值及新業務價值。該方法透過使用按風險貼</w:t>
      </w:r>
    </w:p>
    <w:p>
      <w:pPr>
        <w:pStyle w:val="BodyText"/>
      </w:pPr>
      <w:r>
        <w:rPr>
          <w:rFonts w:hint="eastAsia"/>
        </w:rPr>
        <w:t xml:space="preserve">現率，就風險作出整體隱含撥備，包括投資回報保證成本及保單持有人期權、資產負債錯配風險、信貸風險、未來實際情況</w:t>
      </w:r>
    </w:p>
    <w:p>
      <w:pPr>
        <w:pStyle w:val="BodyText"/>
      </w:pPr>
      <w:r>
        <w:rPr>
          <w:rFonts w:hint="eastAsia"/>
        </w:rPr>
        <w:t xml:space="preserve">有別於假設的風險及資本經濟成本。一般而言，風險貼現率越高，就該等因素作出的撥備越高。此為亞洲壽險公司現時常用</w:t>
      </w:r>
    </w:p>
    <w:p>
      <w:pPr>
        <w:pStyle w:val="BodyText"/>
      </w:pPr>
      <w:r>
        <w:rPr>
          <w:rFonts w:hint="eastAsia"/>
        </w:rPr>
        <w:t xml:space="preserve">的方法。</w:t>
      </w:r>
    </w:p>
    <w:p>
      <w:pPr>
        <w:pStyle w:val="BodyText"/>
      </w:pPr>
      <w:r>
        <w:rPr>
          <w:rFonts w:hint="eastAsia"/>
        </w:rPr>
        <w:t xml:space="preserve">計算有效保單業務價值及新業務價值時所計及的業務，包括本集團業務單位承保的所有壽險業務，加上未分類為壽險業務但</w:t>
      </w:r>
    </w:p>
    <w:p>
      <w:pPr>
        <w:pStyle w:val="BodyText"/>
      </w:pPr>
      <w:r>
        <w:rPr>
          <w:rFonts w:hint="eastAsia"/>
        </w:rPr>
        <w:t xml:space="preserve">具類似特性的其他業務。該等業務包括意外及醫療、團體及退休金業務。有效保單業務價值所計及的預期有效保單業務亦包</w:t>
      </w:r>
    </w:p>
    <w:p>
      <w:pPr>
        <w:pStyle w:val="BodyText"/>
      </w:pPr>
      <w:r>
        <w:rPr>
          <w:rFonts w:hint="eastAsia"/>
        </w:rPr>
        <w:t xml:space="preserve">括年期為一年或以下的短期業務的預期續保。</w:t>
      </w:r>
    </w:p>
    <w:p>
      <w:pPr>
        <w:pStyle w:val="BodyText"/>
      </w:pPr>
      <w:r>
        <w:rPr>
          <w:rFonts w:hint="eastAsia"/>
        </w:rPr>
        <w:t xml:space="preserve">新業務價值是按期間內售出新業務而預計未來取得的除稅後法定溢利，減去為支持該業務而需持有超出法定準備金的資本成</w:t>
      </w:r>
    </w:p>
    <w:p>
      <w:pPr>
        <w:pStyle w:val="BodyText"/>
      </w:pPr>
      <w:r>
        <w:rPr>
          <w:rFonts w:hint="eastAsia"/>
        </w:rPr>
        <w:t xml:space="preserve">本，於銷售當時計算的現值。經計及任何超出相關開支假設的承保開支超支後，本集團基於銷售時所適用的假設計算新業務</w:t>
      </w:r>
    </w:p>
    <w:p>
      <w:pPr>
        <w:pStyle w:val="BodyText"/>
      </w:pPr>
      <w:r>
        <w:rPr>
          <w:rFonts w:hint="eastAsia"/>
        </w:rPr>
        <w:t xml:space="preserve">價值。</w:t>
      </w:r>
    </w:p>
    <w:p>
      <w:pPr>
        <w:pStyle w:val="BodyText"/>
      </w:pPr>
      <w:r>
        <w:rPr>
          <w:rFonts w:hint="eastAsia"/>
        </w:rPr>
        <w:t xml:space="preserve">內涵價值為經調整資產淨值及有效保單業務價值的總和。經調整資產淨值為資產市值超出用以支持本集團壽險（及類似）業</w:t>
      </w:r>
    </w:p>
    <w:p>
      <w:pPr>
        <w:pStyle w:val="BodyText"/>
      </w:pPr>
      <w:r>
        <w:rPr>
          <w:rFonts w:hint="eastAsia"/>
        </w:rPr>
        <w:t xml:space="preserve">務的保單準備金及其他負債的資產的數額，加上其他業務（例如一般保險業務）的國際財務報告準則權益價值再減去無形資</w:t>
      </w:r>
    </w:p>
    <w:p>
      <w:pPr>
        <w:pStyle w:val="BodyText"/>
      </w:pPr>
      <w:r>
        <w:rPr>
          <w:rFonts w:hint="eastAsia"/>
        </w:rPr>
        <w:t xml:space="preserve">產價值。經調整資產淨值不包括非本公司股東應佔的任何數額。用於釐定經調整資產淨值的投資物業及持作自用物業的市值</w:t>
      </w:r>
    </w:p>
    <w:p>
      <w:pPr>
        <w:pStyle w:val="BodyText"/>
      </w:pPr>
      <w:r>
        <w:rPr>
          <w:rFonts w:hint="eastAsia"/>
        </w:rPr>
        <w:t xml:space="preserve">乃基於本集團按國際財務報告準則所編製的合併財務報表附註23所披露截至估值日期的公平值。</w:t>
      </w:r>
    </w:p>
    <w:p>
      <w:pPr>
        <w:pStyle w:val="BodyText"/>
      </w:pPr>
      <w:r>
        <w:rPr>
          <w:rFonts w:hint="eastAsia"/>
        </w:rPr>
        <w:t xml:space="preserve">有效保單業務價值乃按根據現時有效保單業務預測的未來除稅後法定溢利的現值，減去支持有效保單業務而持有所需資本所</w:t>
      </w:r>
    </w:p>
    <w:p>
      <w:pPr>
        <w:pStyle w:val="BodyText"/>
      </w:pPr>
      <w:r>
        <w:rPr>
          <w:rFonts w:hint="eastAsia"/>
        </w:rPr>
        <w:t xml:space="preserve">產生的成本（所需資本成本）。所需資本成本乃按於估值日期的所需資本面值減去支持所需資本的股東資產的除稅後投資回</w:t>
      </w:r>
    </w:p>
    <w:p>
      <w:pPr>
        <w:pStyle w:val="BodyText"/>
      </w:pPr>
      <w:r>
        <w:rPr>
          <w:rFonts w:hint="eastAsia"/>
        </w:rPr>
        <w:t xml:space="preserve">報的現值，再減去預計從支持所需資本的資產撥回的現值計算。當所需資本或以保單持有人資產支持，如分紅基金中的盈餘</w:t>
      </w:r>
    </w:p>
    <w:p>
      <w:pPr>
        <w:pStyle w:val="BodyText"/>
      </w:pPr>
      <w:r>
        <w:rPr>
          <w:rFonts w:hint="eastAsia"/>
        </w:rPr>
        <w:t xml:space="preserve">資產，有關的所需資本成本將不包括在有效保單業務價值或新業務價值之中。</w:t>
      </w:r>
    </w:p>
    <w:p>
      <w:pPr>
        <w:pStyle w:val="BodyText"/>
      </w:pPr>
      <w:r>
        <w:rPr>
          <w:rFonts w:hint="eastAsia"/>
        </w:rPr>
        <w:t xml:space="preserve">內涵價值權益為本公司股東應佔內涵價值、商譽及其他無形資產的總和。</w:t>
      </w:r>
    </w:p>
    <w:p>
      <w:pPr>
        <w:pStyle w:val="BodyText"/>
      </w:pPr>
      <w:r>
        <w:rPr>
          <w:rFonts w:hint="eastAsia"/>
        </w:rPr>
        <w:t xml:space="preserve">在計算內涵價值及新業務價值時，已扣除未來除稅後未分配集團總部開支的現值。未分配集團總部開支指集團總部所產生且</w:t>
      </w:r>
    </w:p>
    <w:p>
      <w:pPr>
        <w:pStyle w:val="BodyText"/>
      </w:pPr>
      <w:r>
        <w:rPr>
          <w:rFonts w:hint="eastAsia"/>
        </w:rPr>
        <w:t xml:space="preserve">並無分配至業務單位的開支。該等未分配集團總部開支已分配至承保及維持活動，並已分別於新業務價值及有效保單業務價</w:t>
      </w:r>
    </w:p>
    <w:p>
      <w:pPr>
        <w:pStyle w:val="BodyText"/>
      </w:pPr>
      <w:r>
        <w:rPr>
          <w:rFonts w:hint="eastAsia"/>
        </w:rPr>
        <w:t xml:space="preserve">值中作出相應扣除。</w:t>
      </w:r>
    </w:p>
    <w:p>
      <w:pPr>
        <w:pStyle w:val="BodyText"/>
      </w:pPr>
      <w:r>
        <w:rPr>
          <w:rFonts w:hint="eastAsia"/>
        </w:rPr>
        <w:t xml:space="preserve">對於Tata</w:t>
      </w:r>
      <w:r>
        <w:t xml:space="preserve"> AIA </w:t>
      </w:r>
      <w:r>
        <w:rPr>
          <w:rFonts w:hint="eastAsia"/>
        </w:rPr>
        <w:t xml:space="preserve">Life，本集團使用印度精算協會頒佈的精算實踐標準第10號所界定的印度內涵價值方法，與印度當地慣例一</w:t>
      </w:r>
    </w:p>
    <w:p>
      <w:pPr>
        <w:pStyle w:val="BodyText"/>
      </w:pPr>
      <w:r>
        <w:rPr>
          <w:rFonts w:hint="eastAsia"/>
        </w:rPr>
        <w:t xml:space="preserve">致。所呈報的Tata</w:t>
      </w:r>
      <w:r>
        <w:t xml:space="preserve"> AIA </w:t>
      </w:r>
      <w:r>
        <w:rPr>
          <w:rFonts w:hint="eastAsia"/>
        </w:rPr>
        <w:t xml:space="preserve">Life的內涵價值及新業務價值按滯後一個季度基準呈報。</w:t>
      </w:r>
    </w:p>
    <w:p>
      <w:pPr>
        <w:pStyle w:val="BodyText"/>
      </w:pPr>
      <w:r>
        <w:t xml:space="preserve">284</w:t>
      </w:r>
    </w:p>
    <w:p>
      <w:pPr>
        <w:pStyle w:val="BodyText"/>
      </w:pPr>
      <w:r>
        <w:rPr>
          <w:rFonts w:hint="eastAsia"/>
        </w:rPr>
        <w:t xml:space="preserve">友邦保險控股有限公司</w:t>
      </w:r>
    </w:p>
    <w:p>
      <w:pPr>
        <w:pStyle w:val="Compact"/>
        <w:numPr>
          <w:ilvl w:val="0"/>
          <w:numId w:val="1724"/>
        </w:numPr>
      </w:pPr>
      <w:r>
        <w:rPr>
          <w:rFonts w:hint="eastAsia"/>
        </w:rPr>
        <w:t xml:space="preserve">方法（續）</w:t>
      </w:r>
    </w:p>
    <w:p>
      <w:pPr>
        <w:pStyle w:val="FirstParagraph"/>
      </w:pPr>
      <w:r>
        <w:t xml:space="preserve">4.3 </w:t>
      </w:r>
      <w:r>
        <w:rPr>
          <w:rFonts w:hint="eastAsia"/>
        </w:rPr>
        <w:t xml:space="preserve">新業務定義</w:t>
      </w:r>
    </w:p>
    <w:p>
      <w:pPr>
        <w:pStyle w:val="BodyText"/>
      </w:pPr>
      <w:r>
        <w:rPr>
          <w:rFonts w:hint="eastAsia"/>
        </w:rPr>
        <w:t xml:space="preserve">新業務包括期內銷售的新合約、經常性整付保費合約的額外整付保費及未用於計算有效保單業務價值的現有合約增加。新業</w:t>
      </w:r>
    </w:p>
    <w:p>
      <w:pPr>
        <w:pStyle w:val="BodyText"/>
      </w:pPr>
      <w:r>
        <w:rPr>
          <w:rFonts w:hint="eastAsia"/>
        </w:rPr>
        <w:t xml:space="preserve">務價值亦包括與報告期間內所承保但其後於估值日期前已終止的新保單有關的現金流現值。</w:t>
      </w:r>
    </w:p>
    <w:p>
      <w:pPr>
        <w:pStyle w:val="BodyText"/>
      </w:pPr>
      <w:r>
        <w:rPr>
          <w:rFonts w:hint="eastAsia"/>
        </w:rPr>
        <w:t xml:space="preserve">就團體續保業務（包括團體每年續保定期業務）而言，新業務為於期內設立的新計劃加上就任何現有計劃高出上年度應付的</w:t>
      </w:r>
    </w:p>
    <w:p>
      <w:pPr>
        <w:pStyle w:val="BodyText"/>
      </w:pPr>
      <w:r>
        <w:rPr>
          <w:rFonts w:hint="eastAsia"/>
        </w:rPr>
        <w:t xml:space="preserve">保費。就個別重大團體計劃而言，新業務價值按於合約訂立或續保時訂立的各保費費率擔保期計算。</w:t>
      </w:r>
    </w:p>
    <w:p>
      <w:pPr>
        <w:pStyle w:val="BodyText"/>
      </w:pPr>
      <w:r>
        <w:rPr>
          <w:rFonts w:hint="eastAsia"/>
        </w:rPr>
        <w:t xml:space="preserve">就年期為一年或以下的短期意外及醫療業務而言，現有合約的續保並不視為新業務，而該等業務的預期續保價值列入有效保</w:t>
      </w:r>
    </w:p>
    <w:p>
      <w:pPr>
        <w:pStyle w:val="BodyText"/>
      </w:pPr>
      <w:r>
        <w:rPr>
          <w:rFonts w:hint="eastAsia"/>
        </w:rPr>
        <w:t xml:space="preserve">單業務價值。</w:t>
      </w:r>
    </w:p>
    <w:p>
      <w:pPr>
        <w:pStyle w:val="BodyText"/>
      </w:pPr>
      <w:r>
        <w:rPr>
          <w:rFonts w:hint="eastAsia"/>
        </w:rPr>
        <w:t xml:space="preserve">就退休金業務而言，期內銷售的新合約以及任何新供款（包括所轉入的資產）均視為屬於計算新業務價值的新業務。</w:t>
      </w:r>
    </w:p>
    <w:p>
      <w:pPr>
        <w:pStyle w:val="BodyText"/>
      </w:pPr>
      <w:r>
        <w:rPr>
          <w:rFonts w:hint="eastAsia"/>
        </w:rPr>
        <w:t xml:space="preserve">本報告所示新業務額按年化新保費（為新業務銷售的一種內部計量指標）計算。</w:t>
      </w:r>
    </w:p>
    <w:p>
      <w:pPr>
        <w:pStyle w:val="BodyText"/>
      </w:pPr>
      <w:r>
        <w:t xml:space="preserve">4.4 AIA </w:t>
      </w:r>
      <w:r>
        <w:rPr>
          <w:rFonts w:hint="eastAsia"/>
        </w:rPr>
        <w:t xml:space="preserve">Co.及AIA</w:t>
      </w:r>
      <w:r>
        <w:t xml:space="preserve"> </w:t>
      </w:r>
      <w:r>
        <w:rPr>
          <w:rFonts w:hint="eastAsia"/>
        </w:rPr>
        <w:t xml:space="preserve">International分公司及附屬公司的合併計算</w:t>
      </w:r>
    </w:p>
    <w:p>
      <w:pPr>
        <w:pStyle w:val="BodyText"/>
      </w:pPr>
      <w:r>
        <w:rPr>
          <w:rFonts w:hint="eastAsia"/>
        </w:rPr>
        <w:t xml:space="preserve">本集團的附屬公司AIA</w:t>
      </w:r>
      <w:r>
        <w:t xml:space="preserve"> </w:t>
      </w:r>
      <w:r>
        <w:rPr>
          <w:rFonts w:hint="eastAsia"/>
        </w:rPr>
        <w:t xml:space="preserve">Co.及AIA</w:t>
      </w:r>
      <w:r>
        <w:t xml:space="preserve"> </w:t>
      </w:r>
      <w:r>
        <w:rPr>
          <w:rFonts w:hint="eastAsia"/>
        </w:rPr>
        <w:t xml:space="preserve">International均為香港的受規管實體，並均受香港準備金及資本要求所規限。此外，AIA</w:t>
      </w:r>
    </w:p>
    <w:p>
      <w:pPr>
        <w:pStyle w:val="BodyText"/>
      </w:pPr>
      <w:r>
        <w:rPr>
          <w:rFonts w:hint="eastAsia"/>
        </w:rPr>
        <w:t xml:space="preserve">International於百慕達註冊成立，其受百慕達金管局準備金及資本要求所規限。友邦保險在多個地區營運該等實體的分公司</w:t>
      </w:r>
    </w:p>
    <w:p>
      <w:pPr>
        <w:pStyle w:val="BodyText"/>
      </w:pPr>
      <w:r>
        <w:rPr>
          <w:rFonts w:hint="eastAsia"/>
        </w:rPr>
        <w:t xml:space="preserve">及附屬公司。除我們的業務單位所適用的有關當地要求外，此等監管及其他合併準備金及資本要求亦適用。</w:t>
      </w:r>
    </w:p>
    <w:p>
      <w:pPr>
        <w:pStyle w:val="BodyText"/>
      </w:pPr>
      <w:r>
        <w:rPr>
          <w:rFonts w:hint="eastAsia"/>
        </w:rPr>
        <w:t xml:space="preserve">本報告第2節所示的本集團內涵價值及新業務價值計算結果已進行調整，以反映合併準備金及資本要求。採用此方法旨</w:t>
      </w:r>
    </w:p>
    <w:p>
      <w:pPr>
        <w:pStyle w:val="BodyText"/>
      </w:pPr>
      <w:r>
        <w:rPr>
          <w:rFonts w:hint="eastAsia"/>
        </w:rPr>
        <w:t xml:space="preserve">在反映本集團適用的香港、百慕達金管局及當地監管要求，以及本集團釐定的其他準備金及資本要求後的AIA</w:t>
      </w:r>
      <w:r>
        <w:t xml:space="preserve"> </w:t>
      </w:r>
      <w:r>
        <w:rPr>
          <w:rFonts w:hint="eastAsia"/>
        </w:rPr>
        <w:t xml:space="preserve">Co.及AIA</w:t>
      </w:r>
    </w:p>
    <w:p>
      <w:pPr>
        <w:pStyle w:val="BodyText"/>
      </w:pPr>
      <w:r>
        <w:rPr>
          <w:rFonts w:hint="eastAsia"/>
        </w:rPr>
        <w:t xml:space="preserve">International溢利分派。各業務單位的內涵價值及新業務價值反映合併準備金及資本要求而作出集團層面調整前的當地準備</w:t>
      </w:r>
    </w:p>
    <w:p>
      <w:pPr>
        <w:pStyle w:val="BodyText"/>
      </w:pPr>
      <w:r>
        <w:rPr>
          <w:rFonts w:hint="eastAsia"/>
        </w:rPr>
        <w:t xml:space="preserve">金及資本要求，詳情於本報告第4.6節論述。</w:t>
      </w:r>
    </w:p>
    <w:p>
      <w:pPr>
        <w:pStyle w:val="BodyText"/>
      </w:pPr>
      <w:r>
        <w:t xml:space="preserve">4.5 </w:t>
      </w:r>
      <w:r>
        <w:rPr>
          <w:rFonts w:hint="eastAsia"/>
        </w:rPr>
        <w:t xml:space="preserve">未來法定虧損的估值</w:t>
      </w:r>
    </w:p>
    <w:p>
      <w:pPr>
        <w:pStyle w:val="BodyText"/>
      </w:pPr>
      <w:r>
        <w:rPr>
          <w:rFonts w:hint="eastAsia"/>
        </w:rPr>
        <w:t xml:space="preserve">就若干業務類別而言，由於當地法定準備金不足以滿足未來保單持有人現金流量的價值，預期的未來法定溢利出現負數。針</w:t>
      </w:r>
    </w:p>
    <w:p>
      <w:pPr>
        <w:pStyle w:val="BodyText"/>
      </w:pPr>
      <w:r>
        <w:rPr>
          <w:rFonts w:hint="eastAsia"/>
        </w:rPr>
        <w:t xml:space="preserve">對包含正數及負數法定溢利在內的不同業務類別價值之釐定，有多種可適用方式。</w:t>
      </w:r>
    </w:p>
    <w:p>
      <w:pPr>
        <w:pStyle w:val="BodyText"/>
      </w:pPr>
      <w:r>
        <w:rPr>
          <w:rFonts w:hint="eastAsia"/>
        </w:rPr>
        <w:t xml:space="preserve">就本估值而言，未來預期的法定虧損乃就相關業務單位按風險貼現率將有關虧損貼現而作估值，並透過扣減經調整資產淨值</w:t>
      </w:r>
    </w:p>
    <w:p>
      <w:pPr>
        <w:pStyle w:val="BodyText"/>
      </w:pPr>
      <w:r>
        <w:rPr>
          <w:rFonts w:hint="eastAsia"/>
        </w:rPr>
        <w:t xml:space="preserve">而撇銷各呈報分部的任何為負數的有效保單業務價值。作上述計算的原因在於，在就各業務單位所選擇的風險貼現率設定風</w:t>
      </w:r>
    </w:p>
    <w:p>
      <w:pPr>
        <w:pStyle w:val="BodyText"/>
      </w:pPr>
      <w:r>
        <w:rPr>
          <w:rFonts w:hint="eastAsia"/>
        </w:rPr>
        <w:t xml:space="preserve">險撥備時，已考慮到出現預測法定虧損的任何有關業務種類之存在。再者，合併準備金及資本要求，已降低了任何未來預期</w:t>
      </w:r>
    </w:p>
    <w:p>
      <w:pPr>
        <w:pStyle w:val="BodyText"/>
      </w:pPr>
      <w:r>
        <w:rPr>
          <w:rFonts w:hint="eastAsia"/>
        </w:rPr>
        <w:t xml:space="preserve">法定虧損的水平。按照本報告第5節所述的假設及考慮到合併法定準備金及資本要求，現時有效保單業務預計所得的年度可</w:t>
      </w:r>
    </w:p>
    <w:p>
      <w:pPr>
        <w:pStyle w:val="BodyText"/>
      </w:pPr>
      <w:r>
        <w:rPr>
          <w:rFonts w:hint="eastAsia"/>
        </w:rPr>
        <w:t xml:space="preserve">分派溢利及為支持本集團所需資本而持有的資產於該業務剩餘年期內整體為正數。因此認為不必更改上文所述的貼現方法。</w:t>
      </w:r>
    </w:p>
    <w:p>
      <w:pPr>
        <w:pStyle w:val="BodyText"/>
      </w:pPr>
      <w:r>
        <w:t xml:space="preserve">285</w:t>
      </w:r>
    </w:p>
    <w:p>
      <w:pPr>
        <w:pStyle w:val="BodyText"/>
      </w:pPr>
      <w:r>
        <w:rPr>
          <w:rFonts w:hint="eastAsia"/>
        </w:rPr>
        <w:t xml:space="preserve">概覽財務及營運回顧企業管治其他資料財務報表2020年報</w:t>
      </w:r>
    </w:p>
    <w:p>
      <w:pPr>
        <w:pStyle w:val="Compact"/>
        <w:numPr>
          <w:ilvl w:val="0"/>
          <w:numId w:val="1725"/>
        </w:numPr>
      </w:pPr>
      <w:r>
        <w:rPr>
          <w:rFonts w:hint="eastAsia"/>
        </w:rPr>
        <w:t xml:space="preserve">方法（續）</w:t>
      </w:r>
    </w:p>
    <w:p>
      <w:pPr>
        <w:pStyle w:val="FirstParagraph"/>
      </w:pPr>
      <w:r>
        <w:t xml:space="preserve">4.6 </w:t>
      </w:r>
      <w:r>
        <w:rPr>
          <w:rFonts w:hint="eastAsia"/>
        </w:rPr>
        <w:t xml:space="preserve">資本要求</w:t>
      </w:r>
    </w:p>
    <w:p>
      <w:pPr>
        <w:pStyle w:val="BodyText"/>
      </w:pPr>
      <w:r>
        <w:rPr>
          <w:rFonts w:hint="eastAsia"/>
        </w:rPr>
        <w:t xml:space="preserve">按照監管規定，各業務單位除持有支持保險負債的資產外，亦須持有股東資本。本集團各業務單位的假設當地資本要求水平</w:t>
      </w:r>
    </w:p>
    <w:p>
      <w:pPr>
        <w:pStyle w:val="BodyText"/>
      </w:pPr>
      <w:r>
        <w:rPr>
          <w:rFonts w:hint="eastAsia"/>
        </w:rPr>
        <w:t xml:space="preserve">載於下表：</w:t>
      </w:r>
    </w:p>
    <w:p>
      <w:pPr>
        <w:pStyle w:val="BodyText"/>
      </w:pPr>
      <w:r>
        <w:rPr>
          <w:rFonts w:hint="eastAsia"/>
        </w:rPr>
        <w:t xml:space="preserve">業務單位</w:t>
      </w:r>
    </w:p>
    <w:p>
      <w:pPr>
        <w:pStyle w:val="BodyText"/>
      </w:pPr>
      <w:r>
        <w:rPr>
          <w:rFonts w:hint="eastAsia"/>
        </w:rPr>
        <w:t xml:space="preserve">AIA澳洲</w:t>
      </w:r>
    </w:p>
    <w:p>
      <w:pPr>
        <w:pStyle w:val="BodyText"/>
      </w:pPr>
      <w:r>
        <w:t xml:space="preserve">• </w:t>
      </w:r>
      <w:r>
        <w:rPr>
          <w:rFonts w:hint="eastAsia"/>
        </w:rPr>
        <w:t xml:space="preserve">澳洲</w:t>
      </w:r>
    </w:p>
    <w:p>
      <w:pPr>
        <w:pStyle w:val="BodyText"/>
      </w:pPr>
      <w:r>
        <w:t xml:space="preserve">• </w:t>
      </w:r>
      <w:r>
        <w:rPr>
          <w:rFonts w:hint="eastAsia"/>
        </w:rPr>
        <w:t xml:space="preserve">新西蘭</w:t>
      </w:r>
    </w:p>
    <w:p>
      <w:pPr>
        <w:pStyle w:val="BodyText"/>
      </w:pPr>
      <w:r>
        <w:rPr>
          <w:rFonts w:hint="eastAsia"/>
        </w:rPr>
        <w:t xml:space="preserve">AIA中國</w:t>
      </w:r>
    </w:p>
    <w:p>
      <w:pPr>
        <w:pStyle w:val="BodyText"/>
      </w:pPr>
      <w:r>
        <w:rPr>
          <w:rFonts w:hint="eastAsia"/>
        </w:rPr>
        <w:t xml:space="preserve">AIA香港</w:t>
      </w:r>
    </w:p>
    <w:p>
      <w:pPr>
        <w:pStyle w:val="BodyText"/>
      </w:pPr>
      <w:r>
        <w:rPr>
          <w:rFonts w:hint="eastAsia"/>
        </w:rPr>
        <w:t xml:space="preserve">AIA印尼</w:t>
      </w:r>
    </w:p>
    <w:p>
      <w:pPr>
        <w:pStyle w:val="BodyText"/>
      </w:pPr>
      <w:r>
        <w:rPr>
          <w:rFonts w:hint="eastAsia"/>
        </w:rPr>
        <w:t xml:space="preserve">AIA韓國</w:t>
      </w:r>
    </w:p>
    <w:p>
      <w:pPr>
        <w:pStyle w:val="BodyText"/>
      </w:pPr>
      <w:r>
        <w:rPr>
          <w:rFonts w:hint="eastAsia"/>
        </w:rPr>
        <w:t xml:space="preserve">AIA馬來西亞</w:t>
      </w:r>
    </w:p>
    <w:p>
      <w:pPr>
        <w:pStyle w:val="BodyText"/>
      </w:pPr>
      <w:r>
        <w:rPr>
          <w:rFonts w:hint="eastAsia"/>
        </w:rPr>
        <w:t xml:space="preserve">AIA菲律賓</w:t>
      </w:r>
    </w:p>
    <w:p>
      <w:pPr>
        <w:pStyle w:val="BodyText"/>
      </w:pPr>
      <w:r>
        <w:rPr>
          <w:rFonts w:hint="eastAsia"/>
        </w:rPr>
        <w:t xml:space="preserve">AIA新加坡</w:t>
      </w:r>
    </w:p>
    <w:p>
      <w:pPr>
        <w:pStyle w:val="BodyText"/>
      </w:pPr>
      <w:r>
        <w:rPr>
          <w:rFonts w:hint="eastAsia"/>
        </w:rPr>
        <w:t xml:space="preserve">AIA斯里蘭卡</w:t>
      </w:r>
    </w:p>
    <w:p>
      <w:pPr>
        <w:pStyle w:val="BodyText"/>
      </w:pPr>
      <w:r>
        <w:rPr>
          <w:rFonts w:hint="eastAsia"/>
        </w:rPr>
        <w:t xml:space="preserve">AIA台灣</w:t>
      </w:r>
    </w:p>
    <w:p>
      <w:pPr>
        <w:pStyle w:val="BodyText"/>
      </w:pPr>
      <w:r>
        <w:rPr>
          <w:rFonts w:hint="eastAsia"/>
        </w:rPr>
        <w:t xml:space="preserve">AIA泰國</w:t>
      </w:r>
    </w:p>
    <w:p>
      <w:pPr>
        <w:pStyle w:val="BodyText"/>
      </w:pPr>
      <w:r>
        <w:rPr>
          <w:rFonts w:hint="eastAsia"/>
        </w:rPr>
        <w:t xml:space="preserve">AIA越南</w:t>
      </w:r>
    </w:p>
    <w:p>
      <w:pPr>
        <w:pStyle w:val="BodyText"/>
      </w:pPr>
      <w:r>
        <w:t xml:space="preserve">Tata AIA Life</w:t>
      </w:r>
    </w:p>
    <w:p>
      <w:pPr>
        <w:pStyle w:val="BodyText"/>
      </w:pPr>
      <w:r>
        <w:rPr>
          <w:rFonts w:hint="eastAsia"/>
        </w:rPr>
        <w:t xml:space="preserve">附註：</w:t>
      </w:r>
    </w:p>
    <w:p>
      <w:pPr>
        <w:pStyle w:val="BodyText"/>
      </w:pPr>
      <w:r>
        <w:rPr>
          <w:rFonts w:hint="eastAsia"/>
        </w:rPr>
        <w:t xml:space="preserve">資本要求</w:t>
      </w:r>
    </w:p>
    <w:p>
      <w:pPr>
        <w:pStyle w:val="BodyText"/>
      </w:pPr>
      <w:r>
        <w:rPr>
          <w:rFonts w:hint="eastAsia"/>
        </w:rPr>
        <w:t xml:space="preserve">監管資本充足水平要求的100%</w:t>
      </w:r>
    </w:p>
    <w:p>
      <w:pPr>
        <w:pStyle w:val="BodyText"/>
      </w:pPr>
      <w:r>
        <w:rPr>
          <w:rFonts w:hint="eastAsia"/>
        </w:rPr>
        <w:t xml:space="preserve">監管資本充足水平要求的100%</w:t>
      </w:r>
    </w:p>
    <w:p>
      <w:pPr>
        <w:pStyle w:val="BodyText"/>
      </w:pPr>
      <w:r>
        <w:rPr>
          <w:rFonts w:hint="eastAsia"/>
        </w:rPr>
        <w:t xml:space="preserve">中國精算師協會內涵價值評估標準所載要求資本的100%</w:t>
      </w:r>
    </w:p>
    <w:p>
      <w:pPr>
        <w:pStyle w:val="BodyText"/>
      </w:pPr>
      <w:r>
        <w:rPr>
          <w:rFonts w:hint="eastAsia"/>
        </w:rPr>
        <w:t xml:space="preserve">所需最低償付能力的150%</w:t>
      </w:r>
    </w:p>
    <w:p>
      <w:pPr>
        <w:pStyle w:val="BodyText"/>
      </w:pPr>
      <w:r>
        <w:rPr>
          <w:rFonts w:hint="eastAsia"/>
        </w:rPr>
        <w:t xml:space="preserve">監管風險基礎資本要求的120%</w:t>
      </w:r>
    </w:p>
    <w:p>
      <w:pPr>
        <w:pStyle w:val="BodyText"/>
      </w:pPr>
      <w:r>
        <w:rPr>
          <w:rFonts w:hint="eastAsia"/>
        </w:rPr>
        <w:t xml:space="preserve">監管風險基礎資本要求的150%</w:t>
      </w:r>
    </w:p>
    <w:p>
      <w:pPr>
        <w:pStyle w:val="BodyText"/>
      </w:pPr>
      <w:r>
        <w:rPr>
          <w:rFonts w:hint="eastAsia"/>
        </w:rPr>
        <w:t xml:space="preserve">監管風險基礎資本要求的170%</w:t>
      </w:r>
    </w:p>
    <w:p>
      <w:pPr>
        <w:pStyle w:val="BodyText"/>
      </w:pPr>
      <w:r>
        <w:rPr>
          <w:rFonts w:hint="eastAsia"/>
        </w:rPr>
        <w:t xml:space="preserve">監管風險基礎資本要求的100%</w:t>
      </w:r>
    </w:p>
    <w:p>
      <w:pPr>
        <w:pStyle w:val="BodyText"/>
      </w:pPr>
      <w:r>
        <w:rPr>
          <w:rFonts w:hint="eastAsia"/>
        </w:rPr>
        <w:t xml:space="preserve">監管風險基礎資本框架下資本充足水平要求的135%及一級資本要求的80%之較高者</w:t>
      </w:r>
    </w:p>
    <w:p>
      <w:pPr>
        <w:pStyle w:val="BodyText"/>
      </w:pPr>
      <w:r>
        <w:rPr>
          <w:rFonts w:hint="eastAsia"/>
        </w:rPr>
        <w:t xml:space="preserve">監管風險基礎資本要求的120%</w:t>
      </w:r>
    </w:p>
    <w:p>
      <w:pPr>
        <w:pStyle w:val="BodyText"/>
      </w:pPr>
      <w:r>
        <w:rPr>
          <w:rFonts w:hint="eastAsia"/>
        </w:rPr>
        <w:t xml:space="preserve">監管風險基礎資本要求的250%</w:t>
      </w:r>
    </w:p>
    <w:p>
      <w:pPr>
        <w:pStyle w:val="BodyText"/>
      </w:pPr>
      <w:r>
        <w:rPr>
          <w:rFonts w:hint="eastAsia"/>
        </w:rPr>
        <w:t xml:space="preserve">監管風險基礎資本要求的140%(1)</w:t>
      </w:r>
    </w:p>
    <w:p>
      <w:pPr>
        <w:pStyle w:val="BodyText"/>
      </w:pPr>
      <w:r>
        <w:rPr>
          <w:rFonts w:hint="eastAsia"/>
        </w:rPr>
        <w:t xml:space="preserve">所需最低償付能力的100%</w:t>
      </w:r>
    </w:p>
    <w:p>
      <w:pPr>
        <w:pStyle w:val="BodyText"/>
      </w:pPr>
      <w:r>
        <w:rPr>
          <w:rFonts w:hint="eastAsia"/>
        </w:rPr>
        <w:t xml:space="preserve">所需最低償付能力的175%</w:t>
      </w:r>
    </w:p>
    <w:p>
      <w:pPr>
        <w:pStyle w:val="Compact"/>
        <w:numPr>
          <w:ilvl w:val="0"/>
          <w:numId w:val="1726"/>
        </w:numPr>
      </w:pPr>
      <w:r>
        <w:rPr>
          <w:rFonts w:hint="eastAsia"/>
        </w:rPr>
        <w:t xml:space="preserve">內涵價值計算中假設的資本要求比率直至2021年底為120%，此後為140%，符合泰國風險基礎資本2下的監管要求。</w:t>
      </w:r>
    </w:p>
    <w:p>
      <w:pPr>
        <w:pStyle w:val="FirstParagraph"/>
      </w:pPr>
      <w:r>
        <w:rPr>
          <w:rFonts w:hint="eastAsia"/>
        </w:rPr>
        <w:t xml:space="preserve">合併資本要求</w:t>
      </w:r>
    </w:p>
    <w:p>
      <w:pPr>
        <w:pStyle w:val="BodyText"/>
      </w:pPr>
      <w:r>
        <w:rPr>
          <w:rFonts w:hint="eastAsia"/>
        </w:rPr>
        <w:t xml:space="preserve">本集團向香港保險業監管局（香港保監局）承諾，維持AIA香港的所需資本不低於香港法定最低償付能力要求的150%，非香</w:t>
      </w:r>
    </w:p>
    <w:p>
      <w:pPr>
        <w:pStyle w:val="BodyText"/>
      </w:pPr>
      <w:r>
        <w:rPr>
          <w:rFonts w:hint="eastAsia"/>
        </w:rPr>
        <w:t xml:space="preserve">港分公司的所需資本不低於香港法定最低償付能力要求的100%。</w:t>
      </w:r>
    </w:p>
    <w:p>
      <w:pPr>
        <w:pStyle w:val="BodyText"/>
      </w:pPr>
      <w:r>
        <w:t xml:space="preserve">AIA </w:t>
      </w:r>
      <w:r>
        <w:rPr>
          <w:rFonts w:hint="eastAsia"/>
        </w:rPr>
        <w:t xml:space="preserve">International及其附屬公司持有的所需資本不低於百慕達金管局監管資本要求的120%。</w:t>
      </w:r>
    </w:p>
    <w:p>
      <w:pPr>
        <w:pStyle w:val="BodyText"/>
      </w:pPr>
      <w:r>
        <w:rPr>
          <w:rFonts w:hint="eastAsia"/>
        </w:rPr>
        <w:t xml:space="preserve">如第4.1節所述，於2020年10月1日，AIA</w:t>
      </w:r>
      <w:r>
        <w:t xml:space="preserve"> </w:t>
      </w:r>
      <w:r>
        <w:rPr>
          <w:rFonts w:hint="eastAsia"/>
        </w:rPr>
        <w:t xml:space="preserve">Co.的現有上海分公司改建為獨資子公司。於改建後，AIA中國不再受香港法定最低</w:t>
      </w:r>
    </w:p>
    <w:p>
      <w:pPr>
        <w:pStyle w:val="BodyText"/>
      </w:pPr>
      <w:r>
        <w:rPr>
          <w:rFonts w:hint="eastAsia"/>
        </w:rPr>
        <w:t xml:space="preserve">償付能力要求所規限。</w:t>
      </w:r>
    </w:p>
    <w:p>
      <w:pPr>
        <w:pStyle w:val="BodyText"/>
      </w:pPr>
      <w:r>
        <w:rPr>
          <w:rFonts w:hint="eastAsia"/>
        </w:rPr>
        <w:t xml:space="preserve">除上述者外，合併的準備金及資本要求計及上述當地監管規定及本集團釐定的其他準備金及資本要求。</w:t>
      </w:r>
    </w:p>
    <w:p>
      <w:pPr>
        <w:pStyle w:val="BodyText"/>
      </w:pPr>
      <w:r>
        <w:t xml:space="preserve">286</w:t>
      </w:r>
    </w:p>
    <w:p>
      <w:pPr>
        <w:pStyle w:val="BodyText"/>
      </w:pPr>
      <w:r>
        <w:rPr>
          <w:rFonts w:hint="eastAsia"/>
        </w:rPr>
        <w:t xml:space="preserve">友邦保險控股有限公司</w:t>
      </w:r>
    </w:p>
    <w:p>
      <w:pPr>
        <w:pStyle w:val="Compact"/>
        <w:numPr>
          <w:ilvl w:val="0"/>
          <w:numId w:val="1727"/>
        </w:numPr>
      </w:pPr>
      <w:r>
        <w:rPr>
          <w:rFonts w:hint="eastAsia"/>
        </w:rPr>
        <w:t xml:space="preserve">方法（續）</w:t>
      </w:r>
    </w:p>
    <w:p>
      <w:pPr>
        <w:pStyle w:val="FirstParagraph"/>
      </w:pPr>
      <w:r>
        <w:t xml:space="preserve">4.7 </w:t>
      </w:r>
      <w:r>
        <w:rPr>
          <w:rFonts w:hint="eastAsia"/>
        </w:rPr>
        <w:t xml:space="preserve">外匯</w:t>
      </w:r>
    </w:p>
    <w:p>
      <w:pPr>
        <w:pStyle w:val="BodyText"/>
      </w:pPr>
      <w:r>
        <w:rPr>
          <w:rFonts w:hint="eastAsia"/>
        </w:rPr>
        <w:t xml:space="preserve">於2020年12月31日及2019年12月31日的內涵價值已使用各估值日期的匯率換算為美元。本報告所示的新業務價值結果使用</w:t>
      </w:r>
    </w:p>
    <w:p>
      <w:pPr>
        <w:pStyle w:val="BodyText"/>
      </w:pPr>
      <w:r>
        <w:rPr>
          <w:rFonts w:hint="eastAsia"/>
        </w:rPr>
        <w:t xml:space="preserve">各季相應的平均匯率換算為美元。內涵價值變動分析所示的內涵價值溢利的其他部分使用期內平均匯率換算。</w:t>
      </w:r>
    </w:p>
    <w:p>
      <w:pPr>
        <w:pStyle w:val="BodyText"/>
      </w:pPr>
      <w:r>
        <w:rPr>
          <w:rFonts w:hint="eastAsia"/>
        </w:rPr>
        <w:t xml:space="preserve">實質匯率變動乃基於上述換算數字計算。固定匯率變動乃以固定平均匯率計算當前年度和先前年度的數字，惟當前年度末及</w:t>
      </w:r>
    </w:p>
    <w:p>
      <w:pPr>
        <w:pStyle w:val="BodyText"/>
      </w:pPr>
      <w:r>
        <w:rPr>
          <w:rFonts w:hint="eastAsia"/>
        </w:rPr>
        <w:t xml:space="preserve">先前年度末的內涵價值乃以固定匯率轉換。</w:t>
      </w:r>
    </w:p>
    <w:p>
      <w:pPr>
        <w:pStyle w:val="BodyText"/>
      </w:pPr>
      <w:r>
        <w:t xml:space="preserve">4.8 </w:t>
      </w:r>
      <w:r>
        <w:rPr>
          <w:rFonts w:hint="eastAsia"/>
        </w:rPr>
        <w:t xml:space="preserve">產生的基本自由盈餘</w:t>
      </w:r>
    </w:p>
    <w:p>
      <w:pPr>
        <w:pStyle w:val="BodyText"/>
      </w:pPr>
      <w:r>
        <w:rPr>
          <w:rFonts w:hint="eastAsia"/>
        </w:rPr>
        <w:t xml:space="preserve">自由盈餘界定為於反映合併準備金及資本要求後超出所需資本的經調整資產淨值。產生的基本自由盈餘指有效保單業務所產</w:t>
      </w:r>
    </w:p>
    <w:p>
      <w:pPr>
        <w:pStyle w:val="BodyText"/>
      </w:pPr>
      <w:r>
        <w:rPr>
          <w:rFonts w:hint="eastAsia"/>
        </w:rPr>
        <w:t xml:space="preserve">生的自由盈餘，並已就若干非經常性項目作出調整，及未扣減撥付新業務、未分配集團總部開支、財務費用、投資回報差異</w:t>
      </w:r>
    </w:p>
    <w:p>
      <w:pPr>
        <w:pStyle w:val="BodyText"/>
      </w:pPr>
      <w:r>
        <w:rPr>
          <w:rFonts w:hint="eastAsia"/>
        </w:rPr>
        <w:t xml:space="preserve">及其他非營運項目所用的自由盈餘。產生的基本自由盈餘的計算亦已經反映合併準備金及資本要求。</w:t>
      </w:r>
    </w:p>
    <w:p>
      <w:pPr>
        <w:pStyle w:val="Compact"/>
        <w:numPr>
          <w:ilvl w:val="0"/>
          <w:numId w:val="1728"/>
        </w:numPr>
      </w:pPr>
      <w:r>
        <w:rPr>
          <w:rFonts w:hint="eastAsia"/>
        </w:rPr>
        <w:t xml:space="preserve">假設</w:t>
      </w:r>
    </w:p>
    <w:p>
      <w:pPr>
        <w:pStyle w:val="FirstParagraph"/>
      </w:pPr>
      <w:r>
        <w:t xml:space="preserve">5.1 </w:t>
      </w:r>
      <w:r>
        <w:rPr>
          <w:rFonts w:hint="eastAsia"/>
        </w:rPr>
        <w:t xml:space="preserve">緒言</w:t>
      </w:r>
    </w:p>
    <w:p>
      <w:pPr>
        <w:pStyle w:val="BodyText"/>
      </w:pPr>
      <w:r>
        <w:rPr>
          <w:rFonts w:hint="eastAsia"/>
        </w:rPr>
        <w:t xml:space="preserve">本節概述本集團釐定於2020年12月31日的內涵價值及截至2020年12月31日止年度的新業務價值所用的各項假設，並著重闡</w:t>
      </w:r>
    </w:p>
    <w:p>
      <w:pPr>
        <w:pStyle w:val="BodyText"/>
      </w:pPr>
      <w:r>
        <w:rPr>
          <w:rFonts w:hint="eastAsia"/>
        </w:rPr>
        <w:t xml:space="preserve">述於2019年12月31日的內涵價值與於2020年12月31日的內涵價值之間的若干假設差異。</w:t>
      </w:r>
    </w:p>
    <w:p>
      <w:pPr>
        <w:pStyle w:val="BodyText"/>
      </w:pPr>
      <w:r>
        <w:t xml:space="preserve">5.2 </w:t>
      </w:r>
      <w:r>
        <w:rPr>
          <w:rFonts w:hint="eastAsia"/>
        </w:rPr>
        <w:t xml:space="preserve">經濟假設</w:t>
      </w:r>
    </w:p>
    <w:p>
      <w:pPr>
        <w:pStyle w:val="BodyText"/>
      </w:pPr>
      <w:r>
        <w:rPr>
          <w:rFonts w:hint="eastAsia"/>
        </w:rPr>
        <w:t xml:space="preserve">投資回報</w:t>
      </w:r>
    </w:p>
    <w:p>
      <w:pPr>
        <w:pStyle w:val="BodyText"/>
      </w:pPr>
      <w:r>
        <w:rPr>
          <w:rFonts w:hint="eastAsia"/>
        </w:rPr>
        <w:t xml:space="preserve">本集團已就固定收入資產設定長期未來回報的假設，以反映本集團經考慮估計從政府債券孳息率可得的長期遠期利率及現有</w:t>
      </w:r>
    </w:p>
    <w:p>
      <w:pPr>
        <w:pStyle w:val="BodyText"/>
      </w:pPr>
      <w:r>
        <w:rPr>
          <w:rFonts w:hint="eastAsia"/>
        </w:rPr>
        <w:t xml:space="preserve">債券孳息率後的預期回報展望。於釐定固定收入資產的回報時，本集團已計及違約風險的影響，而有關程度視乎相關資產的</w:t>
      </w:r>
    </w:p>
    <w:p>
      <w:pPr>
        <w:pStyle w:val="BodyText"/>
      </w:pPr>
      <w:r>
        <w:rPr>
          <w:rFonts w:hint="eastAsia"/>
        </w:rPr>
        <w:t xml:space="preserve">信貸評級而定。</w:t>
      </w:r>
    </w:p>
    <w:p>
      <w:pPr>
        <w:pStyle w:val="BodyText"/>
      </w:pPr>
      <w:r>
        <w:rPr>
          <w:rFonts w:hint="eastAsia"/>
        </w:rPr>
        <w:t xml:space="preserve">倘假設的長期投資回報有別於現有固定收入資產的當前市場收益率因而嚴重影響計算數據，則須作出調整以計及當前市場收</w:t>
      </w:r>
    </w:p>
    <w:p>
      <w:pPr>
        <w:pStyle w:val="BodyText"/>
      </w:pPr>
      <w:r>
        <w:rPr>
          <w:rFonts w:hint="eastAsia"/>
        </w:rPr>
        <w:t xml:space="preserve">益率的影響。在該等情況下，計算有效保單業務價值時，投資回報假設已被調整，以便使現有固定收入資產整個剩餘投資期</w:t>
      </w:r>
    </w:p>
    <w:p>
      <w:pPr>
        <w:pStyle w:val="BodyText"/>
      </w:pPr>
      <w:r>
        <w:rPr>
          <w:rFonts w:hint="eastAsia"/>
        </w:rPr>
        <w:t xml:space="preserve">的投資回報與該等資產的當前市場收益率一致，並與保單負債資產的評估相符。</w:t>
      </w:r>
    </w:p>
    <w:p>
      <w:pPr>
        <w:pStyle w:val="BodyText"/>
      </w:pPr>
      <w:r>
        <w:rPr>
          <w:rFonts w:hint="eastAsia"/>
        </w:rPr>
        <w:t xml:space="preserve">本集團已參考10年期政府債券的回報設定權益回報及物業回報假設，並已計及按資產類別及地區改變的風險溢價的內部評</w:t>
      </w:r>
    </w:p>
    <w:p>
      <w:pPr>
        <w:pStyle w:val="BodyText"/>
      </w:pPr>
      <w:r>
        <w:rPr>
          <w:rFonts w:hint="eastAsia"/>
        </w:rPr>
        <w:t xml:space="preserve">估。</w:t>
      </w:r>
    </w:p>
    <w:p>
      <w:pPr>
        <w:pStyle w:val="BodyText"/>
      </w:pPr>
      <w:r>
        <w:rPr>
          <w:rFonts w:hint="eastAsia"/>
        </w:rPr>
        <w:t xml:space="preserve">就各業務單位而言，非單位連結組合已分為多個不同的產品組別，而各產品組別的回報乃經考慮主要資產類別的現時及未來</w:t>
      </w:r>
    </w:p>
    <w:p>
      <w:pPr>
        <w:pStyle w:val="BodyText"/>
      </w:pPr>
      <w:r>
        <w:rPr>
          <w:rFonts w:hint="eastAsia"/>
        </w:rPr>
        <w:t xml:space="preserve">目標資產分配及相關投資回報後得出。</w:t>
      </w:r>
    </w:p>
    <w:p>
      <w:pPr>
        <w:pStyle w:val="BodyText"/>
      </w:pPr>
      <w:r>
        <w:rPr>
          <w:rFonts w:hint="eastAsia"/>
        </w:rPr>
        <w:t xml:space="preserve">就單位連結式業務而言，基金增長假設乃基於估值日期的基金當中的實際資產組合及主要資產類別的預期長期回報而釐定。</w:t>
      </w:r>
    </w:p>
    <w:p>
      <w:pPr>
        <w:pStyle w:val="BodyText"/>
      </w:pPr>
      <w:r>
        <w:rPr>
          <w:rFonts w:hint="eastAsia"/>
        </w:rPr>
        <w:t xml:space="preserve">就Tata</w:t>
      </w:r>
      <w:r>
        <w:t xml:space="preserve"> AIA </w:t>
      </w:r>
      <w:r>
        <w:rPr>
          <w:rFonts w:hint="eastAsia"/>
        </w:rPr>
        <w:t xml:space="preserve">Life而言，本集團使用印度精算師協會頒佈的精算實踐標準第10號所界定的印度內涵價值方法釐定內涵價值及新</w:t>
      </w:r>
    </w:p>
    <w:p>
      <w:pPr>
        <w:pStyle w:val="BodyText"/>
      </w:pPr>
      <w:r>
        <w:rPr>
          <w:rFonts w:hint="eastAsia"/>
        </w:rPr>
        <w:t xml:space="preserve">業務價值。此方法使用反映市場的政府債券收益曲線的投資回報及風險貼現率，因此風險貼現率及長期投資回報並未包括</w:t>
      </w:r>
    </w:p>
    <w:p>
      <w:pPr>
        <w:pStyle w:val="BodyText"/>
      </w:pPr>
      <w:r>
        <w:t xml:space="preserve">Tata AIA Life。</w:t>
      </w:r>
    </w:p>
    <w:p>
      <w:pPr>
        <w:pStyle w:val="BodyText"/>
      </w:pPr>
      <w:r>
        <w:t xml:space="preserve">287</w:t>
      </w:r>
    </w:p>
    <w:p>
      <w:pPr>
        <w:pStyle w:val="BodyText"/>
      </w:pPr>
      <w:r>
        <w:rPr>
          <w:rFonts w:hint="eastAsia"/>
        </w:rPr>
        <w:t xml:space="preserve">概覽財務及營運回顧企業管治其他資料財務報表2020年報</w:t>
      </w:r>
    </w:p>
    <w:p>
      <w:pPr>
        <w:pStyle w:val="Compact"/>
        <w:numPr>
          <w:ilvl w:val="0"/>
          <w:numId w:val="1729"/>
        </w:numPr>
      </w:pPr>
      <w:r>
        <w:rPr>
          <w:rFonts w:hint="eastAsia"/>
        </w:rPr>
        <w:t xml:space="preserve">假設（續）</w:t>
      </w:r>
    </w:p>
    <w:p>
      <w:pPr>
        <w:pStyle w:val="FirstParagraph"/>
      </w:pPr>
      <w:r>
        <w:t xml:space="preserve">5.2 </w:t>
      </w:r>
      <w:r>
        <w:rPr>
          <w:rFonts w:hint="eastAsia"/>
        </w:rPr>
        <w:t xml:space="preserve">經濟假設（續）</w:t>
      </w:r>
    </w:p>
    <w:p>
      <w:pPr>
        <w:pStyle w:val="BodyText"/>
      </w:pPr>
      <w:r>
        <w:rPr>
          <w:rFonts w:hint="eastAsia"/>
        </w:rPr>
        <w:t xml:space="preserve">風險貼現率</w:t>
      </w:r>
    </w:p>
    <w:p>
      <w:pPr>
        <w:pStyle w:val="BodyText"/>
      </w:pPr>
      <w:r>
        <w:rPr>
          <w:rFonts w:hint="eastAsia"/>
        </w:rPr>
        <w:t xml:space="preserve">風險貼現率乃反映貨幣時間值的無風險利率與就風險作出整體隱含撥備的風險邊際率的總和。於2020年及之前，計算新業務</w:t>
      </w:r>
    </w:p>
    <w:p>
      <w:pPr>
        <w:pStyle w:val="BodyText"/>
      </w:pPr>
      <w:r>
        <w:rPr>
          <w:rFonts w:hint="eastAsia"/>
        </w:rPr>
        <w:t xml:space="preserve">價值中假設的風險邊際率等於在報告期間開始時計算內涵價值中假設的風險邊際率。從2021年開始，計算新業務價值中假設</w:t>
      </w:r>
    </w:p>
    <w:p>
      <w:pPr>
        <w:pStyle w:val="BodyText"/>
      </w:pPr>
      <w:r>
        <w:rPr>
          <w:rFonts w:hint="eastAsia"/>
        </w:rPr>
        <w:t xml:space="preserve">的風險邊際率將在產品層面釐定，以更好地反映與報告期間內所售產品組合相關的風險。倘於2020年應用產品層面風險邊際</w:t>
      </w:r>
    </w:p>
    <w:p>
      <w:pPr>
        <w:pStyle w:val="BodyText"/>
      </w:pPr>
      <w:r>
        <w:rPr>
          <w:rFonts w:hint="eastAsia"/>
        </w:rPr>
        <w:t xml:space="preserve">率，對本集團所呈報的2020年新業務價值整體影響並不重大。</w:t>
      </w:r>
    </w:p>
    <w:p>
      <w:pPr>
        <w:pStyle w:val="BodyText"/>
      </w:pPr>
      <w:r>
        <w:rPr>
          <w:rFonts w:hint="eastAsia"/>
        </w:rPr>
        <w:t xml:space="preserve">下表概述計算內涵價值所參考的當前市場10年期政府債券孳息率。</w:t>
      </w:r>
    </w:p>
    <w:p>
      <w:pPr>
        <w:pStyle w:val="BodyText"/>
      </w:pPr>
      <w:r>
        <w:rPr>
          <w:rFonts w:hint="eastAsia"/>
        </w:rPr>
        <w:t xml:space="preserve">業務單位</w:t>
      </w:r>
    </w:p>
    <w:p>
      <w:pPr>
        <w:pStyle w:val="BodyText"/>
      </w:pPr>
      <w:r>
        <w:rPr>
          <w:rFonts w:hint="eastAsia"/>
        </w:rPr>
        <w:t xml:space="preserve">AIA澳洲</w:t>
      </w:r>
    </w:p>
    <w:p>
      <w:pPr>
        <w:pStyle w:val="BodyText"/>
      </w:pPr>
      <w:r>
        <w:t xml:space="preserve">• </w:t>
      </w:r>
      <w:r>
        <w:rPr>
          <w:rFonts w:hint="eastAsia"/>
        </w:rPr>
        <w:t xml:space="preserve">澳洲</w:t>
      </w:r>
    </w:p>
    <w:p>
      <w:pPr>
        <w:pStyle w:val="BodyText"/>
      </w:pPr>
      <w:r>
        <w:t xml:space="preserve">• </w:t>
      </w:r>
      <w:r>
        <w:rPr>
          <w:rFonts w:hint="eastAsia"/>
        </w:rPr>
        <w:t xml:space="preserve">新西蘭</w:t>
      </w:r>
    </w:p>
    <w:p>
      <w:pPr>
        <w:pStyle w:val="BodyText"/>
      </w:pPr>
      <w:r>
        <w:rPr>
          <w:rFonts w:hint="eastAsia"/>
        </w:rPr>
        <w:t xml:space="preserve">AIA中國</w:t>
      </w:r>
    </w:p>
    <w:p>
      <w:pPr>
        <w:pStyle w:val="BodyText"/>
      </w:pPr>
      <w:r>
        <w:rPr>
          <w:rFonts w:hint="eastAsia"/>
        </w:rPr>
        <w:t xml:space="preserve">AIA香港(1)</w:t>
      </w:r>
    </w:p>
    <w:p>
      <w:pPr>
        <w:pStyle w:val="BodyText"/>
      </w:pPr>
      <w:r>
        <w:rPr>
          <w:rFonts w:hint="eastAsia"/>
        </w:rPr>
        <w:t xml:space="preserve">AIA印尼</w:t>
      </w:r>
    </w:p>
    <w:p>
      <w:pPr>
        <w:pStyle w:val="BodyText"/>
      </w:pPr>
      <w:r>
        <w:rPr>
          <w:rFonts w:hint="eastAsia"/>
        </w:rPr>
        <w:t xml:space="preserve">AIA韓國</w:t>
      </w:r>
    </w:p>
    <w:p>
      <w:pPr>
        <w:pStyle w:val="BodyText"/>
      </w:pPr>
      <w:r>
        <w:rPr>
          <w:rFonts w:hint="eastAsia"/>
        </w:rPr>
        <w:t xml:space="preserve">AIA馬來西亞</w:t>
      </w:r>
    </w:p>
    <w:p>
      <w:pPr>
        <w:pStyle w:val="BodyText"/>
      </w:pPr>
      <w:r>
        <w:rPr>
          <w:rFonts w:hint="eastAsia"/>
        </w:rPr>
        <w:t xml:space="preserve">AIA菲律賓</w:t>
      </w:r>
    </w:p>
    <w:p>
      <w:pPr>
        <w:pStyle w:val="BodyText"/>
      </w:pPr>
      <w:r>
        <w:rPr>
          <w:rFonts w:hint="eastAsia"/>
        </w:rPr>
        <w:t xml:space="preserve">AIA新加坡</w:t>
      </w:r>
    </w:p>
    <w:p>
      <w:pPr>
        <w:pStyle w:val="BodyText"/>
      </w:pPr>
      <w:r>
        <w:rPr>
          <w:rFonts w:hint="eastAsia"/>
        </w:rPr>
        <w:t xml:space="preserve">AIA斯里蘭卡</w:t>
      </w:r>
    </w:p>
    <w:p>
      <w:pPr>
        <w:pStyle w:val="BodyText"/>
      </w:pPr>
      <w:r>
        <w:rPr>
          <w:rFonts w:hint="eastAsia"/>
        </w:rPr>
        <w:t xml:space="preserve">AIA台灣</w:t>
      </w:r>
    </w:p>
    <w:p>
      <w:pPr>
        <w:pStyle w:val="BodyText"/>
      </w:pPr>
      <w:r>
        <w:rPr>
          <w:rFonts w:hint="eastAsia"/>
        </w:rPr>
        <w:t xml:space="preserve">AIA泰國</w:t>
      </w:r>
    </w:p>
    <w:p>
      <w:pPr>
        <w:pStyle w:val="BodyText"/>
      </w:pPr>
      <w:r>
        <w:rPr>
          <w:rFonts w:hint="eastAsia"/>
        </w:rPr>
        <w:t xml:space="preserve">AIA越南</w:t>
      </w:r>
    </w:p>
    <w:p>
      <w:pPr>
        <w:pStyle w:val="BodyText"/>
      </w:pPr>
      <w:r>
        <w:rPr>
          <w:rFonts w:hint="eastAsia"/>
        </w:rPr>
        <w:t xml:space="preserve">附註：</w:t>
      </w:r>
    </w:p>
    <w:p>
      <w:pPr>
        <w:pStyle w:val="Compact"/>
        <w:numPr>
          <w:ilvl w:val="0"/>
          <w:numId w:val="1730"/>
        </w:numPr>
      </w:pPr>
      <w:r>
        <w:rPr>
          <w:rFonts w:hint="eastAsia"/>
        </w:rPr>
        <w:t xml:space="preserve">AIA香港的大部分資產及負債均以美元計值。上述10年期政府債券孳息率為美元計值債券的孳息率。</w:t>
      </w:r>
    </w:p>
    <w:p>
      <w:pPr>
        <w:pStyle w:val="FirstParagraph"/>
      </w:pPr>
      <w:r>
        <w:rPr>
          <w:rFonts w:hint="eastAsia"/>
        </w:rPr>
        <w:t xml:space="preserve">計算內涵價值所參考的</w:t>
      </w:r>
      <w:r>
        <w:br/>
      </w:r>
      <w:r>
        <w:rPr>
          <w:rFonts w:hint="eastAsia"/>
        </w:rPr>
        <w:t xml:space="preserve">當前市場10年期</w:t>
      </w:r>
      <w:r>
        <w:br/>
      </w:r>
      <w:r>
        <w:rPr>
          <w:rFonts w:hint="eastAsia"/>
        </w:rPr>
        <w:t xml:space="preserve">政府債券孳息率(%)</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0.97</w:t>
      </w:r>
    </w:p>
    <w:p>
      <w:pPr>
        <w:pStyle w:val="BodyText"/>
      </w:pPr>
      <w:r>
        <w:t xml:space="preserve">0.99</w:t>
      </w:r>
    </w:p>
    <w:p>
      <w:pPr>
        <w:pStyle w:val="BodyText"/>
      </w:pPr>
      <w:r>
        <w:t xml:space="preserve">3.15</w:t>
      </w:r>
    </w:p>
    <w:p>
      <w:pPr>
        <w:pStyle w:val="BodyText"/>
      </w:pPr>
      <w:r>
        <w:t xml:space="preserve">0.91</w:t>
      </w:r>
    </w:p>
    <w:p>
      <w:pPr>
        <w:pStyle w:val="BodyText"/>
      </w:pPr>
      <w:r>
        <w:t xml:space="preserve">5.89</w:t>
      </w:r>
    </w:p>
    <w:p>
      <w:pPr>
        <w:pStyle w:val="BodyText"/>
      </w:pPr>
      <w:r>
        <w:t xml:space="preserve">1.72</w:t>
      </w:r>
    </w:p>
    <w:p>
      <w:pPr>
        <w:pStyle w:val="BodyText"/>
      </w:pPr>
      <w:r>
        <w:t xml:space="preserve">2.65</w:t>
      </w:r>
    </w:p>
    <w:p>
      <w:pPr>
        <w:pStyle w:val="BodyText"/>
      </w:pPr>
      <w:r>
        <w:t xml:space="preserve">3.00</w:t>
      </w:r>
    </w:p>
    <w:p>
      <w:pPr>
        <w:pStyle w:val="BodyText"/>
      </w:pPr>
      <w:r>
        <w:t xml:space="preserve">0.84</w:t>
      </w:r>
    </w:p>
    <w:p>
      <w:pPr>
        <w:pStyle w:val="BodyText"/>
      </w:pPr>
      <w:r>
        <w:t xml:space="preserve">7.55</w:t>
      </w:r>
    </w:p>
    <w:p>
      <w:pPr>
        <w:pStyle w:val="BodyText"/>
      </w:pPr>
      <w:r>
        <w:t xml:space="preserve">0.32</w:t>
      </w:r>
    </w:p>
    <w:p>
      <w:pPr>
        <w:pStyle w:val="BodyText"/>
      </w:pPr>
      <w:r>
        <w:t xml:space="preserve">1.28</w:t>
      </w:r>
    </w:p>
    <w:p>
      <w:pPr>
        <w:pStyle w:val="BodyText"/>
      </w:pPr>
      <w:r>
        <w:t xml:space="preserve">2.60</w:t>
      </w:r>
    </w:p>
    <w:p>
      <w:pPr>
        <w:pStyle w:val="BodyText"/>
      </w:pPr>
      <w:r>
        <w:t xml:space="preserve">1.37</w:t>
      </w:r>
    </w:p>
    <w:p>
      <w:pPr>
        <w:pStyle w:val="BodyText"/>
      </w:pPr>
      <w:r>
        <w:t xml:space="preserve">1.65</w:t>
      </w:r>
    </w:p>
    <w:p>
      <w:pPr>
        <w:pStyle w:val="BodyText"/>
      </w:pPr>
      <w:r>
        <w:t xml:space="preserve">3.14</w:t>
      </w:r>
    </w:p>
    <w:p>
      <w:pPr>
        <w:pStyle w:val="BodyText"/>
      </w:pPr>
      <w:r>
        <w:t xml:space="preserve">1.92</w:t>
      </w:r>
    </w:p>
    <w:p>
      <w:pPr>
        <w:pStyle w:val="BodyText"/>
      </w:pPr>
      <w:r>
        <w:t xml:space="preserve">7.06</w:t>
      </w:r>
    </w:p>
    <w:p>
      <w:pPr>
        <w:pStyle w:val="BodyText"/>
      </w:pPr>
      <w:r>
        <w:t xml:space="preserve">1.67</w:t>
      </w:r>
    </w:p>
    <w:p>
      <w:pPr>
        <w:pStyle w:val="BodyText"/>
      </w:pPr>
      <w:r>
        <w:t xml:space="preserve">3.31</w:t>
      </w:r>
    </w:p>
    <w:p>
      <w:pPr>
        <w:pStyle w:val="BodyText"/>
      </w:pPr>
      <w:r>
        <w:t xml:space="preserve">4.46</w:t>
      </w:r>
    </w:p>
    <w:p>
      <w:pPr>
        <w:pStyle w:val="BodyText"/>
      </w:pPr>
      <w:r>
        <w:t xml:space="preserve">1.74</w:t>
      </w:r>
    </w:p>
    <w:p>
      <w:pPr>
        <w:pStyle w:val="BodyText"/>
      </w:pPr>
      <w:r>
        <w:t xml:space="preserve">10.07</w:t>
      </w:r>
    </w:p>
    <w:p>
      <w:pPr>
        <w:pStyle w:val="BodyText"/>
      </w:pPr>
      <w:r>
        <w:t xml:space="preserve">0.67</w:t>
      </w:r>
    </w:p>
    <w:p>
      <w:pPr>
        <w:pStyle w:val="BodyText"/>
      </w:pPr>
      <w:r>
        <w:t xml:space="preserve">1.49</w:t>
      </w:r>
    </w:p>
    <w:p>
      <w:pPr>
        <w:pStyle w:val="BodyText"/>
      </w:pPr>
      <w:r>
        <w:t xml:space="preserve">3.56</w:t>
      </w:r>
    </w:p>
    <w:p>
      <w:pPr>
        <w:pStyle w:val="BodyText"/>
      </w:pPr>
      <w:r>
        <w:t xml:space="preserve">288</w:t>
      </w:r>
    </w:p>
    <w:p>
      <w:pPr>
        <w:pStyle w:val="BodyText"/>
      </w:pPr>
      <w:r>
        <w:rPr>
          <w:rFonts w:hint="eastAsia"/>
        </w:rPr>
        <w:t xml:space="preserve">友邦保險控股有限公司</w:t>
      </w:r>
    </w:p>
    <w:p>
      <w:pPr>
        <w:pStyle w:val="Compact"/>
        <w:numPr>
          <w:ilvl w:val="0"/>
          <w:numId w:val="1731"/>
        </w:numPr>
      </w:pPr>
      <w:r>
        <w:rPr>
          <w:rFonts w:hint="eastAsia"/>
        </w:rPr>
        <w:t xml:space="preserve">假設（續）</w:t>
      </w:r>
    </w:p>
    <w:p>
      <w:pPr>
        <w:pStyle w:val="FirstParagraph"/>
      </w:pPr>
      <w:r>
        <w:t xml:space="preserve">5.2 </w:t>
      </w:r>
      <w:r>
        <w:rPr>
          <w:rFonts w:hint="eastAsia"/>
        </w:rPr>
        <w:t xml:space="preserve">經濟假設（續）</w:t>
      </w:r>
    </w:p>
    <w:p>
      <w:pPr>
        <w:pStyle w:val="BodyText"/>
      </w:pPr>
      <w:r>
        <w:rPr>
          <w:rFonts w:hint="eastAsia"/>
        </w:rPr>
        <w:t xml:space="preserve">風險貼現率（續）</w:t>
      </w:r>
    </w:p>
    <w:p>
      <w:pPr>
        <w:pStyle w:val="BodyText"/>
      </w:pPr>
      <w:r>
        <w:rPr>
          <w:rFonts w:hint="eastAsia"/>
        </w:rPr>
        <w:t xml:space="preserve">下表概述計算內涵價值假設的風險貼現率及長期投資回報。本報告第1及2節顯示的所有內涵價值結果使用相同的風險貼現</w:t>
      </w:r>
    </w:p>
    <w:p>
      <w:pPr>
        <w:pStyle w:val="BodyText"/>
      </w:pPr>
      <w:r>
        <w:rPr>
          <w:rFonts w:hint="eastAsia"/>
        </w:rPr>
        <w:t xml:space="preserve">率。未分配集團總部開支的現值乃使用AIA香港的風險貼現率計算。現有固定收入資產的投資回報已調整至與該等資產的市</w:t>
      </w:r>
    </w:p>
    <w:p>
      <w:pPr>
        <w:pStyle w:val="BodyText"/>
      </w:pPr>
      <w:r>
        <w:rPr>
          <w:rFonts w:hint="eastAsia"/>
        </w:rPr>
        <w:t xml:space="preserve">場收益率一致。敬請留意，新業務價值結果的計算乃以季度初期經濟假設為基準，與銷售點的計量一致。所顯示的投資回報</w:t>
      </w:r>
    </w:p>
    <w:p>
      <w:pPr>
        <w:pStyle w:val="BodyText"/>
      </w:pPr>
      <w:r>
        <w:rPr>
          <w:rFonts w:hint="eastAsia"/>
        </w:rPr>
        <w:t xml:space="preserve">未扣除稅項及投資開支。</w:t>
      </w:r>
    </w:p>
    <w:p>
      <w:pPr>
        <w:pStyle w:val="BodyText"/>
      </w:pPr>
      <w:r>
        <w:rPr>
          <w:rFonts w:hint="eastAsia"/>
        </w:rPr>
        <w:t xml:space="preserve">計算內涵價值的</w:t>
      </w:r>
      <w:r>
        <w:br/>
      </w:r>
      <w:r>
        <w:rPr>
          <w:rFonts w:hint="eastAsia"/>
        </w:rPr>
        <w:t xml:space="preserve">假設風險貼現率(%)</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於2020年</w:t>
      </w:r>
      <w:r>
        <w:br/>
      </w:r>
      <w:r>
        <w:rPr>
          <w:rFonts w:hint="eastAsia"/>
        </w:rPr>
        <w:t xml:space="preserve">6月30日</w:t>
      </w:r>
    </w:p>
    <w:p>
      <w:pPr>
        <w:pStyle w:val="BodyText"/>
      </w:pPr>
      <w:r>
        <w:rPr>
          <w:rFonts w:hint="eastAsia"/>
        </w:rPr>
        <w:t xml:space="preserve">（未經審核）</w:t>
      </w:r>
    </w:p>
    <w:p>
      <w:pPr>
        <w:pStyle w:val="BodyText"/>
      </w:pPr>
      <w:r>
        <w:rPr>
          <w:rFonts w:hint="eastAsia"/>
        </w:rPr>
        <w:t xml:space="preserve">於2019年</w:t>
      </w:r>
      <w:r>
        <w:br/>
      </w:r>
      <w:r>
        <w:rPr>
          <w:rFonts w:hint="eastAsia"/>
        </w:rPr>
        <w:t xml:space="preserve">12月31日</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計算內涵價值的假設長期投資回報(%)</w:t>
      </w:r>
    </w:p>
    <w:p>
      <w:pPr>
        <w:pStyle w:val="BodyText"/>
      </w:pPr>
      <w:r>
        <w:rPr>
          <w:rFonts w:hint="eastAsia"/>
        </w:rPr>
        <w:t xml:space="preserve">10年期政府債券</w:t>
      </w:r>
    </w:p>
    <w:p>
      <w:pPr>
        <w:pStyle w:val="BodyText"/>
      </w:pPr>
      <w:r>
        <w:rPr>
          <w:rFonts w:hint="eastAsia"/>
        </w:rPr>
        <w:t xml:space="preserve">於2020年</w:t>
      </w:r>
      <w:r>
        <w:br/>
      </w:r>
      <w:r>
        <w:rPr>
          <w:rFonts w:hint="eastAsia"/>
        </w:rPr>
        <w:t xml:space="preserve">6月30日</w:t>
      </w:r>
    </w:p>
    <w:p>
      <w:pPr>
        <w:pStyle w:val="BodyText"/>
      </w:pPr>
      <w:r>
        <w:rPr>
          <w:rFonts w:hint="eastAsia"/>
        </w:rPr>
        <w:t xml:space="preserve">（未經審核）</w:t>
      </w:r>
    </w:p>
    <w:p>
      <w:pPr>
        <w:pStyle w:val="BodyText"/>
      </w:pPr>
      <w:r>
        <w:rPr>
          <w:rFonts w:hint="eastAsia"/>
        </w:rPr>
        <w:t xml:space="preserve">於2019年</w:t>
      </w:r>
      <w:r>
        <w:br/>
      </w:r>
      <w:r>
        <w:rPr>
          <w:rFonts w:hint="eastAsia"/>
        </w:rPr>
        <w:t xml:space="preserve">12月31日</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當地股票</w:t>
      </w:r>
    </w:p>
    <w:p>
      <w:pPr>
        <w:pStyle w:val="BodyText"/>
      </w:pPr>
      <w:r>
        <w:rPr>
          <w:rFonts w:hint="eastAsia"/>
        </w:rPr>
        <w:t xml:space="preserve">於2020年</w:t>
      </w:r>
      <w:r>
        <w:br/>
      </w:r>
      <w:r>
        <w:rPr>
          <w:rFonts w:hint="eastAsia"/>
        </w:rPr>
        <w:t xml:space="preserve">6月30日</w:t>
      </w:r>
    </w:p>
    <w:p>
      <w:pPr>
        <w:pStyle w:val="BodyText"/>
      </w:pPr>
      <w:r>
        <w:rPr>
          <w:rFonts w:hint="eastAsia"/>
        </w:rPr>
        <w:t xml:space="preserve">（未經審核）</w:t>
      </w:r>
    </w:p>
    <w:p>
      <w:pPr>
        <w:pStyle w:val="BodyText"/>
      </w:pPr>
      <w:r>
        <w:rPr>
          <w:rFonts w:hint="eastAsia"/>
        </w:rPr>
        <w:t xml:space="preserve">於2019年</w:t>
      </w:r>
      <w:r>
        <w:br/>
      </w:r>
      <w:r>
        <w:rPr>
          <w:rFonts w:hint="eastAsia"/>
        </w:rPr>
        <w:t xml:space="preserve">12月31日</w:t>
      </w:r>
    </w:p>
    <w:p>
      <w:pPr>
        <w:pStyle w:val="BodyText"/>
      </w:pPr>
      <w:r>
        <w:t xml:space="preserve">6.45</w:t>
      </w:r>
    </w:p>
    <w:p>
      <w:pPr>
        <w:pStyle w:val="BodyText"/>
      </w:pPr>
      <w:r>
        <w:t xml:space="preserve">6.55</w:t>
      </w:r>
    </w:p>
    <w:p>
      <w:pPr>
        <w:pStyle w:val="BodyText"/>
      </w:pPr>
      <w:r>
        <w:t xml:space="preserve">9.75</w:t>
      </w:r>
    </w:p>
    <w:p>
      <w:pPr>
        <w:pStyle w:val="BodyText"/>
      </w:pPr>
      <w:r>
        <w:t xml:space="preserve">7.00</w:t>
      </w:r>
    </w:p>
    <w:p>
      <w:pPr>
        <w:pStyle w:val="BodyText"/>
      </w:pPr>
      <w:r>
        <w:t xml:space="preserve">6.45</w:t>
      </w:r>
    </w:p>
    <w:p>
      <w:pPr>
        <w:pStyle w:val="BodyText"/>
      </w:pPr>
      <w:r>
        <w:t xml:space="preserve">6.85</w:t>
      </w:r>
    </w:p>
    <w:p>
      <w:pPr>
        <w:pStyle w:val="BodyText"/>
      </w:pPr>
      <w:r>
        <w:t xml:space="preserve">9.75</w:t>
      </w:r>
    </w:p>
    <w:p>
      <w:pPr>
        <w:pStyle w:val="BodyText"/>
      </w:pPr>
      <w:r>
        <w:t xml:space="preserve">7.00</w:t>
      </w:r>
    </w:p>
    <w:p>
      <w:pPr>
        <w:pStyle w:val="BodyText"/>
      </w:pPr>
      <w:r>
        <w:t xml:space="preserve">6.45</w:t>
      </w:r>
    </w:p>
    <w:p>
      <w:pPr>
        <w:pStyle w:val="BodyText"/>
      </w:pPr>
      <w:r>
        <w:t xml:space="preserve">6.85</w:t>
      </w:r>
    </w:p>
    <w:p>
      <w:pPr>
        <w:pStyle w:val="BodyText"/>
      </w:pPr>
      <w:r>
        <w:t xml:space="preserve">9.75</w:t>
      </w:r>
    </w:p>
    <w:p>
      <w:pPr>
        <w:pStyle w:val="BodyText"/>
      </w:pPr>
      <w:r>
        <w:t xml:space="preserve">7.20</w:t>
      </w:r>
    </w:p>
    <w:p>
      <w:pPr>
        <w:pStyle w:val="BodyText"/>
      </w:pPr>
      <w:r>
        <w:t xml:space="preserve">13.00</w:t>
      </w:r>
    </w:p>
    <w:p>
      <w:pPr>
        <w:pStyle w:val="BodyText"/>
      </w:pPr>
      <w:r>
        <w:t xml:space="preserve">13.00</w:t>
      </w:r>
    </w:p>
    <w:p>
      <w:pPr>
        <w:pStyle w:val="BodyText"/>
      </w:pPr>
      <w:r>
        <w:t xml:space="preserve">13.00</w:t>
      </w:r>
    </w:p>
    <w:p>
      <w:pPr>
        <w:pStyle w:val="BodyText"/>
      </w:pPr>
      <w:r>
        <w:t xml:space="preserve">8.10</w:t>
      </w:r>
    </w:p>
    <w:p>
      <w:pPr>
        <w:pStyle w:val="BodyText"/>
      </w:pPr>
      <w:r>
        <w:t xml:space="preserve">8.55</w:t>
      </w:r>
    </w:p>
    <w:p>
      <w:pPr>
        <w:pStyle w:val="BodyText"/>
      </w:pPr>
      <w:r>
        <w:t xml:space="preserve">11.80</w:t>
      </w:r>
    </w:p>
    <w:p>
      <w:pPr>
        <w:pStyle w:val="BodyText"/>
      </w:pPr>
      <w:r>
        <w:t xml:space="preserve">6.60</w:t>
      </w:r>
    </w:p>
    <w:p>
      <w:pPr>
        <w:pStyle w:val="BodyText"/>
      </w:pPr>
      <w:r>
        <w:t xml:space="preserve">15.70</w:t>
      </w:r>
    </w:p>
    <w:p>
      <w:pPr>
        <w:pStyle w:val="BodyText"/>
      </w:pPr>
      <w:r>
        <w:t xml:space="preserve">7.25</w:t>
      </w:r>
    </w:p>
    <w:p>
      <w:pPr>
        <w:pStyle w:val="BodyText"/>
      </w:pPr>
      <w:r>
        <w:t xml:space="preserve">7.80</w:t>
      </w:r>
    </w:p>
    <w:p>
      <w:pPr>
        <w:pStyle w:val="BodyText"/>
      </w:pPr>
      <w:r>
        <w:t xml:space="preserve">9.80</w:t>
      </w:r>
    </w:p>
    <w:p>
      <w:pPr>
        <w:pStyle w:val="BodyText"/>
      </w:pPr>
      <w:r>
        <w:t xml:space="preserve">8.10</w:t>
      </w:r>
    </w:p>
    <w:p>
      <w:pPr>
        <w:pStyle w:val="BodyText"/>
      </w:pPr>
      <w:r>
        <w:t xml:space="preserve">8.55</w:t>
      </w:r>
    </w:p>
    <w:p>
      <w:pPr>
        <w:pStyle w:val="BodyText"/>
      </w:pPr>
      <w:r>
        <w:t xml:space="preserve">11.80</w:t>
      </w:r>
    </w:p>
    <w:p>
      <w:pPr>
        <w:pStyle w:val="BodyText"/>
      </w:pPr>
      <w:r>
        <w:t xml:space="preserve">6.60</w:t>
      </w:r>
    </w:p>
    <w:p>
      <w:pPr>
        <w:pStyle w:val="BodyText"/>
      </w:pPr>
      <w:r>
        <w:t xml:space="preserve">15.70</w:t>
      </w:r>
    </w:p>
    <w:p>
      <w:pPr>
        <w:pStyle w:val="BodyText"/>
      </w:pPr>
      <w:r>
        <w:t xml:space="preserve">7.55</w:t>
      </w:r>
    </w:p>
    <w:p>
      <w:pPr>
        <w:pStyle w:val="BodyText"/>
      </w:pPr>
      <w:r>
        <w:t xml:space="preserve">7.90</w:t>
      </w:r>
    </w:p>
    <w:p>
      <w:pPr>
        <w:pStyle w:val="BodyText"/>
      </w:pPr>
      <w:r>
        <w:t xml:space="preserve">9.80</w:t>
      </w:r>
    </w:p>
    <w:p>
      <w:pPr>
        <w:pStyle w:val="BodyText"/>
      </w:pPr>
      <w:r>
        <w:t xml:space="preserve">8.10</w:t>
      </w:r>
    </w:p>
    <w:p>
      <w:pPr>
        <w:pStyle w:val="BodyText"/>
      </w:pPr>
      <w:r>
        <w:t xml:space="preserve">8.55</w:t>
      </w:r>
    </w:p>
    <w:p>
      <w:pPr>
        <w:pStyle w:val="BodyText"/>
      </w:pPr>
      <w:r>
        <w:t xml:space="preserve">11.80</w:t>
      </w:r>
    </w:p>
    <w:p>
      <w:pPr>
        <w:pStyle w:val="BodyText"/>
      </w:pPr>
      <w:r>
        <w:t xml:space="preserve">6.90</w:t>
      </w:r>
    </w:p>
    <w:p>
      <w:pPr>
        <w:pStyle w:val="BodyText"/>
      </w:pPr>
      <w:r>
        <w:t xml:space="preserve">15.70</w:t>
      </w:r>
    </w:p>
    <w:p>
      <w:pPr>
        <w:pStyle w:val="BodyText"/>
      </w:pPr>
      <w:r>
        <w:t xml:space="preserve">7.55</w:t>
      </w:r>
    </w:p>
    <w:p>
      <w:pPr>
        <w:pStyle w:val="BodyText"/>
      </w:pPr>
      <w:r>
        <w:t xml:space="preserve">7.90</w:t>
      </w:r>
    </w:p>
    <w:p>
      <w:pPr>
        <w:pStyle w:val="BodyText"/>
      </w:pPr>
      <w:r>
        <w:t xml:space="preserve">10.80</w:t>
      </w:r>
    </w:p>
    <w:p>
      <w:pPr>
        <w:pStyle w:val="BodyText"/>
      </w:pPr>
      <w:r>
        <w:t xml:space="preserve">2.30</w:t>
      </w:r>
    </w:p>
    <w:p>
      <w:pPr>
        <w:pStyle w:val="BodyText"/>
      </w:pPr>
      <w:r>
        <w:t xml:space="preserve">2.30</w:t>
      </w:r>
    </w:p>
    <w:p>
      <w:pPr>
        <w:pStyle w:val="BodyText"/>
      </w:pPr>
      <w:r>
        <w:t xml:space="preserve">3.70</w:t>
      </w:r>
    </w:p>
    <w:p>
      <w:pPr>
        <w:pStyle w:val="BodyText"/>
      </w:pPr>
      <w:r>
        <w:t xml:space="preserve">2.20</w:t>
      </w:r>
    </w:p>
    <w:p>
      <w:pPr>
        <w:pStyle w:val="BodyText"/>
      </w:pPr>
      <w:r>
        <w:t xml:space="preserve">7.50</w:t>
      </w:r>
    </w:p>
    <w:p>
      <w:pPr>
        <w:pStyle w:val="BodyText"/>
      </w:pPr>
      <w:r>
        <w:t xml:space="preserve">2.20</w:t>
      </w:r>
    </w:p>
    <w:p>
      <w:pPr>
        <w:pStyle w:val="BodyText"/>
      </w:pPr>
      <w:r>
        <w:t xml:space="preserve">4.00</w:t>
      </w:r>
    </w:p>
    <w:p>
      <w:pPr>
        <w:pStyle w:val="BodyText"/>
      </w:pPr>
      <w:r>
        <w:t xml:space="preserve">5.30</w:t>
      </w:r>
    </w:p>
    <w:p>
      <w:pPr>
        <w:pStyle w:val="BodyText"/>
      </w:pPr>
      <w:r>
        <w:t xml:space="preserve">2.20</w:t>
      </w:r>
    </w:p>
    <w:p>
      <w:pPr>
        <w:pStyle w:val="BodyText"/>
      </w:pPr>
      <w:r>
        <w:t xml:space="preserve">2.30</w:t>
      </w:r>
    </w:p>
    <w:p>
      <w:pPr>
        <w:pStyle w:val="BodyText"/>
      </w:pPr>
      <w:r>
        <w:t xml:space="preserve">2.60</w:t>
      </w:r>
    </w:p>
    <w:p>
      <w:pPr>
        <w:pStyle w:val="BodyText"/>
      </w:pPr>
      <w:r>
        <w:t xml:space="preserve">3.70</w:t>
      </w:r>
    </w:p>
    <w:p>
      <w:pPr>
        <w:pStyle w:val="BodyText"/>
      </w:pPr>
      <w:r>
        <w:t xml:space="preserve">2.20</w:t>
      </w:r>
    </w:p>
    <w:p>
      <w:pPr>
        <w:pStyle w:val="BodyText"/>
      </w:pPr>
      <w:r>
        <w:t xml:space="preserve">7.50</w:t>
      </w:r>
    </w:p>
    <w:p>
      <w:pPr>
        <w:pStyle w:val="BodyText"/>
      </w:pPr>
      <w:r>
        <w:t xml:space="preserve">2.20</w:t>
      </w:r>
    </w:p>
    <w:p>
      <w:pPr>
        <w:pStyle w:val="BodyText"/>
      </w:pPr>
      <w:r>
        <w:t xml:space="preserve">4.00</w:t>
      </w:r>
    </w:p>
    <w:p>
      <w:pPr>
        <w:pStyle w:val="BodyText"/>
      </w:pPr>
      <w:r>
        <w:t xml:space="preserve">5.30</w:t>
      </w:r>
    </w:p>
    <w:p>
      <w:pPr>
        <w:pStyle w:val="BodyText"/>
      </w:pPr>
      <w:r>
        <w:t xml:space="preserve">2.20</w:t>
      </w:r>
    </w:p>
    <w:p>
      <w:pPr>
        <w:pStyle w:val="BodyText"/>
      </w:pPr>
      <w:r>
        <w:t xml:space="preserve">2.30</w:t>
      </w:r>
    </w:p>
    <w:p>
      <w:pPr>
        <w:pStyle w:val="BodyText"/>
      </w:pPr>
      <w:r>
        <w:t xml:space="preserve">2.60</w:t>
      </w:r>
    </w:p>
    <w:p>
      <w:pPr>
        <w:pStyle w:val="BodyText"/>
      </w:pPr>
      <w:r>
        <w:t xml:space="preserve">3.70</w:t>
      </w:r>
    </w:p>
    <w:p>
      <w:pPr>
        <w:pStyle w:val="BodyText"/>
      </w:pPr>
      <w:r>
        <w:t xml:space="preserve">2.70</w:t>
      </w:r>
    </w:p>
    <w:p>
      <w:pPr>
        <w:pStyle w:val="BodyText"/>
      </w:pPr>
      <w:r>
        <w:t xml:space="preserve">7.50</w:t>
      </w:r>
    </w:p>
    <w:p>
      <w:pPr>
        <w:pStyle w:val="BodyText"/>
      </w:pPr>
      <w:r>
        <w:t xml:space="preserve">2.20</w:t>
      </w:r>
    </w:p>
    <w:p>
      <w:pPr>
        <w:pStyle w:val="BodyText"/>
      </w:pPr>
      <w:r>
        <w:t xml:space="preserve">4.00</w:t>
      </w:r>
    </w:p>
    <w:p>
      <w:pPr>
        <w:pStyle w:val="BodyText"/>
      </w:pPr>
      <w:r>
        <w:t xml:space="preserve">5.30</w:t>
      </w:r>
    </w:p>
    <w:p>
      <w:pPr>
        <w:pStyle w:val="BodyText"/>
      </w:pPr>
      <w:r>
        <w:t xml:space="preserve">2.50</w:t>
      </w:r>
    </w:p>
    <w:p>
      <w:pPr>
        <w:pStyle w:val="BodyText"/>
      </w:pPr>
      <w:r>
        <w:t xml:space="preserve">10.00</w:t>
      </w:r>
    </w:p>
    <w:p>
      <w:pPr>
        <w:pStyle w:val="BodyText"/>
      </w:pPr>
      <w:r>
        <w:t xml:space="preserve">10.00</w:t>
      </w:r>
    </w:p>
    <w:p>
      <w:pPr>
        <w:pStyle w:val="BodyText"/>
      </w:pPr>
      <w:r>
        <w:t xml:space="preserve">10.00</w:t>
      </w:r>
    </w:p>
    <w:p>
      <w:pPr>
        <w:pStyle w:val="BodyText"/>
      </w:pPr>
      <w:r>
        <w:t xml:space="preserve">1.00</w:t>
      </w:r>
    </w:p>
    <w:p>
      <w:pPr>
        <w:pStyle w:val="BodyText"/>
      </w:pPr>
      <w:r>
        <w:t xml:space="preserve">2.70</w:t>
      </w:r>
    </w:p>
    <w:p>
      <w:pPr>
        <w:pStyle w:val="BodyText"/>
      </w:pPr>
      <w:r>
        <w:t xml:space="preserve">4.00</w:t>
      </w:r>
    </w:p>
    <w:p>
      <w:pPr>
        <w:pStyle w:val="BodyText"/>
      </w:pPr>
      <w:r>
        <w:t xml:space="preserve">1.30</w:t>
      </w:r>
    </w:p>
    <w:p>
      <w:pPr>
        <w:pStyle w:val="BodyText"/>
      </w:pPr>
      <w:r>
        <w:t xml:space="preserve">2.70</w:t>
      </w:r>
    </w:p>
    <w:p>
      <w:pPr>
        <w:pStyle w:val="BodyText"/>
      </w:pPr>
      <w:r>
        <w:t xml:space="preserve">4.00</w:t>
      </w:r>
    </w:p>
    <w:p>
      <w:pPr>
        <w:pStyle w:val="BodyText"/>
      </w:pPr>
      <w:r>
        <w:t xml:space="preserve">1.30</w:t>
      </w:r>
    </w:p>
    <w:p>
      <w:pPr>
        <w:pStyle w:val="BodyText"/>
      </w:pPr>
      <w:r>
        <w:t xml:space="preserve">2.70</w:t>
      </w:r>
    </w:p>
    <w:p>
      <w:pPr>
        <w:pStyle w:val="BodyText"/>
      </w:pPr>
      <w:r>
        <w:t xml:space="preserve">5.00</w:t>
      </w:r>
    </w:p>
    <w:p>
      <w:pPr>
        <w:pStyle w:val="BodyText"/>
      </w:pPr>
      <w:r>
        <w:t xml:space="preserve">6.60</w:t>
      </w:r>
    </w:p>
    <w:p>
      <w:pPr>
        <w:pStyle w:val="BodyText"/>
      </w:pPr>
      <w:r>
        <w:t xml:space="preserve">6.80</w:t>
      </w:r>
    </w:p>
    <w:p>
      <w:pPr>
        <w:pStyle w:val="BodyText"/>
      </w:pPr>
      <w:r>
        <w:t xml:space="preserve">9.30</w:t>
      </w:r>
    </w:p>
    <w:p>
      <w:pPr>
        <w:pStyle w:val="BodyText"/>
      </w:pPr>
      <w:r>
        <w:t xml:space="preserve">7.00</w:t>
      </w:r>
    </w:p>
    <w:p>
      <w:pPr>
        <w:pStyle w:val="BodyText"/>
      </w:pPr>
      <w:r>
        <w:t xml:space="preserve">6.60</w:t>
      </w:r>
    </w:p>
    <w:p>
      <w:pPr>
        <w:pStyle w:val="BodyText"/>
      </w:pPr>
      <w:r>
        <w:t xml:space="preserve">7.10</w:t>
      </w:r>
    </w:p>
    <w:p>
      <w:pPr>
        <w:pStyle w:val="BodyText"/>
      </w:pPr>
      <w:r>
        <w:t xml:space="preserve">9.30</w:t>
      </w:r>
    </w:p>
    <w:p>
      <w:pPr>
        <w:pStyle w:val="BodyText"/>
      </w:pPr>
      <w:r>
        <w:t xml:space="preserve">7.00</w:t>
      </w:r>
    </w:p>
    <w:p>
      <w:pPr>
        <w:pStyle w:val="BodyText"/>
      </w:pPr>
      <w:r>
        <w:t xml:space="preserve">6.60</w:t>
      </w:r>
    </w:p>
    <w:p>
      <w:pPr>
        <w:pStyle w:val="BodyText"/>
      </w:pPr>
      <w:r>
        <w:t xml:space="preserve">7.10</w:t>
      </w:r>
    </w:p>
    <w:p>
      <w:pPr>
        <w:pStyle w:val="BodyText"/>
      </w:pPr>
      <w:r>
        <w:t xml:space="preserve">9.30</w:t>
      </w:r>
    </w:p>
    <w:p>
      <w:pPr>
        <w:pStyle w:val="BodyText"/>
      </w:pPr>
      <w:r>
        <w:t xml:space="preserve">7.50</w:t>
      </w:r>
    </w:p>
    <w:p>
      <w:pPr>
        <w:pStyle w:val="BodyText"/>
      </w:pPr>
      <w:r>
        <w:t xml:space="preserve">12.00</w:t>
      </w:r>
    </w:p>
    <w:p>
      <w:pPr>
        <w:pStyle w:val="BodyText"/>
      </w:pPr>
      <w:r>
        <w:t xml:space="preserve">12.00</w:t>
      </w:r>
    </w:p>
    <w:p>
      <w:pPr>
        <w:pStyle w:val="BodyText"/>
      </w:pPr>
      <w:r>
        <w:t xml:space="preserve">12.00</w:t>
      </w:r>
    </w:p>
    <w:p>
      <w:pPr>
        <w:pStyle w:val="BodyText"/>
      </w:pPr>
      <w:r>
        <w:t xml:space="preserve">6.50</w:t>
      </w:r>
    </w:p>
    <w:p>
      <w:pPr>
        <w:pStyle w:val="BodyText"/>
      </w:pPr>
      <w:r>
        <w:t xml:space="preserve">8.60</w:t>
      </w:r>
    </w:p>
    <w:p>
      <w:pPr>
        <w:pStyle w:val="BodyText"/>
      </w:pPr>
      <w:r>
        <w:t xml:space="preserve">10.50</w:t>
      </w:r>
    </w:p>
    <w:p>
      <w:pPr>
        <w:pStyle w:val="BodyText"/>
      </w:pPr>
      <w:r>
        <w:t xml:space="preserve">6.70</w:t>
      </w:r>
    </w:p>
    <w:p>
      <w:pPr>
        <w:pStyle w:val="BodyText"/>
      </w:pPr>
      <w:r>
        <w:t xml:space="preserve">12.00</w:t>
      </w:r>
    </w:p>
    <w:p>
      <w:pPr>
        <w:pStyle w:val="BodyText"/>
      </w:pPr>
      <w:r>
        <w:t xml:space="preserve">5.60</w:t>
      </w:r>
    </w:p>
    <w:p>
      <w:pPr>
        <w:pStyle w:val="BodyText"/>
      </w:pPr>
      <w:r>
        <w:t xml:space="preserve">7.70</w:t>
      </w:r>
    </w:p>
    <w:p>
      <w:pPr>
        <w:pStyle w:val="BodyText"/>
      </w:pPr>
      <w:r>
        <w:t xml:space="preserve">9.30</w:t>
      </w:r>
    </w:p>
    <w:p>
      <w:pPr>
        <w:pStyle w:val="BodyText"/>
      </w:pPr>
      <w:r>
        <w:t xml:space="preserve">6.50</w:t>
      </w:r>
    </w:p>
    <w:p>
      <w:pPr>
        <w:pStyle w:val="BodyText"/>
      </w:pPr>
      <w:r>
        <w:t xml:space="preserve">8.60</w:t>
      </w:r>
    </w:p>
    <w:p>
      <w:pPr>
        <w:pStyle w:val="BodyText"/>
      </w:pPr>
      <w:r>
        <w:t xml:space="preserve">10.50</w:t>
      </w:r>
    </w:p>
    <w:p>
      <w:pPr>
        <w:pStyle w:val="BodyText"/>
      </w:pPr>
      <w:r>
        <w:t xml:space="preserve">6.70</w:t>
      </w:r>
    </w:p>
    <w:p>
      <w:pPr>
        <w:pStyle w:val="BodyText"/>
      </w:pPr>
      <w:r>
        <w:t xml:space="preserve">12.00</w:t>
      </w:r>
    </w:p>
    <w:p>
      <w:pPr>
        <w:pStyle w:val="BodyText"/>
      </w:pPr>
      <w:r>
        <w:t xml:space="preserve">5.90</w:t>
      </w:r>
    </w:p>
    <w:p>
      <w:pPr>
        <w:pStyle w:val="BodyText"/>
      </w:pPr>
      <w:r>
        <w:t xml:space="preserve">7.70</w:t>
      </w:r>
    </w:p>
    <w:p>
      <w:pPr>
        <w:pStyle w:val="BodyText"/>
      </w:pPr>
      <w:r>
        <w:t xml:space="preserve">9.30</w:t>
      </w:r>
    </w:p>
    <w:p>
      <w:pPr>
        <w:pStyle w:val="BodyText"/>
      </w:pPr>
      <w:r>
        <w:t xml:space="preserve">6.50</w:t>
      </w:r>
    </w:p>
    <w:p>
      <w:pPr>
        <w:pStyle w:val="BodyText"/>
      </w:pPr>
      <w:r>
        <w:t xml:space="preserve">8.60</w:t>
      </w:r>
    </w:p>
    <w:p>
      <w:pPr>
        <w:pStyle w:val="BodyText"/>
      </w:pPr>
      <w:r>
        <w:t xml:space="preserve">10.50</w:t>
      </w:r>
    </w:p>
    <w:p>
      <w:pPr>
        <w:pStyle w:val="BodyText"/>
      </w:pPr>
      <w:r>
        <w:t xml:space="preserve">7.00</w:t>
      </w:r>
    </w:p>
    <w:p>
      <w:pPr>
        <w:pStyle w:val="BodyText"/>
      </w:pPr>
      <w:r>
        <w:t xml:space="preserve">12.00</w:t>
      </w:r>
    </w:p>
    <w:p>
      <w:pPr>
        <w:pStyle w:val="BodyText"/>
      </w:pPr>
      <w:r>
        <w:t xml:space="preserve">5.90</w:t>
      </w:r>
    </w:p>
    <w:p>
      <w:pPr>
        <w:pStyle w:val="BodyText"/>
      </w:pPr>
      <w:r>
        <w:t xml:space="preserve">7.70</w:t>
      </w:r>
    </w:p>
    <w:p>
      <w:pPr>
        <w:pStyle w:val="BodyText"/>
      </w:pPr>
      <w:r>
        <w:t xml:space="preserve">10.30</w:t>
      </w:r>
    </w:p>
    <w:p>
      <w:pPr>
        <w:pStyle w:val="BodyText"/>
      </w:pPr>
      <w:r>
        <w:rPr>
          <w:rFonts w:hint="eastAsia"/>
        </w:rPr>
        <w:t xml:space="preserve">業務單位</w:t>
      </w:r>
    </w:p>
    <w:p>
      <w:pPr>
        <w:pStyle w:val="BodyText"/>
      </w:pPr>
      <w:r>
        <w:rPr>
          <w:rFonts w:hint="eastAsia"/>
        </w:rPr>
        <w:t xml:space="preserve">AIA澳洲</w:t>
      </w:r>
    </w:p>
    <w:p>
      <w:pPr>
        <w:pStyle w:val="BodyText"/>
      </w:pPr>
      <w:r>
        <w:t xml:space="preserve">• </w:t>
      </w:r>
      <w:r>
        <w:rPr>
          <w:rFonts w:hint="eastAsia"/>
        </w:rPr>
        <w:t xml:space="preserve">澳洲</w:t>
      </w:r>
    </w:p>
    <w:p>
      <w:pPr>
        <w:pStyle w:val="BodyText"/>
      </w:pPr>
      <w:r>
        <w:t xml:space="preserve">• </w:t>
      </w:r>
      <w:r>
        <w:rPr>
          <w:rFonts w:hint="eastAsia"/>
        </w:rPr>
        <w:t xml:space="preserve">新西蘭</w:t>
      </w:r>
    </w:p>
    <w:p>
      <w:pPr>
        <w:pStyle w:val="BodyText"/>
      </w:pPr>
      <w:r>
        <w:rPr>
          <w:rFonts w:hint="eastAsia"/>
        </w:rPr>
        <w:t xml:space="preserve">AIA中國</w:t>
      </w:r>
    </w:p>
    <w:p>
      <w:pPr>
        <w:pStyle w:val="BodyText"/>
      </w:pPr>
      <w:r>
        <w:rPr>
          <w:rFonts w:hint="eastAsia"/>
        </w:rPr>
        <w:t xml:space="preserve">AIA香港(1)</w:t>
      </w:r>
    </w:p>
    <w:p>
      <w:pPr>
        <w:pStyle w:val="BodyText"/>
      </w:pPr>
      <w:r>
        <w:rPr>
          <w:rFonts w:hint="eastAsia"/>
        </w:rPr>
        <w:t xml:space="preserve">AIA印尼</w:t>
      </w:r>
    </w:p>
    <w:p>
      <w:pPr>
        <w:pStyle w:val="BodyText"/>
      </w:pPr>
      <w:r>
        <w:rPr>
          <w:rFonts w:hint="eastAsia"/>
        </w:rPr>
        <w:t xml:space="preserve">AIA韓國</w:t>
      </w:r>
    </w:p>
    <w:p>
      <w:pPr>
        <w:pStyle w:val="BodyText"/>
      </w:pPr>
      <w:r>
        <w:rPr>
          <w:rFonts w:hint="eastAsia"/>
        </w:rPr>
        <w:t xml:space="preserve">AIA馬來西亞</w:t>
      </w:r>
    </w:p>
    <w:p>
      <w:pPr>
        <w:pStyle w:val="BodyText"/>
      </w:pPr>
      <w:r>
        <w:rPr>
          <w:rFonts w:hint="eastAsia"/>
        </w:rPr>
        <w:t xml:space="preserve">AIA菲律賓</w:t>
      </w:r>
    </w:p>
    <w:p>
      <w:pPr>
        <w:pStyle w:val="BodyText"/>
      </w:pPr>
      <w:r>
        <w:rPr>
          <w:rFonts w:hint="eastAsia"/>
        </w:rPr>
        <w:t xml:space="preserve">AIA新加坡</w:t>
      </w:r>
    </w:p>
    <w:p>
      <w:pPr>
        <w:pStyle w:val="BodyText"/>
      </w:pPr>
      <w:r>
        <w:rPr>
          <w:rFonts w:hint="eastAsia"/>
        </w:rPr>
        <w:t xml:space="preserve">AIA斯里蘭卡</w:t>
      </w:r>
    </w:p>
    <w:p>
      <w:pPr>
        <w:pStyle w:val="BodyText"/>
      </w:pPr>
      <w:r>
        <w:rPr>
          <w:rFonts w:hint="eastAsia"/>
        </w:rPr>
        <w:t xml:space="preserve">AIA台灣</w:t>
      </w:r>
    </w:p>
    <w:p>
      <w:pPr>
        <w:pStyle w:val="BodyText"/>
      </w:pPr>
      <w:r>
        <w:rPr>
          <w:rFonts w:hint="eastAsia"/>
        </w:rPr>
        <w:t xml:space="preserve">AIA泰國</w:t>
      </w:r>
    </w:p>
    <w:p>
      <w:pPr>
        <w:pStyle w:val="BodyText"/>
      </w:pPr>
      <w:r>
        <w:rPr>
          <w:rFonts w:hint="eastAsia"/>
        </w:rPr>
        <w:t xml:space="preserve">AIA越南</w:t>
      </w:r>
    </w:p>
    <w:p>
      <w:pPr>
        <w:pStyle w:val="BodyText"/>
      </w:pPr>
      <w:r>
        <w:rPr>
          <w:rFonts w:hint="eastAsia"/>
        </w:rPr>
        <w:t xml:space="preserve">附註：</w:t>
      </w:r>
    </w:p>
    <w:p>
      <w:pPr>
        <w:pStyle w:val="Compact"/>
        <w:numPr>
          <w:ilvl w:val="0"/>
          <w:numId w:val="1732"/>
        </w:numPr>
      </w:pPr>
      <w:r>
        <w:rPr>
          <w:rFonts w:hint="eastAsia"/>
        </w:rPr>
        <w:t xml:space="preserve">AIA香港的大部分資產及負債均以美元計值。上述10年期政府債券假設為美元計值債券。</w:t>
      </w:r>
    </w:p>
    <w:p>
      <w:pPr>
        <w:pStyle w:val="FirstParagraph"/>
      </w:pPr>
      <w:r>
        <w:t xml:space="preserve">289</w:t>
      </w:r>
    </w:p>
    <w:p>
      <w:pPr>
        <w:pStyle w:val="BodyText"/>
      </w:pPr>
      <w:r>
        <w:rPr>
          <w:rFonts w:hint="eastAsia"/>
        </w:rPr>
        <w:t xml:space="preserve">概覽財務及營運回顧企業管治其他資料財務報表2020年報</w:t>
      </w:r>
    </w:p>
    <w:p>
      <w:pPr>
        <w:pStyle w:val="Compact"/>
        <w:numPr>
          <w:ilvl w:val="0"/>
          <w:numId w:val="1733"/>
        </w:numPr>
      </w:pPr>
      <w:r>
        <w:rPr>
          <w:rFonts w:hint="eastAsia"/>
        </w:rPr>
        <w:t xml:space="preserve">假設（續）</w:t>
      </w:r>
    </w:p>
    <w:p>
      <w:pPr>
        <w:pStyle w:val="FirstParagraph"/>
      </w:pPr>
      <w:r>
        <w:t xml:space="preserve">5.3 </w:t>
      </w:r>
      <w:r>
        <w:rPr>
          <w:rFonts w:hint="eastAsia"/>
        </w:rPr>
        <w:t xml:space="preserve">續保率</w:t>
      </w:r>
    </w:p>
    <w:p>
      <w:pPr>
        <w:pStyle w:val="BodyText"/>
      </w:pPr>
      <w:r>
        <w:rPr>
          <w:rFonts w:hint="eastAsia"/>
        </w:rPr>
        <w:t xml:space="preserve">續保率涉及（視適用情況而定）保單失效（包括退保）、保費續繳率、保費假期、部分提取及對退休金產品的退休率的所需假</w:t>
      </w:r>
    </w:p>
    <w:p>
      <w:pPr>
        <w:pStyle w:val="BodyText"/>
      </w:pPr>
      <w:r>
        <w:rPr>
          <w:rFonts w:hint="eastAsia"/>
        </w:rPr>
        <w:t xml:space="preserve">設。</w:t>
      </w:r>
    </w:p>
    <w:p>
      <w:pPr>
        <w:pStyle w:val="BodyText"/>
      </w:pPr>
      <w:r>
        <w:rPr>
          <w:rFonts w:hint="eastAsia"/>
        </w:rPr>
        <w:t xml:space="preserve">各業務單位經已根據近期歷史經驗及預計未來經驗而制定出有關假設。續保率假設視乎保單年期及產品種類（期繳及整付保</w:t>
      </w:r>
    </w:p>
    <w:p>
      <w:pPr>
        <w:pStyle w:val="BodyText"/>
      </w:pPr>
      <w:r>
        <w:rPr>
          <w:rFonts w:hint="eastAsia"/>
        </w:rPr>
        <w:t xml:space="preserve">費產品的續保率各有不同）而有所不同。</w:t>
      </w:r>
    </w:p>
    <w:p>
      <w:pPr>
        <w:pStyle w:val="BodyText"/>
      </w:pPr>
      <w:r>
        <w:rPr>
          <w:rFonts w:hint="eastAsia"/>
        </w:rPr>
        <w:t xml:space="preserve">當對某類產品經驗的可靠程度並不足以進行任何有意義的分析時，將用對類似產品的經驗作為未來續保率經驗假設的基準。</w:t>
      </w:r>
    </w:p>
    <w:p>
      <w:pPr>
        <w:pStyle w:val="BodyText"/>
      </w:pPr>
      <w:r>
        <w:rPr>
          <w:rFonts w:hint="eastAsia"/>
        </w:rPr>
        <w:t xml:space="preserve">對於退保情況，估值時會假設目前的退保價值基礎日後仍繼續適用。</w:t>
      </w:r>
    </w:p>
    <w:p>
      <w:pPr>
        <w:pStyle w:val="BodyText"/>
      </w:pPr>
      <w:r>
        <w:t xml:space="preserve">5.4 </w:t>
      </w:r>
      <w:r>
        <w:rPr>
          <w:rFonts w:hint="eastAsia"/>
        </w:rPr>
        <w:t xml:space="preserve">開支</w:t>
      </w:r>
    </w:p>
    <w:p>
      <w:pPr>
        <w:pStyle w:val="BodyText"/>
      </w:pPr>
      <w:r>
        <w:rPr>
          <w:rFonts w:hint="eastAsia"/>
        </w:rPr>
        <w:t xml:space="preserve">開支假設乃基於最近期的開支分析而設定。開支分析旨在首先於承保與維持活動之間分配總開支，然後將該等承保及維持開</w:t>
      </w:r>
    </w:p>
    <w:p>
      <w:pPr>
        <w:pStyle w:val="BodyText"/>
      </w:pPr>
      <w:r>
        <w:rPr>
          <w:rFonts w:hint="eastAsia"/>
        </w:rPr>
        <w:t xml:space="preserve">支分配至不同產品類別以計算出單位成本假設。</w:t>
      </w:r>
    </w:p>
    <w:p>
      <w:pPr>
        <w:pStyle w:val="BodyText"/>
      </w:pPr>
      <w:r>
        <w:rPr>
          <w:rFonts w:hint="eastAsia"/>
        </w:rPr>
        <w:t xml:space="preserve">當與若干活動相關的開支被視為一次性時，開支分析中將不計算該等開支。</w:t>
      </w:r>
    </w:p>
    <w:p>
      <w:pPr>
        <w:pStyle w:val="BodyText"/>
      </w:pPr>
      <w:r>
        <w:rPr>
          <w:rFonts w:hint="eastAsia"/>
        </w:rPr>
        <w:t xml:space="preserve">開支假設乃就承保及維持活動而釐定並分配至各產品種類，而單位成本按保費、按投保金額的百分比及按每張保單一個金額</w:t>
      </w:r>
    </w:p>
    <w:p>
      <w:pPr>
        <w:pStyle w:val="BodyText"/>
      </w:pPr>
      <w:r>
        <w:rPr>
          <w:rFonts w:hint="eastAsia"/>
        </w:rPr>
        <w:t xml:space="preserve">列示。在適用情況下，開支假設乃就各分銷渠道計算。</w:t>
      </w:r>
    </w:p>
    <w:p>
      <w:pPr>
        <w:pStyle w:val="BodyText"/>
      </w:pPr>
      <w:r>
        <w:rPr>
          <w:rFonts w:hint="eastAsia"/>
        </w:rPr>
        <w:t xml:space="preserve">開支假設並無計及因針對改善保單管理及賠款處理效率的任何策略性措施而節省的任何預計未來開支。</w:t>
      </w:r>
    </w:p>
    <w:p>
      <w:pPr>
        <w:pStyle w:val="BodyText"/>
      </w:pPr>
      <w:r>
        <w:rPr>
          <w:rFonts w:hint="eastAsia"/>
        </w:rPr>
        <w:t xml:space="preserve">佣金率及其他銷售相關付款的假設根據實際經驗設定。</w:t>
      </w:r>
    </w:p>
    <w:p>
      <w:pPr>
        <w:pStyle w:val="BodyText"/>
      </w:pPr>
      <w:r>
        <w:rPr>
          <w:rFonts w:hint="eastAsia"/>
        </w:rPr>
        <w:t xml:space="preserve">集團總部開支</w:t>
      </w:r>
    </w:p>
    <w:p>
      <w:pPr>
        <w:pStyle w:val="BodyText"/>
      </w:pPr>
      <w:r>
        <w:rPr>
          <w:rFonts w:hint="eastAsia"/>
        </w:rPr>
        <w:t xml:space="preserve">集團總部開支假設（扣除非營運開支後）乃基於截至2020年12月31日止年度的實際承保開支及維持開支而設定。集團總部承</w:t>
      </w:r>
    </w:p>
    <w:p>
      <w:pPr>
        <w:pStyle w:val="BodyText"/>
      </w:pPr>
      <w:r>
        <w:rPr>
          <w:rFonts w:hint="eastAsia"/>
        </w:rPr>
        <w:t xml:space="preserve">保開支已從新業務價值中扣除。預期的未來集團總部維持開支的現值已從本集團內涵價值中扣除。新業務價值中的維持開支</w:t>
      </w:r>
    </w:p>
    <w:p>
      <w:pPr>
        <w:pStyle w:val="BodyText"/>
      </w:pPr>
      <w:r>
        <w:rPr>
          <w:rFonts w:hint="eastAsia"/>
        </w:rPr>
        <w:t xml:space="preserve">假設亦計及集團總部開支的分配。</w:t>
      </w:r>
    </w:p>
    <w:p>
      <w:pPr>
        <w:pStyle w:val="BodyText"/>
      </w:pPr>
      <w:r>
        <w:t xml:space="preserve">290</w:t>
      </w:r>
    </w:p>
    <w:p>
      <w:pPr>
        <w:pStyle w:val="BodyText"/>
      </w:pPr>
      <w:r>
        <w:rPr>
          <w:rFonts w:hint="eastAsia"/>
        </w:rPr>
        <w:t xml:space="preserve">友邦保險控股有限公司</w:t>
      </w:r>
    </w:p>
    <w:p>
      <w:pPr>
        <w:pStyle w:val="Compact"/>
        <w:numPr>
          <w:ilvl w:val="0"/>
          <w:numId w:val="1734"/>
        </w:numPr>
      </w:pPr>
      <w:r>
        <w:rPr>
          <w:rFonts w:hint="eastAsia"/>
        </w:rPr>
        <w:t xml:space="preserve">假設（續）</w:t>
      </w:r>
    </w:p>
    <w:p>
      <w:pPr>
        <w:pStyle w:val="FirstParagraph"/>
      </w:pPr>
      <w:r>
        <w:t xml:space="preserve">5.5 </w:t>
      </w:r>
      <w:r>
        <w:rPr>
          <w:rFonts w:hint="eastAsia"/>
        </w:rPr>
        <w:t xml:space="preserve">開支通脹</w:t>
      </w:r>
    </w:p>
    <w:p>
      <w:pPr>
        <w:pStyle w:val="BodyText"/>
      </w:pPr>
      <w:r>
        <w:rPr>
          <w:rFonts w:hint="eastAsia"/>
        </w:rPr>
        <w:t xml:space="preserve">業務單位使用的預期長期開支通脹率列於下表：</w:t>
      </w:r>
    </w:p>
    <w:p>
      <w:pPr>
        <w:pStyle w:val="BodyText"/>
      </w:pPr>
      <w:r>
        <w:rPr>
          <w:rFonts w:hint="eastAsia"/>
        </w:rPr>
        <w:t xml:space="preserve">按業務單位劃分的開支通脹假設(%)</w:t>
      </w:r>
    </w:p>
    <w:p>
      <w:pPr>
        <w:pStyle w:val="BodyText"/>
      </w:pPr>
      <w:r>
        <w:rPr>
          <w:rFonts w:hint="eastAsia"/>
        </w:rPr>
        <w:t xml:space="preserve">業務單位</w:t>
      </w:r>
    </w:p>
    <w:p>
      <w:pPr>
        <w:pStyle w:val="BodyText"/>
      </w:pPr>
      <w:r>
        <w:rPr>
          <w:rFonts w:hint="eastAsia"/>
        </w:rPr>
        <w:t xml:space="preserve">AIA澳洲</w:t>
      </w:r>
    </w:p>
    <w:p>
      <w:pPr>
        <w:pStyle w:val="BodyText"/>
      </w:pPr>
      <w:r>
        <w:t xml:space="preserve">• </w:t>
      </w:r>
      <w:r>
        <w:rPr>
          <w:rFonts w:hint="eastAsia"/>
        </w:rPr>
        <w:t xml:space="preserve">澳洲</w:t>
      </w:r>
    </w:p>
    <w:p>
      <w:pPr>
        <w:pStyle w:val="BodyText"/>
      </w:pPr>
      <w:r>
        <w:t xml:space="preserve">• </w:t>
      </w:r>
      <w:r>
        <w:rPr>
          <w:rFonts w:hint="eastAsia"/>
        </w:rPr>
        <w:t xml:space="preserve">新西蘭</w:t>
      </w:r>
    </w:p>
    <w:p>
      <w:pPr>
        <w:pStyle w:val="BodyText"/>
      </w:pPr>
      <w:r>
        <w:rPr>
          <w:rFonts w:hint="eastAsia"/>
        </w:rPr>
        <w:t xml:space="preserve">AIA中國</w:t>
      </w:r>
    </w:p>
    <w:p>
      <w:pPr>
        <w:pStyle w:val="BodyText"/>
      </w:pPr>
      <w:r>
        <w:rPr>
          <w:rFonts w:hint="eastAsia"/>
        </w:rPr>
        <w:t xml:space="preserve">AIA香港</w:t>
      </w:r>
    </w:p>
    <w:p>
      <w:pPr>
        <w:pStyle w:val="BodyText"/>
      </w:pPr>
      <w:r>
        <w:rPr>
          <w:rFonts w:hint="eastAsia"/>
        </w:rPr>
        <w:t xml:space="preserve">AIA印尼</w:t>
      </w:r>
    </w:p>
    <w:p>
      <w:pPr>
        <w:pStyle w:val="BodyText"/>
      </w:pPr>
      <w:r>
        <w:rPr>
          <w:rFonts w:hint="eastAsia"/>
        </w:rPr>
        <w:t xml:space="preserve">AIA韓國</w:t>
      </w:r>
    </w:p>
    <w:p>
      <w:pPr>
        <w:pStyle w:val="BodyText"/>
      </w:pPr>
      <w:r>
        <w:rPr>
          <w:rFonts w:hint="eastAsia"/>
        </w:rPr>
        <w:t xml:space="preserve">AIA馬來西亞</w:t>
      </w:r>
    </w:p>
    <w:p>
      <w:pPr>
        <w:pStyle w:val="BodyText"/>
      </w:pPr>
      <w:r>
        <w:rPr>
          <w:rFonts w:hint="eastAsia"/>
        </w:rPr>
        <w:t xml:space="preserve">AIA菲律賓</w:t>
      </w:r>
    </w:p>
    <w:p>
      <w:pPr>
        <w:pStyle w:val="BodyText"/>
      </w:pPr>
      <w:r>
        <w:rPr>
          <w:rFonts w:hint="eastAsia"/>
        </w:rPr>
        <w:t xml:space="preserve">AIA新加坡</w:t>
      </w:r>
    </w:p>
    <w:p>
      <w:pPr>
        <w:pStyle w:val="BodyText"/>
      </w:pPr>
      <w:r>
        <w:rPr>
          <w:rFonts w:hint="eastAsia"/>
        </w:rPr>
        <w:t xml:space="preserve">AIA斯里蘭卡</w:t>
      </w:r>
    </w:p>
    <w:p>
      <w:pPr>
        <w:pStyle w:val="BodyText"/>
      </w:pPr>
      <w:r>
        <w:rPr>
          <w:rFonts w:hint="eastAsia"/>
        </w:rPr>
        <w:t xml:space="preserve">AIA台灣</w:t>
      </w:r>
    </w:p>
    <w:p>
      <w:pPr>
        <w:pStyle w:val="BodyText"/>
      </w:pPr>
      <w:r>
        <w:rPr>
          <w:rFonts w:hint="eastAsia"/>
        </w:rPr>
        <w:t xml:space="preserve">AIA泰國</w:t>
      </w:r>
    </w:p>
    <w:p>
      <w:pPr>
        <w:pStyle w:val="BodyText"/>
      </w:pPr>
      <w:r>
        <w:rPr>
          <w:rFonts w:hint="eastAsia"/>
        </w:rPr>
        <w:t xml:space="preserve">AIA越南</w:t>
      </w:r>
    </w:p>
    <w:p>
      <w:pPr>
        <w:pStyle w:val="BodyText"/>
      </w:pPr>
      <w:r>
        <w:t xml:space="preserve">Tata AIA Life(1)</w:t>
      </w:r>
    </w:p>
    <w:p>
      <w:pPr>
        <w:pStyle w:val="BodyText"/>
      </w:pPr>
      <w:r>
        <w:rPr>
          <w:rFonts w:hint="eastAsia"/>
        </w:rPr>
        <w:t xml:space="preserve">附註：</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2.05</w:t>
      </w:r>
    </w:p>
    <w:p>
      <w:pPr>
        <w:pStyle w:val="BodyText"/>
      </w:pPr>
      <w:r>
        <w:t xml:space="preserve">2.00</w:t>
      </w:r>
    </w:p>
    <w:p>
      <w:pPr>
        <w:pStyle w:val="BodyText"/>
      </w:pPr>
      <w:r>
        <w:t xml:space="preserve">2.00</w:t>
      </w:r>
    </w:p>
    <w:p>
      <w:pPr>
        <w:pStyle w:val="BodyText"/>
      </w:pPr>
      <w:r>
        <w:t xml:space="preserve">2.00</w:t>
      </w:r>
    </w:p>
    <w:p>
      <w:pPr>
        <w:pStyle w:val="BodyText"/>
      </w:pPr>
      <w:r>
        <w:t xml:space="preserve">3.50</w:t>
      </w:r>
    </w:p>
    <w:p>
      <w:pPr>
        <w:pStyle w:val="BodyText"/>
      </w:pPr>
      <w:r>
        <w:t xml:space="preserve">3.50</w:t>
      </w:r>
    </w:p>
    <w:p>
      <w:pPr>
        <w:pStyle w:val="BodyText"/>
      </w:pPr>
      <w:r>
        <w:t xml:space="preserve">3.00</w:t>
      </w:r>
    </w:p>
    <w:p>
      <w:pPr>
        <w:pStyle w:val="BodyText"/>
      </w:pPr>
      <w:r>
        <w:t xml:space="preserve">3.50</w:t>
      </w:r>
    </w:p>
    <w:p>
      <w:pPr>
        <w:pStyle w:val="BodyText"/>
      </w:pPr>
      <w:r>
        <w:t xml:space="preserve">2.00</w:t>
      </w:r>
    </w:p>
    <w:p>
      <w:pPr>
        <w:pStyle w:val="BodyText"/>
      </w:pPr>
      <w:r>
        <w:t xml:space="preserve">6.50</w:t>
      </w:r>
    </w:p>
    <w:p>
      <w:pPr>
        <w:pStyle w:val="BodyText"/>
      </w:pPr>
      <w:r>
        <w:t xml:space="preserve">1.20</w:t>
      </w:r>
    </w:p>
    <w:p>
      <w:pPr>
        <w:pStyle w:val="BodyText"/>
      </w:pPr>
      <w:r>
        <w:t xml:space="preserve">2.00</w:t>
      </w:r>
    </w:p>
    <w:p>
      <w:pPr>
        <w:pStyle w:val="BodyText"/>
      </w:pPr>
      <w:r>
        <w:t xml:space="preserve">4.00</w:t>
      </w:r>
    </w:p>
    <w:p>
      <w:pPr>
        <w:pStyle w:val="BodyText"/>
      </w:pPr>
      <w:r>
        <w:t xml:space="preserve">5.60</w:t>
      </w:r>
    </w:p>
    <w:p>
      <w:pPr>
        <w:pStyle w:val="BodyText"/>
      </w:pPr>
      <w:r>
        <w:t xml:space="preserve">2.05</w:t>
      </w:r>
    </w:p>
    <w:p>
      <w:pPr>
        <w:pStyle w:val="BodyText"/>
      </w:pPr>
      <w:r>
        <w:t xml:space="preserve">2.00</w:t>
      </w:r>
    </w:p>
    <w:p>
      <w:pPr>
        <w:pStyle w:val="BodyText"/>
      </w:pPr>
      <w:r>
        <w:t xml:space="preserve">2.00</w:t>
      </w:r>
    </w:p>
    <w:p>
      <w:pPr>
        <w:pStyle w:val="BodyText"/>
      </w:pPr>
      <w:r>
        <w:t xml:space="preserve">2.00</w:t>
      </w:r>
    </w:p>
    <w:p>
      <w:pPr>
        <w:pStyle w:val="BodyText"/>
      </w:pPr>
      <w:r>
        <w:t xml:space="preserve">3.50</w:t>
      </w:r>
    </w:p>
    <w:p>
      <w:pPr>
        <w:pStyle w:val="BodyText"/>
      </w:pPr>
      <w:r>
        <w:t xml:space="preserve">3.50</w:t>
      </w:r>
    </w:p>
    <w:p>
      <w:pPr>
        <w:pStyle w:val="BodyText"/>
      </w:pPr>
      <w:r>
        <w:t xml:space="preserve">3.00</w:t>
      </w:r>
    </w:p>
    <w:p>
      <w:pPr>
        <w:pStyle w:val="BodyText"/>
      </w:pPr>
      <w:r>
        <w:t xml:space="preserve">3.50</w:t>
      </w:r>
    </w:p>
    <w:p>
      <w:pPr>
        <w:pStyle w:val="BodyText"/>
      </w:pPr>
      <w:r>
        <w:t xml:space="preserve">2.00</w:t>
      </w:r>
    </w:p>
    <w:p>
      <w:pPr>
        <w:pStyle w:val="BodyText"/>
      </w:pPr>
      <w:r>
        <w:t xml:space="preserve">6.50</w:t>
      </w:r>
    </w:p>
    <w:p>
      <w:pPr>
        <w:pStyle w:val="BodyText"/>
      </w:pPr>
      <w:r>
        <w:t xml:space="preserve">1.20</w:t>
      </w:r>
    </w:p>
    <w:p>
      <w:pPr>
        <w:pStyle w:val="BodyText"/>
      </w:pPr>
      <w:r>
        <w:t xml:space="preserve">2.00</w:t>
      </w:r>
    </w:p>
    <w:p>
      <w:pPr>
        <w:pStyle w:val="BodyText"/>
      </w:pPr>
      <w:r>
        <w:t xml:space="preserve">4.00</w:t>
      </w:r>
    </w:p>
    <w:p>
      <w:pPr>
        <w:pStyle w:val="BodyText"/>
      </w:pPr>
      <w:r>
        <w:t xml:space="preserve">7.25</w:t>
      </w:r>
    </w:p>
    <w:p>
      <w:pPr>
        <w:pStyle w:val="Compact"/>
        <w:numPr>
          <w:ilvl w:val="0"/>
          <w:numId w:val="1735"/>
        </w:numPr>
      </w:pPr>
      <w:r>
        <w:rPr>
          <w:rFonts w:hint="eastAsia"/>
        </w:rPr>
        <w:t xml:space="preserve">就Tata</w:t>
      </w:r>
      <w:r>
        <w:t xml:space="preserve"> AIA </w:t>
      </w:r>
      <w:r>
        <w:rPr>
          <w:rFonts w:hint="eastAsia"/>
        </w:rPr>
        <w:t xml:space="preserve">Life而言，根據印度精算師協會頒佈的精算實踐標準第10號所界定的印度內涵價值方法，通脹假設是通過將利差應用於參考利率而得</w:t>
      </w:r>
    </w:p>
    <w:p>
      <w:pPr>
        <w:pStyle w:val="FirstParagraph"/>
      </w:pPr>
      <w:r>
        <w:rPr>
          <w:rFonts w:hint="eastAsia"/>
        </w:rPr>
        <w:t xml:space="preserve">出。</w:t>
      </w:r>
    </w:p>
    <w:p>
      <w:pPr>
        <w:pStyle w:val="BodyText"/>
      </w:pPr>
      <w:r>
        <w:rPr>
          <w:rFonts w:hint="eastAsia"/>
        </w:rPr>
        <w:t xml:space="preserve">未分配集團總部開支乃假設按各業務單位的開支通脹率的加權平均數而增加。</w:t>
      </w:r>
    </w:p>
    <w:p>
      <w:pPr>
        <w:pStyle w:val="BodyText"/>
      </w:pPr>
      <w:r>
        <w:t xml:space="preserve">291</w:t>
      </w:r>
    </w:p>
    <w:p>
      <w:pPr>
        <w:pStyle w:val="BodyText"/>
      </w:pPr>
      <w:r>
        <w:rPr>
          <w:rFonts w:hint="eastAsia"/>
        </w:rPr>
        <w:t xml:space="preserve">概覽財務及營運回顧企業管治其他資料財務報表2020年報</w:t>
      </w:r>
    </w:p>
    <w:p>
      <w:pPr>
        <w:pStyle w:val="Compact"/>
        <w:numPr>
          <w:ilvl w:val="0"/>
          <w:numId w:val="1736"/>
        </w:numPr>
      </w:pPr>
      <w:r>
        <w:rPr>
          <w:rFonts w:hint="eastAsia"/>
        </w:rPr>
        <w:t xml:space="preserve">假設（續）</w:t>
      </w:r>
    </w:p>
    <w:p>
      <w:pPr>
        <w:pStyle w:val="FirstParagraph"/>
      </w:pPr>
      <w:r>
        <w:t xml:space="preserve">5.6 </w:t>
      </w:r>
      <w:r>
        <w:rPr>
          <w:rFonts w:hint="eastAsia"/>
        </w:rPr>
        <w:t xml:space="preserve">死亡率</w:t>
      </w:r>
    </w:p>
    <w:p>
      <w:pPr>
        <w:pStyle w:val="BodyText"/>
      </w:pPr>
      <w:r>
        <w:rPr>
          <w:rFonts w:hint="eastAsia"/>
        </w:rPr>
        <w:t xml:space="preserve">各業務單位經已根據近期歷史經驗及預計未來經驗而制定出有關假設。當歷史經驗不可信賴時，已參考定價假設，並輔以市</w:t>
      </w:r>
    </w:p>
    <w:p>
      <w:pPr>
        <w:pStyle w:val="BodyText"/>
      </w:pPr>
      <w:r>
        <w:rPr>
          <w:rFonts w:hint="eastAsia"/>
        </w:rPr>
        <w:t xml:space="preserve">場數據（如可取得）。</w:t>
      </w:r>
    </w:p>
    <w:p>
      <w:pPr>
        <w:pStyle w:val="BodyText"/>
      </w:pPr>
      <w:r>
        <w:rPr>
          <w:rFonts w:hint="eastAsia"/>
        </w:rPr>
        <w:t xml:space="preserve">死亡率假設按標準行業經驗列表的百分比，或（當經驗足可信賴時）按本集團內部所設定列表的百分比列示。</w:t>
      </w:r>
    </w:p>
    <w:p>
      <w:pPr>
        <w:pStyle w:val="BodyText"/>
      </w:pPr>
      <w:r>
        <w:rPr>
          <w:rFonts w:hint="eastAsia"/>
        </w:rPr>
        <w:t xml:space="preserve">就涉及長壽風險的年金產品而言，已計及預期未來死亡率改善的因素；其他產品則無計及預期死亡率改善的因素。</w:t>
      </w:r>
    </w:p>
    <w:p>
      <w:pPr>
        <w:pStyle w:val="BodyText"/>
      </w:pPr>
      <w:r>
        <w:t xml:space="preserve">5.7 </w:t>
      </w:r>
      <w:r>
        <w:rPr>
          <w:rFonts w:hint="eastAsia"/>
        </w:rPr>
        <w:t xml:space="preserve">傷病率</w:t>
      </w:r>
    </w:p>
    <w:p>
      <w:pPr>
        <w:pStyle w:val="BodyText"/>
      </w:pPr>
      <w:r>
        <w:rPr>
          <w:rFonts w:hint="eastAsia"/>
        </w:rPr>
        <w:t xml:space="preserve">各業務單位經已根據近期歷史經驗及預計未來經驗而制定出有關假設。傷病率假設按標準行業經驗列表的百分比或預期賠款</w:t>
      </w:r>
    </w:p>
    <w:p>
      <w:pPr>
        <w:pStyle w:val="BodyText"/>
      </w:pPr>
      <w:r>
        <w:rPr>
          <w:rFonts w:hint="eastAsia"/>
        </w:rPr>
        <w:t xml:space="preserve">比率而列示。</w:t>
      </w:r>
    </w:p>
    <w:p>
      <w:pPr>
        <w:pStyle w:val="BodyText"/>
      </w:pPr>
      <w:r>
        <w:t xml:space="preserve">5.8 </w:t>
      </w:r>
      <w:r>
        <w:rPr>
          <w:rFonts w:hint="eastAsia"/>
        </w:rPr>
        <w:t xml:space="preserve">再保險</w:t>
      </w:r>
    </w:p>
    <w:p>
      <w:pPr>
        <w:pStyle w:val="BodyText"/>
      </w:pPr>
      <w:r>
        <w:rPr>
          <w:rFonts w:hint="eastAsia"/>
        </w:rPr>
        <w:t xml:space="preserve">各業務單位已基於估值日期的有效再保安排及近期歷史與預計未來經驗，而設定再保險假設。</w:t>
      </w:r>
    </w:p>
    <w:p>
      <w:pPr>
        <w:pStyle w:val="BodyText"/>
      </w:pPr>
      <w:r>
        <w:t xml:space="preserve">5.9 </w:t>
      </w:r>
      <w:r>
        <w:rPr>
          <w:rFonts w:hint="eastAsia"/>
        </w:rPr>
        <w:t xml:space="preserve">保單持有人紅利、利潤分成及結算利息</w:t>
      </w:r>
    </w:p>
    <w:p>
      <w:pPr>
        <w:pStyle w:val="BodyText"/>
      </w:pPr>
      <w:r>
        <w:rPr>
          <w:rFonts w:hint="eastAsia"/>
        </w:rPr>
        <w:t xml:space="preserve">就各業務單位設定的預期保單持有人紅利、利潤分成及結算利息假設，已用作計算本報告內呈報的內涵價值結果，並反映合</w:t>
      </w:r>
    </w:p>
    <w:p>
      <w:pPr>
        <w:pStyle w:val="BodyText"/>
      </w:pPr>
      <w:r>
        <w:rPr>
          <w:rFonts w:hint="eastAsia"/>
        </w:rPr>
        <w:t xml:space="preserve">約及監管要求、保單持有人的合理預期（如有清晰界定）及各業務單位對未來保單、策略及營運的預期（與內涵價值結果所</w:t>
      </w:r>
    </w:p>
    <w:p>
      <w:pPr>
        <w:pStyle w:val="BodyText"/>
      </w:pPr>
      <w:r>
        <w:rPr>
          <w:rFonts w:hint="eastAsia"/>
        </w:rPr>
        <w:t xml:space="preserve">使用的投資回報假設相符）。</w:t>
      </w:r>
    </w:p>
    <w:p>
      <w:pPr>
        <w:pStyle w:val="BodyText"/>
      </w:pPr>
      <w:r>
        <w:rPr>
          <w:rFonts w:hint="eastAsia"/>
        </w:rPr>
        <w:t xml:space="preserve">據現行假設，任何分紅基金盈餘都將透過未來最終紅利或於預測期末在保單持有人與股東之間分派，使預測期末無剩餘資</w:t>
      </w:r>
    </w:p>
    <w:p>
      <w:pPr>
        <w:pStyle w:val="BodyText"/>
      </w:pPr>
      <w:r>
        <w:rPr>
          <w:rFonts w:hint="eastAsia"/>
        </w:rPr>
        <w:t xml:space="preserve">產。</w:t>
      </w:r>
    </w:p>
    <w:p>
      <w:pPr>
        <w:pStyle w:val="BodyText"/>
      </w:pPr>
      <w:r>
        <w:t xml:space="preserve">292</w:t>
      </w:r>
    </w:p>
    <w:p>
      <w:pPr>
        <w:pStyle w:val="BodyText"/>
      </w:pPr>
      <w:r>
        <w:rPr>
          <w:rFonts w:hint="eastAsia"/>
        </w:rPr>
        <w:t xml:space="preserve">友邦保險控股有限公司</w:t>
      </w:r>
    </w:p>
    <w:p>
      <w:pPr>
        <w:pStyle w:val="Compact"/>
        <w:numPr>
          <w:ilvl w:val="0"/>
          <w:numId w:val="1737"/>
        </w:numPr>
      </w:pPr>
      <w:r>
        <w:rPr>
          <w:rFonts w:hint="eastAsia"/>
        </w:rPr>
        <w:t xml:space="preserve">假設（續）</w:t>
      </w:r>
    </w:p>
    <w:p>
      <w:pPr>
        <w:pStyle w:val="FirstParagraph"/>
      </w:pPr>
      <w:r>
        <w:t xml:space="preserve">5.10 </w:t>
      </w:r>
      <w:r>
        <w:rPr>
          <w:rFonts w:hint="eastAsia"/>
        </w:rPr>
        <w:t xml:space="preserve">稅務</w:t>
      </w:r>
    </w:p>
    <w:p>
      <w:pPr>
        <w:pStyle w:val="BodyText"/>
      </w:pPr>
      <w:r>
        <w:rPr>
          <w:rFonts w:hint="eastAsia"/>
        </w:rPr>
        <w:t xml:space="preserve">本報告內呈列的內涵價值及新業務價值已扣除基於現行稅務法例而釐定的稅項。任何年度內應付的預期企業所得稅已計及來</w:t>
      </w:r>
    </w:p>
    <w:p>
      <w:pPr>
        <w:pStyle w:val="BodyText"/>
      </w:pPr>
      <w:r>
        <w:rPr>
          <w:rFonts w:hint="eastAsia"/>
        </w:rPr>
        <w:t xml:space="preserve">自任何承前結轉的稅務虧損的利益（如適用）。在適用情況下，就投資收入應付的稅項已在預期投資回報中反映。當地業務</w:t>
      </w:r>
    </w:p>
    <w:p>
      <w:pPr>
        <w:pStyle w:val="BodyText"/>
      </w:pPr>
      <w:r>
        <w:rPr>
          <w:rFonts w:hint="eastAsia"/>
        </w:rPr>
        <w:t xml:space="preserve">單位未來匯款的應付任何預扣稅亦於適當經營分部下反映。</w:t>
      </w:r>
    </w:p>
    <w:p>
      <w:pPr>
        <w:pStyle w:val="BodyText"/>
      </w:pPr>
      <w:r>
        <w:rPr>
          <w:rFonts w:hint="eastAsia"/>
        </w:rPr>
        <w:t xml:space="preserve">各業務單位使用的當地企業所得稅率列於下表：</w:t>
      </w:r>
    </w:p>
    <w:p>
      <w:pPr>
        <w:pStyle w:val="BodyText"/>
      </w:pPr>
      <w:r>
        <w:rPr>
          <w:rFonts w:hint="eastAsia"/>
        </w:rPr>
        <w:t xml:space="preserve">按業務單位劃分的當地企業所得稅率(%)</w:t>
      </w:r>
    </w:p>
    <w:p>
      <w:pPr>
        <w:pStyle w:val="BodyText"/>
      </w:pPr>
      <w:r>
        <w:rPr>
          <w:rFonts w:hint="eastAsia"/>
        </w:rPr>
        <w:t xml:space="preserve">業務單位</w:t>
      </w:r>
    </w:p>
    <w:p>
      <w:pPr>
        <w:pStyle w:val="BodyText"/>
      </w:pPr>
      <w:r>
        <w:rPr>
          <w:rFonts w:hint="eastAsia"/>
        </w:rPr>
        <w:t xml:space="preserve">AIA澳洲</w:t>
      </w:r>
    </w:p>
    <w:p>
      <w:pPr>
        <w:pStyle w:val="BodyText"/>
      </w:pPr>
      <w:r>
        <w:t xml:space="preserve">• </w:t>
      </w:r>
      <w:r>
        <w:rPr>
          <w:rFonts w:hint="eastAsia"/>
        </w:rPr>
        <w:t xml:space="preserve">澳洲</w:t>
      </w:r>
    </w:p>
    <w:p>
      <w:pPr>
        <w:pStyle w:val="BodyText"/>
      </w:pPr>
      <w:r>
        <w:t xml:space="preserve">• </w:t>
      </w:r>
      <w:r>
        <w:rPr>
          <w:rFonts w:hint="eastAsia"/>
        </w:rPr>
        <w:t xml:space="preserve">新西蘭</w:t>
      </w:r>
    </w:p>
    <w:p>
      <w:pPr>
        <w:pStyle w:val="BodyText"/>
      </w:pPr>
      <w:r>
        <w:rPr>
          <w:rFonts w:hint="eastAsia"/>
        </w:rPr>
        <w:t xml:space="preserve">AIA中國</w:t>
      </w:r>
    </w:p>
    <w:p>
      <w:pPr>
        <w:pStyle w:val="BodyText"/>
      </w:pPr>
      <w:r>
        <w:rPr>
          <w:rFonts w:hint="eastAsia"/>
        </w:rPr>
        <w:t xml:space="preserve">AIA香港</w:t>
      </w:r>
    </w:p>
    <w:p>
      <w:pPr>
        <w:pStyle w:val="BodyText"/>
      </w:pPr>
      <w:r>
        <w:rPr>
          <w:rFonts w:hint="eastAsia"/>
        </w:rPr>
        <w:t xml:space="preserve">AIA印尼(1)</w:t>
      </w:r>
    </w:p>
    <w:p>
      <w:pPr>
        <w:pStyle w:val="BodyText"/>
      </w:pPr>
      <w:r>
        <w:rPr>
          <w:rFonts w:hint="eastAsia"/>
        </w:rPr>
        <w:t xml:space="preserve">AIA韓國(2)</w:t>
      </w:r>
    </w:p>
    <w:p>
      <w:pPr>
        <w:pStyle w:val="BodyText"/>
      </w:pPr>
      <w:r>
        <w:rPr>
          <w:rFonts w:hint="eastAsia"/>
        </w:rPr>
        <w:t xml:space="preserve">AIA馬來西亞</w:t>
      </w:r>
    </w:p>
    <w:p>
      <w:pPr>
        <w:pStyle w:val="BodyText"/>
      </w:pPr>
      <w:r>
        <w:rPr>
          <w:rFonts w:hint="eastAsia"/>
        </w:rPr>
        <w:t xml:space="preserve">AIA菲律賓</w:t>
      </w:r>
    </w:p>
    <w:p>
      <w:pPr>
        <w:pStyle w:val="BodyText"/>
      </w:pPr>
      <w:r>
        <w:rPr>
          <w:rFonts w:hint="eastAsia"/>
        </w:rPr>
        <w:t xml:space="preserve">AIA新加坡</w:t>
      </w:r>
    </w:p>
    <w:p>
      <w:pPr>
        <w:pStyle w:val="BodyText"/>
      </w:pPr>
      <w:r>
        <w:rPr>
          <w:rFonts w:hint="eastAsia"/>
        </w:rPr>
        <w:t xml:space="preserve">AIA斯里蘭卡</w:t>
      </w:r>
    </w:p>
    <w:p>
      <w:pPr>
        <w:pStyle w:val="BodyText"/>
      </w:pPr>
      <w:r>
        <w:rPr>
          <w:rFonts w:hint="eastAsia"/>
        </w:rPr>
        <w:t xml:space="preserve">AIA台灣</w:t>
      </w:r>
    </w:p>
    <w:p>
      <w:pPr>
        <w:pStyle w:val="BodyText"/>
      </w:pPr>
      <w:r>
        <w:rPr>
          <w:rFonts w:hint="eastAsia"/>
        </w:rPr>
        <w:t xml:space="preserve">AIA泰國</w:t>
      </w:r>
    </w:p>
    <w:p>
      <w:pPr>
        <w:pStyle w:val="BodyText"/>
      </w:pPr>
      <w:r>
        <w:rPr>
          <w:rFonts w:hint="eastAsia"/>
        </w:rPr>
        <w:t xml:space="preserve">AIA越南</w:t>
      </w:r>
    </w:p>
    <w:p>
      <w:pPr>
        <w:pStyle w:val="BodyText"/>
      </w:pPr>
      <w:r>
        <w:t xml:space="preserve">Tata AIA Life</w:t>
      </w:r>
    </w:p>
    <w:p>
      <w:pPr>
        <w:pStyle w:val="BodyText"/>
      </w:pPr>
      <w:r>
        <w:rPr>
          <w:rFonts w:hint="eastAsia"/>
        </w:rPr>
        <w:t xml:space="preserve">附註：</w:t>
      </w:r>
    </w:p>
    <w:p>
      <w:pPr>
        <w:pStyle w:val="BodyText"/>
      </w:pPr>
      <w:r>
        <w:rPr>
          <w:rFonts w:hint="eastAsia"/>
        </w:rPr>
        <w:t xml:space="preserve">於2020年</w:t>
      </w:r>
      <w:r>
        <w:br/>
      </w:r>
      <w:r>
        <w:rPr>
          <w:rFonts w:hint="eastAsia"/>
        </w:rPr>
        <w:t xml:space="preserve">12月31日</w:t>
      </w:r>
    </w:p>
    <w:p>
      <w:pPr>
        <w:pStyle w:val="BodyText"/>
      </w:pPr>
      <w:r>
        <w:rPr>
          <w:rFonts w:hint="eastAsia"/>
        </w:rPr>
        <w:t xml:space="preserve">於2019年</w:t>
      </w:r>
      <w:r>
        <w:br/>
      </w:r>
      <w:r>
        <w:rPr>
          <w:rFonts w:hint="eastAsia"/>
        </w:rPr>
        <w:t xml:space="preserve">12月31日</w:t>
      </w:r>
    </w:p>
    <w:p>
      <w:pPr>
        <w:pStyle w:val="BodyText"/>
      </w:pPr>
      <w:r>
        <w:t xml:space="preserve">30.0</w:t>
      </w:r>
    </w:p>
    <w:p>
      <w:pPr>
        <w:pStyle w:val="BodyText"/>
      </w:pPr>
      <w:r>
        <w:t xml:space="preserve">28.0</w:t>
      </w:r>
    </w:p>
    <w:p>
      <w:pPr>
        <w:pStyle w:val="BodyText"/>
      </w:pPr>
      <w:r>
        <w:t xml:space="preserve">25.0</w:t>
      </w:r>
    </w:p>
    <w:p>
      <w:pPr>
        <w:pStyle w:val="BodyText"/>
      </w:pPr>
      <w:r>
        <w:t xml:space="preserve">16.5</w:t>
      </w:r>
    </w:p>
    <w:p>
      <w:pPr>
        <w:pStyle w:val="BodyText"/>
      </w:pPr>
      <w:r>
        <w:t xml:space="preserve">22.0</w:t>
      </w:r>
    </w:p>
    <w:p>
      <w:pPr>
        <w:pStyle w:val="BodyText"/>
      </w:pPr>
      <w:r>
        <w:t xml:space="preserve">27.5</w:t>
      </w:r>
    </w:p>
    <w:p>
      <w:pPr>
        <w:pStyle w:val="BodyText"/>
      </w:pPr>
      <w:r>
        <w:t xml:space="preserve">24.0</w:t>
      </w:r>
    </w:p>
    <w:p>
      <w:pPr>
        <w:pStyle w:val="BodyText"/>
      </w:pPr>
      <w:r>
        <w:t xml:space="preserve">30.0</w:t>
      </w:r>
    </w:p>
    <w:p>
      <w:pPr>
        <w:pStyle w:val="BodyText"/>
      </w:pPr>
      <w:r>
        <w:t xml:space="preserve">17.0</w:t>
      </w:r>
    </w:p>
    <w:p>
      <w:pPr>
        <w:pStyle w:val="BodyText"/>
      </w:pPr>
      <w:r>
        <w:t xml:space="preserve">28.0</w:t>
      </w:r>
    </w:p>
    <w:p>
      <w:pPr>
        <w:pStyle w:val="BodyText"/>
      </w:pPr>
      <w:r>
        <w:t xml:space="preserve">20.0</w:t>
      </w:r>
    </w:p>
    <w:p>
      <w:pPr>
        <w:pStyle w:val="BodyText"/>
      </w:pPr>
      <w:r>
        <w:t xml:space="preserve">20.0</w:t>
      </w:r>
    </w:p>
    <w:p>
      <w:pPr>
        <w:pStyle w:val="BodyText"/>
      </w:pPr>
      <w:r>
        <w:t xml:space="preserve">20.0</w:t>
      </w:r>
    </w:p>
    <w:p>
      <w:pPr>
        <w:pStyle w:val="BodyText"/>
      </w:pPr>
      <w:r>
        <w:t xml:space="preserve">14.6</w:t>
      </w:r>
    </w:p>
    <w:p>
      <w:pPr>
        <w:pStyle w:val="BodyText"/>
      </w:pPr>
      <w:r>
        <w:t xml:space="preserve">30.0</w:t>
      </w:r>
    </w:p>
    <w:p>
      <w:pPr>
        <w:pStyle w:val="BodyText"/>
      </w:pPr>
      <w:r>
        <w:t xml:space="preserve">28.0</w:t>
      </w:r>
    </w:p>
    <w:p>
      <w:pPr>
        <w:pStyle w:val="BodyText"/>
      </w:pPr>
      <w:r>
        <w:t xml:space="preserve">25.0</w:t>
      </w:r>
    </w:p>
    <w:p>
      <w:pPr>
        <w:pStyle w:val="BodyText"/>
      </w:pPr>
      <w:r>
        <w:t xml:space="preserve">16.5</w:t>
      </w:r>
    </w:p>
    <w:p>
      <w:pPr>
        <w:pStyle w:val="BodyText"/>
      </w:pPr>
      <w:r>
        <w:t xml:space="preserve">25.0</w:t>
      </w:r>
    </w:p>
    <w:p>
      <w:pPr>
        <w:pStyle w:val="BodyText"/>
      </w:pPr>
      <w:r>
        <w:t xml:space="preserve">27.5</w:t>
      </w:r>
    </w:p>
    <w:p>
      <w:pPr>
        <w:pStyle w:val="BodyText"/>
      </w:pPr>
      <w:r>
        <w:t xml:space="preserve">24.0</w:t>
      </w:r>
    </w:p>
    <w:p>
      <w:pPr>
        <w:pStyle w:val="BodyText"/>
      </w:pPr>
      <w:r>
        <w:t xml:space="preserve">30.0</w:t>
      </w:r>
    </w:p>
    <w:p>
      <w:pPr>
        <w:pStyle w:val="BodyText"/>
      </w:pPr>
      <w:r>
        <w:t xml:space="preserve">17.0</w:t>
      </w:r>
    </w:p>
    <w:p>
      <w:pPr>
        <w:pStyle w:val="BodyText"/>
      </w:pPr>
      <w:r>
        <w:t xml:space="preserve">28.0</w:t>
      </w:r>
    </w:p>
    <w:p>
      <w:pPr>
        <w:pStyle w:val="BodyText"/>
      </w:pPr>
      <w:r>
        <w:t xml:space="preserve">20.0</w:t>
      </w:r>
    </w:p>
    <w:p>
      <w:pPr>
        <w:pStyle w:val="BodyText"/>
      </w:pPr>
      <w:r>
        <w:t xml:space="preserve">20.0</w:t>
      </w:r>
    </w:p>
    <w:p>
      <w:pPr>
        <w:pStyle w:val="BodyText"/>
      </w:pPr>
      <w:r>
        <w:t xml:space="preserve">20.0</w:t>
      </w:r>
    </w:p>
    <w:p>
      <w:pPr>
        <w:pStyle w:val="BodyText"/>
      </w:pPr>
      <w:r>
        <w:t xml:space="preserve">14.6</w:t>
      </w:r>
    </w:p>
    <w:p>
      <w:pPr>
        <w:numPr>
          <w:ilvl w:val="0"/>
          <w:numId w:val="1738"/>
        </w:numPr>
      </w:pPr>
      <w:r>
        <w:rPr>
          <w:rFonts w:hint="eastAsia"/>
        </w:rPr>
        <w:t xml:space="preserve">於報告期間內，印尼已頒佈變更企業所得稅率，2020年及2021年財政年度從25%變更為22%，自2022年財政年度起變更為20%。</w:t>
      </w:r>
    </w:p>
    <w:p>
      <w:pPr>
        <w:numPr>
          <w:ilvl w:val="0"/>
          <w:numId w:val="1738"/>
        </w:numPr>
      </w:pPr>
      <w:r>
        <w:rPr>
          <w:rFonts w:hint="eastAsia"/>
        </w:rPr>
        <w:t xml:space="preserve">由2019年至2022年財政年度（根據最新稅務法規由原本2020年延期），AIA韓國的假設企業所得稅為27.5%，此包括累計盈利稅。基於當前法規，</w:t>
      </w:r>
    </w:p>
    <w:p>
      <w:pPr>
        <w:pStyle w:val="FirstParagraph"/>
      </w:pPr>
      <w:r>
        <w:rPr>
          <w:rFonts w:hint="eastAsia"/>
        </w:rPr>
        <w:t xml:space="preserve">企業所得稅率將自2023年財政年度起恢復至24.2%。</w:t>
      </w:r>
    </w:p>
    <w:p>
      <w:pPr>
        <w:pStyle w:val="BodyText"/>
      </w:pPr>
      <w:r>
        <w:t xml:space="preserve">293</w:t>
      </w:r>
    </w:p>
    <w:p>
      <w:pPr>
        <w:pStyle w:val="BodyText"/>
      </w:pPr>
      <w:r>
        <w:rPr>
          <w:rFonts w:hint="eastAsia"/>
        </w:rPr>
        <w:t xml:space="preserve">概覽財務及營運回顧企業管治其他資料財務報表2020年報</w:t>
      </w:r>
    </w:p>
    <w:p>
      <w:pPr>
        <w:pStyle w:val="Compact"/>
        <w:numPr>
          <w:ilvl w:val="0"/>
          <w:numId w:val="1739"/>
        </w:numPr>
      </w:pPr>
      <w:r>
        <w:rPr>
          <w:rFonts w:hint="eastAsia"/>
        </w:rPr>
        <w:t xml:space="preserve">假設（續）</w:t>
      </w:r>
    </w:p>
    <w:p>
      <w:pPr>
        <w:pStyle w:val="FirstParagraph"/>
      </w:pPr>
      <w:r>
        <w:t xml:space="preserve">5.11 </w:t>
      </w:r>
      <w:r>
        <w:rPr>
          <w:rFonts w:hint="eastAsia"/>
        </w:rPr>
        <w:t xml:space="preserve">法定估值基礎</w:t>
      </w:r>
    </w:p>
    <w:p>
      <w:pPr>
        <w:pStyle w:val="BodyText"/>
      </w:pPr>
      <w:r>
        <w:rPr>
          <w:rFonts w:hint="eastAsia"/>
        </w:rPr>
        <w:t xml:space="preserve">預測未來特定時間的受規管負債時，已假設用以對估值日期保單持有人負債作估值的準備金方法將繼續適用。</w:t>
      </w:r>
    </w:p>
    <w:p>
      <w:pPr>
        <w:pStyle w:val="BodyText"/>
      </w:pPr>
      <w:r>
        <w:t xml:space="preserve">5.12 </w:t>
      </w:r>
      <w:r>
        <w:rPr>
          <w:rFonts w:hint="eastAsia"/>
        </w:rPr>
        <w:t xml:space="preserve">產品費用</w:t>
      </w:r>
    </w:p>
    <w:p>
      <w:pPr>
        <w:pStyle w:val="BodyText"/>
      </w:pPr>
      <w:r>
        <w:rPr>
          <w:rFonts w:hint="eastAsia"/>
        </w:rPr>
        <w:t xml:space="preserve">已假設有效保單業務價值及新業務價值所反映的管理費用及產品費用遵循當前水平。</w:t>
      </w:r>
    </w:p>
    <w:p>
      <w:pPr>
        <w:pStyle w:val="Compact"/>
        <w:numPr>
          <w:ilvl w:val="0"/>
          <w:numId w:val="1740"/>
        </w:numPr>
      </w:pPr>
      <w:r>
        <w:rPr>
          <w:rFonts w:hint="eastAsia"/>
        </w:rPr>
        <w:t xml:space="preserve">報告期間後事項</w:t>
      </w:r>
    </w:p>
    <w:p>
      <w:pPr>
        <w:pStyle w:val="FirstParagraph"/>
      </w:pPr>
      <w:r>
        <w:rPr>
          <w:rFonts w:hint="eastAsia"/>
        </w:rPr>
        <w:t xml:space="preserve">於2021年3月12日，由董事會所委任的委員會已建議末期股息為每股100.30港仙（2019年：末期股息每股93.30港仙）。</w:t>
      </w:r>
    </w:p>
    <w:p>
      <w:pPr>
        <w:pStyle w:val="BodyText"/>
      </w:pPr>
      <w:r>
        <w:t xml:space="preserve">294</w:t>
      </w:r>
    </w:p>
    <w:p>
      <w:pPr>
        <w:pStyle w:val="BodyText"/>
      </w:pPr>
      <w:r>
        <w:rPr>
          <w:rFonts w:hint="eastAsia"/>
        </w:rPr>
        <w:t xml:space="preserve">友邦保險控股有限公司</w:t>
      </w:r>
    </w:p>
    <w:p>
      <w:pPr>
        <w:pStyle w:val="BodyText"/>
      </w:pPr>
      <w:r>
        <w:rPr>
          <w:rFonts w:hint="eastAsia"/>
        </w:rPr>
        <w:t xml:space="preserve">財務日誌</w:t>
      </w:r>
    </w:p>
    <w:p>
      <w:pPr>
        <w:pStyle w:val="BodyText"/>
      </w:pPr>
      <w:r>
        <w:rPr>
          <w:rFonts w:hint="eastAsia"/>
        </w:rPr>
        <w:t xml:space="preserve">截至2020年12月31日止年度之全年業績公告</w:t>
      </w:r>
    </w:p>
    <w:p>
      <w:pPr>
        <w:pStyle w:val="BodyText"/>
      </w:pPr>
      <w:r>
        <w:rPr>
          <w:rFonts w:hint="eastAsia"/>
        </w:rPr>
        <w:t xml:space="preserve">2021年3月12日</w:t>
      </w:r>
    </w:p>
    <w:p>
      <w:pPr>
        <w:pStyle w:val="BodyText"/>
      </w:pPr>
      <w:r>
        <w:rPr>
          <w:rFonts w:hint="eastAsia"/>
        </w:rPr>
        <w:t xml:space="preserve">股東週年大會的暫停辦理股份過戶登記手續期間</w:t>
      </w:r>
    </w:p>
    <w:p>
      <w:pPr>
        <w:pStyle w:val="BodyText"/>
      </w:pPr>
      <w:r>
        <w:rPr>
          <w:rFonts w:hint="eastAsia"/>
        </w:rPr>
        <w:t xml:space="preserve">2021年5月14日至2021年5月20日（包括首尾兩日）</w:t>
      </w:r>
    </w:p>
    <w:p>
      <w:pPr>
        <w:pStyle w:val="BodyText"/>
      </w:pPr>
      <w:r>
        <w:rPr>
          <w:rFonts w:hint="eastAsia"/>
        </w:rPr>
        <w:t xml:space="preserve">股東週年大會日期</w:t>
      </w:r>
    </w:p>
    <w:p>
      <w:pPr>
        <w:pStyle w:val="BodyText"/>
      </w:pPr>
      <w:r>
        <w:rPr>
          <w:rFonts w:hint="eastAsia"/>
        </w:rPr>
        <w:t xml:space="preserve">2021年中期業績公告</w:t>
      </w:r>
    </w:p>
    <w:p>
      <w:pPr>
        <w:pStyle w:val="BodyText"/>
      </w:pPr>
      <w:r>
        <w:rPr>
          <w:rFonts w:hint="eastAsia"/>
        </w:rPr>
        <w:t xml:space="preserve">股東週年大會</w:t>
      </w:r>
    </w:p>
    <w:p>
      <w:pPr>
        <w:pStyle w:val="BodyText"/>
      </w:pPr>
      <w:r>
        <w:rPr>
          <w:rFonts w:hint="eastAsia"/>
        </w:rPr>
        <w:t xml:space="preserve">2021年5月20日</w:t>
      </w:r>
    </w:p>
    <w:p>
      <w:pPr>
        <w:pStyle w:val="BodyText"/>
      </w:pPr>
      <w:r>
        <w:rPr>
          <w:rFonts w:hint="eastAsia"/>
        </w:rPr>
        <w:t xml:space="preserve">2021年8月17日</w:t>
      </w:r>
    </w:p>
    <w:p>
      <w:pPr>
        <w:pStyle w:val="BodyText"/>
      </w:pPr>
      <w:r>
        <w:rPr>
          <w:rFonts w:hint="eastAsia"/>
        </w:rPr>
        <w:t xml:space="preserve">股東週年大會將於2021年5月20日（星期四）上午11時正（香港時間）假座香港九龍尖沙咀東部麼地道64號九龍香格里拉大酒</w:t>
      </w:r>
    </w:p>
    <w:p>
      <w:pPr>
        <w:pStyle w:val="BodyText"/>
      </w:pPr>
      <w:r>
        <w:rPr>
          <w:rFonts w:hint="eastAsia"/>
        </w:rPr>
        <w:t xml:space="preserve">店地下一層宴會大禮堂舉行。有關股東週年大會上將予處理事宜的詳情載於本公司將就股東週年大會向本公司股東發出的通</w:t>
      </w:r>
    </w:p>
    <w:p>
      <w:pPr>
        <w:pStyle w:val="BodyText"/>
      </w:pPr>
      <w:r>
        <w:rPr>
          <w:rFonts w:hint="eastAsia"/>
        </w:rPr>
        <w:t xml:space="preserve">函內。</w:t>
      </w:r>
    </w:p>
    <w:p>
      <w:pPr>
        <w:pStyle w:val="BodyText"/>
      </w:pPr>
      <w:r>
        <w:rPr>
          <w:rFonts w:hint="eastAsia"/>
        </w:rPr>
        <w:t xml:space="preserve">股東週年大會的投票結果詳情可於2021年5月20日（星期四）於會後在香港交易及結算所有限公司網站www.hkex.com.hk及本</w:t>
      </w:r>
    </w:p>
    <w:p>
      <w:pPr>
        <w:pStyle w:val="BodyText"/>
      </w:pPr>
      <w:r>
        <w:rPr>
          <w:rFonts w:hint="eastAsia"/>
        </w:rPr>
        <w:t xml:space="preserve">公司網站www.aia.com查閱。</w:t>
      </w:r>
    </w:p>
    <w:p>
      <w:pPr>
        <w:pStyle w:val="BodyText"/>
      </w:pPr>
      <w:r>
        <w:rPr>
          <w:rFonts w:hint="eastAsia"/>
        </w:rPr>
        <w:t xml:space="preserve">末期股息</w:t>
      </w:r>
    </w:p>
    <w:p>
      <w:pPr>
        <w:pStyle w:val="BodyText"/>
      </w:pPr>
      <w:r>
        <w:rPr>
          <w:rFonts w:hint="eastAsia"/>
        </w:rPr>
        <w:t xml:space="preserve">董事會已建議截至2020年12月31日止年度派付的末期股息增加7.5%至每股100.30港仙（2019年：每股93.30港仙），與友邦保</w:t>
      </w:r>
    </w:p>
    <w:p>
      <w:pPr>
        <w:pStyle w:val="BodyText"/>
      </w:pPr>
      <w:r>
        <w:rPr>
          <w:rFonts w:hint="eastAsia"/>
        </w:rPr>
        <w:t xml:space="preserve">險一貫的審慎、可持續及漸進的派息政策一致。</w:t>
      </w:r>
    </w:p>
    <w:p>
      <w:pPr>
        <w:pStyle w:val="BodyText"/>
      </w:pPr>
      <w:r>
        <w:rPr>
          <w:rFonts w:hint="eastAsia"/>
        </w:rPr>
        <w:t xml:space="preserve">待股東於股東週年大會上批准後，末期股息將於2021年6月10日（星期四）向於2021年5月26日（星期三）（即為釐定末期股息</w:t>
      </w:r>
    </w:p>
    <w:p>
      <w:pPr>
        <w:pStyle w:val="BodyText"/>
      </w:pPr>
      <w:r>
        <w:rPr>
          <w:rFonts w:hint="eastAsia"/>
        </w:rPr>
        <w:t xml:space="preserve">權益的記錄日期）營業時間結束時名列本公司股東名冊的股東派付。</w:t>
      </w:r>
    </w:p>
    <w:p>
      <w:pPr>
        <w:pStyle w:val="BodyText"/>
      </w:pPr>
      <w:r>
        <w:rPr>
          <w:rFonts w:hint="eastAsia"/>
        </w:rPr>
        <w:t xml:space="preserve">末期股息的有關日期</w:t>
      </w:r>
    </w:p>
    <w:p>
      <w:pPr>
        <w:pStyle w:val="BodyText"/>
      </w:pPr>
      <w:r>
        <w:rPr>
          <w:rFonts w:hint="eastAsia"/>
        </w:rPr>
        <w:t xml:space="preserve">除息日期</w:t>
      </w:r>
    </w:p>
    <w:p>
      <w:pPr>
        <w:pStyle w:val="BodyText"/>
      </w:pPr>
      <w:r>
        <w:rPr>
          <w:rFonts w:hint="eastAsia"/>
        </w:rPr>
        <w:t xml:space="preserve">記錄日期</w:t>
      </w:r>
    </w:p>
    <w:p>
      <w:pPr>
        <w:pStyle w:val="BodyText"/>
      </w:pPr>
      <w:r>
        <w:rPr>
          <w:rFonts w:hint="eastAsia"/>
        </w:rPr>
        <w:t xml:space="preserve">派付日期</w:t>
      </w:r>
    </w:p>
    <w:p>
      <w:pPr>
        <w:pStyle w:val="BodyText"/>
      </w:pPr>
      <w:r>
        <w:rPr>
          <w:rFonts w:hint="eastAsia"/>
        </w:rPr>
        <w:t xml:space="preserve">2021年5月25日（星期二）</w:t>
      </w:r>
    </w:p>
    <w:p>
      <w:pPr>
        <w:pStyle w:val="BodyText"/>
      </w:pPr>
      <w:r>
        <w:rPr>
          <w:rFonts w:hint="eastAsia"/>
        </w:rPr>
        <w:t xml:space="preserve">2021年5月26日（星期三）</w:t>
      </w:r>
    </w:p>
    <w:p>
      <w:pPr>
        <w:pStyle w:val="BodyText"/>
      </w:pPr>
      <w:r>
        <w:rPr>
          <w:rFonts w:hint="eastAsia"/>
        </w:rPr>
        <w:t xml:space="preserve">2021年6月10日（星期四）</w:t>
      </w:r>
    </w:p>
    <w:p>
      <w:pPr>
        <w:pStyle w:val="BodyText"/>
      </w:pPr>
      <w:r>
        <w:rPr>
          <w:rFonts w:hint="eastAsia"/>
        </w:rPr>
        <w:t xml:space="preserve">根據新加坡離岸基金稅項豁免機制刊發年度報表</w:t>
      </w:r>
    </w:p>
    <w:p>
      <w:pPr>
        <w:pStyle w:val="BodyText"/>
      </w:pPr>
      <w:r>
        <w:rPr>
          <w:rFonts w:hint="eastAsia"/>
        </w:rPr>
        <w:t xml:space="preserve">本公司間接全資附屬公司AIA</w:t>
      </w:r>
      <w:r>
        <w:t xml:space="preserve"> Investment Management Private </w:t>
      </w:r>
      <w:r>
        <w:rPr>
          <w:rFonts w:hint="eastAsia"/>
        </w:rPr>
        <w:t xml:space="preserve">Limited於2016年6月15日在新加坡註冊成立。其業務包括管理</w:t>
      </w:r>
    </w:p>
    <w:p>
      <w:pPr>
        <w:pStyle w:val="BodyText"/>
      </w:pPr>
      <w:r>
        <w:rPr>
          <w:rFonts w:hint="eastAsia"/>
        </w:rPr>
        <w:t xml:space="preserve">本公司及其附屬公司及分公司的若干資產，其根據2010年所得稅（新加坡基金經理管理基金所產生的指定人士免稅收入）法</w:t>
      </w:r>
    </w:p>
    <w:p>
      <w:pPr>
        <w:pStyle w:val="BodyText"/>
      </w:pPr>
      <w:r>
        <w:rPr>
          <w:rFonts w:hint="eastAsia"/>
        </w:rPr>
        <w:t xml:space="preserve">規（Income</w:t>
      </w:r>
      <w:r>
        <w:t xml:space="preserve"> Tax (Exemption of Income of Prescribed Persons Arising from Funds Managed by Fund Manager in Singapore)</w:t>
      </w:r>
    </w:p>
    <w:p>
      <w:pPr>
        <w:pStyle w:val="BodyText"/>
      </w:pPr>
      <w:r>
        <w:t xml:space="preserve">Regulations </w:t>
      </w:r>
      <w:r>
        <w:rPr>
          <w:rFonts w:hint="eastAsia"/>
        </w:rPr>
        <w:t xml:space="preserve">2010）的要求須向本公司各股東寄發年度報表。為符合上述新加坡法律規定，載有本公司溢利及市值資料的年</w:t>
      </w:r>
    </w:p>
    <w:p>
      <w:pPr>
        <w:pStyle w:val="BodyText"/>
      </w:pPr>
      <w:r>
        <w:rPr>
          <w:rFonts w:hint="eastAsia"/>
        </w:rPr>
        <w:t xml:space="preserve">度報表已登載於本公司網站。</w:t>
      </w:r>
      <w:r>
        <w:t xml:space="preserve"> </w:t>
      </w:r>
      <w:r>
        <w:rPr>
          <w:rFonts w:hint="eastAsia"/>
        </w:rPr>
        <w:t xml:space="preserve">閣下可瀏覽本公司的網站「投資者關係」一節點擊「股東服務」分節「根據新加坡離岸基金稅</w:t>
      </w:r>
    </w:p>
    <w:p>
      <w:pPr>
        <w:pStyle w:val="BodyText"/>
      </w:pPr>
      <w:r>
        <w:rPr>
          <w:rFonts w:hint="eastAsia"/>
        </w:rPr>
        <w:t xml:space="preserve">項豁免機制刊發年度聲明」以閱覽年度報表。</w:t>
      </w:r>
    </w:p>
    <w:p>
      <w:pPr>
        <w:pStyle w:val="BodyText"/>
      </w:pPr>
      <w:r>
        <w:t xml:space="preserve">295</w:t>
      </w:r>
    </w:p>
    <w:p>
      <w:pPr>
        <w:pStyle w:val="BodyText"/>
      </w:pPr>
      <w:r>
        <w:rPr>
          <w:rFonts w:hint="eastAsia"/>
        </w:rPr>
        <w:t xml:space="preserve">股東參考資料其他資料概覽財務及營運回顧企業管治其他資料財務報表2020年報</w:t>
      </w:r>
    </w:p>
    <w:p>
      <w:pPr>
        <w:pStyle w:val="BodyText"/>
      </w:pPr>
      <w:r>
        <w:rPr>
          <w:rFonts w:hint="eastAsia"/>
        </w:rPr>
        <w:t xml:space="preserve">證券登記處</w:t>
      </w:r>
    </w:p>
    <w:p>
      <w:pPr>
        <w:pStyle w:val="BodyText"/>
      </w:pPr>
      <w:r>
        <w:rPr>
          <w:rFonts w:hint="eastAsia"/>
        </w:rPr>
        <w:t xml:space="preserve">閣下如欲查詢所持股份，請按以下所載聯絡詳情聯繫本公司證券登記處：</w:t>
      </w:r>
    </w:p>
    <w:p>
      <w:pPr>
        <w:pStyle w:val="BodyText"/>
      </w:pPr>
      <w:r>
        <w:rPr>
          <w:rFonts w:hint="eastAsia"/>
        </w:rPr>
        <w:t xml:space="preserve">香港中央證券登記有限公司</w:t>
      </w:r>
    </w:p>
    <w:p>
      <w:pPr>
        <w:pStyle w:val="BodyText"/>
      </w:pPr>
      <w:r>
        <w:rPr>
          <w:rFonts w:hint="eastAsia"/>
        </w:rPr>
        <w:t xml:space="preserve">香港灣仔皇后大道東183號合和中心17M樓</w:t>
      </w:r>
    </w:p>
    <w:p>
      <w:pPr>
        <w:pStyle w:val="BodyText"/>
      </w:pPr>
      <w:r>
        <w:rPr>
          <w:rFonts w:hint="eastAsia"/>
        </w:rPr>
        <w:t xml:space="preserve">電話：</w:t>
      </w:r>
      <w:r>
        <w:t xml:space="preserve"> +852 2862 8555</w:t>
      </w:r>
    </w:p>
    <w:p>
      <w:pPr>
        <w:pStyle w:val="BodyText"/>
      </w:pPr>
      <w:r>
        <w:rPr>
          <w:rFonts w:hint="eastAsia"/>
        </w:rPr>
        <w:t xml:space="preserve">電郵：</w:t>
      </w:r>
      <w:r>
        <w:t xml:space="preserve"> </w:t>
      </w:r>
      <w:r>
        <w:rPr>
          <w:rFonts w:hint="eastAsia"/>
        </w:rPr>
        <w:t xml:space="preserve">aia.ecom@computershare.com.hk（索取本公司之公司通訊的印刷本）</w:t>
      </w:r>
    </w:p>
    <w:p>
      <w:pPr>
        <w:pStyle w:val="BodyText"/>
      </w:pPr>
      <w:r>
        <w:rPr>
          <w:rFonts w:hint="eastAsia"/>
        </w:rPr>
        <w:t xml:space="preserve">網站：</w:t>
      </w:r>
      <w:r>
        <w:t xml:space="preserve"> www.computershare.com</w:t>
      </w:r>
    </w:p>
    <w:p>
      <w:pPr>
        <w:pStyle w:val="BodyText"/>
      </w:pPr>
      <w:r>
        <w:rPr>
          <w:rFonts w:hint="eastAsia"/>
        </w:rPr>
        <w:t xml:space="preserve">www.computershare.com/hk/contact（一般查詢）</w:t>
      </w:r>
    </w:p>
    <w:p>
      <w:pPr>
        <w:pStyle w:val="BodyText"/>
      </w:pPr>
      <w:r>
        <w:rPr>
          <w:rFonts w:hint="eastAsia"/>
        </w:rPr>
        <w:t xml:space="preserve">年報</w:t>
      </w:r>
    </w:p>
    <w:p>
      <w:pPr>
        <w:pStyle w:val="BodyText"/>
      </w:pPr>
      <w:r>
        <w:rPr>
          <w:rFonts w:hint="eastAsia"/>
        </w:rPr>
        <w:t xml:space="preserve">本年報之中英文版皆登載於本公司網站。如</w:t>
      </w:r>
      <w:r>
        <w:t xml:space="preserve"> </w:t>
      </w:r>
      <w:r>
        <w:rPr>
          <w:rFonts w:hint="eastAsia"/>
        </w:rPr>
        <w:t xml:space="preserve">閣下欲收取本年報的印刷本，請按上文所列聯絡詳情聯繫本公司證券登記處。</w:t>
      </w:r>
    </w:p>
    <w:p>
      <w:pPr>
        <w:pStyle w:val="BodyText"/>
      </w:pPr>
      <w:r>
        <w:rPr>
          <w:rFonts w:hint="eastAsia"/>
        </w:rPr>
        <w:t xml:space="preserve">本公司盡力確保本年報的中文本與英文本一致。如有任何不一致，概以英文本為準。</w:t>
      </w:r>
    </w:p>
    <w:p>
      <w:pPr>
        <w:pStyle w:val="BodyText"/>
      </w:pPr>
      <w:r>
        <w:rPr>
          <w:rFonts w:hint="eastAsia"/>
        </w:rPr>
        <w:t xml:space="preserve">出於環保及成本原因，本公司鼓勵股東選擇以電子形式收取公司通訊（定義見上市規則）。</w:t>
      </w:r>
      <w:r>
        <w:t xml:space="preserve"> </w:t>
      </w:r>
      <w:r>
        <w:rPr>
          <w:rFonts w:hint="eastAsia"/>
        </w:rPr>
        <w:t xml:space="preserve">閣下可隨時以書面形式經本公</w:t>
      </w:r>
    </w:p>
    <w:p>
      <w:pPr>
        <w:pStyle w:val="BodyText"/>
      </w:pPr>
      <w:r>
        <w:rPr>
          <w:rFonts w:hint="eastAsia"/>
        </w:rPr>
        <w:t xml:space="preserve">司證券登記處以轉交本公司或發送電郵至aia.ecom@computershare.com.hk通知本公司，註明</w:t>
      </w:r>
      <w:r>
        <w:t xml:space="preserve"> </w:t>
      </w:r>
      <w:r>
        <w:rPr>
          <w:rFonts w:hint="eastAsia"/>
        </w:rPr>
        <w:t xml:space="preserve">閣下的姓名、地址及更改收</w:t>
      </w:r>
    </w:p>
    <w:p>
      <w:pPr>
        <w:pStyle w:val="BodyText"/>
      </w:pPr>
      <w:r>
        <w:rPr>
          <w:rFonts w:hint="eastAsia"/>
        </w:rPr>
        <w:t xml:space="preserve">取所有公司通訊的語言版本或收取方式。</w:t>
      </w:r>
    </w:p>
    <w:p>
      <w:pPr>
        <w:pStyle w:val="BodyText"/>
      </w:pPr>
      <w:r>
        <w:rPr>
          <w:rFonts w:hint="eastAsia"/>
        </w:rPr>
        <w:t xml:space="preserve">投資者關係及傳媒關係</w:t>
      </w:r>
    </w:p>
    <w:p>
      <w:pPr>
        <w:pStyle w:val="BodyText"/>
      </w:pPr>
      <w:r>
        <w:rPr>
          <w:rFonts w:hint="eastAsia"/>
        </w:rPr>
        <w:t xml:space="preserve">如有任何查詢，請聯絡：</w:t>
      </w:r>
    </w:p>
    <w:p>
      <w:pPr>
        <w:pStyle w:val="BodyText"/>
      </w:pPr>
      <w:r>
        <w:rPr>
          <w:rFonts w:hint="eastAsia"/>
        </w:rPr>
        <w:t xml:space="preserve">投資者關係</w:t>
      </w:r>
    </w:p>
    <w:p>
      <w:pPr>
        <w:pStyle w:val="BodyText"/>
      </w:pPr>
      <w:r>
        <w:rPr>
          <w:rFonts w:hint="eastAsia"/>
        </w:rPr>
        <w:t xml:space="preserve">白禮仕</w:t>
      </w:r>
    </w:p>
    <w:p>
      <w:pPr>
        <w:pStyle w:val="BodyText"/>
      </w:pPr>
      <w:r>
        <w:rPr>
          <w:rFonts w:hint="eastAsia"/>
        </w:rPr>
        <w:t xml:space="preserve">林蕙嫻</w:t>
      </w:r>
    </w:p>
    <w:p>
      <w:pPr>
        <w:pStyle w:val="BodyText"/>
      </w:pPr>
      <w:r>
        <w:rPr>
          <w:rFonts w:hint="eastAsia"/>
        </w:rPr>
        <w:t xml:space="preserve">李子筠</w:t>
      </w:r>
    </w:p>
    <w:p>
      <w:pPr>
        <w:pStyle w:val="BodyText"/>
      </w:pPr>
      <w:r>
        <w:rPr>
          <w:rFonts w:hint="eastAsia"/>
        </w:rPr>
        <w:t xml:space="preserve">潘詩敏</w:t>
      </w:r>
    </w:p>
    <w:p>
      <w:pPr>
        <w:pStyle w:val="BodyText"/>
      </w:pPr>
      <w:r>
        <w:t xml:space="preserve">+852 2832 1398</w:t>
      </w:r>
    </w:p>
    <w:p>
      <w:pPr>
        <w:pStyle w:val="BodyText"/>
      </w:pPr>
      <w:r>
        <w:t xml:space="preserve">+852 2832 1633</w:t>
      </w:r>
    </w:p>
    <w:p>
      <w:pPr>
        <w:pStyle w:val="BodyText"/>
      </w:pPr>
      <w:r>
        <w:t xml:space="preserve">+852 2832 4704</w:t>
      </w:r>
    </w:p>
    <w:p>
      <w:pPr>
        <w:pStyle w:val="BodyText"/>
      </w:pPr>
      <w:r>
        <w:t xml:space="preserve">+852 2832 4792</w:t>
      </w:r>
    </w:p>
    <w:p>
      <w:pPr>
        <w:pStyle w:val="BodyText"/>
      </w:pPr>
      <w:r>
        <w:rPr>
          <w:rFonts w:hint="eastAsia"/>
        </w:rPr>
        <w:t xml:space="preserve">傳媒關係</w:t>
      </w:r>
    </w:p>
    <w:p>
      <w:pPr>
        <w:pStyle w:val="BodyText"/>
      </w:pPr>
      <w:r>
        <w:rPr>
          <w:rFonts w:hint="eastAsia"/>
        </w:rPr>
        <w:t xml:space="preserve">白德禮</w:t>
      </w:r>
    </w:p>
    <w:p>
      <w:pPr>
        <w:pStyle w:val="BodyText"/>
      </w:pPr>
      <w:r>
        <w:rPr>
          <w:rFonts w:hint="eastAsia"/>
        </w:rPr>
        <w:t xml:space="preserve">吳浣鍶</w:t>
      </w:r>
    </w:p>
    <w:p>
      <w:pPr>
        <w:pStyle w:val="BodyText"/>
      </w:pPr>
      <w:r>
        <w:t xml:space="preserve">+852 2832 1978</w:t>
      </w:r>
    </w:p>
    <w:p>
      <w:pPr>
        <w:pStyle w:val="BodyText"/>
      </w:pPr>
      <w:r>
        <w:t xml:space="preserve">+852 2832 4720</w:t>
      </w:r>
    </w:p>
    <w:p>
      <w:pPr>
        <w:pStyle w:val="BodyText"/>
      </w:pPr>
      <w:r>
        <w:t xml:space="preserve">296</w:t>
      </w:r>
    </w:p>
    <w:p>
      <w:pPr>
        <w:pStyle w:val="BodyText"/>
      </w:pPr>
      <w:r>
        <w:rPr>
          <w:rFonts w:hint="eastAsia"/>
        </w:rPr>
        <w:t xml:space="preserve">友邦保險控股有限公司</w:t>
      </w:r>
    </w:p>
    <w:p>
      <w:pPr>
        <w:pStyle w:val="BodyText"/>
      </w:pPr>
      <w:r>
        <w:rPr>
          <w:rFonts w:hint="eastAsia"/>
        </w:rPr>
        <w:t xml:space="preserve">前瞻性陳述</w:t>
      </w:r>
    </w:p>
    <w:p>
      <w:pPr>
        <w:pStyle w:val="BodyText"/>
      </w:pPr>
      <w:r>
        <w:rPr>
          <w:rFonts w:hint="eastAsia"/>
        </w:rPr>
        <w:t xml:space="preserve">本文件可能載有與本集團相關的若干前瞻性陳述，有關陳述乃基於本集團管理層所信及本集團管理層所作的假設及現有資料</w:t>
      </w:r>
    </w:p>
    <w:p>
      <w:pPr>
        <w:pStyle w:val="BodyText"/>
      </w:pPr>
      <w:r>
        <w:rPr>
          <w:rFonts w:hint="eastAsia"/>
        </w:rPr>
        <w:t xml:space="preserve">而作出。因其性質使然，該等前瞻性陳述涉及重大風險及不明朗因素。該等前瞻性陳述包括（但不限於）有關本集團的業務</w:t>
      </w:r>
    </w:p>
    <w:p>
      <w:pPr>
        <w:pStyle w:val="BodyText"/>
      </w:pPr>
      <w:r>
        <w:rPr>
          <w:rFonts w:hint="eastAsia"/>
        </w:rPr>
        <w:t xml:space="preserve">前景、行業內及本集團經營所在地區市場的日後發展、趨勢及狀況、其策略、計劃、宗旨及目標、其控制成本的能力的陳</w:t>
      </w:r>
    </w:p>
    <w:p>
      <w:pPr>
        <w:pStyle w:val="BodyText"/>
      </w:pPr>
      <w:r>
        <w:rPr>
          <w:rFonts w:hint="eastAsia"/>
        </w:rPr>
        <w:t xml:space="preserve">述，以及有關價格、交易量、營運、利潤率、整體市場趨勢、風險管理及匯率的陳述。</w:t>
      </w:r>
    </w:p>
    <w:p>
      <w:pPr>
        <w:pStyle w:val="BodyText"/>
      </w:pPr>
      <w:r>
        <w:rPr>
          <w:rFonts w:hint="eastAsia"/>
        </w:rPr>
        <w:t xml:space="preserve">本文件所用與本集團或本集團管理層有關的「預計」、「相信」、「可能」、「估計」、「預期」、「今後」、「有意」、「或會」、「應</w:t>
      </w:r>
    </w:p>
    <w:p>
      <w:pPr>
        <w:pStyle w:val="BodyText"/>
      </w:pPr>
      <w:r>
        <w:rPr>
          <w:rFonts w:hint="eastAsia"/>
        </w:rPr>
        <w:t xml:space="preserve">當」、「計劃」、「預料」、「尋求」、「應該」、「將會」、「會」等詞語及類似字眼，旨在作出前瞻性陳述。該等前瞻性陳述反映了</w:t>
      </w:r>
    </w:p>
    <w:p>
      <w:pPr>
        <w:pStyle w:val="BodyText"/>
      </w:pPr>
      <w:r>
        <w:rPr>
          <w:rFonts w:hint="eastAsia"/>
        </w:rPr>
        <w:t xml:space="preserve">本集團於本文件日期對日後事件的觀點，並非對未來表現或發展的保證。</w:t>
      </w:r>
      <w:r>
        <w:t xml:space="preserve"> </w:t>
      </w:r>
      <w:r>
        <w:rPr>
          <w:rFonts w:hint="eastAsia"/>
        </w:rPr>
        <w:t xml:space="preserve">閣下於依賴涉及已知及未知風險及不明朗因素的</w:t>
      </w:r>
    </w:p>
    <w:p>
      <w:pPr>
        <w:pStyle w:val="BodyText"/>
      </w:pPr>
      <w:r>
        <w:rPr>
          <w:rFonts w:hint="eastAsia"/>
        </w:rPr>
        <w:t xml:space="preserve">任何前瞻性陳述時務須審慎。由於受多種因素影響，實際業績及事件或會與前瞻性陳述所載資料存在重大差異，有關因素包</w:t>
      </w:r>
    </w:p>
    <w:p>
      <w:pPr>
        <w:pStyle w:val="BodyText"/>
      </w:pPr>
      <w:r>
        <w:rPr>
          <w:rFonts w:hint="eastAsia"/>
        </w:rPr>
        <w:t xml:space="preserve">括與本集團業務營運任何方面相關的法律、規則及法規的任何變化、整體經濟、市場及業務狀況，包括資本市場的發展、利</w:t>
      </w:r>
    </w:p>
    <w:p>
      <w:pPr>
        <w:pStyle w:val="BodyText"/>
      </w:pPr>
      <w:r>
        <w:rPr>
          <w:rFonts w:hint="eastAsia"/>
        </w:rPr>
        <w:t xml:space="preserve">率、外幣匯率、股本價格或其他比率或價格的變化或波動、本集團競爭對手的行動及發展以及保險業競爭對本集團產品及服</w:t>
      </w:r>
    </w:p>
    <w:p>
      <w:pPr>
        <w:pStyle w:val="BodyText"/>
      </w:pPr>
      <w:r>
        <w:rPr>
          <w:rFonts w:hint="eastAsia"/>
        </w:rPr>
        <w:t xml:space="preserve">務的需求及價格的影響、本集團或會</w:t>
      </w:r>
      <w:r>
        <w:t xml:space="preserve"> ╱ </w:t>
      </w:r>
      <w:r>
        <w:rPr>
          <w:rFonts w:hint="eastAsia"/>
        </w:rPr>
        <w:t xml:space="preserve">或不會尋求的各種業務機會、人口增長及其他人口趨勢（包括死亡率、傷病率及壽命</w:t>
      </w:r>
    </w:p>
    <w:p>
      <w:pPr>
        <w:pStyle w:val="BodyText"/>
      </w:pPr>
      <w:r>
        <w:rPr>
          <w:rFonts w:hint="eastAsia"/>
        </w:rPr>
        <w:t xml:space="preserve">率）的變化、續保率水平、本集團識別、估量、監察及控制自身業務風險的能力，包括管理及適應其整體風險類別及風險管</w:t>
      </w:r>
    </w:p>
    <w:p>
      <w:pPr>
        <w:pStyle w:val="BodyText"/>
      </w:pPr>
      <w:r>
        <w:rPr>
          <w:rFonts w:hint="eastAsia"/>
        </w:rPr>
        <w:t xml:space="preserve">理措施的能力、其合理釐定產品及服務價格及為日後保單賠償及賠款設立準備金的能力、季節性波動及本集團無法控制的其</w:t>
      </w:r>
    </w:p>
    <w:p>
      <w:pPr>
        <w:pStyle w:val="BodyText"/>
      </w:pPr>
      <w:r>
        <w:rPr>
          <w:rFonts w:hint="eastAsia"/>
        </w:rPr>
        <w:t xml:space="preserve">他因素。除非上市規則要求，本集團不擬因新資料、日後事項或其他原因而更新或另行修改本文件的前瞻性陳述。鑒於該等</w:t>
      </w:r>
    </w:p>
    <w:p>
      <w:pPr>
        <w:pStyle w:val="BodyText"/>
      </w:pPr>
      <w:r>
        <w:rPr>
          <w:rFonts w:hint="eastAsia"/>
        </w:rPr>
        <w:t xml:space="preserve">及其他風險、不明朗因素及假設，本文件所論述的前瞻性事件及狀況不一定會按本集團預期的方式發生或根本不會發生。因</w:t>
      </w:r>
    </w:p>
    <w:p>
      <w:pPr>
        <w:pStyle w:val="BodyText"/>
      </w:pPr>
      <w:r>
        <w:rPr>
          <w:rFonts w:hint="eastAsia"/>
        </w:rPr>
        <w:t xml:space="preserve">此，</w:t>
      </w:r>
      <w:r>
        <w:t xml:space="preserve"> </w:t>
      </w:r>
      <w:r>
        <w:rPr>
          <w:rFonts w:hint="eastAsia"/>
        </w:rPr>
        <w:t xml:space="preserve">閣下切勿依賴任何前瞻性資料或陳述。本節所載的警示聲明適用於本文件所載的一切前瞻性陳述。</w:t>
      </w:r>
    </w:p>
    <w:p>
      <w:pPr>
        <w:pStyle w:val="BodyText"/>
      </w:pPr>
      <w:r>
        <w:t xml:space="preserve">297</w:t>
      </w:r>
    </w:p>
    <w:p>
      <w:pPr>
        <w:pStyle w:val="BodyText"/>
      </w:pPr>
      <w:r>
        <w:rPr>
          <w:rFonts w:hint="eastAsia"/>
        </w:rPr>
        <w:t xml:space="preserve">概覽財務及營運回顧企業管治其他資料財務報表2020年報</w:t>
      </w:r>
    </w:p>
    <w:p>
      <w:pPr>
        <w:pStyle w:val="BodyText"/>
      </w:pPr>
      <w:r>
        <w:rPr>
          <w:rFonts w:hint="eastAsia"/>
        </w:rPr>
        <w:t xml:space="preserve">董事會</w:t>
      </w:r>
    </w:p>
    <w:p>
      <w:pPr>
        <w:pStyle w:val="BodyText"/>
      </w:pPr>
      <w:r>
        <w:rPr>
          <w:rFonts w:hint="eastAsia"/>
        </w:rPr>
        <w:t xml:space="preserve">風險委員會</w:t>
      </w:r>
    </w:p>
    <w:p>
      <w:pPr>
        <w:pStyle w:val="BodyText"/>
      </w:pPr>
      <w:r>
        <w:rPr>
          <w:rFonts w:hint="eastAsia"/>
        </w:rPr>
        <w:t xml:space="preserve">周松崗先生（主席）</w:t>
      </w:r>
    </w:p>
    <w:p>
      <w:pPr>
        <w:pStyle w:val="BodyText"/>
      </w:pPr>
      <w:r>
        <w:rPr>
          <w:rFonts w:hint="eastAsia"/>
        </w:rPr>
        <w:t xml:space="preserve">獨立非執行主席及獨立非執行董事</w:t>
      </w:r>
    </w:p>
    <w:p>
      <w:pPr>
        <w:pStyle w:val="BodyText"/>
      </w:pPr>
      <w:r>
        <w:t xml:space="preserve">John Barrie </w:t>
      </w:r>
      <w:r>
        <w:rPr>
          <w:rFonts w:hint="eastAsia"/>
        </w:rPr>
        <w:t xml:space="preserve">HARRISON先生</w:t>
      </w:r>
    </w:p>
    <w:p>
      <w:pPr>
        <w:pStyle w:val="BodyText"/>
      </w:pPr>
      <w:r>
        <w:rPr>
          <w:rFonts w:hint="eastAsia"/>
        </w:rPr>
        <w:t xml:space="preserve">劉遵義教授</w:t>
      </w:r>
    </w:p>
    <w:p>
      <w:pPr>
        <w:pStyle w:val="BodyText"/>
      </w:pPr>
      <w:r>
        <w:t xml:space="preserve">Swee-Lian </w:t>
      </w:r>
      <w:r>
        <w:rPr>
          <w:rFonts w:hint="eastAsia"/>
        </w:rPr>
        <w:t xml:space="preserve">TEO女士</w:t>
      </w:r>
    </w:p>
    <w:p>
      <w:pPr>
        <w:pStyle w:val="BodyText"/>
      </w:pPr>
      <w:r>
        <w:rPr>
          <w:rFonts w:hint="eastAsia"/>
        </w:rPr>
        <w:t xml:space="preserve">謝仕榮先生</w:t>
      </w:r>
    </w:p>
    <w:p>
      <w:pPr>
        <w:pStyle w:val="BodyText"/>
      </w:pPr>
      <w:r>
        <w:rPr>
          <w:rFonts w:hint="eastAsia"/>
        </w:rPr>
        <w:t xml:space="preserve">李源祥先生</w:t>
      </w:r>
    </w:p>
    <w:p>
      <w:pPr>
        <w:pStyle w:val="BodyText"/>
      </w:pPr>
      <w:r>
        <w:rPr>
          <w:rFonts w:hint="eastAsia"/>
        </w:rPr>
        <w:t xml:space="preserve">註冊辦事處</w:t>
      </w:r>
    </w:p>
    <w:p>
      <w:pPr>
        <w:pStyle w:val="BodyText"/>
      </w:pPr>
      <w:r>
        <w:rPr>
          <w:rFonts w:hint="eastAsia"/>
        </w:rPr>
        <w:t xml:space="preserve">香港</w:t>
      </w:r>
    </w:p>
    <w:p>
      <w:pPr>
        <w:pStyle w:val="BodyText"/>
      </w:pPr>
      <w:r>
        <w:rPr>
          <w:rFonts w:hint="eastAsia"/>
        </w:rPr>
        <w:t xml:space="preserve">中環干諾道中1號</w:t>
      </w:r>
    </w:p>
    <w:p>
      <w:pPr>
        <w:pStyle w:val="BodyText"/>
      </w:pPr>
      <w:r>
        <w:rPr>
          <w:rFonts w:hint="eastAsia"/>
        </w:rPr>
        <w:t xml:space="preserve">友邦金融中心35樓</w:t>
      </w:r>
    </w:p>
    <w:p>
      <w:pPr>
        <w:pStyle w:val="BodyText"/>
      </w:pPr>
      <w:r>
        <w:rPr>
          <w:rFonts w:hint="eastAsia"/>
        </w:rPr>
        <w:t xml:space="preserve">網站</w:t>
      </w:r>
    </w:p>
    <w:p>
      <w:pPr>
        <w:pStyle w:val="BodyText"/>
      </w:pPr>
      <w:r>
        <w:t xml:space="preserve">www.aia.com</w:t>
      </w:r>
    </w:p>
    <w:p>
      <w:pPr>
        <w:pStyle w:val="BodyText"/>
      </w:pPr>
      <w:r>
        <w:rPr>
          <w:rFonts w:hint="eastAsia"/>
        </w:rPr>
        <w:t xml:space="preserve">公司秘書</w:t>
      </w:r>
    </w:p>
    <w:p>
      <w:pPr>
        <w:pStyle w:val="BodyText"/>
      </w:pPr>
      <w:r>
        <w:rPr>
          <w:rFonts w:hint="eastAsia"/>
        </w:rPr>
        <w:t xml:space="preserve">包婷婷女士</w:t>
      </w:r>
    </w:p>
    <w:p>
      <w:pPr>
        <w:pStyle w:val="BodyText"/>
      </w:pPr>
      <w:r>
        <w:rPr>
          <w:rFonts w:hint="eastAsia"/>
        </w:rPr>
        <w:t xml:space="preserve">授權代表</w:t>
      </w:r>
    </w:p>
    <w:p>
      <w:pPr>
        <w:pStyle w:val="BodyText"/>
      </w:pPr>
      <w:r>
        <w:rPr>
          <w:rFonts w:hint="eastAsia"/>
        </w:rPr>
        <w:t xml:space="preserve">李源祥先生</w:t>
      </w:r>
    </w:p>
    <w:p>
      <w:pPr>
        <w:pStyle w:val="BodyText"/>
      </w:pPr>
      <w:r>
        <w:rPr>
          <w:rFonts w:hint="eastAsia"/>
        </w:rPr>
        <w:t xml:space="preserve">包婷婷女士</w:t>
      </w:r>
    </w:p>
    <w:p>
      <w:pPr>
        <w:pStyle w:val="BodyText"/>
      </w:pPr>
      <w:r>
        <w:rPr>
          <w:rFonts w:hint="eastAsia"/>
        </w:rPr>
        <w:t xml:space="preserve">證券登記處</w:t>
      </w:r>
    </w:p>
    <w:p>
      <w:pPr>
        <w:pStyle w:val="BodyText"/>
      </w:pPr>
      <w:r>
        <w:rPr>
          <w:rFonts w:hint="eastAsia"/>
        </w:rPr>
        <w:t xml:space="preserve">香港中央證券登記有限公司</w:t>
      </w:r>
    </w:p>
    <w:p>
      <w:pPr>
        <w:pStyle w:val="BodyText"/>
      </w:pPr>
      <w:r>
        <w:rPr>
          <w:rFonts w:hint="eastAsia"/>
        </w:rPr>
        <w:t xml:space="preserve">香港</w:t>
      </w:r>
    </w:p>
    <w:p>
      <w:pPr>
        <w:pStyle w:val="BodyText"/>
      </w:pPr>
      <w:r>
        <w:rPr>
          <w:rFonts w:hint="eastAsia"/>
        </w:rPr>
        <w:t xml:space="preserve">灣仔皇后大道東183號</w:t>
      </w:r>
    </w:p>
    <w:p>
      <w:pPr>
        <w:pStyle w:val="BodyText"/>
      </w:pPr>
      <w:r>
        <w:rPr>
          <w:rFonts w:hint="eastAsia"/>
        </w:rPr>
        <w:t xml:space="preserve">合和中心</w:t>
      </w:r>
    </w:p>
    <w:p>
      <w:pPr>
        <w:pStyle w:val="BodyText"/>
      </w:pPr>
      <w:r>
        <w:rPr>
          <w:rFonts w:hint="eastAsia"/>
        </w:rPr>
        <w:t xml:space="preserve">17M樓</w:t>
      </w:r>
    </w:p>
    <w:p>
      <w:pPr>
        <w:pStyle w:val="BodyText"/>
      </w:pPr>
      <w:r>
        <w:rPr>
          <w:rFonts w:hint="eastAsia"/>
        </w:rPr>
        <w:t xml:space="preserve">主要往來銀行</w:t>
      </w:r>
    </w:p>
    <w:p>
      <w:pPr>
        <w:pStyle w:val="BodyText"/>
      </w:pPr>
      <w:r>
        <w:rPr>
          <w:rFonts w:hint="eastAsia"/>
        </w:rPr>
        <w:t xml:space="preserve">花旗銀行</w:t>
      </w:r>
    </w:p>
    <w:p>
      <w:pPr>
        <w:pStyle w:val="BodyText"/>
      </w:pPr>
      <w:r>
        <w:rPr>
          <w:rFonts w:hint="eastAsia"/>
        </w:rPr>
        <w:t xml:space="preserve">渣打銀行</w:t>
      </w:r>
    </w:p>
    <w:p>
      <w:pPr>
        <w:pStyle w:val="BodyText"/>
      </w:pPr>
      <w:r>
        <w:rPr>
          <w:rFonts w:hint="eastAsia"/>
        </w:rPr>
        <w:t xml:space="preserve">香港上海滙豐銀行有限公司</w:t>
      </w:r>
    </w:p>
    <w:p>
      <w:pPr>
        <w:pStyle w:val="BodyText"/>
      </w:pPr>
      <w:r>
        <w:rPr>
          <w:rFonts w:hint="eastAsia"/>
        </w:rPr>
        <w:t xml:space="preserve">核數師</w:t>
      </w:r>
    </w:p>
    <w:p>
      <w:pPr>
        <w:pStyle w:val="BodyText"/>
      </w:pPr>
      <w:r>
        <w:rPr>
          <w:rFonts w:hint="eastAsia"/>
        </w:rPr>
        <w:t xml:space="preserve">羅兵咸永道會計師事務所</w:t>
      </w:r>
    </w:p>
    <w:p>
      <w:pPr>
        <w:pStyle w:val="BodyText"/>
      </w:pPr>
      <w:r>
        <w:rPr>
          <w:rFonts w:hint="eastAsia"/>
        </w:rPr>
        <w:t xml:space="preserve">執業會計師</w:t>
      </w:r>
    </w:p>
    <w:p>
      <w:pPr>
        <w:pStyle w:val="BodyText"/>
      </w:pPr>
      <w:r>
        <w:rPr>
          <w:rFonts w:hint="eastAsia"/>
        </w:rPr>
        <w:t xml:space="preserve">註冊公眾利益實體核數師</w:t>
      </w:r>
    </w:p>
    <w:p>
      <w:pPr>
        <w:pStyle w:val="BodyText"/>
      </w:pPr>
      <w:r>
        <w:rPr>
          <w:rFonts w:hint="eastAsia"/>
        </w:rPr>
        <w:t xml:space="preserve">謝仕榮先生</w:t>
      </w:r>
    </w:p>
    <w:p>
      <w:pPr>
        <w:pStyle w:val="BodyText"/>
      </w:pPr>
      <w:r>
        <w:rPr>
          <w:rFonts w:hint="eastAsia"/>
        </w:rPr>
        <w:t xml:space="preserve">執行董事、集團首席執行官兼總裁</w:t>
      </w:r>
    </w:p>
    <w:p>
      <w:pPr>
        <w:pStyle w:val="BodyText"/>
      </w:pPr>
      <w:r>
        <w:rPr>
          <w:rFonts w:hint="eastAsia"/>
        </w:rPr>
        <w:t xml:space="preserve">李源祥先生</w:t>
      </w:r>
    </w:p>
    <w:p>
      <w:pPr>
        <w:pStyle w:val="BodyText"/>
      </w:pPr>
      <w:r>
        <w:rPr>
          <w:rFonts w:hint="eastAsia"/>
        </w:rPr>
        <w:t xml:space="preserve">獨立非執行董事</w:t>
      </w:r>
    </w:p>
    <w:p>
      <w:pPr>
        <w:pStyle w:val="BodyText"/>
      </w:pPr>
      <w:r>
        <w:rPr>
          <w:rFonts w:hint="eastAsia"/>
        </w:rPr>
        <w:t xml:space="preserve">蘇澤光先生</w:t>
      </w:r>
    </w:p>
    <w:p>
      <w:pPr>
        <w:pStyle w:val="BodyText"/>
      </w:pPr>
      <w:r>
        <w:rPr>
          <w:rFonts w:hint="eastAsia"/>
        </w:rPr>
        <w:t xml:space="preserve">周松崗先生</w:t>
      </w:r>
    </w:p>
    <w:p>
      <w:pPr>
        <w:pStyle w:val="BodyText"/>
      </w:pPr>
      <w:r>
        <w:t xml:space="preserve">John Barrie </w:t>
      </w:r>
      <w:r>
        <w:rPr>
          <w:rFonts w:hint="eastAsia"/>
        </w:rPr>
        <w:t xml:space="preserve">HARRISON先生</w:t>
      </w:r>
    </w:p>
    <w:p>
      <w:pPr>
        <w:pStyle w:val="BodyText"/>
      </w:pPr>
      <w:r>
        <w:rPr>
          <w:rFonts w:hint="eastAsia"/>
        </w:rPr>
        <w:t xml:space="preserve">楊榮文先生</w:t>
      </w:r>
    </w:p>
    <w:p>
      <w:pPr>
        <w:pStyle w:val="BodyText"/>
      </w:pPr>
      <w:r>
        <w:rPr>
          <w:rFonts w:hint="eastAsia"/>
        </w:rPr>
        <w:t xml:space="preserve">劉遵義教授</w:t>
      </w:r>
    </w:p>
    <w:p>
      <w:pPr>
        <w:pStyle w:val="BodyText"/>
      </w:pPr>
      <w:r>
        <w:t xml:space="preserve">Swee-Lian </w:t>
      </w:r>
      <w:r>
        <w:rPr>
          <w:rFonts w:hint="eastAsia"/>
        </w:rPr>
        <w:t xml:space="preserve">TEO女士</w:t>
      </w:r>
    </w:p>
    <w:p>
      <w:pPr>
        <w:pStyle w:val="BodyText"/>
      </w:pPr>
      <w:r>
        <w:t xml:space="preserve">Narongchai </w:t>
      </w:r>
      <w:r>
        <w:rPr>
          <w:rFonts w:hint="eastAsia"/>
        </w:rPr>
        <w:t xml:space="preserve">AKRASANEE博士</w:t>
      </w:r>
    </w:p>
    <w:p>
      <w:pPr>
        <w:pStyle w:val="BodyText"/>
      </w:pPr>
      <w:r>
        <w:t xml:space="preserve">Cesar Velasquez </w:t>
      </w:r>
      <w:r>
        <w:rPr>
          <w:rFonts w:hint="eastAsia"/>
        </w:rPr>
        <w:t xml:space="preserve">PURISIMA先生</w:t>
      </w:r>
    </w:p>
    <w:p>
      <w:pPr>
        <w:pStyle w:val="BodyText"/>
      </w:pPr>
      <w:r>
        <w:rPr>
          <w:rFonts w:hint="eastAsia"/>
        </w:rPr>
        <w:t xml:space="preserve">審核委員會</w:t>
      </w:r>
    </w:p>
    <w:p>
      <w:pPr>
        <w:pStyle w:val="BodyText"/>
      </w:pPr>
      <w:r>
        <w:t xml:space="preserve">John Barrie </w:t>
      </w:r>
      <w:r>
        <w:rPr>
          <w:rFonts w:hint="eastAsia"/>
        </w:rPr>
        <w:t xml:space="preserve">HARRISON先生（主席）</w:t>
      </w:r>
    </w:p>
    <w:p>
      <w:pPr>
        <w:pStyle w:val="BodyText"/>
      </w:pPr>
      <w:r>
        <w:rPr>
          <w:rFonts w:hint="eastAsia"/>
        </w:rPr>
        <w:t xml:space="preserve">蘇澤光先生</w:t>
      </w:r>
    </w:p>
    <w:p>
      <w:pPr>
        <w:pStyle w:val="BodyText"/>
      </w:pPr>
      <w:r>
        <w:rPr>
          <w:rFonts w:hint="eastAsia"/>
        </w:rPr>
        <w:t xml:space="preserve">楊榮文先生</w:t>
      </w:r>
    </w:p>
    <w:p>
      <w:pPr>
        <w:pStyle w:val="BodyText"/>
      </w:pPr>
      <w:r>
        <w:t xml:space="preserve">Narongchai </w:t>
      </w:r>
      <w:r>
        <w:rPr>
          <w:rFonts w:hint="eastAsia"/>
        </w:rPr>
        <w:t xml:space="preserve">AKRASANEE博士</w:t>
      </w:r>
    </w:p>
    <w:p>
      <w:pPr>
        <w:pStyle w:val="BodyText"/>
      </w:pPr>
      <w:r>
        <w:t xml:space="preserve">Cesar Velasquez </w:t>
      </w:r>
      <w:r>
        <w:rPr>
          <w:rFonts w:hint="eastAsia"/>
        </w:rPr>
        <w:t xml:space="preserve">PURISIMA先生</w:t>
      </w:r>
    </w:p>
    <w:p>
      <w:pPr>
        <w:pStyle w:val="BodyText"/>
      </w:pPr>
      <w:r>
        <w:rPr>
          <w:rFonts w:hint="eastAsia"/>
        </w:rPr>
        <w:t xml:space="preserve">提名委員會</w:t>
      </w:r>
    </w:p>
    <w:p>
      <w:pPr>
        <w:pStyle w:val="BodyText"/>
      </w:pPr>
      <w:r>
        <w:rPr>
          <w:rFonts w:hint="eastAsia"/>
        </w:rPr>
        <w:t xml:space="preserve">謝仕榮先生（主席）</w:t>
      </w:r>
    </w:p>
    <w:p>
      <w:pPr>
        <w:pStyle w:val="BodyText"/>
      </w:pPr>
      <w:r>
        <w:rPr>
          <w:rFonts w:hint="eastAsia"/>
        </w:rPr>
        <w:t xml:space="preserve">蘇澤光先生</w:t>
      </w:r>
    </w:p>
    <w:p>
      <w:pPr>
        <w:pStyle w:val="BodyText"/>
      </w:pPr>
      <w:r>
        <w:rPr>
          <w:rFonts w:hint="eastAsia"/>
        </w:rPr>
        <w:t xml:space="preserve">周松崗先生</w:t>
      </w:r>
    </w:p>
    <w:p>
      <w:pPr>
        <w:pStyle w:val="BodyText"/>
      </w:pPr>
      <w:r>
        <w:t xml:space="preserve">John Barrie </w:t>
      </w:r>
      <w:r>
        <w:rPr>
          <w:rFonts w:hint="eastAsia"/>
        </w:rPr>
        <w:t xml:space="preserve">HARRISON先生</w:t>
      </w:r>
    </w:p>
    <w:p>
      <w:pPr>
        <w:pStyle w:val="BodyText"/>
      </w:pPr>
      <w:r>
        <w:rPr>
          <w:rFonts w:hint="eastAsia"/>
        </w:rPr>
        <w:t xml:space="preserve">楊榮文先生</w:t>
      </w:r>
    </w:p>
    <w:p>
      <w:pPr>
        <w:pStyle w:val="BodyText"/>
      </w:pPr>
      <w:r>
        <w:rPr>
          <w:rFonts w:hint="eastAsia"/>
        </w:rPr>
        <w:t xml:space="preserve">劉遵義教授</w:t>
      </w:r>
    </w:p>
    <w:p>
      <w:pPr>
        <w:pStyle w:val="BodyText"/>
      </w:pPr>
      <w:r>
        <w:t xml:space="preserve">Swee-Lian </w:t>
      </w:r>
      <w:r>
        <w:rPr>
          <w:rFonts w:hint="eastAsia"/>
        </w:rPr>
        <w:t xml:space="preserve">TEO女士</w:t>
      </w:r>
    </w:p>
    <w:p>
      <w:pPr>
        <w:pStyle w:val="BodyText"/>
      </w:pPr>
      <w:r>
        <w:t xml:space="preserve">Narongchai </w:t>
      </w:r>
      <w:r>
        <w:rPr>
          <w:rFonts w:hint="eastAsia"/>
        </w:rPr>
        <w:t xml:space="preserve">AKRASANEE博士</w:t>
      </w:r>
    </w:p>
    <w:p>
      <w:pPr>
        <w:pStyle w:val="BodyText"/>
      </w:pPr>
      <w:r>
        <w:t xml:space="preserve">Cesar Velasquez </w:t>
      </w:r>
      <w:r>
        <w:rPr>
          <w:rFonts w:hint="eastAsia"/>
        </w:rPr>
        <w:t xml:space="preserve">PURISIMA先生</w:t>
      </w:r>
    </w:p>
    <w:p>
      <w:pPr>
        <w:pStyle w:val="BodyText"/>
      </w:pPr>
      <w:r>
        <w:rPr>
          <w:rFonts w:hint="eastAsia"/>
        </w:rPr>
        <w:t xml:space="preserve">薪酬委員會</w:t>
      </w:r>
    </w:p>
    <w:p>
      <w:pPr>
        <w:pStyle w:val="BodyText"/>
      </w:pPr>
      <w:r>
        <w:rPr>
          <w:rFonts w:hint="eastAsia"/>
        </w:rPr>
        <w:t xml:space="preserve">蘇澤光先生（主席）</w:t>
      </w:r>
    </w:p>
    <w:p>
      <w:pPr>
        <w:pStyle w:val="BodyText"/>
      </w:pPr>
      <w:r>
        <w:rPr>
          <w:rFonts w:hint="eastAsia"/>
        </w:rPr>
        <w:t xml:space="preserve">楊榮文先生</w:t>
      </w:r>
    </w:p>
    <w:p>
      <w:pPr>
        <w:pStyle w:val="BodyText"/>
      </w:pPr>
      <w:r>
        <w:rPr>
          <w:rFonts w:hint="eastAsia"/>
        </w:rPr>
        <w:t xml:space="preserve">謝仕榮先生</w:t>
      </w:r>
    </w:p>
    <w:p>
      <w:pPr>
        <w:pStyle w:val="BodyText"/>
      </w:pPr>
      <w:r>
        <w:t xml:space="preserve">298</w:t>
      </w:r>
    </w:p>
    <w:p>
      <w:pPr>
        <w:pStyle w:val="BodyText"/>
      </w:pPr>
      <w:r>
        <w:rPr>
          <w:rFonts w:hint="eastAsia"/>
        </w:rPr>
        <w:t xml:space="preserve">公司資料友邦保險控股有限公司</w:t>
      </w:r>
    </w:p>
    <w:p>
      <w:pPr>
        <w:pStyle w:val="BodyText"/>
      </w:pPr>
      <w:r>
        <w:rPr>
          <w:rFonts w:hint="eastAsia"/>
        </w:rPr>
        <w:t xml:space="preserve">2010年受限制股份單位計劃</w:t>
      </w:r>
    </w:p>
    <w:p>
      <w:pPr>
        <w:pStyle w:val="BodyText"/>
      </w:pPr>
      <w:r>
        <w:rPr>
          <w:rFonts w:hint="eastAsia"/>
        </w:rPr>
        <w:t xml:space="preserve">本公司於2010年9月28日採納的受限制股份單位計劃（經修訂），據此，本公司向本公</w:t>
      </w:r>
      <w:r>
        <w:br/>
      </w:r>
      <w:r>
        <w:rPr>
          <w:rFonts w:hint="eastAsia"/>
        </w:rPr>
        <w:t xml:space="preserve">司或任何其附屬公司的僱員、董事（不包括獨立非執行董事）或主管授予受限制股份單</w:t>
      </w:r>
      <w:r>
        <w:br/>
      </w:r>
      <w:r>
        <w:rPr>
          <w:rFonts w:hint="eastAsia"/>
        </w:rPr>
        <w:t xml:space="preserve">位。在採納2020年受限制股份單位計劃前，其已於2020年7月31日終止。</w:t>
      </w:r>
    </w:p>
    <w:p>
      <w:pPr>
        <w:pStyle w:val="BodyText"/>
      </w:pPr>
      <w:r>
        <w:rPr>
          <w:rFonts w:hint="eastAsia"/>
        </w:rPr>
        <w:t xml:space="preserve">2010年購股權計劃</w:t>
      </w:r>
    </w:p>
    <w:p>
      <w:pPr>
        <w:pStyle w:val="BodyText"/>
      </w:pPr>
      <w:r>
        <w:rPr>
          <w:rFonts w:hint="eastAsia"/>
        </w:rPr>
        <w:t xml:space="preserve">2011年僱員購股計劃</w:t>
      </w:r>
    </w:p>
    <w:p>
      <w:pPr>
        <w:pStyle w:val="BodyText"/>
      </w:pPr>
      <w:r>
        <w:rPr>
          <w:rFonts w:hint="eastAsia"/>
        </w:rPr>
        <w:t xml:space="preserve">2012年代理購股計劃</w:t>
      </w:r>
    </w:p>
    <w:p>
      <w:pPr>
        <w:pStyle w:val="BodyText"/>
      </w:pPr>
      <w:r>
        <w:rPr>
          <w:rFonts w:hint="eastAsia"/>
        </w:rPr>
        <w:t xml:space="preserve">本公司於2010年9月28日採納的購股權計劃（經修訂），據此，本公司向本公司或任何</w:t>
      </w:r>
      <w:r>
        <w:br/>
      </w:r>
      <w:r>
        <w:rPr>
          <w:rFonts w:hint="eastAsia"/>
        </w:rPr>
        <w:t xml:space="preserve">其附屬公司的僱員、董事（不包括獨立非執行董事）或主管授予購股權。在採納2020年</w:t>
      </w:r>
      <w:r>
        <w:br/>
      </w:r>
      <w:r>
        <w:rPr>
          <w:rFonts w:hint="eastAsia"/>
        </w:rPr>
        <w:t xml:space="preserve">購股權計劃後，其已於2020年5月29日終止。</w:t>
      </w:r>
    </w:p>
    <w:p>
      <w:pPr>
        <w:pStyle w:val="BodyText"/>
      </w:pPr>
      <w:r>
        <w:rPr>
          <w:rFonts w:hint="eastAsia"/>
        </w:rPr>
        <w:t xml:space="preserve">本公司於2011年7月25日採納的僱員購股計劃（經修訂），乃一含配送授予的自願購股</w:t>
      </w:r>
      <w:r>
        <w:br/>
      </w:r>
      <w:r>
        <w:rPr>
          <w:rFonts w:hint="eastAsia"/>
        </w:rPr>
        <w:t xml:space="preserve">計劃以促進及鼓勵僱員持有友邦保險股份。其已於2020年10月31日（即2019/2020計劃</w:t>
      </w:r>
      <w:r>
        <w:br/>
      </w:r>
      <w:r>
        <w:rPr>
          <w:rFonts w:hint="eastAsia"/>
        </w:rPr>
        <w:t xml:space="preserve">年度的截止日期）終止。</w:t>
      </w:r>
    </w:p>
    <w:p>
      <w:pPr>
        <w:pStyle w:val="BodyText"/>
      </w:pPr>
      <w:r>
        <w:rPr>
          <w:rFonts w:hint="eastAsia"/>
        </w:rPr>
        <w:t xml:space="preserve">本公司於2012年2月23日採納的代理購股計劃，乃一含配送授予的購股計劃以促進及鼓</w:t>
      </w:r>
      <w:r>
        <w:br/>
      </w:r>
      <w:r>
        <w:rPr>
          <w:rFonts w:hint="eastAsia"/>
        </w:rPr>
        <w:t xml:space="preserve">勵代理持有友邦保險股份。其已於2021年3月31日（即2020/2021計劃年度的截止日期）</w:t>
      </w:r>
      <w:r>
        <w:br/>
      </w:r>
      <w:r>
        <w:rPr>
          <w:rFonts w:hint="eastAsia"/>
        </w:rPr>
        <w:t xml:space="preserve">終止。</w:t>
      </w:r>
    </w:p>
    <w:p>
      <w:pPr>
        <w:pStyle w:val="BodyText"/>
      </w:pPr>
      <w:r>
        <w:rPr>
          <w:rFonts w:hint="eastAsia"/>
        </w:rPr>
        <w:t xml:space="preserve">2020年僱員購股計劃</w:t>
      </w:r>
    </w:p>
    <w:p>
      <w:pPr>
        <w:pStyle w:val="BodyText"/>
      </w:pPr>
      <w:r>
        <w:rPr>
          <w:rFonts w:hint="eastAsia"/>
        </w:rPr>
        <w:t xml:space="preserve">本公司於2020年8月1日採納的僱員購股計劃，乃一含配送授予的自願購股計劃以促進</w:t>
      </w:r>
      <w:r>
        <w:br/>
      </w:r>
      <w:r>
        <w:rPr>
          <w:rFonts w:hint="eastAsia"/>
        </w:rPr>
        <w:t xml:space="preserve">及鼓勵僱員持有友邦保險股份，其有效期自採納日期起計為期10年。</w:t>
      </w:r>
    </w:p>
    <w:p>
      <w:pPr>
        <w:pStyle w:val="BodyText"/>
      </w:pPr>
      <w:r>
        <w:rPr>
          <w:rFonts w:hint="eastAsia"/>
        </w:rPr>
        <w:t xml:space="preserve">2020年受限制股份單位計劃</w:t>
      </w:r>
    </w:p>
    <w:p>
      <w:pPr>
        <w:pStyle w:val="BodyText"/>
      </w:pPr>
      <w:r>
        <w:rPr>
          <w:rFonts w:hint="eastAsia"/>
        </w:rPr>
        <w:t xml:space="preserve">本公司於2020年8月1日採納的受限制股份單位計劃，據此，本公司可向本公司或任何</w:t>
      </w:r>
      <w:r>
        <w:br/>
      </w:r>
      <w:r>
        <w:rPr>
          <w:rFonts w:hint="eastAsia"/>
        </w:rPr>
        <w:t xml:space="preserve">其附屬公司的僱員、董事（不包括獨立非執行董事）或主管授予受限制股份單位，其有</w:t>
      </w:r>
      <w:r>
        <w:br/>
      </w:r>
      <w:r>
        <w:rPr>
          <w:rFonts w:hint="eastAsia"/>
        </w:rPr>
        <w:t xml:space="preserve">效期自採納日期起計為期10年。</w:t>
      </w:r>
    </w:p>
    <w:p>
      <w:pPr>
        <w:pStyle w:val="BodyText"/>
      </w:pPr>
      <w:r>
        <w:rPr>
          <w:rFonts w:hint="eastAsia"/>
        </w:rPr>
        <w:t xml:space="preserve">2020年購股權計劃</w:t>
      </w:r>
    </w:p>
    <w:p>
      <w:pPr>
        <w:pStyle w:val="BodyText"/>
      </w:pPr>
      <w:r>
        <w:rPr>
          <w:rFonts w:hint="eastAsia"/>
        </w:rPr>
        <w:t xml:space="preserve">本公司於2020年5月29日採納的購股權計劃，據此，本公司可向本公司或任何其附屬公</w:t>
      </w:r>
      <w:r>
        <w:br/>
      </w:r>
      <w:r>
        <w:rPr>
          <w:rFonts w:hint="eastAsia"/>
        </w:rPr>
        <w:t xml:space="preserve">司的僱員、董事（不包括獨立非執行董事）或主管授予購股權，其有效期自採納日期起</w:t>
      </w:r>
      <w:r>
        <w:br/>
      </w:r>
      <w:r>
        <w:rPr>
          <w:rFonts w:hint="eastAsia"/>
        </w:rPr>
        <w:t xml:space="preserve">計為期10年。</w:t>
      </w:r>
    </w:p>
    <w:p>
      <w:pPr>
        <w:pStyle w:val="BodyText"/>
      </w:pPr>
      <w:r>
        <w:rPr>
          <w:rFonts w:hint="eastAsia"/>
        </w:rPr>
        <w:t xml:space="preserve">2021年代理購股計劃</w:t>
      </w:r>
    </w:p>
    <w:p>
      <w:pPr>
        <w:pStyle w:val="BodyText"/>
      </w:pPr>
      <w:r>
        <w:rPr>
          <w:rFonts w:hint="eastAsia"/>
        </w:rPr>
        <w:t xml:space="preserve">本公司於2021年2月1日採納的代理購股計劃，乃一含配送授予的購股計劃以促進及鼓</w:t>
      </w:r>
      <w:r>
        <w:br/>
      </w:r>
      <w:r>
        <w:rPr>
          <w:rFonts w:hint="eastAsia"/>
        </w:rPr>
        <w:t xml:space="preserve">勵代理持有友邦保險股份，其有效期自採納日期起計為期10年。</w:t>
      </w:r>
    </w:p>
    <w:p>
      <w:pPr>
        <w:pStyle w:val="BodyText"/>
      </w:pPr>
      <w:r>
        <w:rPr>
          <w:rFonts w:hint="eastAsia"/>
        </w:rPr>
        <w:t xml:space="preserve">活躍代理</w:t>
      </w:r>
    </w:p>
    <w:p>
      <w:pPr>
        <w:pStyle w:val="BodyText"/>
      </w:pPr>
      <w:r>
        <w:rPr>
          <w:rFonts w:hint="eastAsia"/>
        </w:rPr>
        <w:t xml:space="preserve">每月售出最少一份保單的代理。</w:t>
      </w:r>
    </w:p>
    <w:p>
      <w:pPr>
        <w:pStyle w:val="BodyText"/>
      </w:pPr>
      <w:r>
        <w:t xml:space="preserve">299</w:t>
      </w:r>
    </w:p>
    <w:p>
      <w:pPr>
        <w:pStyle w:val="BodyText"/>
      </w:pPr>
      <w:r>
        <w:rPr>
          <w:rFonts w:hint="eastAsia"/>
        </w:rPr>
        <w:t xml:space="preserve">詞彙概覽財務及營運回顧企業管治其他資料財務報表2020年報</w:t>
      </w:r>
    </w:p>
    <w:p>
      <w:pPr>
        <w:pStyle w:val="BodyText"/>
      </w:pPr>
      <w:r>
        <w:rPr>
          <w:rFonts w:hint="eastAsia"/>
        </w:rPr>
        <w:t xml:space="preserve">活躍市場</w:t>
      </w:r>
    </w:p>
    <w:p>
      <w:pPr>
        <w:pStyle w:val="BodyText"/>
      </w:pPr>
      <w:r>
        <w:rPr>
          <w:rFonts w:hint="eastAsia"/>
        </w:rPr>
        <w:t xml:space="preserve">存在下列全部情況的市場：</w:t>
      </w:r>
    </w:p>
    <w:p>
      <w:pPr>
        <w:pStyle w:val="BodyText"/>
      </w:pPr>
      <w:r>
        <w:t xml:space="preserve">•</w:t>
      </w:r>
    </w:p>
    <w:p>
      <w:pPr>
        <w:pStyle w:val="BodyText"/>
      </w:pPr>
      <w:r>
        <w:t xml:space="preserve">•</w:t>
      </w:r>
    </w:p>
    <w:p>
      <w:pPr>
        <w:pStyle w:val="BodyText"/>
      </w:pPr>
      <w:r>
        <w:t xml:space="preserve">•</w:t>
      </w:r>
    </w:p>
    <w:p>
      <w:pPr>
        <w:pStyle w:val="BodyText"/>
      </w:pPr>
      <w:r>
        <w:rPr>
          <w:rFonts w:hint="eastAsia"/>
        </w:rPr>
        <w:t xml:space="preserve">市場內買賣的項目相似；</w:t>
      </w:r>
    </w:p>
    <w:p>
      <w:pPr>
        <w:pStyle w:val="BodyText"/>
      </w:pPr>
      <w:r>
        <w:rPr>
          <w:rFonts w:hint="eastAsia"/>
        </w:rPr>
        <w:t xml:space="preserve">可隨時找到自願的買家及賣家；及</w:t>
      </w:r>
    </w:p>
    <w:p>
      <w:pPr>
        <w:pStyle w:val="BodyText"/>
      </w:pPr>
      <w:r>
        <w:rPr>
          <w:rFonts w:hint="eastAsia"/>
        </w:rPr>
        <w:t xml:space="preserve">公眾可知悉價格。</w:t>
      </w:r>
    </w:p>
    <w:p>
      <w:pPr>
        <w:pStyle w:val="BodyText"/>
      </w:pPr>
      <w:r>
        <w:rPr>
          <w:rFonts w:hint="eastAsia"/>
        </w:rPr>
        <w:t xml:space="preserve">經調整資產淨值</w:t>
      </w:r>
    </w:p>
    <w:p>
      <w:pPr>
        <w:pStyle w:val="BodyText"/>
      </w:pPr>
      <w:r>
        <w:rPr>
          <w:rFonts w:hint="eastAsia"/>
        </w:rPr>
        <w:t xml:space="preserve">倘報價可通過交易所、經銷商、經紀、行業組別、定價服務或監管機構隨時及定期獲</w:t>
      </w:r>
      <w:r>
        <w:br/>
      </w:r>
      <w:r>
        <w:rPr>
          <w:rFonts w:hint="eastAsia"/>
        </w:rPr>
        <w:t xml:space="preserve">得，而該等價格指按公平原則實際及經常發生的市場交易，則金融工具被視為可在活</w:t>
      </w:r>
      <w:r>
        <w:br/>
      </w:r>
      <w:r>
        <w:rPr>
          <w:rFonts w:hint="eastAsia"/>
        </w:rPr>
        <w:t xml:space="preserve">躍市場中報價。</w:t>
      </w:r>
    </w:p>
    <w:p>
      <w:pPr>
        <w:pStyle w:val="BodyText"/>
      </w:pPr>
      <w:r>
        <w:rPr>
          <w:rFonts w:hint="eastAsia"/>
        </w:rPr>
        <w:t xml:space="preserve">經調整資產淨值為資產市值超出用以支持友邦保險壽險（及類似）業務的保單準備金及</w:t>
      </w:r>
      <w:r>
        <w:br/>
      </w:r>
      <w:r>
        <w:rPr>
          <w:rFonts w:hint="eastAsia"/>
        </w:rPr>
        <w:t xml:space="preserve">其他負債的資產的數額，加上其他業務（例如一般保險業務）的國際財務報告準則權益</w:t>
      </w:r>
      <w:r>
        <w:br/>
      </w:r>
      <w:r>
        <w:rPr>
          <w:rFonts w:hint="eastAsia"/>
        </w:rPr>
        <w:t xml:space="preserve">價值再減去無形資產的價值。經調整資產淨值不包括非友邦保險控股有限公司股東應</w:t>
      </w:r>
      <w:r>
        <w:br/>
      </w:r>
      <w:r>
        <w:rPr>
          <w:rFonts w:hint="eastAsia"/>
        </w:rPr>
        <w:t xml:space="preserve">佔的任何數額。友邦保險的經調整資產淨值乃反映為符合合併準備金要求所作調整後</w:t>
      </w:r>
      <w:r>
        <w:br/>
      </w:r>
      <w:r>
        <w:rPr>
          <w:rFonts w:hint="eastAsia"/>
        </w:rPr>
        <w:t xml:space="preserve">列示。按市場劃分的經調整資產淨值乃在反映為符合合併準備金要求所作調整前，按</w:t>
      </w:r>
      <w:r>
        <w:br/>
      </w:r>
      <w:r>
        <w:rPr>
          <w:rFonts w:hint="eastAsia"/>
        </w:rPr>
        <w:t xml:space="preserve">當地法定基準列示。</w:t>
      </w:r>
    </w:p>
    <w:p>
      <w:pPr>
        <w:pStyle w:val="BodyText"/>
      </w:pPr>
      <w:r>
        <w:rPr>
          <w:rFonts w:hint="eastAsia"/>
        </w:rPr>
        <w:t xml:space="preserve">實質匯率</w:t>
      </w:r>
    </w:p>
    <w:p>
      <w:pPr>
        <w:pStyle w:val="BodyText"/>
      </w:pPr>
      <w:r>
        <w:rPr>
          <w:rFonts w:hint="eastAsia"/>
        </w:rPr>
        <w:t xml:space="preserve">實質匯率。</w:t>
      </w:r>
    </w:p>
    <w:p>
      <w:pPr>
        <w:pStyle w:val="BodyText"/>
      </w:pPr>
      <w:r>
        <w:rPr>
          <w:rFonts w:hint="eastAsia"/>
        </w:rPr>
        <w:t xml:space="preserve">股東週年大會</w:t>
      </w:r>
    </w:p>
    <w:p>
      <w:pPr>
        <w:pStyle w:val="BodyText"/>
      </w:pPr>
      <w:r>
        <w:rPr>
          <w:rFonts w:hint="eastAsia"/>
        </w:rPr>
        <w:t xml:space="preserve">本公司將於2021年5月20日（星期四）上午11時正（香港時間）舉行的2021年度股東週年</w:t>
      </w:r>
      <w:r>
        <w:br/>
      </w:r>
      <w:r>
        <w:rPr>
          <w:rFonts w:hint="eastAsia"/>
        </w:rPr>
        <w:t xml:space="preserve">大會。</w:t>
      </w:r>
    </w:p>
    <w:p>
      <w:pPr>
        <w:pStyle w:val="BodyText"/>
      </w:pPr>
      <w:r>
        <w:rPr>
          <w:rFonts w:hint="eastAsia"/>
        </w:rPr>
        <w:t xml:space="preserve">友邦保險或本集團</w:t>
      </w:r>
    </w:p>
    <w:p>
      <w:pPr>
        <w:pStyle w:val="BodyText"/>
      </w:pPr>
      <w:r>
        <w:rPr>
          <w:rFonts w:hint="eastAsia"/>
        </w:rPr>
        <w:t xml:space="preserve">友邦保險控股有限公司及其附屬公司。</w:t>
      </w:r>
    </w:p>
    <w:p>
      <w:pPr>
        <w:pStyle w:val="BodyText"/>
      </w:pPr>
      <w:r>
        <w:t xml:space="preserve">AIA Co.</w:t>
      </w:r>
    </w:p>
    <w:p>
      <w:pPr>
        <w:pStyle w:val="BodyText"/>
      </w:pPr>
      <w:r>
        <w:rPr>
          <w:rFonts w:hint="eastAsia"/>
        </w:rPr>
        <w:t xml:space="preserve">友邦保險有限公司，一家於香港註冊成立的公司，並為本公司的附屬公司。</w:t>
      </w:r>
    </w:p>
    <w:p>
      <w:pPr>
        <w:pStyle w:val="BodyText"/>
      </w:pPr>
      <w:r>
        <w:t xml:space="preserve">AIA International</w:t>
      </w:r>
    </w:p>
    <w:p>
      <w:pPr>
        <w:pStyle w:val="BodyText"/>
      </w:pPr>
      <w:r>
        <w:rPr>
          <w:rFonts w:hint="eastAsia"/>
        </w:rPr>
        <w:t xml:space="preserve">友邦保險（國際）有限公司，一家於百慕達註冊成立的公司，並為本公司的間接附屬公</w:t>
      </w:r>
      <w:r>
        <w:br/>
      </w:r>
      <w:r>
        <w:rPr>
          <w:rFonts w:hint="eastAsia"/>
        </w:rPr>
        <w:t xml:space="preserve">司。</w:t>
      </w:r>
    </w:p>
    <w:p>
      <w:pPr>
        <w:pStyle w:val="BodyText"/>
      </w:pPr>
      <w:r>
        <w:rPr>
          <w:rFonts w:hint="eastAsia"/>
        </w:rPr>
        <w:t xml:space="preserve">以科學數據為依據的健康計劃，為參與者提供知識、工具和激勵，以協助他們達到</w:t>
      </w:r>
      <w:r>
        <w:br/>
      </w:r>
      <w:r>
        <w:rPr>
          <w:rFonts w:hint="eastAsia"/>
        </w:rPr>
        <w:t xml:space="preserve">其個人健康目標。該計劃由友邦保險與夥伴Discovery</w:t>
      </w:r>
      <w:r>
        <w:t xml:space="preserve"> </w:t>
      </w:r>
      <w:r>
        <w:rPr>
          <w:rFonts w:hint="eastAsia"/>
        </w:rPr>
        <w:t xml:space="preserve">Limited合作營運，Discovery</w:t>
      </w:r>
      <w:r>
        <w:br/>
      </w:r>
      <w:r>
        <w:rPr>
          <w:rFonts w:hint="eastAsia"/>
        </w:rPr>
        <w:t xml:space="preserve">Limited為一家總部設於南非的專門保險公司。</w:t>
      </w:r>
    </w:p>
    <w:p>
      <w:pPr>
        <w:pStyle w:val="BodyText"/>
      </w:pPr>
      <w:r>
        <w:rPr>
          <w:rFonts w:hint="eastAsia"/>
        </w:rPr>
        <w:t xml:space="preserve">美國國際集團(American</w:t>
      </w:r>
      <w:r>
        <w:t xml:space="preserve"> International Group, Inc.)。</w:t>
      </w:r>
    </w:p>
    <w:p>
      <w:pPr>
        <w:pStyle w:val="BodyText"/>
      </w:pPr>
      <w:r>
        <w:rPr>
          <w:rFonts w:hint="eastAsia"/>
        </w:rPr>
        <w:t xml:space="preserve">位於泰國曼谷的AIA</w:t>
      </w:r>
      <w:r>
        <w:t xml:space="preserve"> Leadership Centre。</w:t>
      </w:r>
    </w:p>
    <w:p>
      <w:pPr>
        <w:pStyle w:val="BodyText"/>
      </w:pPr>
      <w:r>
        <w:rPr>
          <w:rFonts w:hint="eastAsia"/>
        </w:rPr>
        <w:t xml:space="preserve">金融資產或金融負債於初次確認時計量的金額減去本金還款，然後使用實際利率法增</w:t>
      </w:r>
      <w:r>
        <w:br/>
      </w:r>
      <w:r>
        <w:rPr>
          <w:rFonts w:hint="eastAsia"/>
        </w:rPr>
        <w:t xml:space="preserve">減初始金額與到期金額之間任何差額的累計攤銷，再減去任何減值或不可回收款項。</w:t>
      </w:r>
    </w:p>
    <w:p>
      <w:pPr>
        <w:pStyle w:val="BodyText"/>
      </w:pPr>
      <w:r>
        <w:t xml:space="preserve">AIA Vitality</w:t>
      </w:r>
    </w:p>
    <w:p>
      <w:pPr>
        <w:pStyle w:val="BodyText"/>
      </w:pPr>
      <w:r>
        <w:t xml:space="preserve">AIG</w:t>
      </w:r>
    </w:p>
    <w:p>
      <w:pPr>
        <w:pStyle w:val="BodyText"/>
      </w:pPr>
      <w:r>
        <w:t xml:space="preserve">ALC</w:t>
      </w:r>
    </w:p>
    <w:p>
      <w:pPr>
        <w:pStyle w:val="BodyText"/>
      </w:pPr>
      <w:r>
        <w:rPr>
          <w:rFonts w:hint="eastAsia"/>
        </w:rPr>
        <w:t xml:space="preserve">攤銷成本</w:t>
      </w:r>
    </w:p>
    <w:p>
      <w:pPr>
        <w:pStyle w:val="BodyText"/>
      </w:pPr>
      <w:r>
        <w:t xml:space="preserve">300</w:t>
      </w:r>
    </w:p>
    <w:p>
      <w:pPr>
        <w:pStyle w:val="BodyText"/>
      </w:pPr>
      <w:r>
        <w:rPr>
          <w:rFonts w:hint="eastAsia"/>
        </w:rPr>
        <w:t xml:space="preserve">友邦保險控股有限公司</w:t>
      </w:r>
    </w:p>
    <w:p>
      <w:pPr>
        <w:pStyle w:val="BodyText"/>
      </w:pPr>
      <w:r>
        <w:rPr>
          <w:rFonts w:hint="eastAsia"/>
        </w:rPr>
        <w:t xml:space="preserve">年化新保費</w:t>
      </w:r>
    </w:p>
    <w:p>
      <w:pPr>
        <w:pStyle w:val="BodyText"/>
      </w:pPr>
      <w:r>
        <w:rPr>
          <w:rFonts w:hint="eastAsia"/>
        </w:rPr>
        <w:t xml:space="preserve">亞洲</w:t>
      </w:r>
    </w:p>
    <w:p>
      <w:pPr>
        <w:pStyle w:val="BodyText"/>
      </w:pPr>
      <w:r>
        <w:rPr>
          <w:rFonts w:hint="eastAsia"/>
        </w:rPr>
        <w:t xml:space="preserve">年化新保費指再保險分出前年化首年保費100%及整付保費10%之總和計算。年化新保</w:t>
      </w:r>
      <w:r>
        <w:br/>
      </w:r>
      <w:r>
        <w:rPr>
          <w:rFonts w:hint="eastAsia"/>
        </w:rPr>
        <w:t xml:space="preserve">費用作友邦保險衡量新業務的內部指標。年化新保費不包括退休金業務、個人險種及</w:t>
      </w:r>
      <w:r>
        <w:br/>
      </w:r>
      <w:r>
        <w:rPr>
          <w:rFonts w:hint="eastAsia"/>
        </w:rPr>
        <w:t xml:space="preserve">汽車保險等新業務。就團體續保業務而言，年化新保費包括現有計劃中比上年度保費</w:t>
      </w:r>
      <w:r>
        <w:br/>
      </w:r>
      <w:r>
        <w:rPr>
          <w:rFonts w:hint="eastAsia"/>
        </w:rPr>
        <w:t xml:space="preserve">高出的任何應付保費。</w:t>
      </w:r>
    </w:p>
    <w:p>
      <w:pPr>
        <w:pStyle w:val="BodyText"/>
      </w:pPr>
      <w:r>
        <w:rPr>
          <w:rFonts w:hint="eastAsia"/>
        </w:rPr>
        <w:t xml:space="preserve">中國內地、香港特別行政區、泰國、新加坡、馬來西亞、澳洲、柬埔寨、印尼、緬</w:t>
      </w:r>
      <w:r>
        <w:br/>
      </w:r>
      <w:r>
        <w:rPr>
          <w:rFonts w:hint="eastAsia"/>
        </w:rPr>
        <w:t xml:space="preserve">甸、菲律賓、南韓、斯里蘭卡、中國台灣、越南、汶萊、澳門特別行政區、新西蘭及</w:t>
      </w:r>
      <w:r>
        <w:br/>
      </w:r>
      <w:r>
        <w:rPr>
          <w:rFonts w:hint="eastAsia"/>
        </w:rPr>
        <w:t xml:space="preserve">印度。</w:t>
      </w:r>
    </w:p>
    <w:p>
      <w:pPr>
        <w:pStyle w:val="BodyText"/>
      </w:pPr>
      <w:r>
        <w:rPr>
          <w:rFonts w:hint="eastAsia"/>
        </w:rPr>
        <w:t xml:space="preserve">可供出售(AFS)金融資產</w:t>
      </w:r>
    </w:p>
    <w:p>
      <w:pPr>
        <w:pStyle w:val="BodyText"/>
      </w:pPr>
      <w:r>
        <w:rPr>
          <w:rFonts w:hint="eastAsia"/>
        </w:rPr>
        <w:t xml:space="preserve">可於到期前出售及用於擔保保險及投資合約負債及股東權益且並非按公平值基準管理</w:t>
      </w:r>
      <w:r>
        <w:br/>
      </w:r>
      <w:r>
        <w:rPr>
          <w:rFonts w:hint="eastAsia"/>
        </w:rPr>
        <w:t xml:space="preserve">的金融資產。分類為可供出售，或不納入貸款及應收款項或按公平值計入損益的金融</w:t>
      </w:r>
      <w:r>
        <w:br/>
      </w:r>
      <w:r>
        <w:rPr>
          <w:rFonts w:hint="eastAsia"/>
        </w:rPr>
        <w:t xml:space="preserve">資產的非衍生金融資產。可供出售金融工具按公平值計量，而公平值變動則計入其他</w:t>
      </w:r>
      <w:r>
        <w:br/>
      </w:r>
      <w:r>
        <w:rPr>
          <w:rFonts w:hint="eastAsia"/>
        </w:rPr>
        <w:t xml:space="preserve">全面收入。</w:t>
      </w:r>
    </w:p>
    <w:p>
      <w:pPr>
        <w:pStyle w:val="BodyText"/>
      </w:pPr>
      <w:r>
        <w:rPr>
          <w:rFonts w:hint="eastAsia"/>
        </w:rPr>
        <w:t xml:space="preserve">銀行保險</w:t>
      </w:r>
    </w:p>
    <w:p>
      <w:pPr>
        <w:pStyle w:val="BodyText"/>
      </w:pPr>
      <w:r>
        <w:rPr>
          <w:rFonts w:hint="eastAsia"/>
        </w:rPr>
        <w:t xml:space="preserve">透過銀行或其他金融機構分銷保險產品。</w:t>
      </w:r>
    </w:p>
    <w:p>
      <w:pPr>
        <w:pStyle w:val="BodyText"/>
      </w:pPr>
      <w:r>
        <w:rPr>
          <w:rFonts w:hint="eastAsia"/>
        </w:rPr>
        <w:t xml:space="preserve">稅基侵蝕和利潤轉移2.0</w:t>
      </w:r>
    </w:p>
    <w:p>
      <w:pPr>
        <w:pStyle w:val="BodyText"/>
      </w:pPr>
      <w:r>
        <w:rPr>
          <w:rFonts w:hint="eastAsia"/>
        </w:rPr>
        <w:t xml:space="preserve">經濟合作與發展組織工作計劃的通用名稱，是為就經合組織</w:t>
      </w:r>
      <w:r>
        <w:t xml:space="preserve"> </w:t>
      </w:r>
      <w:r>
        <w:rPr>
          <w:rFonts w:hint="eastAsia"/>
        </w:rPr>
        <w:t xml:space="preserve">∕二十國集團稅基侵蝕和</w:t>
      </w:r>
      <w:r>
        <w:br/>
      </w:r>
      <w:r>
        <w:rPr>
          <w:rFonts w:hint="eastAsia"/>
        </w:rPr>
        <w:t xml:space="preserve">利潤轉移方案的包容性框架的139個司法權區成員協定的因經濟數碼化帶來的稅收挑戰</w:t>
      </w:r>
      <w:r>
        <w:br/>
      </w:r>
      <w:r>
        <w:rPr>
          <w:rFonts w:hint="eastAsia"/>
        </w:rPr>
        <w:t xml:space="preserve">制定一致解決方案。該項工作具有兩大核心。第一個核心涉及司法權區之間徵稅權利</w:t>
      </w:r>
      <w:r>
        <w:br/>
      </w:r>
      <w:r>
        <w:rPr>
          <w:rFonts w:hint="eastAsia"/>
        </w:rPr>
        <w:t xml:space="preserve">的分配，而第二個核心旨在為跨國企業建立全球最低稅率。</w:t>
      </w:r>
    </w:p>
    <w:p>
      <w:pPr>
        <w:pStyle w:val="BodyText"/>
      </w:pPr>
      <w:r>
        <w:rPr>
          <w:rFonts w:hint="eastAsia"/>
        </w:rPr>
        <w:t xml:space="preserve">董事會</w:t>
      </w:r>
    </w:p>
    <w:p>
      <w:pPr>
        <w:pStyle w:val="BodyText"/>
      </w:pPr>
      <w:r>
        <w:t xml:space="preserve">CBA</w:t>
      </w:r>
    </w:p>
    <w:p>
      <w:pPr>
        <w:pStyle w:val="BodyText"/>
      </w:pPr>
      <w:r>
        <w:rPr>
          <w:rFonts w:hint="eastAsia"/>
        </w:rPr>
        <w:t xml:space="preserve">固定匯率</w:t>
      </w:r>
    </w:p>
    <w:p>
      <w:pPr>
        <w:pStyle w:val="BodyText"/>
      </w:pPr>
      <w:r>
        <w:t xml:space="preserve">CMLA</w:t>
      </w:r>
    </w:p>
    <w:p>
      <w:pPr>
        <w:pStyle w:val="BodyText"/>
      </w:pPr>
      <w:r>
        <w:rPr>
          <w:rFonts w:hint="eastAsia"/>
        </w:rPr>
        <w:t xml:space="preserve">本公司</w:t>
      </w:r>
    </w:p>
    <w:p>
      <w:pPr>
        <w:pStyle w:val="BodyText"/>
      </w:pPr>
      <w:r>
        <w:rPr>
          <w:rFonts w:hint="eastAsia"/>
        </w:rPr>
        <w:t xml:space="preserve">由本公司董事組成的董事會。</w:t>
      </w:r>
    </w:p>
    <w:p>
      <w:pPr>
        <w:pStyle w:val="BodyText"/>
      </w:pPr>
      <w:r>
        <w:t xml:space="preserve">Commonwealth Bank of </w:t>
      </w:r>
      <w:r>
        <w:rPr>
          <w:rFonts w:hint="eastAsia"/>
        </w:rPr>
        <w:t xml:space="preserve">Australia（澳洲聯邦銀行）。</w:t>
      </w:r>
    </w:p>
    <w:p>
      <w:pPr>
        <w:pStyle w:val="BodyText"/>
      </w:pPr>
      <w:r>
        <w:rPr>
          <w:rFonts w:hint="eastAsia"/>
        </w:rPr>
        <w:t xml:space="preserve">固定匯率。固定匯率變動乃以固定平均匯率計算當前年度和先前年度的所有數字，惟</w:t>
      </w:r>
      <w:r>
        <w:br/>
      </w:r>
      <w:r>
        <w:rPr>
          <w:rFonts w:hint="eastAsia"/>
        </w:rPr>
        <w:t xml:space="preserve">資產負債表項目則以固定匯率計算當前年度末及先前年度末的數字。</w:t>
      </w:r>
    </w:p>
    <w:p>
      <w:pPr>
        <w:pStyle w:val="BodyText"/>
      </w:pPr>
      <w:r>
        <w:t xml:space="preserve">The Colonial Mutual Life Assurance Society </w:t>
      </w:r>
      <w:r>
        <w:rPr>
          <w:rFonts w:hint="eastAsia"/>
        </w:rPr>
        <w:t xml:space="preserve">Limited（包括其聯屬公司），澳洲最大的壽</w:t>
      </w:r>
      <w:r>
        <w:br/>
      </w:r>
      <w:r>
        <w:rPr>
          <w:rFonts w:hint="eastAsia"/>
        </w:rPr>
        <w:t xml:space="preserve">險供應商之一。</w:t>
      </w:r>
    </w:p>
    <w:p>
      <w:pPr>
        <w:pStyle w:val="BodyText"/>
      </w:pPr>
      <w:r>
        <w:rPr>
          <w:rFonts w:hint="eastAsia"/>
        </w:rPr>
        <w:t xml:space="preserve">友邦保險控股有限公司，一家於香港註冊成立的有限公司，其股份於香港聯交所主板</w:t>
      </w:r>
      <w:r>
        <w:br/>
      </w:r>
      <w:r>
        <w:rPr>
          <w:rFonts w:hint="eastAsia"/>
        </w:rPr>
        <w:t xml:space="preserve">上市（股份代號：1299）。</w:t>
      </w:r>
    </w:p>
    <w:p>
      <w:pPr>
        <w:pStyle w:val="BodyText"/>
      </w:pPr>
      <w:r>
        <w:t xml:space="preserve">301</w:t>
      </w:r>
    </w:p>
    <w:p>
      <w:pPr>
        <w:pStyle w:val="BodyText"/>
      </w:pPr>
      <w:r>
        <w:rPr>
          <w:rFonts w:hint="eastAsia"/>
        </w:rPr>
        <w:t xml:space="preserve">概覽財務及營運回顧企業管治其他資料財務報表2020年報</w:t>
      </w:r>
    </w:p>
    <w:p>
      <w:pPr>
        <w:pStyle w:val="BodyText"/>
      </w:pPr>
      <w:r>
        <w:rPr>
          <w:rFonts w:hint="eastAsia"/>
        </w:rPr>
        <w:t xml:space="preserve">合併投資基金</w:t>
      </w:r>
    </w:p>
    <w:p>
      <w:pPr>
        <w:pStyle w:val="BodyText"/>
      </w:pPr>
      <w:r>
        <w:rPr>
          <w:rFonts w:hint="eastAsia"/>
        </w:rPr>
        <w:t xml:space="preserve">本集團從中擁有權益及權力可規管其相關業務從而影響基金回報的投資基金。</w:t>
      </w:r>
    </w:p>
    <w:p>
      <w:pPr>
        <w:pStyle w:val="BodyText"/>
      </w:pPr>
      <w:r>
        <w:rPr>
          <w:rFonts w:hint="eastAsia"/>
        </w:rPr>
        <w:t xml:space="preserve">企業管治守則</w:t>
      </w:r>
    </w:p>
    <w:p>
      <w:pPr>
        <w:pStyle w:val="BodyText"/>
      </w:pPr>
      <w:r>
        <w:rPr>
          <w:rFonts w:hint="eastAsia"/>
        </w:rPr>
        <w:t xml:space="preserve">上市規則附錄十四所載的《企業管治守則》。</w:t>
      </w:r>
    </w:p>
    <w:p>
      <w:pPr>
        <w:pStyle w:val="BodyText"/>
      </w:pPr>
      <w:r>
        <w:rPr>
          <w:rFonts w:hint="eastAsia"/>
        </w:rPr>
        <w:t xml:space="preserve">所需資本成本</w:t>
      </w:r>
    </w:p>
    <w:p>
      <w:pPr>
        <w:pStyle w:val="BodyText"/>
      </w:pPr>
      <w:r>
        <w:rPr>
          <w:rFonts w:hint="eastAsia"/>
        </w:rPr>
        <w:t xml:space="preserve">所需資本成本乃按於估值日期的所需資本面值減去支持所需資本的股東資產的除稅後</w:t>
      </w:r>
      <w:r>
        <w:br/>
      </w:r>
      <w:r>
        <w:rPr>
          <w:rFonts w:hint="eastAsia"/>
        </w:rPr>
        <w:t xml:space="preserve">投資回報淨額的現值，再減去預計從支持所需資本的資產撥回的現值計算。當所需資</w:t>
      </w:r>
      <w:r>
        <w:br/>
      </w:r>
      <w:r>
        <w:rPr>
          <w:rFonts w:hint="eastAsia"/>
        </w:rPr>
        <w:t xml:space="preserve">本可能有保單持有人資產支持，如分紅基金中的盈餘資產，有關的所需資本成本將不</w:t>
      </w:r>
      <w:r>
        <w:br/>
      </w:r>
      <w:r>
        <w:rPr>
          <w:rFonts w:hint="eastAsia"/>
        </w:rPr>
        <w:t xml:space="preserve">包括在有效保單業務價值或新業務價值之中。友邦保險的所需資本成本乃反映為符合</w:t>
      </w:r>
      <w:r>
        <w:br/>
      </w:r>
      <w:r>
        <w:rPr>
          <w:rFonts w:hint="eastAsia"/>
        </w:rPr>
        <w:t xml:space="preserve">合併資本要求所作調整後列示。按市場劃分的所需資本成本乃在反映為符合合併資本</w:t>
      </w:r>
      <w:r>
        <w:br/>
      </w:r>
      <w:r>
        <w:rPr>
          <w:rFonts w:hint="eastAsia"/>
        </w:rPr>
        <w:t xml:space="preserve">要求所作調整前，按當地法定基準列示。</w:t>
      </w:r>
    </w:p>
    <w:p>
      <w:pPr>
        <w:pStyle w:val="BodyText"/>
      </w:pPr>
      <w:r>
        <w:rPr>
          <w:rFonts w:hint="eastAsia"/>
        </w:rPr>
        <w:t xml:space="preserve">2019冠狀病毒病</w:t>
      </w:r>
    </w:p>
    <w:p>
      <w:pPr>
        <w:pStyle w:val="BodyText"/>
      </w:pPr>
      <w:r>
        <w:rPr>
          <w:rFonts w:hint="eastAsia"/>
        </w:rPr>
        <w:t xml:space="preserve">2019冠狀病毒病是近期發現由冠狀病毒所導致的傳染病。</w:t>
      </w:r>
    </w:p>
    <w:p>
      <w:pPr>
        <w:pStyle w:val="BodyText"/>
      </w:pPr>
      <w:r>
        <w:rPr>
          <w:rFonts w:hint="eastAsia"/>
        </w:rPr>
        <w:t xml:space="preserve">交易政策</w:t>
      </w:r>
    </w:p>
    <w:p>
      <w:pPr>
        <w:pStyle w:val="BodyText"/>
      </w:pPr>
      <w:r>
        <w:rPr>
          <w:rFonts w:hint="eastAsia"/>
        </w:rPr>
        <w:t xml:space="preserve">本公司的董事及主要行政人員交易政策。</w:t>
      </w:r>
    </w:p>
    <w:p>
      <w:pPr>
        <w:pStyle w:val="BodyText"/>
      </w:pPr>
      <w:r>
        <w:rPr>
          <w:rFonts w:hint="eastAsia"/>
        </w:rPr>
        <w:t xml:space="preserve">遞延承保成本</w:t>
      </w:r>
    </w:p>
    <w:p>
      <w:pPr>
        <w:pStyle w:val="BodyText"/>
      </w:pPr>
      <w:r>
        <w:rPr>
          <w:rFonts w:hint="eastAsia"/>
        </w:rPr>
        <w:t xml:space="preserve">遞延啟動成本</w:t>
      </w:r>
    </w:p>
    <w:p>
      <w:pPr>
        <w:pStyle w:val="BodyText"/>
      </w:pPr>
      <w:r>
        <w:rPr>
          <w:rFonts w:hint="eastAsia"/>
        </w:rPr>
        <w:t xml:space="preserve">董事</w:t>
      </w:r>
    </w:p>
    <w:p>
      <w:pPr>
        <w:pStyle w:val="BodyText"/>
      </w:pPr>
      <w:r>
        <w:rPr>
          <w:rFonts w:hint="eastAsia"/>
        </w:rPr>
        <w:t xml:space="preserve">內涵價值</w:t>
      </w:r>
    </w:p>
    <w:p>
      <w:pPr>
        <w:pStyle w:val="BodyText"/>
      </w:pPr>
      <w:r>
        <w:rPr>
          <w:rFonts w:hint="eastAsia"/>
        </w:rPr>
        <w:t xml:space="preserve">保險公司承保新保險合約或續保現有保險合約的開支，包括佣金、其他變額銷售獎勵</w:t>
      </w:r>
      <w:r>
        <w:br/>
      </w:r>
      <w:r>
        <w:rPr>
          <w:rFonts w:hint="eastAsia"/>
        </w:rPr>
        <w:t xml:space="preserve">以及與發出保單有關的直接成本，例如核保及其他保單發出開支。該等成本有系統地</w:t>
      </w:r>
      <w:r>
        <w:br/>
      </w:r>
      <w:r>
        <w:rPr>
          <w:rFonts w:hint="eastAsia"/>
        </w:rPr>
        <w:t xml:space="preserve">於保單期限內在合併收入表遞延及支銷。該等資產至少每年進行可回收性測試。</w:t>
      </w:r>
    </w:p>
    <w:p>
      <w:pPr>
        <w:pStyle w:val="BodyText"/>
      </w:pPr>
      <w:r>
        <w:rPr>
          <w:rFonts w:hint="eastAsia"/>
        </w:rPr>
        <w:t xml:space="preserve">新投資合約啟動或現有投資合約續約的開支。就涉及提供投資管理服務的合約而言，</w:t>
      </w:r>
      <w:r>
        <w:br/>
      </w:r>
      <w:r>
        <w:rPr>
          <w:rFonts w:hint="eastAsia"/>
        </w:rPr>
        <w:t xml:space="preserve">該等成本包括佣金及其他與開出各新合約直接相關的新增開支。投資管理服務的合約</w:t>
      </w:r>
      <w:r>
        <w:br/>
      </w:r>
      <w:r>
        <w:rPr>
          <w:rFonts w:hint="eastAsia"/>
        </w:rPr>
        <w:t xml:space="preserve">啟動成本於合併財務狀況表遞延及確認為資產，並以與提供投資管理服務所產生的收</w:t>
      </w:r>
      <w:r>
        <w:br/>
      </w:r>
      <w:r>
        <w:rPr>
          <w:rFonts w:hint="eastAsia"/>
        </w:rPr>
        <w:t xml:space="preserve">入一致的方式，有系統地於合併收入表支銷。該等資產會進行可回收性測試。</w:t>
      </w:r>
    </w:p>
    <w:p>
      <w:pPr>
        <w:pStyle w:val="BodyText"/>
      </w:pPr>
      <w:r>
        <w:rPr>
          <w:rFonts w:hint="eastAsia"/>
        </w:rPr>
        <w:t xml:space="preserve">本公司董事。</w:t>
      </w:r>
    </w:p>
    <w:p>
      <w:pPr>
        <w:pStyle w:val="BodyText"/>
      </w:pPr>
      <w:r>
        <w:rPr>
          <w:rFonts w:hint="eastAsia"/>
        </w:rPr>
        <w:t xml:space="preserve">根據對未來經驗的一系列特定假設，以精算方法釐定壽險業務的估計經濟價值，但不</w:t>
      </w:r>
      <w:r>
        <w:br/>
      </w:r>
      <w:r>
        <w:rPr>
          <w:rFonts w:hint="eastAsia"/>
        </w:rPr>
        <w:t xml:space="preserve">包括任何未來新業務的經濟價值。友邦保險的內涵價值乃反映為符合合併準備金及資</w:t>
      </w:r>
      <w:r>
        <w:br/>
      </w:r>
      <w:r>
        <w:rPr>
          <w:rFonts w:hint="eastAsia"/>
        </w:rPr>
        <w:t xml:space="preserve">本要求所作調整，以及未分配集團總部開支的稅後價值後列示。按市場劃分的內涵價</w:t>
      </w:r>
      <w:r>
        <w:br/>
      </w:r>
      <w:r>
        <w:rPr>
          <w:rFonts w:hint="eastAsia"/>
        </w:rPr>
        <w:t xml:space="preserve">值乃在反映為符合合併準備金及資本要求所作調整以及未分配集團總部開支前，按當</w:t>
      </w:r>
      <w:r>
        <w:br/>
      </w:r>
      <w:r>
        <w:rPr>
          <w:rFonts w:hint="eastAsia"/>
        </w:rPr>
        <w:t xml:space="preserve">地法定基準列示。</w:t>
      </w:r>
    </w:p>
    <w:p>
      <w:pPr>
        <w:pStyle w:val="BodyText"/>
      </w:pPr>
      <w:r>
        <w:rPr>
          <w:rFonts w:hint="eastAsia"/>
        </w:rPr>
        <w:t xml:space="preserve">每股盈利</w:t>
      </w:r>
    </w:p>
    <w:p>
      <w:pPr>
        <w:pStyle w:val="BodyText"/>
      </w:pPr>
      <w:r>
        <w:rPr>
          <w:rFonts w:hint="eastAsia"/>
        </w:rPr>
        <w:t xml:space="preserve">每股盈利。</w:t>
      </w:r>
    </w:p>
    <w:p>
      <w:pPr>
        <w:pStyle w:val="BodyText"/>
      </w:pPr>
      <w:r>
        <w:t xml:space="preserve">302</w:t>
      </w:r>
    </w:p>
    <w:p>
      <w:pPr>
        <w:pStyle w:val="BodyText"/>
      </w:pPr>
      <w:r>
        <w:rPr>
          <w:rFonts w:hint="eastAsia"/>
        </w:rPr>
        <w:t xml:space="preserve">友邦保險控股有限公司</w:t>
      </w:r>
    </w:p>
    <w:p>
      <w:pPr>
        <w:pStyle w:val="BodyText"/>
      </w:pPr>
      <w:r>
        <w:rPr>
          <w:rFonts w:hint="eastAsia"/>
        </w:rPr>
        <w:t xml:space="preserve">按內涵價值基準本公司股東</w:t>
      </w:r>
      <w:r>
        <w:br/>
      </w:r>
      <w:r>
        <w:rPr>
          <w:rFonts w:hint="eastAsia"/>
        </w:rPr>
        <w:t xml:space="preserve">應佔權益或內涵價值權益</w:t>
      </w:r>
    </w:p>
    <w:p>
      <w:pPr>
        <w:pStyle w:val="BodyText"/>
      </w:pPr>
      <w:r>
        <w:rPr>
          <w:rFonts w:hint="eastAsia"/>
        </w:rPr>
        <w:t xml:space="preserve">內涵價值權益指本公司股東應佔內涵價值、商譽及其他無形資產的總和。</w:t>
      </w:r>
    </w:p>
    <w:p>
      <w:pPr>
        <w:pStyle w:val="BodyText"/>
      </w:pPr>
      <w:r>
        <w:rPr>
          <w:rFonts w:hint="eastAsia"/>
        </w:rPr>
        <w:t xml:space="preserve">執行委員會</w:t>
      </w:r>
    </w:p>
    <w:p>
      <w:pPr>
        <w:pStyle w:val="BodyText"/>
      </w:pPr>
      <w:r>
        <w:rPr>
          <w:rFonts w:hint="eastAsia"/>
        </w:rPr>
        <w:t xml:space="preserve">本集團執行委員會。</w:t>
      </w:r>
    </w:p>
    <w:p>
      <w:pPr>
        <w:pStyle w:val="BodyText"/>
      </w:pPr>
      <w:r>
        <w:rPr>
          <w:rFonts w:hint="eastAsia"/>
        </w:rPr>
        <w:t xml:space="preserve">按公平值計入損益或FVTPL</w:t>
      </w:r>
    </w:p>
    <w:p>
      <w:pPr>
        <w:pStyle w:val="BodyText"/>
      </w:pPr>
      <w:r>
        <w:rPr>
          <w:rFonts w:hint="eastAsia"/>
        </w:rPr>
        <w:t xml:space="preserve">根據國際會計準則第39號，「金融工具：確認及計量」，持作擔保單位連結式合約及分</w:t>
      </w:r>
      <w:r>
        <w:br/>
      </w:r>
      <w:r>
        <w:rPr>
          <w:rFonts w:hint="eastAsia"/>
        </w:rPr>
        <w:t xml:space="preserve">紅基金的金融資產或持作買賣的金融資產及負債。按公平值於財務狀況表計量而公平</w:t>
      </w:r>
      <w:r>
        <w:br/>
      </w:r>
      <w:r>
        <w:rPr>
          <w:rFonts w:hint="eastAsia"/>
        </w:rPr>
        <w:t xml:space="preserve">值變動產生的收益及虧損於合併收入表列作年內溢利或虧損一部分的金融資產或金融</w:t>
      </w:r>
      <w:r>
        <w:br/>
      </w:r>
      <w:r>
        <w:rPr>
          <w:rFonts w:hint="eastAsia"/>
        </w:rPr>
        <w:t xml:space="preserve">負債。</w:t>
      </w:r>
    </w:p>
    <w:p>
      <w:pPr>
        <w:pStyle w:val="BodyText"/>
      </w:pPr>
      <w:r>
        <w:rPr>
          <w:rFonts w:hint="eastAsia"/>
        </w:rPr>
        <w:t xml:space="preserve">上半年</w:t>
      </w:r>
    </w:p>
    <w:p>
      <w:pPr>
        <w:pStyle w:val="BodyText"/>
      </w:pPr>
      <w:r>
        <w:rPr>
          <w:rFonts w:hint="eastAsia"/>
        </w:rPr>
        <w:t xml:space="preserve">第一季</w:t>
      </w:r>
    </w:p>
    <w:p>
      <w:pPr>
        <w:pStyle w:val="BodyText"/>
      </w:pPr>
      <w:r>
        <w:rPr>
          <w:rFonts w:hint="eastAsia"/>
        </w:rPr>
        <w:t xml:space="preserve">首年保費</w:t>
      </w:r>
    </w:p>
    <w:p>
      <w:pPr>
        <w:pStyle w:val="BodyText"/>
      </w:pPr>
      <w:r>
        <w:rPr>
          <w:rFonts w:hint="eastAsia"/>
        </w:rPr>
        <w:t xml:space="preserve">第四季</w:t>
      </w:r>
    </w:p>
    <w:p>
      <w:pPr>
        <w:pStyle w:val="BodyText"/>
      </w:pPr>
      <w:r>
        <w:rPr>
          <w:rFonts w:hint="eastAsia"/>
        </w:rPr>
        <w:t xml:space="preserve">自由盈餘</w:t>
      </w:r>
    </w:p>
    <w:p>
      <w:pPr>
        <w:pStyle w:val="BodyText"/>
      </w:pPr>
      <w:r>
        <w:rPr>
          <w:rFonts w:hint="eastAsia"/>
        </w:rPr>
        <w:t xml:space="preserve">1月1日至6月30日的六個月。</w:t>
      </w:r>
    </w:p>
    <w:p>
      <w:pPr>
        <w:pStyle w:val="BodyText"/>
      </w:pPr>
      <w:r>
        <w:rPr>
          <w:rFonts w:hint="eastAsia"/>
        </w:rPr>
        <w:t xml:space="preserve">1月1日至3月31日的三個月。</w:t>
      </w:r>
    </w:p>
    <w:p>
      <w:pPr>
        <w:pStyle w:val="BodyText"/>
      </w:pPr>
      <w:r>
        <w:rPr>
          <w:rFonts w:hint="eastAsia"/>
        </w:rPr>
        <w:t xml:space="preserve">首年保費為於期繳保費保單首年收取的保費，可反映所出售新保單的數量。</w:t>
      </w:r>
    </w:p>
    <w:p>
      <w:pPr>
        <w:pStyle w:val="BodyText"/>
      </w:pPr>
      <w:r>
        <w:rPr>
          <w:rFonts w:hint="eastAsia"/>
        </w:rPr>
        <w:t xml:space="preserve">10月1日至12月31日的三個月。</w:t>
      </w:r>
    </w:p>
    <w:p>
      <w:pPr>
        <w:pStyle w:val="BodyText"/>
      </w:pPr>
      <w:r>
        <w:rPr>
          <w:rFonts w:hint="eastAsia"/>
        </w:rPr>
        <w:t xml:space="preserve">超過所需資本的經調整資產淨值。友邦保險的自由盈餘乃反映為符合合併準備金及資</w:t>
      </w:r>
      <w:r>
        <w:br/>
      </w:r>
      <w:r>
        <w:rPr>
          <w:rFonts w:hint="eastAsia"/>
        </w:rPr>
        <w:t xml:space="preserve">本要求所作調整後列示。</w:t>
      </w:r>
    </w:p>
    <w:p>
      <w:pPr>
        <w:pStyle w:val="BodyText"/>
      </w:pPr>
      <w:r>
        <w:rPr>
          <w:rFonts w:hint="eastAsia"/>
        </w:rPr>
        <w:t xml:space="preserve">團體保險</w:t>
      </w:r>
    </w:p>
    <w:p>
      <w:pPr>
        <w:pStyle w:val="BodyText"/>
      </w:pPr>
      <w:r>
        <w:rPr>
          <w:rFonts w:hint="eastAsia"/>
        </w:rPr>
        <w:t xml:space="preserve">個人參與者獲代表其的單一組織或實體所持總合約保障的保險計劃。</w:t>
      </w:r>
    </w:p>
    <w:p>
      <w:pPr>
        <w:pStyle w:val="BodyText"/>
      </w:pPr>
      <w:r>
        <w:rPr>
          <w:rFonts w:hint="eastAsia"/>
        </w:rPr>
        <w:t xml:space="preserve">集團當地資本總和法盈餘</w:t>
      </w:r>
    </w:p>
    <w:p>
      <w:pPr>
        <w:pStyle w:val="BodyText"/>
      </w:pPr>
      <w:r>
        <w:rPr>
          <w:rFonts w:hint="eastAsia"/>
        </w:rPr>
        <w:t xml:space="preserve">集團可用資本與集團最低資本要求之間的差額。</w:t>
      </w:r>
    </w:p>
    <w:p>
      <w:pPr>
        <w:pStyle w:val="BodyText"/>
      </w:pPr>
      <w:r>
        <w:rPr>
          <w:rFonts w:hint="eastAsia"/>
        </w:rPr>
        <w:t xml:space="preserve">集團總部</w:t>
      </w:r>
    </w:p>
    <w:p>
      <w:pPr>
        <w:pStyle w:val="BodyText"/>
      </w:pPr>
      <w:r>
        <w:rPr>
          <w:rFonts w:hint="eastAsia"/>
        </w:rPr>
        <w:t xml:space="preserve">集團總部包括集團企業中心分部，當中包括本集團的企業功能、共享服務及集團內部</w:t>
      </w:r>
      <w:r>
        <w:br/>
      </w:r>
      <w:r>
        <w:rPr>
          <w:rFonts w:hint="eastAsia"/>
        </w:rPr>
        <w:t xml:space="preserve">交易的對銷。</w:t>
      </w:r>
    </w:p>
    <w:p>
      <w:pPr>
        <w:pStyle w:val="BodyText"/>
      </w:pPr>
      <w:r>
        <w:rPr>
          <w:rFonts w:hint="eastAsia"/>
        </w:rPr>
        <w:t xml:space="preserve">香港財務報告準則</w:t>
      </w:r>
    </w:p>
    <w:p>
      <w:pPr>
        <w:pStyle w:val="BodyText"/>
      </w:pPr>
      <w:r>
        <w:rPr>
          <w:rFonts w:hint="eastAsia"/>
        </w:rPr>
        <w:t xml:space="preserve">香港財務報告準則。</w:t>
      </w:r>
    </w:p>
    <w:p>
      <w:pPr>
        <w:pStyle w:val="BodyText"/>
      </w:pPr>
      <w:r>
        <w:rPr>
          <w:rFonts w:hint="eastAsia"/>
        </w:rPr>
        <w:t xml:space="preserve">香港保監局</w:t>
      </w:r>
    </w:p>
    <w:p>
      <w:pPr>
        <w:pStyle w:val="BodyText"/>
      </w:pPr>
      <w:r>
        <w:rPr>
          <w:rFonts w:hint="eastAsia"/>
        </w:rPr>
        <w:t xml:space="preserve">根據《2015年保險公司（修訂）條例》成立的保險業監管局，或於2017年6月26日之前為</w:t>
      </w:r>
      <w:r>
        <w:br/>
      </w:r>
      <w:r>
        <w:rPr>
          <w:rFonts w:hint="eastAsia"/>
        </w:rPr>
        <w:t xml:space="preserve">保險業監理處。</w:t>
      </w:r>
    </w:p>
    <w:p>
      <w:pPr>
        <w:pStyle w:val="BodyText"/>
      </w:pPr>
      <w:r>
        <w:rPr>
          <w:rFonts w:hint="eastAsia"/>
        </w:rPr>
        <w:t xml:space="preserve">香港會計師公會</w:t>
      </w:r>
    </w:p>
    <w:p>
      <w:pPr>
        <w:pStyle w:val="BodyText"/>
      </w:pPr>
      <w:r>
        <w:rPr>
          <w:rFonts w:hint="eastAsia"/>
        </w:rPr>
        <w:t xml:space="preserve">香港會計師公會。</w:t>
      </w:r>
    </w:p>
    <w:p>
      <w:pPr>
        <w:pStyle w:val="BodyText"/>
      </w:pPr>
      <w:r>
        <w:rPr>
          <w:rFonts w:hint="eastAsia"/>
        </w:rPr>
        <w:t xml:space="preserve">控股公司財務資源</w:t>
      </w:r>
    </w:p>
    <w:p>
      <w:pPr>
        <w:pStyle w:val="BodyText"/>
      </w:pPr>
      <w:r>
        <w:rPr>
          <w:rFonts w:hint="eastAsia"/>
        </w:rPr>
        <w:t xml:space="preserve">為本集團上市控股公司友邦保險控股有限公司持有的債務及股本證券、存款、現金及</w:t>
      </w:r>
      <w:r>
        <w:br/>
      </w:r>
      <w:r>
        <w:rPr>
          <w:rFonts w:hint="eastAsia"/>
        </w:rPr>
        <w:t xml:space="preserve">現金等價物和已派付但附屬公司未結算的股息，並已扣除回購協議下的債項。該等財</w:t>
      </w:r>
      <w:r>
        <w:br/>
      </w:r>
      <w:r>
        <w:rPr>
          <w:rFonts w:hint="eastAsia"/>
        </w:rPr>
        <w:t xml:space="preserve">務資源呈列於合併財務報表附註46。</w:t>
      </w:r>
    </w:p>
    <w:p>
      <w:pPr>
        <w:pStyle w:val="BodyText"/>
      </w:pPr>
      <w:r>
        <w:t xml:space="preserve">303</w:t>
      </w:r>
    </w:p>
    <w:p>
      <w:pPr>
        <w:pStyle w:val="BodyText"/>
      </w:pPr>
      <w:r>
        <w:rPr>
          <w:rFonts w:hint="eastAsia"/>
        </w:rPr>
        <w:t xml:space="preserve">概覽財務及營運回顧企業管治其他資料財務報表2020年報</w:t>
      </w:r>
    </w:p>
    <w:p>
      <w:pPr>
        <w:pStyle w:val="BodyText"/>
      </w:pPr>
      <w:r>
        <w:rPr>
          <w:rFonts w:hint="eastAsia"/>
        </w:rPr>
        <w:t xml:space="preserve">香港</w:t>
      </w:r>
    </w:p>
    <w:p>
      <w:pPr>
        <w:pStyle w:val="BodyText"/>
      </w:pPr>
      <w:r>
        <w:rPr>
          <w:rFonts w:hint="eastAsia"/>
        </w:rPr>
        <w:t xml:space="preserve">中國香港特別行政區；就我們的報告市場分部資料而言，香港包括澳門特別行政區。</w:t>
      </w:r>
    </w:p>
    <w:p>
      <w:pPr>
        <w:pStyle w:val="BodyText"/>
      </w:pPr>
      <w:r>
        <w:rPr>
          <w:rFonts w:hint="eastAsia"/>
        </w:rPr>
        <w:t xml:space="preserve">香港公司條例</w:t>
      </w:r>
    </w:p>
    <w:p>
      <w:pPr>
        <w:pStyle w:val="BodyText"/>
      </w:pPr>
      <w:r>
        <w:rPr>
          <w:rFonts w:hint="eastAsia"/>
        </w:rPr>
        <w:t xml:space="preserve">經不時修訂的《公司條例》（香港法例第622章）。</w:t>
      </w:r>
    </w:p>
    <w:p>
      <w:pPr>
        <w:pStyle w:val="BodyText"/>
      </w:pPr>
      <w:r>
        <w:rPr>
          <w:rFonts w:hint="eastAsia"/>
        </w:rPr>
        <w:t xml:space="preserve">香港保險業條例</w:t>
      </w:r>
    </w:p>
    <w:p>
      <w:pPr>
        <w:pStyle w:val="BodyText"/>
      </w:pPr>
      <w:r>
        <w:rPr>
          <w:rFonts w:hint="eastAsia"/>
        </w:rPr>
        <w:t xml:space="preserve">經不時修訂的《保險業條例》（香港法例第41章），為審慎監管香港保險業提供一個法定</w:t>
      </w:r>
      <w:r>
        <w:br/>
      </w:r>
      <w:r>
        <w:rPr>
          <w:rFonts w:hint="eastAsia"/>
        </w:rPr>
        <w:t xml:space="preserve">框架。</w:t>
      </w:r>
    </w:p>
    <w:p>
      <w:pPr>
        <w:pStyle w:val="BodyText"/>
      </w:pPr>
      <w:r>
        <w:rPr>
          <w:rFonts w:hint="eastAsia"/>
        </w:rPr>
        <w:t xml:space="preserve">香港聯交所</w:t>
      </w:r>
    </w:p>
    <w:p>
      <w:pPr>
        <w:pStyle w:val="BodyText"/>
      </w:pPr>
      <w:r>
        <w:rPr>
          <w:rFonts w:hint="eastAsia"/>
        </w:rPr>
        <w:t xml:space="preserve">香港聯合交易所有限公司。</w:t>
      </w:r>
    </w:p>
    <w:p>
      <w:pPr>
        <w:pStyle w:val="BodyText"/>
      </w:pPr>
      <w:r>
        <w:rPr>
          <w:rFonts w:hint="eastAsia"/>
        </w:rPr>
        <w:t xml:space="preserve">國際保險監督聯會</w:t>
      </w:r>
    </w:p>
    <w:p>
      <w:pPr>
        <w:pStyle w:val="BodyText"/>
      </w:pPr>
      <w:r>
        <w:rPr>
          <w:rFonts w:hint="eastAsia"/>
        </w:rPr>
        <w:t xml:space="preserve">國際保險監督聯會。</w:t>
      </w:r>
    </w:p>
    <w:p>
      <w:pPr>
        <w:pStyle w:val="BodyText"/>
      </w:pPr>
      <w:r>
        <w:rPr>
          <w:rFonts w:hint="eastAsia"/>
        </w:rPr>
        <w:t xml:space="preserve">國際會計準則</w:t>
      </w:r>
    </w:p>
    <w:p>
      <w:pPr>
        <w:pStyle w:val="BodyText"/>
      </w:pPr>
      <w:r>
        <w:rPr>
          <w:rFonts w:hint="eastAsia"/>
        </w:rPr>
        <w:t xml:space="preserve">國際會計準則。</w:t>
      </w:r>
    </w:p>
    <w:p>
      <w:pPr>
        <w:pStyle w:val="BodyText"/>
      </w:pPr>
      <w:r>
        <w:rPr>
          <w:rFonts w:hint="eastAsia"/>
        </w:rPr>
        <w:t xml:space="preserve">國際會計準則理事會</w:t>
      </w:r>
    </w:p>
    <w:p>
      <w:pPr>
        <w:pStyle w:val="BodyText"/>
      </w:pPr>
      <w:r>
        <w:rPr>
          <w:rFonts w:hint="eastAsia"/>
        </w:rPr>
        <w:t xml:space="preserve">國際會計準則理事會。</w:t>
      </w:r>
    </w:p>
    <w:p>
      <w:pPr>
        <w:pStyle w:val="BodyText"/>
      </w:pPr>
      <w:r>
        <w:rPr>
          <w:rFonts w:hint="eastAsia"/>
        </w:rPr>
        <w:t xml:space="preserve">保險資本標準</w:t>
      </w:r>
    </w:p>
    <w:p>
      <w:pPr>
        <w:pStyle w:val="BodyText"/>
      </w:pPr>
      <w:r>
        <w:rPr>
          <w:rFonts w:hint="eastAsia"/>
        </w:rPr>
        <w:t xml:space="preserve">國際保險監督聯會制定的以風險為基礎的全球保險資本標準。</w:t>
      </w:r>
    </w:p>
    <w:p>
      <w:pPr>
        <w:pStyle w:val="BodyText"/>
      </w:pPr>
      <w:r>
        <w:rPr>
          <w:rFonts w:hint="eastAsia"/>
        </w:rPr>
        <w:t xml:space="preserve">獨立財務顧問</w:t>
      </w:r>
    </w:p>
    <w:p>
      <w:pPr>
        <w:pStyle w:val="BodyText"/>
      </w:pPr>
      <w:r>
        <w:rPr>
          <w:rFonts w:hint="eastAsia"/>
        </w:rPr>
        <w:t xml:space="preserve">獨立財務顧問。</w:t>
      </w:r>
    </w:p>
    <w:p>
      <w:pPr>
        <w:pStyle w:val="BodyText"/>
      </w:pPr>
      <w:r>
        <w:rPr>
          <w:rFonts w:hint="eastAsia"/>
        </w:rPr>
        <w:t xml:space="preserve">國際財務報告準則</w:t>
      </w:r>
    </w:p>
    <w:p>
      <w:pPr>
        <w:pStyle w:val="BodyText"/>
      </w:pPr>
      <w:r>
        <w:rPr>
          <w:rFonts w:hint="eastAsia"/>
        </w:rPr>
        <w:t xml:space="preserve">國際會計準則理事會採納的準則及詮釋，包括：</w:t>
      </w:r>
    </w:p>
    <w:p>
      <w:pPr>
        <w:pStyle w:val="BodyText"/>
      </w:pPr>
      <w:r>
        <w:t xml:space="preserve">•</w:t>
      </w:r>
    </w:p>
    <w:p>
      <w:pPr>
        <w:pStyle w:val="BodyText"/>
      </w:pPr>
      <w:r>
        <w:t xml:space="preserve">•</w:t>
      </w:r>
    </w:p>
    <w:p>
      <w:pPr>
        <w:pStyle w:val="BodyText"/>
      </w:pPr>
      <w:r>
        <w:t xml:space="preserve">•</w:t>
      </w:r>
    </w:p>
    <w:p>
      <w:pPr>
        <w:pStyle w:val="BodyText"/>
      </w:pPr>
      <w:r>
        <w:rPr>
          <w:rFonts w:hint="eastAsia"/>
        </w:rPr>
        <w:t xml:space="preserve">國際財務報告準則；</w:t>
      </w:r>
    </w:p>
    <w:p>
      <w:pPr>
        <w:pStyle w:val="BodyText"/>
      </w:pPr>
      <w:r>
        <w:rPr>
          <w:rFonts w:hint="eastAsia"/>
        </w:rPr>
        <w:t xml:space="preserve">國際會計準則；及</w:t>
      </w:r>
    </w:p>
    <w:p>
      <w:pPr>
        <w:pStyle w:val="BodyText"/>
      </w:pPr>
      <w:r>
        <w:rPr>
          <w:rFonts w:hint="eastAsia"/>
        </w:rPr>
        <w:t xml:space="preserve">國際財務報告準則詮釋委員會或前身常務詮釋委員會制訂的詮釋。</w:t>
      </w:r>
    </w:p>
    <w:p>
      <w:pPr>
        <w:pStyle w:val="BodyText"/>
      </w:pPr>
      <w:r>
        <w:rPr>
          <w:rFonts w:hint="eastAsia"/>
        </w:rPr>
        <w:t xml:space="preserve">ING馬來西亞</w:t>
      </w:r>
    </w:p>
    <w:p>
      <w:pPr>
        <w:pStyle w:val="BodyText"/>
      </w:pPr>
      <w:r>
        <w:t xml:space="preserve">ING Management Holdings (Malaysia) Sdn. Bhd。</w:t>
      </w:r>
    </w:p>
    <w:p>
      <w:pPr>
        <w:pStyle w:val="BodyText"/>
      </w:pPr>
      <w:r>
        <w:rPr>
          <w:rFonts w:hint="eastAsia"/>
        </w:rPr>
        <w:t xml:space="preserve">投資經驗</w:t>
      </w:r>
    </w:p>
    <w:p>
      <w:pPr>
        <w:pStyle w:val="BodyText"/>
      </w:pPr>
      <w:r>
        <w:rPr>
          <w:rFonts w:hint="eastAsia"/>
        </w:rPr>
        <w:t xml:space="preserve">投資收入</w:t>
      </w:r>
    </w:p>
    <w:p>
      <w:pPr>
        <w:pStyle w:val="BodyText"/>
      </w:pPr>
      <w:r>
        <w:rPr>
          <w:rFonts w:hint="eastAsia"/>
        </w:rPr>
        <w:t xml:space="preserve">投資回報</w:t>
      </w:r>
    </w:p>
    <w:p>
      <w:pPr>
        <w:pStyle w:val="BodyText"/>
      </w:pPr>
      <w:r>
        <w:rPr>
          <w:rFonts w:hint="eastAsia"/>
        </w:rPr>
        <w:t xml:space="preserve">於合併收入表內確認的已變現及未變現投資收益及虧損。</w:t>
      </w:r>
    </w:p>
    <w:p>
      <w:pPr>
        <w:pStyle w:val="BodyText"/>
      </w:pPr>
      <w:r>
        <w:rPr>
          <w:rFonts w:hint="eastAsia"/>
        </w:rPr>
        <w:t xml:space="preserve">投資收入包括利息收入、股息收入及租金收入。</w:t>
      </w:r>
    </w:p>
    <w:p>
      <w:pPr>
        <w:pStyle w:val="BodyText"/>
      </w:pPr>
      <w:r>
        <w:rPr>
          <w:rFonts w:hint="eastAsia"/>
        </w:rPr>
        <w:t xml:space="preserve">投資回報由投資收入加上投資經驗組成。</w:t>
      </w:r>
    </w:p>
    <w:p>
      <w:pPr>
        <w:pStyle w:val="BodyText"/>
      </w:pPr>
      <w:r>
        <w:rPr>
          <w:rFonts w:hint="eastAsia"/>
        </w:rPr>
        <w:t xml:space="preserve">首次公開招股</w:t>
      </w:r>
    </w:p>
    <w:p>
      <w:pPr>
        <w:pStyle w:val="BodyText"/>
      </w:pPr>
      <w:r>
        <w:rPr>
          <w:rFonts w:hint="eastAsia"/>
        </w:rPr>
        <w:t xml:space="preserve">首次公開招股。</w:t>
      </w:r>
    </w:p>
    <w:p>
      <w:pPr>
        <w:pStyle w:val="BodyText"/>
      </w:pPr>
      <w:r>
        <w:rPr>
          <w:rFonts w:hint="eastAsia"/>
        </w:rPr>
        <w:t xml:space="preserve">當地資本總和法</w:t>
      </w:r>
    </w:p>
    <w:p>
      <w:pPr>
        <w:pStyle w:val="BodyText"/>
      </w:pPr>
      <w:r>
        <w:rPr>
          <w:rFonts w:hint="eastAsia"/>
        </w:rPr>
        <w:t xml:space="preserve">當地資本總和法為香港保監局將在新集團監管框架下用作計量集團資本的方法。集團</w:t>
      </w:r>
      <w:r>
        <w:br/>
      </w:r>
      <w:r>
        <w:rPr>
          <w:rFonts w:hint="eastAsia"/>
        </w:rPr>
        <w:t xml:space="preserve">可用資本為集團各相關受監管實體的可用資本之總和。集團最低資本要求為該等相同</w:t>
      </w:r>
      <w:r>
        <w:br/>
      </w:r>
      <w:r>
        <w:rPr>
          <w:rFonts w:hint="eastAsia"/>
        </w:rPr>
        <w:t xml:space="preserve">實體的最低所需資本之總和。於計算總額時己作出相應調整以消除重複計算。集團當</w:t>
      </w:r>
      <w:r>
        <w:br/>
      </w:r>
      <w:r>
        <w:rPr>
          <w:rFonts w:hint="eastAsia"/>
        </w:rPr>
        <w:t xml:space="preserve">地資本總和法盈餘為集團可用資本超出集團最低資本要求的部分。集團當地資本總和</w:t>
      </w:r>
      <w:r>
        <w:br/>
      </w:r>
      <w:r>
        <w:rPr>
          <w:rFonts w:hint="eastAsia"/>
        </w:rPr>
        <w:t xml:space="preserve">法覆蓋率為集團可用資本與集團最低資本要求的比率。</w:t>
      </w:r>
    </w:p>
    <w:p>
      <w:pPr>
        <w:pStyle w:val="BodyText"/>
      </w:pPr>
      <w:r>
        <w:t xml:space="preserve">304</w:t>
      </w:r>
    </w:p>
    <w:p>
      <w:pPr>
        <w:pStyle w:val="BodyText"/>
      </w:pPr>
      <w:r>
        <w:rPr>
          <w:rFonts w:hint="eastAsia"/>
        </w:rPr>
        <w:t xml:space="preserve">友邦保險控股有限公司</w:t>
      </w:r>
    </w:p>
    <w:p>
      <w:pPr>
        <w:pStyle w:val="BodyText"/>
      </w:pPr>
      <w:r>
        <w:rPr>
          <w:rFonts w:hint="eastAsia"/>
        </w:rPr>
        <w:t xml:space="preserve">負債充足性測試</w:t>
      </w:r>
    </w:p>
    <w:p>
      <w:pPr>
        <w:pStyle w:val="BodyText"/>
      </w:pPr>
      <w:r>
        <w:rPr>
          <w:rFonts w:hint="eastAsia"/>
        </w:rPr>
        <w:t xml:space="preserve">根據對未來現金流的審閱來評估保險負債賬面值是否需要增加或相關遞延承保及啟動</w:t>
      </w:r>
      <w:r>
        <w:br/>
      </w:r>
      <w:r>
        <w:rPr>
          <w:rFonts w:hint="eastAsia"/>
        </w:rPr>
        <w:t xml:space="preserve">成本或相關無形資產的賬面值是否有所減少。</w:t>
      </w:r>
    </w:p>
    <w:p>
      <w:pPr>
        <w:pStyle w:val="BodyText"/>
      </w:pPr>
      <w:r>
        <w:rPr>
          <w:rFonts w:hint="eastAsia"/>
        </w:rPr>
        <w:t xml:space="preserve">上市規則</w:t>
      </w:r>
    </w:p>
    <w:p>
      <w:pPr>
        <w:pStyle w:val="BodyText"/>
      </w:pPr>
      <w:r>
        <w:rPr>
          <w:rFonts w:hint="eastAsia"/>
        </w:rPr>
        <w:t xml:space="preserve">《香港聯合交易所有限公司證券上市規則》。</w:t>
      </w:r>
    </w:p>
    <w:p>
      <w:pPr>
        <w:pStyle w:val="BodyText"/>
      </w:pPr>
      <w:r>
        <w:rPr>
          <w:rFonts w:hint="eastAsia"/>
        </w:rPr>
        <w:t xml:space="preserve">百萬圓桌會</w:t>
      </w:r>
    </w:p>
    <w:p>
      <w:pPr>
        <w:pStyle w:val="BodyText"/>
      </w:pPr>
      <w:r>
        <w:rPr>
          <w:rFonts w:hint="eastAsia"/>
        </w:rPr>
        <w:t xml:space="preserve">人壽保險及金融服務專業人士組成的全球專業貿易協會，工作包括嘉許超凡的銷售業</w:t>
      </w:r>
      <w:r>
        <w:br/>
      </w:r>
      <w:r>
        <w:rPr>
          <w:rFonts w:hint="eastAsia"/>
        </w:rPr>
        <w:t xml:space="preserve">績及超卓的服務水準。</w:t>
      </w:r>
    </w:p>
    <w:p>
      <w:pPr>
        <w:pStyle w:val="BodyText"/>
      </w:pPr>
      <w:r>
        <w:rPr>
          <w:rFonts w:hint="eastAsia"/>
        </w:rPr>
        <w:t xml:space="preserve">標準守則</w:t>
      </w:r>
    </w:p>
    <w:p>
      <w:pPr>
        <w:pStyle w:val="BodyText"/>
      </w:pPr>
      <w:r>
        <w:rPr>
          <w:rFonts w:hint="eastAsia"/>
        </w:rPr>
        <w:t xml:space="preserve">上市規則附錄十所載的《上市發行人董事進行證券交易的標準守則》。</w:t>
      </w:r>
    </w:p>
    <w:p>
      <w:pPr>
        <w:pStyle w:val="BodyText"/>
      </w:pPr>
      <w:r>
        <w:rPr>
          <w:rFonts w:hint="eastAsia"/>
        </w:rPr>
        <w:t xml:space="preserve">集團企業中心淨資金流</w:t>
      </w:r>
    </w:p>
    <w:p>
      <w:pPr>
        <w:pStyle w:val="BodyText"/>
      </w:pPr>
      <w:r>
        <w:rPr>
          <w:rFonts w:hint="eastAsia"/>
        </w:rPr>
        <w:t xml:space="preserve">在呈列報告市場分部的資本流入</w:t>
      </w:r>
      <w:r>
        <w:t xml:space="preserve"> </w:t>
      </w:r>
      <w:r>
        <w:rPr>
          <w:rFonts w:hint="eastAsia"/>
        </w:rPr>
        <w:t xml:space="preserve">∕（流出）淨額時，資本流出包括股息及分派予集團企</w:t>
      </w:r>
      <w:r>
        <w:br/>
      </w:r>
      <w:r>
        <w:rPr>
          <w:rFonts w:hint="eastAsia"/>
        </w:rPr>
        <w:t xml:space="preserve">業中心分部的溢利，而資本流入包括集團企業中心分部注入報告市場分部的資本。對</w:t>
      </w:r>
      <w:r>
        <w:br/>
      </w:r>
      <w:r>
        <w:rPr>
          <w:rFonts w:hint="eastAsia"/>
        </w:rPr>
        <w:t xml:space="preserve">本集團而言，資本流入</w:t>
      </w:r>
      <w:r>
        <w:t xml:space="preserve"> </w:t>
      </w:r>
      <w:r>
        <w:rPr>
          <w:rFonts w:hint="eastAsia"/>
        </w:rPr>
        <w:t xml:space="preserve">∕（流出）淨額指向股東以出資形式收取的淨金額減以股息形式</w:t>
      </w:r>
      <w:r>
        <w:br/>
      </w:r>
      <w:r>
        <w:rPr>
          <w:rFonts w:hint="eastAsia"/>
        </w:rPr>
        <w:t xml:space="preserve">作出的分派。</w:t>
      </w:r>
    </w:p>
    <w:p>
      <w:pPr>
        <w:pStyle w:val="BodyText"/>
      </w:pPr>
      <w:r>
        <w:rPr>
          <w:rFonts w:hint="eastAsia"/>
        </w:rPr>
        <w:t xml:space="preserve">不適用</w:t>
      </w:r>
    </w:p>
    <w:p>
      <w:pPr>
        <w:pStyle w:val="BodyText"/>
      </w:pPr>
      <w:r>
        <w:rPr>
          <w:rFonts w:hint="eastAsia"/>
        </w:rPr>
        <w:t xml:space="preserve">無意義</w:t>
      </w:r>
    </w:p>
    <w:p>
      <w:pPr>
        <w:pStyle w:val="BodyText"/>
      </w:pPr>
      <w:r>
        <w:rPr>
          <w:rFonts w:hint="eastAsia"/>
        </w:rPr>
        <w:t xml:space="preserve">稅後營運溢利</w:t>
      </w:r>
    </w:p>
    <w:p>
      <w:pPr>
        <w:pStyle w:val="BodyText"/>
      </w:pPr>
      <w:r>
        <w:rPr>
          <w:rFonts w:hint="eastAsia"/>
        </w:rPr>
        <w:t xml:space="preserve">不適用。</w:t>
      </w:r>
    </w:p>
    <w:p>
      <w:pPr>
        <w:pStyle w:val="BodyText"/>
      </w:pPr>
      <w:r>
        <w:rPr>
          <w:rFonts w:hint="eastAsia"/>
        </w:rPr>
        <w:t xml:space="preserve">無意義。</w:t>
      </w:r>
    </w:p>
    <w:p>
      <w:pPr>
        <w:pStyle w:val="BodyText"/>
      </w:pPr>
      <w:r>
        <w:rPr>
          <w:rFonts w:hint="eastAsia"/>
        </w:rPr>
        <w:t xml:space="preserve">營運溢利乃通過（其中包括）股權及房地產的預期長期投資回報釐定。該等資產類別的</w:t>
      </w:r>
      <w:r>
        <w:br/>
      </w:r>
      <w:r>
        <w:rPr>
          <w:rFonts w:hint="eastAsia"/>
        </w:rPr>
        <w:t xml:space="preserve">預期長期投資回報與實際投資回報之間的短期波動不包括在營運溢利。釐定預期長期</w:t>
      </w:r>
      <w:r>
        <w:br/>
      </w:r>
      <w:r>
        <w:rPr>
          <w:rFonts w:hint="eastAsia"/>
        </w:rPr>
        <w:t xml:space="preserve">投資回報時所用的投資回報假設與本集團在釐定其內涵價值時所用並在內涵價值補充</w:t>
      </w:r>
      <w:r>
        <w:br/>
      </w:r>
      <w:r>
        <w:rPr>
          <w:rFonts w:hint="eastAsia"/>
        </w:rPr>
        <w:t xml:space="preserve">資料中披露的假設相同。</w:t>
      </w:r>
    </w:p>
    <w:p>
      <w:pPr>
        <w:pStyle w:val="BodyText"/>
      </w:pPr>
      <w:r>
        <w:rPr>
          <w:rFonts w:hint="eastAsia"/>
        </w:rPr>
        <w:t xml:space="preserve">內涵價值營運回報</w:t>
      </w:r>
    </w:p>
    <w:p>
      <w:pPr>
        <w:pStyle w:val="BodyText"/>
      </w:pPr>
      <w:r>
        <w:rPr>
          <w:rFonts w:hint="eastAsia"/>
        </w:rPr>
        <w:t xml:space="preserve">內涵價值營運回報，以內涵價值營運溢利計算，並以期初內涵價值的百分比表示。</w:t>
      </w:r>
    </w:p>
    <w:p>
      <w:pPr>
        <w:pStyle w:val="BodyText"/>
      </w:pPr>
      <w:r>
        <w:rPr>
          <w:rFonts w:hint="eastAsia"/>
        </w:rPr>
        <w:t xml:space="preserve">股東分配權益營運回報</w:t>
      </w:r>
    </w:p>
    <w:p>
      <w:pPr>
        <w:pStyle w:val="BodyText"/>
      </w:pPr>
      <w:r>
        <w:rPr>
          <w:rFonts w:hint="eastAsia"/>
        </w:rPr>
        <w:t xml:space="preserve">股東分配權益營運回報，以本公司股東應佔稅後營運溢利計算，並以股東分配權益的</w:t>
      </w:r>
      <w:r>
        <w:br/>
      </w:r>
      <w:r>
        <w:rPr>
          <w:rFonts w:hint="eastAsia"/>
        </w:rPr>
        <w:t xml:space="preserve">期初及期末值的簡單平均值的百分比表示。</w:t>
      </w:r>
    </w:p>
    <w:p>
      <w:pPr>
        <w:pStyle w:val="BodyText"/>
      </w:pPr>
      <w:r>
        <w:rPr>
          <w:rFonts w:hint="eastAsia"/>
        </w:rPr>
        <w:t xml:space="preserve">場外交易</w:t>
      </w:r>
    </w:p>
    <w:p>
      <w:pPr>
        <w:pStyle w:val="BodyText"/>
      </w:pPr>
      <w:r>
        <w:rPr>
          <w:rFonts w:hint="eastAsia"/>
        </w:rPr>
        <w:t xml:space="preserve">場外交易。</w:t>
      </w:r>
    </w:p>
    <w:p>
      <w:pPr>
        <w:pStyle w:val="BodyText"/>
      </w:pPr>
      <w:r>
        <w:rPr>
          <w:rFonts w:hint="eastAsia"/>
        </w:rPr>
        <w:t xml:space="preserve">具特定資產組合的其他分紅業務</w:t>
      </w:r>
    </w:p>
    <w:p>
      <w:pPr>
        <w:pStyle w:val="BodyText"/>
      </w:pPr>
      <w:r>
        <w:rPr>
          <w:rFonts w:hint="eastAsia"/>
        </w:rPr>
        <w:t xml:space="preserve">預期保單持有人將收取保險公司基於相關獨立投資資產的表現而酌情給予額外給付的</w:t>
      </w:r>
      <w:r>
        <w:br/>
      </w:r>
      <w:r>
        <w:rPr>
          <w:rFonts w:hint="eastAsia"/>
        </w:rPr>
        <w:t xml:space="preserve">業務，而本集團亦就支持該類別資產而作出明確的法定準備金撥備並於相關地區申報。</w:t>
      </w:r>
    </w:p>
    <w:p>
      <w:pPr>
        <w:pStyle w:val="BodyText"/>
      </w:pPr>
      <w:r>
        <w:t xml:space="preserve">305</w:t>
      </w:r>
    </w:p>
    <w:p>
      <w:pPr>
        <w:pStyle w:val="BodyText"/>
      </w:pPr>
      <w:r>
        <w:rPr>
          <w:rFonts w:hint="eastAsia"/>
        </w:rPr>
        <w:t xml:space="preserve">概覽財務及營運回顧企業管治其他資料財務報表2020年報</w:t>
      </w:r>
    </w:p>
    <w:p>
      <w:pPr>
        <w:pStyle w:val="BodyText"/>
      </w:pPr>
      <w:r>
        <w:rPr>
          <w:rFonts w:hint="eastAsia"/>
        </w:rPr>
        <w:t xml:space="preserve">分紅基金</w:t>
      </w:r>
    </w:p>
    <w:p>
      <w:pPr>
        <w:pStyle w:val="BodyText"/>
      </w:pPr>
      <w:r>
        <w:rPr>
          <w:rFonts w:hint="eastAsia"/>
        </w:rPr>
        <w:t xml:space="preserve">分紅基金為保單持有人根據合約權利可收取保險公司基於各種因素如基金所持資產組</w:t>
      </w:r>
      <w:r>
        <w:br/>
      </w:r>
      <w:r>
        <w:rPr>
          <w:rFonts w:hint="eastAsia"/>
        </w:rPr>
        <w:t xml:space="preserve">合表現等因素所酌情決定何時給予額外給付（作為任何保證給付的補充）的特定資產組</w:t>
      </w:r>
      <w:r>
        <w:br/>
      </w:r>
      <w:r>
        <w:rPr>
          <w:rFonts w:hint="eastAsia"/>
        </w:rPr>
        <w:t xml:space="preserve">合。分配自分紅基金所持資產的給付，須受法規確立的最低保單持有人分紅機制所規</w:t>
      </w:r>
      <w:r>
        <w:br/>
      </w:r>
      <w:r>
        <w:rPr>
          <w:rFonts w:hint="eastAsia"/>
        </w:rPr>
        <w:t xml:space="preserve">範。</w:t>
      </w:r>
    </w:p>
    <w:p>
      <w:pPr>
        <w:pStyle w:val="BodyText"/>
      </w:pPr>
      <w:r>
        <w:rPr>
          <w:rFonts w:hint="eastAsia"/>
        </w:rPr>
        <w:t xml:space="preserve">續保率</w:t>
      </w:r>
    </w:p>
    <w:p>
      <w:pPr>
        <w:pStyle w:val="BodyText"/>
      </w:pPr>
      <w:r>
        <w:rPr>
          <w:rFonts w:hint="eastAsia"/>
        </w:rPr>
        <w:t xml:space="preserve">續保率按保費計算過往12個月每月持續有效的保險保單的比率。</w:t>
      </w:r>
    </w:p>
    <w:p>
      <w:pPr>
        <w:pStyle w:val="BodyText"/>
      </w:pPr>
      <w:r>
        <w:t xml:space="preserve">Philam Life</w:t>
      </w:r>
    </w:p>
    <w:p>
      <w:pPr>
        <w:pStyle w:val="BodyText"/>
      </w:pPr>
      <w:r>
        <w:t xml:space="preserve">The Philippine American Life and General Insurance (PHILAM LIFE) </w:t>
      </w:r>
      <w:r>
        <w:rPr>
          <w:rFonts w:hint="eastAsia"/>
        </w:rPr>
        <w:t xml:space="preserve">Company，AIA</w:t>
      </w:r>
      <w:r>
        <w:br/>
      </w:r>
      <w:r>
        <w:rPr>
          <w:rFonts w:hint="eastAsia"/>
        </w:rPr>
        <w:t xml:space="preserve">Co.的附屬公司。</w:t>
      </w:r>
    </w:p>
    <w:p>
      <w:pPr>
        <w:pStyle w:val="BodyText"/>
      </w:pPr>
      <w:r>
        <w:rPr>
          <w:rFonts w:hint="eastAsia"/>
        </w:rPr>
        <w:t xml:space="preserve">保單持有人及股東投資</w:t>
      </w:r>
    </w:p>
    <w:p>
      <w:pPr>
        <w:pStyle w:val="BodyText"/>
      </w:pPr>
      <w:r>
        <w:rPr>
          <w:rFonts w:hint="eastAsia"/>
        </w:rPr>
        <w:t xml:space="preserve">除持作擔保單位連結式合約以及合併投資基金的資產外的投資。</w:t>
      </w:r>
    </w:p>
    <w:p>
      <w:pPr>
        <w:pStyle w:val="BodyText"/>
      </w:pPr>
      <w:r>
        <w:rPr>
          <w:rFonts w:hint="eastAsia"/>
        </w:rPr>
        <w:t xml:space="preserve">百分點</w:t>
      </w:r>
    </w:p>
    <w:p>
      <w:pPr>
        <w:pStyle w:val="BodyText"/>
      </w:pPr>
      <w:r>
        <w:rPr>
          <w:rFonts w:hint="eastAsia"/>
        </w:rPr>
        <w:t xml:space="preserve">中國</w:t>
      </w:r>
    </w:p>
    <w:p>
      <w:pPr>
        <w:pStyle w:val="BodyText"/>
      </w:pPr>
      <w:r>
        <w:rPr>
          <w:rFonts w:hint="eastAsia"/>
        </w:rPr>
        <w:t xml:space="preserve">百分點。</w:t>
      </w:r>
    </w:p>
    <w:p>
      <w:pPr>
        <w:pStyle w:val="BodyText"/>
      </w:pPr>
      <w:r>
        <w:rPr>
          <w:rFonts w:hint="eastAsia"/>
        </w:rPr>
        <w:t xml:space="preserve">中華人民共和國。</w:t>
      </w:r>
    </w:p>
    <w:p>
      <w:pPr>
        <w:pStyle w:val="BodyText"/>
      </w:pPr>
      <w:r>
        <w:rPr>
          <w:rFonts w:hint="eastAsia"/>
        </w:rPr>
        <w:t xml:space="preserve">保障缺口</w:t>
      </w:r>
    </w:p>
    <w:p>
      <w:pPr>
        <w:pStyle w:val="BodyText"/>
      </w:pPr>
      <w:r>
        <w:rPr>
          <w:rFonts w:hint="eastAsia"/>
        </w:rPr>
        <w:t xml:space="preserve">在主要收入者身故後用以維持受養人的生活水平所需資源與可用資源之間的差額。</w:t>
      </w:r>
    </w:p>
    <w:p>
      <w:pPr>
        <w:pStyle w:val="BodyText"/>
      </w:pPr>
      <w:r>
        <w:rPr>
          <w:rFonts w:hint="eastAsia"/>
        </w:rPr>
        <w:t xml:space="preserve">可沽售負債</w:t>
      </w:r>
    </w:p>
    <w:p>
      <w:pPr>
        <w:pStyle w:val="BodyText"/>
      </w:pPr>
      <w:r>
        <w:rPr>
          <w:rFonts w:hint="eastAsia"/>
        </w:rPr>
        <w:t xml:space="preserve">可沽售金融工具為工具持有人有權將該工具認沽回售予保險公司以收取現金（或另一種</w:t>
      </w:r>
      <w:r>
        <w:br/>
      </w:r>
      <w:r>
        <w:rPr>
          <w:rFonts w:hint="eastAsia"/>
        </w:rPr>
        <w:t xml:space="preserve">金融資產）的一種金融工具。投資基金（如互惠基金及不定額投資公司）的單位通常為</w:t>
      </w:r>
      <w:r>
        <w:br/>
      </w:r>
      <w:r>
        <w:rPr>
          <w:rFonts w:hint="eastAsia"/>
        </w:rPr>
        <w:t xml:space="preserve">可沽售工具。由於彼等可被認沽回售予保險公司以收取現金，故於任何須由友邦保險</w:t>
      </w:r>
      <w:r>
        <w:br/>
      </w:r>
      <w:r>
        <w:rPr>
          <w:rFonts w:hint="eastAsia"/>
        </w:rPr>
        <w:t xml:space="preserve">合併的該等基金的非控股權益都被視為金融負債。</w:t>
      </w:r>
    </w:p>
    <w:p>
      <w:pPr>
        <w:pStyle w:val="BodyText"/>
      </w:pPr>
      <w:r>
        <w:rPr>
          <w:rFonts w:hint="eastAsia"/>
        </w:rPr>
        <w:t xml:space="preserve">新業務保費現值利潤率</w:t>
      </w:r>
    </w:p>
    <w:p>
      <w:pPr>
        <w:pStyle w:val="BodyText"/>
      </w:pPr>
      <w:r>
        <w:rPr>
          <w:rFonts w:hint="eastAsia"/>
        </w:rPr>
        <w:t xml:space="preserve">不包括退休金業務的新業務價值（未扣除非控股權益），以新業務保費現值的百分比</w:t>
      </w:r>
      <w:r>
        <w:br/>
      </w:r>
      <w:r>
        <w:rPr>
          <w:rFonts w:hint="eastAsia"/>
        </w:rPr>
        <w:t xml:space="preserve">表示。友邦保險的新業務保費現值利潤率乃反映為符合合併準備金及資本要求所作調</w:t>
      </w:r>
      <w:r>
        <w:br/>
      </w:r>
      <w:r>
        <w:rPr>
          <w:rFonts w:hint="eastAsia"/>
        </w:rPr>
        <w:t xml:space="preserve">整，以及未分配集團總部開支的稅後價值後列示。</w:t>
      </w:r>
    </w:p>
    <w:p>
      <w:pPr>
        <w:pStyle w:val="BodyText"/>
      </w:pPr>
      <w:r>
        <w:rPr>
          <w:rFonts w:hint="eastAsia"/>
        </w:rPr>
        <w:t xml:space="preserve">最低監管資本</w:t>
      </w:r>
    </w:p>
    <w:p>
      <w:pPr>
        <w:pStyle w:val="BodyText"/>
      </w:pPr>
      <w:r>
        <w:rPr>
          <w:rFonts w:hint="eastAsia"/>
        </w:rPr>
        <w:t xml:space="preserve">保險公司必須持有的淨資產以符合由香港保險業條例所設定的最低償付能力要求，從</w:t>
      </w:r>
      <w:r>
        <w:br/>
      </w:r>
      <w:r>
        <w:rPr>
          <w:rFonts w:hint="eastAsia"/>
        </w:rPr>
        <w:t xml:space="preserve">而獲准於香港境內或從香港從事保險業務。</w:t>
      </w:r>
    </w:p>
    <w:p>
      <w:pPr>
        <w:pStyle w:val="BodyText"/>
      </w:pPr>
      <w:r>
        <w:rPr>
          <w:rFonts w:hint="eastAsia"/>
        </w:rPr>
        <w:t xml:space="preserve">續保保費</w:t>
      </w:r>
    </w:p>
    <w:p>
      <w:pPr>
        <w:pStyle w:val="BodyText"/>
      </w:pPr>
      <w:r>
        <w:rPr>
          <w:rFonts w:hint="eastAsia"/>
        </w:rPr>
        <w:t xml:space="preserve">附加保險</w:t>
      </w:r>
    </w:p>
    <w:p>
      <w:pPr>
        <w:pStyle w:val="BodyText"/>
      </w:pPr>
      <w:r>
        <w:rPr>
          <w:rFonts w:hint="eastAsia"/>
        </w:rPr>
        <w:t xml:space="preserve">期繳保費保單於首年後應收取的保費。</w:t>
      </w:r>
    </w:p>
    <w:p>
      <w:pPr>
        <w:pStyle w:val="BodyText"/>
      </w:pPr>
      <w:r>
        <w:rPr>
          <w:rFonts w:hint="eastAsia"/>
        </w:rPr>
        <w:t xml:space="preserve">一般透過支付額外保費可附加於基本保險保單的補充計劃。</w:t>
      </w:r>
    </w:p>
    <w:p>
      <w:pPr>
        <w:pStyle w:val="BodyText"/>
      </w:pPr>
      <w:r>
        <w:rPr>
          <w:rFonts w:hint="eastAsia"/>
        </w:rPr>
        <w:t xml:space="preserve">風險基礎資本</w:t>
      </w:r>
    </w:p>
    <w:p>
      <w:pPr>
        <w:pStyle w:val="BodyText"/>
      </w:pPr>
      <w:r>
        <w:rPr>
          <w:rFonts w:hint="eastAsia"/>
        </w:rPr>
        <w:t xml:space="preserve">風險基礎資本指公司應持有以保障客戶免受不利發展影響的按風險評估的資本金額。</w:t>
      </w:r>
    </w:p>
    <w:p>
      <w:pPr>
        <w:pStyle w:val="BodyText"/>
      </w:pPr>
      <w:r>
        <w:rPr>
          <w:rFonts w:hint="eastAsia"/>
        </w:rPr>
        <w:t xml:space="preserve">受限制股份購買單位</w:t>
      </w:r>
    </w:p>
    <w:p>
      <w:pPr>
        <w:pStyle w:val="BodyText"/>
      </w:pPr>
      <w:r>
        <w:rPr>
          <w:rFonts w:hint="eastAsia"/>
        </w:rPr>
        <w:t xml:space="preserve">受限制股份購買單位。</w:t>
      </w:r>
    </w:p>
    <w:p>
      <w:pPr>
        <w:pStyle w:val="BodyText"/>
      </w:pPr>
      <w:r>
        <w:t xml:space="preserve">306</w:t>
      </w:r>
    </w:p>
    <w:p>
      <w:pPr>
        <w:pStyle w:val="BodyText"/>
      </w:pPr>
      <w:r>
        <w:rPr>
          <w:rFonts w:hint="eastAsia"/>
        </w:rPr>
        <w:t xml:space="preserve">友邦保險控股有限公司</w:t>
      </w:r>
    </w:p>
    <w:p>
      <w:pPr>
        <w:pStyle w:val="BodyText"/>
      </w:pPr>
      <w:r>
        <w:rPr>
          <w:rFonts w:hint="eastAsia"/>
        </w:rPr>
        <w:t xml:space="preserve">受限制股份認購單位</w:t>
      </w:r>
    </w:p>
    <w:p>
      <w:pPr>
        <w:pStyle w:val="BodyText"/>
      </w:pPr>
      <w:r>
        <w:rPr>
          <w:rFonts w:hint="eastAsia"/>
        </w:rPr>
        <w:t xml:space="preserve">受限制股份認購單位。</w:t>
      </w:r>
    </w:p>
    <w:p>
      <w:pPr>
        <w:pStyle w:val="BodyText"/>
      </w:pPr>
      <w:r>
        <w:rPr>
          <w:rFonts w:hint="eastAsia"/>
        </w:rPr>
        <w:t xml:space="preserve">下半年</w:t>
      </w:r>
    </w:p>
    <w:p>
      <w:pPr>
        <w:pStyle w:val="BodyText"/>
      </w:pPr>
      <w:r>
        <w:rPr>
          <w:rFonts w:hint="eastAsia"/>
        </w:rPr>
        <w:t xml:space="preserve">7月1日至12月31日的六個月。</w:t>
      </w:r>
    </w:p>
    <w:p>
      <w:pPr>
        <w:pStyle w:val="BodyText"/>
      </w:pPr>
      <w:r>
        <w:rPr>
          <w:rFonts w:hint="eastAsia"/>
        </w:rPr>
        <w:t xml:space="preserve">證券及期貨條例</w:t>
      </w:r>
    </w:p>
    <w:p>
      <w:pPr>
        <w:pStyle w:val="BodyText"/>
      </w:pPr>
      <w:r>
        <w:rPr>
          <w:rFonts w:hint="eastAsia"/>
        </w:rPr>
        <w:t xml:space="preserve">經不時修訂的《證券及期貨條例》（香港法例第571章）。</w:t>
      </w:r>
    </w:p>
    <w:p>
      <w:pPr>
        <w:pStyle w:val="BodyText"/>
      </w:pPr>
      <w:r>
        <w:rPr>
          <w:rFonts w:hint="eastAsia"/>
        </w:rPr>
        <w:t xml:space="preserve">股份</w:t>
      </w:r>
    </w:p>
    <w:p>
      <w:pPr>
        <w:pStyle w:val="BodyText"/>
      </w:pPr>
      <w:r>
        <w:rPr>
          <w:rFonts w:hint="eastAsia"/>
        </w:rPr>
        <w:t xml:space="preserve">就本公司而言，指本公司股本中的普通股。</w:t>
      </w:r>
    </w:p>
    <w:p>
      <w:pPr>
        <w:pStyle w:val="BodyText"/>
      </w:pPr>
      <w:r>
        <w:rPr>
          <w:rFonts w:hint="eastAsia"/>
        </w:rPr>
        <w:t xml:space="preserve">股東分配權益</w:t>
      </w:r>
    </w:p>
    <w:p>
      <w:pPr>
        <w:pStyle w:val="BodyText"/>
      </w:pPr>
      <w:r>
        <w:rPr>
          <w:rFonts w:hint="eastAsia"/>
        </w:rPr>
        <w:t xml:space="preserve">股東分配權益乃指本公司股東應佔總權益，經扣除公平值準備金。</w:t>
      </w:r>
    </w:p>
    <w:p>
      <w:pPr>
        <w:pStyle w:val="BodyText"/>
      </w:pPr>
      <w:r>
        <w:rPr>
          <w:rFonts w:hint="eastAsia"/>
        </w:rPr>
        <w:t xml:space="preserve">新加坡</w:t>
      </w:r>
    </w:p>
    <w:p>
      <w:pPr>
        <w:pStyle w:val="BodyText"/>
      </w:pPr>
      <w:r>
        <w:rPr>
          <w:rFonts w:hint="eastAsia"/>
        </w:rPr>
        <w:t xml:space="preserve">整付保費</w:t>
      </w:r>
    </w:p>
    <w:p>
      <w:pPr>
        <w:pStyle w:val="BodyText"/>
      </w:pPr>
      <w:r>
        <w:rPr>
          <w:rFonts w:hint="eastAsia"/>
        </w:rPr>
        <w:t xml:space="preserve">償付能力</w:t>
      </w:r>
    </w:p>
    <w:p>
      <w:pPr>
        <w:pStyle w:val="BodyText"/>
      </w:pPr>
      <w:r>
        <w:rPr>
          <w:rFonts w:hint="eastAsia"/>
        </w:rPr>
        <w:t xml:space="preserve">新加坡共和國；就我們的報告市場分部資料而言，新加坡包括汶萊。</w:t>
      </w:r>
    </w:p>
    <w:p>
      <w:pPr>
        <w:pStyle w:val="BodyText"/>
      </w:pPr>
      <w:r>
        <w:rPr>
          <w:rFonts w:hint="eastAsia"/>
        </w:rPr>
        <w:t xml:space="preserve">包括保險保單的所有成本的一次性支付。</w:t>
      </w:r>
    </w:p>
    <w:p>
      <w:pPr>
        <w:pStyle w:val="BodyText"/>
      </w:pPr>
      <w:r>
        <w:rPr>
          <w:rFonts w:hint="eastAsia"/>
        </w:rPr>
        <w:t xml:space="preserve">保險公司向其保單持有人賠償及賠款責任的能力。</w:t>
      </w:r>
    </w:p>
    <w:p>
      <w:pPr>
        <w:pStyle w:val="BodyText"/>
      </w:pPr>
      <w:r>
        <w:rPr>
          <w:rFonts w:hint="eastAsia"/>
        </w:rPr>
        <w:t xml:space="preserve">償付能力充足率</w:t>
      </w:r>
    </w:p>
    <w:p>
      <w:pPr>
        <w:pStyle w:val="BodyText"/>
      </w:pPr>
      <w:r>
        <w:rPr>
          <w:rFonts w:hint="eastAsia"/>
        </w:rPr>
        <w:t xml:space="preserve">根據相關法規適用於保險公司的可用資本總額與最低監管資本的比率。</w:t>
      </w:r>
    </w:p>
    <w:p>
      <w:pPr>
        <w:pStyle w:val="BodyText"/>
      </w:pPr>
      <w:r>
        <w:t xml:space="preserve">Sovereign</w:t>
      </w:r>
    </w:p>
    <w:p>
      <w:pPr>
        <w:pStyle w:val="BodyText"/>
      </w:pPr>
      <w:r>
        <w:t xml:space="preserve">ASB Group (Life) </w:t>
      </w:r>
      <w:r>
        <w:rPr>
          <w:rFonts w:hint="eastAsia"/>
        </w:rPr>
        <w:t xml:space="preserve">Limited（於2018年7月更名為AIA</w:t>
      </w:r>
      <w:r>
        <w:t xml:space="preserve"> Sovereign </w:t>
      </w:r>
      <w:r>
        <w:rPr>
          <w:rFonts w:hint="eastAsia"/>
        </w:rPr>
        <w:t xml:space="preserve">Limited）及其附屬公司，</w:t>
      </w:r>
      <w:r>
        <w:br/>
      </w:r>
      <w:r>
        <w:rPr>
          <w:rFonts w:hint="eastAsia"/>
        </w:rPr>
        <w:t xml:space="preserve">包括新西蘭持牌保險公司Sovereign</w:t>
      </w:r>
      <w:r>
        <w:t xml:space="preserve"> Assurance Company Limited。</w:t>
      </w:r>
    </w:p>
    <w:p>
      <w:pPr>
        <w:pStyle w:val="BodyText"/>
      </w:pPr>
      <w:r>
        <w:rPr>
          <w:rFonts w:hint="eastAsia"/>
        </w:rPr>
        <w:t xml:space="preserve">伊斯蘭保險</w:t>
      </w:r>
    </w:p>
    <w:p>
      <w:pPr>
        <w:pStyle w:val="BodyText"/>
      </w:pPr>
      <w:r>
        <w:rPr>
          <w:rFonts w:hint="eastAsia"/>
        </w:rPr>
        <w:t xml:space="preserve">建立在互助及風險分擔原則上的伊斯蘭保險。</w:t>
      </w:r>
    </w:p>
    <w:p>
      <w:pPr>
        <w:pStyle w:val="BodyText"/>
      </w:pPr>
      <w:r>
        <w:t xml:space="preserve">Tata AIA Life</w:t>
      </w:r>
    </w:p>
    <w:p>
      <w:pPr>
        <w:pStyle w:val="BodyText"/>
      </w:pPr>
      <w:r>
        <w:t xml:space="preserve">Tata AIA Life Insurance Company Limited。</w:t>
      </w:r>
    </w:p>
    <w:p>
      <w:pPr>
        <w:pStyle w:val="BodyText"/>
      </w:pPr>
      <w:r>
        <w:rPr>
          <w:rFonts w:hint="eastAsia"/>
        </w:rPr>
        <w:t xml:space="preserve">總加權保費收入</w:t>
      </w:r>
    </w:p>
    <w:p>
      <w:pPr>
        <w:pStyle w:val="BodyText"/>
      </w:pPr>
      <w:r>
        <w:rPr>
          <w:rFonts w:hint="eastAsia"/>
        </w:rPr>
        <w:t xml:space="preserve">總加權保費收入包括再保險分出前的續保保費100%、首年保費100%，以及整付保費</w:t>
      </w:r>
      <w:r>
        <w:br/>
      </w:r>
      <w:r>
        <w:rPr>
          <w:rFonts w:hint="eastAsia"/>
        </w:rPr>
        <w:t xml:space="preserve">10%；總加權保費收入按平均基準計入整付保費，故能反映友邦保險的長期業務量。</w:t>
      </w:r>
    </w:p>
    <w:p>
      <w:pPr>
        <w:pStyle w:val="BodyText"/>
      </w:pPr>
      <w:r>
        <w:rPr>
          <w:rFonts w:hint="eastAsia"/>
        </w:rPr>
        <w:t xml:space="preserve">產生的基本自由盈餘</w:t>
      </w:r>
    </w:p>
    <w:p>
      <w:pPr>
        <w:pStyle w:val="BodyText"/>
      </w:pPr>
      <w:r>
        <w:rPr>
          <w:rFonts w:hint="eastAsia"/>
        </w:rPr>
        <w:t xml:space="preserve">所產生的基本自由盈餘指就若干非經常性項目進行調整的有效保單業務所產生的自由</w:t>
      </w:r>
      <w:r>
        <w:br/>
      </w:r>
      <w:r>
        <w:rPr>
          <w:rFonts w:hint="eastAsia"/>
        </w:rPr>
        <w:t xml:space="preserve">盈餘，其不包括用於撥付新業務、未分配集團總部開支、投資差異及其他非經常性項</w:t>
      </w:r>
      <w:r>
        <w:br/>
      </w:r>
      <w:r>
        <w:rPr>
          <w:rFonts w:hint="eastAsia"/>
        </w:rPr>
        <w:t xml:space="preserve">目的自由盈餘。友邦保險所產生的基本自由盈餘乃於反映合併準備金及資本要求後列</w:t>
      </w:r>
      <w:r>
        <w:br/>
      </w:r>
      <w:r>
        <w:rPr>
          <w:rFonts w:hint="eastAsia"/>
        </w:rPr>
        <w:t xml:space="preserve">示。</w:t>
      </w:r>
    </w:p>
    <w:p>
      <w:pPr>
        <w:pStyle w:val="BodyText"/>
      </w:pPr>
      <w:r>
        <w:rPr>
          <w:rFonts w:hint="eastAsia"/>
        </w:rPr>
        <w:t xml:space="preserve">單位連結式投資</w:t>
      </w:r>
    </w:p>
    <w:p>
      <w:pPr>
        <w:pStyle w:val="BodyText"/>
      </w:pPr>
      <w:r>
        <w:rPr>
          <w:rFonts w:hint="eastAsia"/>
        </w:rPr>
        <w:t xml:space="preserve">作為單位連結式合約抵押而持有的金融投資。</w:t>
      </w:r>
    </w:p>
    <w:p>
      <w:pPr>
        <w:pStyle w:val="BodyText"/>
      </w:pPr>
      <w:r>
        <w:t xml:space="preserve">307</w:t>
      </w:r>
    </w:p>
    <w:p>
      <w:pPr>
        <w:pStyle w:val="BodyText"/>
      </w:pPr>
      <w:r>
        <w:rPr>
          <w:rFonts w:hint="eastAsia"/>
        </w:rPr>
        <w:t xml:space="preserve">概覽財務及營運回顧企業管治其他資料財務報表2020年報</w:t>
      </w:r>
    </w:p>
    <w:p>
      <w:pPr>
        <w:pStyle w:val="BodyText"/>
      </w:pPr>
      <w:r>
        <w:rPr>
          <w:rFonts w:hint="eastAsia"/>
        </w:rPr>
        <w:t xml:space="preserve">單位連結式產品</w:t>
      </w:r>
    </w:p>
    <w:p>
      <w:pPr>
        <w:pStyle w:val="BodyText"/>
      </w:pPr>
      <w:r>
        <w:rPr>
          <w:rFonts w:hint="eastAsia"/>
        </w:rPr>
        <w:t xml:space="preserve">萬能壽險</w:t>
      </w:r>
    </w:p>
    <w:p>
      <w:pPr>
        <w:pStyle w:val="BodyText"/>
      </w:pPr>
      <w:r>
        <w:rPr>
          <w:rFonts w:hint="eastAsia"/>
        </w:rPr>
        <w:t xml:space="preserve">收購業務價值</w:t>
      </w:r>
    </w:p>
    <w:p>
      <w:pPr>
        <w:pStyle w:val="BodyText"/>
      </w:pPr>
      <w:r>
        <w:rPr>
          <w:rFonts w:hint="eastAsia"/>
        </w:rPr>
        <w:t xml:space="preserve">有效保單業務價值</w:t>
      </w:r>
    </w:p>
    <w:p>
      <w:pPr>
        <w:pStyle w:val="BodyText"/>
      </w:pPr>
      <w:r>
        <w:rPr>
          <w:rFonts w:hint="eastAsia"/>
        </w:rPr>
        <w:t xml:space="preserve">新業務價值</w:t>
      </w:r>
    </w:p>
    <w:p>
      <w:pPr>
        <w:pStyle w:val="BodyText"/>
      </w:pPr>
      <w:r>
        <w:rPr>
          <w:rFonts w:hint="eastAsia"/>
        </w:rPr>
        <w:t xml:space="preserve">新業務價值利潤率</w:t>
      </w:r>
    </w:p>
    <w:p>
      <w:pPr>
        <w:pStyle w:val="BodyText"/>
      </w:pPr>
      <w:r>
        <w:rPr>
          <w:rFonts w:hint="eastAsia"/>
        </w:rPr>
        <w:t xml:space="preserve">單位連結式產品是保單價值與相關投資（例如集體投資計劃、內部投資組合或其他財</w:t>
      </w:r>
      <w:r>
        <w:br/>
      </w:r>
      <w:r>
        <w:rPr>
          <w:rFonts w:hint="eastAsia"/>
        </w:rPr>
        <w:t xml:space="preserve">產）價值或相關投資或指數價值波動掛鈎的保險產品。與該產品相關的投資風險通常由</w:t>
      </w:r>
      <w:r>
        <w:br/>
      </w:r>
      <w:r>
        <w:rPr>
          <w:rFonts w:hint="eastAsia"/>
        </w:rPr>
        <w:t xml:space="preserve">保單持有人承擔。保險範圍、投資及管理服務的費用從投資基金資產扣除。應付的利</w:t>
      </w:r>
      <w:r>
        <w:br/>
      </w:r>
      <w:r>
        <w:rPr>
          <w:rFonts w:hint="eastAsia"/>
        </w:rPr>
        <w:t xml:space="preserve">益須視乎受保人身故、退保或保單到期時單位的價格而定，並須支付退保手續費。</w:t>
      </w:r>
    </w:p>
    <w:p>
      <w:pPr>
        <w:pStyle w:val="BodyText"/>
      </w:pPr>
      <w:r>
        <w:rPr>
          <w:rFonts w:hint="eastAsia"/>
        </w:rPr>
        <w:t xml:space="preserve">客戶支付受特定限額限制的靈活保費而保費會於帳戶結餘內累計並獲由保險公司設定</w:t>
      </w:r>
      <w:r>
        <w:br/>
      </w:r>
      <w:r>
        <w:rPr>
          <w:rFonts w:hint="eastAsia"/>
        </w:rPr>
        <w:t xml:space="preserve">的利息或反映資產組合回報的保險產品。客戶可變更身故賠償，且合約容許保單持有</w:t>
      </w:r>
      <w:r>
        <w:br/>
      </w:r>
      <w:r>
        <w:rPr>
          <w:rFonts w:hint="eastAsia"/>
        </w:rPr>
        <w:t xml:space="preserve">人提取帳戶結餘，但一般須支付退保手續費。</w:t>
      </w:r>
    </w:p>
    <w:p>
      <w:pPr>
        <w:pStyle w:val="BodyText"/>
      </w:pPr>
      <w:r>
        <w:rPr>
          <w:rFonts w:hint="eastAsia"/>
        </w:rPr>
        <w:t xml:space="preserve">有關所收購長期保險及投資合約組合的收購業務價值乃確認為資產，並採用貼現現金</w:t>
      </w:r>
      <w:r>
        <w:br/>
      </w:r>
      <w:r>
        <w:rPr>
          <w:rFonts w:hint="eastAsia"/>
        </w:rPr>
        <w:t xml:space="preserve">流方法計算，反映自該組合所有預期未來將變現的現金流。收購業務價值乃按系統基</w:t>
      </w:r>
      <w:r>
        <w:br/>
      </w:r>
      <w:r>
        <w:rPr>
          <w:rFonts w:hint="eastAsia"/>
        </w:rPr>
        <w:t xml:space="preserve">準於所收購組合合約的預計年限內攤銷。攤銷比例反映所收購業務附加值的概況。收</w:t>
      </w:r>
      <w:r>
        <w:br/>
      </w:r>
      <w:r>
        <w:rPr>
          <w:rFonts w:hint="eastAsia"/>
        </w:rPr>
        <w:t xml:space="preserve">購業務價值的賬面值每年進行減值審閱，任何減值於合併收入表扣除。</w:t>
      </w:r>
    </w:p>
    <w:p>
      <w:pPr>
        <w:pStyle w:val="BodyText"/>
      </w:pPr>
      <w:r>
        <w:rPr>
          <w:rFonts w:hint="eastAsia"/>
        </w:rPr>
        <w:t xml:space="preserve">有效保單業務價值為從有效保單業務在未來產生的預期稅後法定溢利的現值扣除用作</w:t>
      </w:r>
      <w:r>
        <w:br/>
      </w:r>
      <w:r>
        <w:rPr>
          <w:rFonts w:hint="eastAsia"/>
        </w:rPr>
        <w:t xml:space="preserve">支持有效保單業務的所需資本成本。友邦保險的有效保單業務價值乃反映為符合合併</w:t>
      </w:r>
      <w:r>
        <w:br/>
      </w:r>
      <w:r>
        <w:rPr>
          <w:rFonts w:hint="eastAsia"/>
        </w:rPr>
        <w:t xml:space="preserve">準備金及資本要求所作調整，以及未分配集團總部開支的稅後價值後列示。按市場劃</w:t>
      </w:r>
      <w:r>
        <w:br/>
      </w:r>
      <w:r>
        <w:rPr>
          <w:rFonts w:hint="eastAsia"/>
        </w:rPr>
        <w:t xml:space="preserve">分的有效保單業務價值乃在反映為符合合併準備金及資本要求所作調整以及未分配集</w:t>
      </w:r>
      <w:r>
        <w:br/>
      </w:r>
      <w:r>
        <w:rPr>
          <w:rFonts w:hint="eastAsia"/>
        </w:rPr>
        <w:t xml:space="preserve">團總部開支前，按當地法定基準列示。</w:t>
      </w:r>
    </w:p>
    <w:p>
      <w:pPr>
        <w:pStyle w:val="BodyText"/>
      </w:pPr>
      <w:r>
        <w:rPr>
          <w:rFonts w:hint="eastAsia"/>
        </w:rPr>
        <w:t xml:space="preserve">期間內所售新業務在未來產生的預期稅後法定溢利按銷售當時計算的現值扣除用作支</w:t>
      </w:r>
      <w:r>
        <w:br/>
      </w:r>
      <w:r>
        <w:rPr>
          <w:rFonts w:hint="eastAsia"/>
        </w:rPr>
        <w:t xml:space="preserve">持新業務而持有超過法定準備金所需資本的成本。友邦保險的新業務價值乃反映為符</w:t>
      </w:r>
      <w:r>
        <w:br/>
      </w:r>
      <w:r>
        <w:rPr>
          <w:rFonts w:hint="eastAsia"/>
        </w:rPr>
        <w:t xml:space="preserve">合合併準備金及資本要求所作調整，以及未分配集團總部開支的稅後價值後列示。按</w:t>
      </w:r>
      <w:r>
        <w:br/>
      </w:r>
      <w:r>
        <w:rPr>
          <w:rFonts w:hint="eastAsia"/>
        </w:rPr>
        <w:t xml:space="preserve">市場劃分的新業務價值乃在反映為符合合併準備金及資本要求所作調整以及未分配集</w:t>
      </w:r>
      <w:r>
        <w:br/>
      </w:r>
      <w:r>
        <w:rPr>
          <w:rFonts w:hint="eastAsia"/>
        </w:rPr>
        <w:t xml:space="preserve">團總部開支前，按當地法定基準列示。</w:t>
      </w:r>
    </w:p>
    <w:p>
      <w:pPr>
        <w:pStyle w:val="BodyText"/>
      </w:pPr>
      <w:r>
        <w:rPr>
          <w:rFonts w:hint="eastAsia"/>
        </w:rPr>
        <w:t xml:space="preserve">不包括退休金業務的新業務價值（未扣除非控股權益），以年化新保費的百分比表示。</w:t>
      </w:r>
      <w:r>
        <w:br/>
      </w:r>
      <w:r>
        <w:rPr>
          <w:rFonts w:hint="eastAsia"/>
        </w:rPr>
        <w:t xml:space="preserve">友邦保險的新業務價值利潤率乃反映為符合合併準備金及資本要求所作調整，以及未</w:t>
      </w:r>
      <w:r>
        <w:br/>
      </w:r>
      <w:r>
        <w:rPr>
          <w:rFonts w:hint="eastAsia"/>
        </w:rPr>
        <w:t xml:space="preserve">分配集團總部開支的稅後價值後列示。按市場劃分的新業務價值利潤率乃在反映為符</w:t>
      </w:r>
      <w:r>
        <w:br/>
      </w:r>
      <w:r>
        <w:rPr>
          <w:rFonts w:hint="eastAsia"/>
        </w:rPr>
        <w:t xml:space="preserve">合合併準備金及資本要求所作調整以及未分配集團總部開支前，按當地法定基準列示。</w:t>
      </w:r>
    </w:p>
    <w:p>
      <w:pPr>
        <w:pStyle w:val="BodyText"/>
      </w:pPr>
      <w:r>
        <w:rPr>
          <w:rFonts w:hint="eastAsia"/>
        </w:rPr>
        <w:t xml:space="preserve">營運資金</w:t>
      </w:r>
    </w:p>
    <w:p>
      <w:pPr>
        <w:pStyle w:val="BodyText"/>
      </w:pPr>
      <w:r>
        <w:rPr>
          <w:rFonts w:hint="eastAsia"/>
        </w:rPr>
        <w:t xml:space="preserve">營運資金包括集團企業中心持有的債務及股本證券、存款和現金及現金等價物。此等</w:t>
      </w:r>
      <w:r>
        <w:br/>
      </w:r>
      <w:r>
        <w:rPr>
          <w:rFonts w:hint="eastAsia"/>
        </w:rPr>
        <w:t xml:space="preserve">流動資產可用作投資建立本集團的業務營運。</w:t>
      </w:r>
    </w:p>
    <w:p>
      <w:pPr>
        <w:pStyle w:val="BodyText"/>
      </w:pPr>
      <w:r>
        <w:t xml:space="preserve">308</w:t>
      </w:r>
    </w:p>
    <w:p>
      <w:pPr>
        <w:pStyle w:val="BodyText"/>
      </w:pPr>
      <w:r>
        <w:rPr>
          <w:rFonts w:hint="eastAsia"/>
        </w:rPr>
        <w:t xml:space="preserve">友邦保險控股有限公司</w:t>
      </w:r>
    </w:p>
    <w:p>
      <w:pPr>
        <w:pStyle w:val="BodyText"/>
      </w:pPr>
      <w:r>
        <w:rPr>
          <w:rFonts w:hint="eastAsia"/>
        </w:rPr>
        <w:t xml:space="preserve">我們的目標</w:t>
      </w:r>
    </w:p>
    <w:p>
      <w:pPr>
        <w:pStyle w:val="BodyText"/>
      </w:pPr>
      <w:r>
        <w:rPr>
          <w:rFonts w:hint="eastAsia"/>
        </w:rPr>
        <w:t xml:space="preserve">目錄</w:t>
      </w:r>
    </w:p>
    <w:p>
      <w:pPr>
        <w:pStyle w:val="BodyText"/>
      </w:pPr>
      <w:r>
        <w:rPr>
          <w:rFonts w:hint="eastAsia"/>
        </w:rPr>
        <w:t xml:space="preserve">我們的目標是</w:t>
      </w:r>
    </w:p>
    <w:p>
      <w:pPr>
        <w:pStyle w:val="BodyText"/>
      </w:pPr>
      <w:r>
        <w:rPr>
          <w:rFonts w:hint="eastAsia"/>
        </w:rPr>
        <w:t xml:space="preserve">協助大眾實現健康、</w:t>
      </w:r>
    </w:p>
    <w:p>
      <w:pPr>
        <w:pStyle w:val="BodyText"/>
      </w:pPr>
      <w:r>
        <w:rPr>
          <w:rFonts w:hint="eastAsia"/>
        </w:rPr>
        <w:t xml:space="preserve">長久、好生活。</w:t>
      </w:r>
    </w:p>
    <w:p>
      <w:pPr>
        <w:pStyle w:val="BodyText"/>
      </w:pPr>
      <w:r>
        <w:rPr>
          <w:rFonts w:hint="eastAsia"/>
        </w:rPr>
        <w:t xml:space="preserve">友邦保險簡介</w:t>
      </w:r>
    </w:p>
    <w:p>
      <w:pPr>
        <w:pStyle w:val="BodyText"/>
      </w:pPr>
      <w:r>
        <w:rPr>
          <w:rFonts w:hint="eastAsia"/>
        </w:rPr>
        <w:t xml:space="preserve">友</w:t>
      </w:r>
      <w:r>
        <w:t xml:space="preserve"> </w:t>
      </w:r>
      <w:r>
        <w:rPr>
          <w:rFonts w:hint="eastAsia"/>
        </w:rPr>
        <w:t xml:space="preserve">邦</w:t>
      </w:r>
      <w:r>
        <w:t xml:space="preserve"> </w:t>
      </w:r>
      <w:r>
        <w:rPr>
          <w:rFonts w:hint="eastAsia"/>
        </w:rPr>
        <w:t xml:space="preserve">保</w:t>
      </w:r>
      <w:r>
        <w:t xml:space="preserve"> </w:t>
      </w:r>
      <w:r>
        <w:rPr>
          <w:rFonts w:hint="eastAsia"/>
        </w:rPr>
        <w:t xml:space="preserve">險</w:t>
      </w:r>
      <w:r>
        <w:t xml:space="preserve"> </w:t>
      </w:r>
      <w:r>
        <w:rPr>
          <w:rFonts w:hint="eastAsia"/>
        </w:rPr>
        <w:t xml:space="preserve">控</w:t>
      </w:r>
      <w:r>
        <w:t xml:space="preserve"> </w:t>
      </w:r>
      <w:r>
        <w:rPr>
          <w:rFonts w:hint="eastAsia"/>
        </w:rPr>
        <w:t xml:space="preserve">股</w:t>
      </w:r>
      <w:r>
        <w:t xml:space="preserve"> </w:t>
      </w:r>
      <w:r>
        <w:rPr>
          <w:rFonts w:hint="eastAsia"/>
        </w:rPr>
        <w:t xml:space="preserve">有</w:t>
      </w:r>
      <w:r>
        <w:t xml:space="preserve"> </w:t>
      </w:r>
      <w:r>
        <w:rPr>
          <w:rFonts w:hint="eastAsia"/>
        </w:rPr>
        <w:t xml:space="preserve">限</w:t>
      </w:r>
      <w:r>
        <w:t xml:space="preserve"> </w:t>
      </w:r>
      <w:r>
        <w:rPr>
          <w:rFonts w:hint="eastAsia"/>
        </w:rPr>
        <w:t xml:space="preserve">公</w:t>
      </w:r>
      <w:r>
        <w:t xml:space="preserve"> </w:t>
      </w:r>
      <w:r>
        <w:rPr>
          <w:rFonts w:hint="eastAsia"/>
        </w:rPr>
        <w:t xml:space="preserve">司</w:t>
      </w:r>
      <w:r>
        <w:t xml:space="preserve"> </w:t>
      </w:r>
      <w:r>
        <w:rPr>
          <w:rFonts w:hint="eastAsia"/>
        </w:rPr>
        <w:t xml:space="preserve">及</w:t>
      </w:r>
      <w:r>
        <w:t xml:space="preserve"> </w:t>
      </w:r>
      <w:r>
        <w:rPr>
          <w:rFonts w:hint="eastAsia"/>
        </w:rPr>
        <w:t xml:space="preserve">其</w:t>
      </w:r>
      <w:r>
        <w:t xml:space="preserve"> </w:t>
      </w:r>
      <w:r>
        <w:rPr>
          <w:rFonts w:hint="eastAsia"/>
        </w:rPr>
        <w:t xml:space="preserve">附</w:t>
      </w:r>
      <w:r>
        <w:t xml:space="preserve"> </w:t>
      </w:r>
      <w:r>
        <w:rPr>
          <w:rFonts w:hint="eastAsia"/>
        </w:rPr>
        <w:t xml:space="preserve">屬</w:t>
      </w:r>
      <w:r>
        <w:t xml:space="preserve"> </w:t>
      </w:r>
      <w:r>
        <w:rPr>
          <w:rFonts w:hint="eastAsia"/>
        </w:rPr>
        <w:t xml:space="preserve">公</w:t>
      </w:r>
      <w:r>
        <w:t xml:space="preserve"> </w:t>
      </w:r>
      <w:r>
        <w:rPr>
          <w:rFonts w:hint="eastAsia"/>
        </w:rPr>
        <w:t xml:space="preserve">司</w:t>
      </w:r>
    </w:p>
    <w:p>
      <w:pPr>
        <w:pStyle w:val="BodyText"/>
      </w:pPr>
      <w:r>
        <w:rPr>
          <w:rFonts w:hint="eastAsia"/>
        </w:rPr>
        <w:t xml:space="preserve">友</w:t>
      </w:r>
      <w:r>
        <w:t xml:space="preserve"> </w:t>
      </w:r>
      <w:r>
        <w:rPr>
          <w:rFonts w:hint="eastAsia"/>
        </w:rPr>
        <w:t xml:space="preserve">邦</w:t>
      </w:r>
      <w:r>
        <w:t xml:space="preserve"> </w:t>
      </w:r>
      <w:r>
        <w:rPr>
          <w:rFonts w:hint="eastAsia"/>
        </w:rPr>
        <w:t xml:space="preserve">保</w:t>
      </w:r>
      <w:r>
        <w:t xml:space="preserve"> </w:t>
      </w:r>
      <w:r>
        <w:rPr>
          <w:rFonts w:hint="eastAsia"/>
        </w:rPr>
        <w:t xml:space="preserve">險</w:t>
      </w:r>
      <w:r>
        <w:t xml:space="preserve"> </w:t>
      </w:r>
      <w:r>
        <w:rPr>
          <w:rFonts w:hint="eastAsia"/>
        </w:rPr>
        <w:t xml:space="preserve">提</w:t>
      </w:r>
      <w:r>
        <w:t xml:space="preserve"> </w:t>
      </w:r>
      <w:r>
        <w:rPr>
          <w:rFonts w:hint="eastAsia"/>
        </w:rPr>
        <w:t xml:space="preserve">供</w:t>
      </w:r>
      <w:r>
        <w:t xml:space="preserve"> </w:t>
      </w:r>
      <w:r>
        <w:rPr>
          <w:rFonts w:hint="eastAsia"/>
        </w:rPr>
        <w:t xml:space="preserve">一</w:t>
      </w:r>
      <w:r>
        <w:t xml:space="preserve"> </w:t>
      </w:r>
      <w:r>
        <w:rPr>
          <w:rFonts w:hint="eastAsia"/>
        </w:rPr>
        <w:t xml:space="preserve">系</w:t>
      </w:r>
      <w:r>
        <w:t xml:space="preserve"> </w:t>
      </w:r>
      <w:r>
        <w:rPr>
          <w:rFonts w:hint="eastAsia"/>
        </w:rPr>
        <w:t xml:space="preserve">列</w:t>
      </w:r>
      <w:r>
        <w:t xml:space="preserve"> </w:t>
      </w:r>
      <w:r>
        <w:rPr>
          <w:rFonts w:hint="eastAsia"/>
        </w:rPr>
        <w:t xml:space="preserve">的</w:t>
      </w:r>
      <w:r>
        <w:t xml:space="preserve"> </w:t>
      </w:r>
      <w:r>
        <w:rPr>
          <w:rFonts w:hint="eastAsia"/>
        </w:rPr>
        <w:t xml:space="preserve">產</w:t>
      </w:r>
      <w:r>
        <w:t xml:space="preserve"> </w:t>
      </w:r>
      <w:r>
        <w:rPr>
          <w:rFonts w:hint="eastAsia"/>
        </w:rPr>
        <w:t xml:space="preserve">品</w:t>
      </w:r>
      <w:r>
        <w:t xml:space="preserve"> </w:t>
      </w:r>
      <w:r>
        <w:rPr>
          <w:rFonts w:hint="eastAsia"/>
        </w:rPr>
        <w:t xml:space="preserve">及</w:t>
      </w:r>
      <w:r>
        <w:t xml:space="preserve"> </w:t>
      </w:r>
      <w:r>
        <w:rPr>
          <w:rFonts w:hint="eastAsia"/>
        </w:rPr>
        <w:t xml:space="preserve">服</w:t>
      </w:r>
      <w:r>
        <w:t xml:space="preserve"> </w:t>
      </w:r>
      <w:r>
        <w:rPr>
          <w:rFonts w:hint="eastAsia"/>
        </w:rPr>
        <w:t xml:space="preserve">務，</w:t>
      </w:r>
    </w:p>
    <w:p>
      <w:pPr>
        <w:pStyle w:val="BodyText"/>
      </w:pPr>
      <w:r>
        <w:rPr>
          <w:rFonts w:hint="eastAsia"/>
        </w:rPr>
        <w:t xml:space="preserve">概覽</w:t>
      </w:r>
      <w:r>
        <w:br/>
      </w:r>
      <w:r>
        <w:t xml:space="preserve">006 </w:t>
      </w:r>
      <w:r>
        <w:rPr>
          <w:rFonts w:hint="eastAsia"/>
        </w:rPr>
        <w:t xml:space="preserve">財務摘要</w:t>
      </w:r>
    </w:p>
    <w:p>
      <w:pPr>
        <w:pStyle w:val="BodyText"/>
      </w:pPr>
      <w:r>
        <w:t xml:space="preserve">008 </w:t>
      </w:r>
      <w:r>
        <w:rPr>
          <w:rFonts w:hint="eastAsia"/>
        </w:rPr>
        <w:t xml:space="preserve">主席報告</w:t>
      </w:r>
    </w:p>
    <w:p>
      <w:pPr>
        <w:pStyle w:val="BodyText"/>
      </w:pPr>
      <w:r>
        <w:t xml:space="preserve">010 </w:t>
      </w:r>
      <w:r>
        <w:rPr>
          <w:rFonts w:hint="eastAsia"/>
        </w:rPr>
        <w:t xml:space="preserve">集團首席執行官</w:t>
      </w:r>
      <w:r>
        <w:br/>
      </w:r>
      <w:r>
        <w:rPr>
          <w:rFonts w:hint="eastAsia"/>
        </w:rPr>
        <w:t xml:space="preserve">兼總裁報告</w:t>
      </w:r>
    </w:p>
    <w:p>
      <w:pPr>
        <w:pStyle w:val="BodyText"/>
      </w:pPr>
      <w:r>
        <w:rPr>
          <w:rFonts w:hint="eastAsia"/>
        </w:rPr>
        <w:t xml:space="preserve">財務及營運回顧</w:t>
      </w:r>
      <w:r>
        <w:br/>
      </w:r>
      <w:r>
        <w:t xml:space="preserve">016 </w:t>
      </w:r>
      <w:r>
        <w:rPr>
          <w:rFonts w:hint="eastAsia"/>
        </w:rPr>
        <w:t xml:space="preserve">集團首席財務總監回顧</w:t>
      </w:r>
    </w:p>
    <w:p>
      <w:pPr>
        <w:pStyle w:val="BodyText"/>
      </w:pPr>
      <w:r>
        <w:t xml:space="preserve">040 </w:t>
      </w:r>
      <w:r>
        <w:rPr>
          <w:rFonts w:hint="eastAsia"/>
        </w:rPr>
        <w:t xml:space="preserve">業務回顧</w:t>
      </w:r>
    </w:p>
    <w:p>
      <w:pPr>
        <w:pStyle w:val="BodyText"/>
      </w:pPr>
      <w:r>
        <w:t xml:space="preserve">056 </w:t>
      </w:r>
      <w:r>
        <w:rPr>
          <w:rFonts w:hint="eastAsia"/>
        </w:rPr>
        <w:t xml:space="preserve">風險管理</w:t>
      </w:r>
    </w:p>
    <w:p>
      <w:pPr>
        <w:pStyle w:val="BodyText"/>
      </w:pPr>
      <w:r>
        <w:t xml:space="preserve">062 </w:t>
      </w:r>
      <w:r>
        <w:rPr>
          <w:rFonts w:hint="eastAsia"/>
        </w:rPr>
        <w:t xml:space="preserve">監管及國際發展</w:t>
      </w:r>
    </w:p>
    <w:p>
      <w:pPr>
        <w:pStyle w:val="BodyText"/>
      </w:pPr>
      <w:r>
        <w:t xml:space="preserve">064 </w:t>
      </w:r>
      <w:r>
        <w:rPr>
          <w:rFonts w:hint="eastAsia"/>
        </w:rPr>
        <w:t xml:space="preserve">我們的團隊</w:t>
      </w:r>
    </w:p>
    <w:p>
      <w:pPr>
        <w:pStyle w:val="BodyText"/>
      </w:pPr>
      <w:r>
        <w:rPr>
          <w:rFonts w:hint="eastAsia"/>
        </w:rPr>
        <w:t xml:space="preserve">企業管治</w:t>
      </w:r>
      <w:r>
        <w:br/>
      </w:r>
      <w:r>
        <w:t xml:space="preserve">069 </w:t>
      </w:r>
      <w:r>
        <w:rPr>
          <w:rFonts w:hint="eastAsia"/>
        </w:rPr>
        <w:t xml:space="preserve">董事責任聲明</w:t>
      </w:r>
    </w:p>
    <w:p>
      <w:pPr>
        <w:pStyle w:val="BodyText"/>
      </w:pPr>
      <w:r>
        <w:rPr>
          <w:rFonts w:hint="eastAsia"/>
        </w:rPr>
        <w:t xml:space="preserve">（統稱「友邦保險」或「本集團」）是最大</w:t>
      </w:r>
    </w:p>
    <w:p>
      <w:pPr>
        <w:pStyle w:val="BodyText"/>
      </w:pPr>
      <w:r>
        <w:rPr>
          <w:rFonts w:hint="eastAsia"/>
        </w:rPr>
        <w:t xml:space="preserve">涵蓋壽險、意外及醫療保險和儲蓄計劃，</w:t>
      </w:r>
    </w:p>
    <w:p>
      <w:pPr>
        <w:pStyle w:val="BodyText"/>
      </w:pPr>
      <w:r>
        <w:t xml:space="preserve">070 </w:t>
      </w:r>
      <w:r>
        <w:rPr>
          <w:rFonts w:hint="eastAsia"/>
        </w:rPr>
        <w:t xml:space="preserve">董事會</w:t>
      </w:r>
    </w:p>
    <w:p>
      <w:pPr>
        <w:pStyle w:val="BodyText"/>
      </w:pPr>
      <w:r>
        <w:rPr>
          <w:rFonts w:hint="eastAsia"/>
        </w:rPr>
        <w:t xml:space="preserve">的</w:t>
      </w:r>
      <w:r>
        <w:t xml:space="preserve"> </w:t>
      </w:r>
      <w:r>
        <w:rPr>
          <w:rFonts w:hint="eastAsia"/>
        </w:rPr>
        <w:t xml:space="preserve">泛</w:t>
      </w:r>
      <w:r>
        <w:t xml:space="preserve"> </w:t>
      </w:r>
      <w:r>
        <w:rPr>
          <w:rFonts w:hint="eastAsia"/>
        </w:rPr>
        <w:t xml:space="preserve">亞</w:t>
      </w:r>
      <w:r>
        <w:t xml:space="preserve"> </w:t>
      </w:r>
      <w:r>
        <w:rPr>
          <w:rFonts w:hint="eastAsia"/>
        </w:rPr>
        <w:t xml:space="preserve">地</w:t>
      </w:r>
      <w:r>
        <w:t xml:space="preserve"> </w:t>
      </w:r>
      <w:r>
        <w:rPr>
          <w:rFonts w:hint="eastAsia"/>
        </w:rPr>
        <w:t xml:space="preserve">區</w:t>
      </w:r>
      <w:r>
        <w:t xml:space="preserve"> </w:t>
      </w:r>
      <w:r>
        <w:rPr>
          <w:rFonts w:hint="eastAsia"/>
        </w:rPr>
        <w:t xml:space="preserve">獨</w:t>
      </w:r>
      <w:r>
        <w:t xml:space="preserve"> </w:t>
      </w:r>
      <w:r>
        <w:rPr>
          <w:rFonts w:hint="eastAsia"/>
        </w:rPr>
        <w:t xml:space="preserve">立</w:t>
      </w:r>
      <w:r>
        <w:t xml:space="preserve"> </w:t>
      </w:r>
      <w:r>
        <w:rPr>
          <w:rFonts w:hint="eastAsia"/>
        </w:rPr>
        <w:t xml:space="preserve">上</w:t>
      </w:r>
      <w:r>
        <w:t xml:space="preserve"> </w:t>
      </w:r>
      <w:r>
        <w:rPr>
          <w:rFonts w:hint="eastAsia"/>
        </w:rPr>
        <w:t xml:space="preserve">市</w:t>
      </w:r>
      <w:r>
        <w:t xml:space="preserve"> </w:t>
      </w:r>
      <w:r>
        <w:rPr>
          <w:rFonts w:hint="eastAsia"/>
        </w:rPr>
        <w:t xml:space="preserve">人</w:t>
      </w:r>
      <w:r>
        <w:t xml:space="preserve"> </w:t>
      </w:r>
      <w:r>
        <w:rPr>
          <w:rFonts w:hint="eastAsia"/>
        </w:rPr>
        <w:t xml:space="preserve">壽</w:t>
      </w:r>
      <w:r>
        <w:t xml:space="preserve"> </w:t>
      </w:r>
      <w:r>
        <w:rPr>
          <w:rFonts w:hint="eastAsia"/>
        </w:rPr>
        <w:t xml:space="preserve">保</w:t>
      </w:r>
      <w:r>
        <w:t xml:space="preserve"> </w:t>
      </w:r>
      <w:r>
        <w:rPr>
          <w:rFonts w:hint="eastAsia"/>
        </w:rPr>
        <w:t xml:space="preserve">險</w:t>
      </w:r>
      <w:r>
        <w:t xml:space="preserve"> </w:t>
      </w:r>
      <w:r>
        <w:rPr>
          <w:rFonts w:hint="eastAsia"/>
        </w:rPr>
        <w:t xml:space="preserve">集</w:t>
      </w:r>
      <w:r>
        <w:t xml:space="preserve"> </w:t>
      </w:r>
      <w:r>
        <w:rPr>
          <w:rFonts w:hint="eastAsia"/>
        </w:rPr>
        <w:t xml:space="preserve">團，</w:t>
      </w:r>
    </w:p>
    <w:p>
      <w:pPr>
        <w:pStyle w:val="BodyText"/>
      </w:pPr>
      <w:r>
        <w:rPr>
          <w:rFonts w:hint="eastAsia"/>
        </w:rPr>
        <w:t xml:space="preserve">以滿足個人客戶在長期儲蓄及保障方面</w:t>
      </w:r>
    </w:p>
    <w:p>
      <w:pPr>
        <w:pStyle w:val="BodyText"/>
      </w:pPr>
      <w:r>
        <w:rPr>
          <w:rFonts w:hint="eastAsia"/>
        </w:rPr>
        <w:t xml:space="preserve">覆蓋18個市場，包括在中國內地、香港</w:t>
      </w:r>
    </w:p>
    <w:p>
      <w:pPr>
        <w:pStyle w:val="BodyText"/>
      </w:pPr>
      <w:r>
        <w:rPr>
          <w:rFonts w:hint="eastAsia"/>
        </w:rPr>
        <w:t xml:space="preserve">的</w:t>
      </w:r>
      <w:r>
        <w:t xml:space="preserve"> </w:t>
      </w:r>
      <w:r>
        <w:rPr>
          <w:rFonts w:hint="eastAsia"/>
        </w:rPr>
        <w:t xml:space="preserve">需</w:t>
      </w:r>
      <w:r>
        <w:t xml:space="preserve"> </w:t>
      </w:r>
      <w:r>
        <w:rPr>
          <w:rFonts w:hint="eastAsia"/>
        </w:rPr>
        <w:t xml:space="preserve">要。</w:t>
      </w:r>
      <w:r>
        <w:t xml:space="preserve"> </w:t>
      </w:r>
      <w:r>
        <w:rPr>
          <w:rFonts w:hint="eastAsia"/>
        </w:rPr>
        <w:t xml:space="preserve">此</w:t>
      </w:r>
      <w:r>
        <w:t xml:space="preserve"> </w:t>
      </w:r>
      <w:r>
        <w:rPr>
          <w:rFonts w:hint="eastAsia"/>
        </w:rPr>
        <w:t xml:space="preserve">外，</w:t>
      </w:r>
      <w:r>
        <w:t xml:space="preserve"> </w:t>
      </w:r>
      <w:r>
        <w:rPr>
          <w:rFonts w:hint="eastAsia"/>
        </w:rPr>
        <w:t xml:space="preserve">本</w:t>
      </w:r>
      <w:r>
        <w:t xml:space="preserve"> </w:t>
      </w:r>
      <w:r>
        <w:rPr>
          <w:rFonts w:hint="eastAsia"/>
        </w:rPr>
        <w:t xml:space="preserve">集</w:t>
      </w:r>
      <w:r>
        <w:t xml:space="preserve"> </w:t>
      </w:r>
      <w:r>
        <w:rPr>
          <w:rFonts w:hint="eastAsia"/>
        </w:rPr>
        <w:t xml:space="preserve">團</w:t>
      </w:r>
      <w:r>
        <w:t xml:space="preserve"> </w:t>
      </w:r>
      <w:r>
        <w:rPr>
          <w:rFonts w:hint="eastAsia"/>
        </w:rPr>
        <w:t xml:space="preserve">亦</w:t>
      </w:r>
      <w:r>
        <w:t xml:space="preserve"> </w:t>
      </w:r>
      <w:r>
        <w:rPr>
          <w:rFonts w:hint="eastAsia"/>
        </w:rPr>
        <w:t xml:space="preserve">為</w:t>
      </w:r>
      <w:r>
        <w:t xml:space="preserve"> </w:t>
      </w:r>
      <w:r>
        <w:rPr>
          <w:rFonts w:hint="eastAsia"/>
        </w:rPr>
        <w:t xml:space="preserve">企</w:t>
      </w:r>
      <w:r>
        <w:t xml:space="preserve"> </w:t>
      </w:r>
      <w:r>
        <w:rPr>
          <w:rFonts w:hint="eastAsia"/>
        </w:rPr>
        <w:t xml:space="preserve">業</w:t>
      </w:r>
      <w:r>
        <w:t xml:space="preserve"> </w:t>
      </w:r>
      <w:r>
        <w:rPr>
          <w:rFonts w:hint="eastAsia"/>
        </w:rPr>
        <w:t xml:space="preserve">客</w:t>
      </w:r>
      <w:r>
        <w:t xml:space="preserve"> </w:t>
      </w:r>
      <w:r>
        <w:rPr>
          <w:rFonts w:hint="eastAsia"/>
        </w:rPr>
        <w:t xml:space="preserve">戶</w:t>
      </w:r>
    </w:p>
    <w:p>
      <w:pPr>
        <w:pStyle w:val="BodyText"/>
      </w:pPr>
      <w:r>
        <w:rPr>
          <w:rFonts w:hint="eastAsia"/>
        </w:rPr>
        <w:t xml:space="preserve">特別行政區、泰國、新加坡、馬來西亞、</w:t>
      </w:r>
    </w:p>
    <w:p>
      <w:pPr>
        <w:pStyle w:val="BodyText"/>
      </w:pPr>
      <w:r>
        <w:rPr>
          <w:rFonts w:hint="eastAsia"/>
        </w:rPr>
        <w:t xml:space="preserve">提</w:t>
      </w:r>
      <w:r>
        <w:t xml:space="preserve"> </w:t>
      </w:r>
      <w:r>
        <w:rPr>
          <w:rFonts w:hint="eastAsia"/>
        </w:rPr>
        <w:t xml:space="preserve">供</w:t>
      </w:r>
      <w:r>
        <w:t xml:space="preserve"> </w:t>
      </w:r>
      <w:r>
        <w:rPr>
          <w:rFonts w:hint="eastAsia"/>
        </w:rPr>
        <w:t xml:space="preserve">僱</w:t>
      </w:r>
      <w:r>
        <w:t xml:space="preserve"> </w:t>
      </w:r>
      <w:r>
        <w:rPr>
          <w:rFonts w:hint="eastAsia"/>
        </w:rPr>
        <w:t xml:space="preserve">員</w:t>
      </w:r>
      <w:r>
        <w:t xml:space="preserve"> </w:t>
      </w:r>
      <w:r>
        <w:rPr>
          <w:rFonts w:hint="eastAsia"/>
        </w:rPr>
        <w:t xml:space="preserve">福</w:t>
      </w:r>
      <w:r>
        <w:t xml:space="preserve"> </w:t>
      </w:r>
      <w:r>
        <w:rPr>
          <w:rFonts w:hint="eastAsia"/>
        </w:rPr>
        <w:t xml:space="preserve">利、</w:t>
      </w:r>
      <w:r>
        <w:t xml:space="preserve"> </w:t>
      </w:r>
      <w:r>
        <w:rPr>
          <w:rFonts w:hint="eastAsia"/>
        </w:rPr>
        <w:t xml:space="preserve">信</w:t>
      </w:r>
      <w:r>
        <w:t xml:space="preserve"> </w:t>
      </w:r>
      <w:r>
        <w:rPr>
          <w:rFonts w:hint="eastAsia"/>
        </w:rPr>
        <w:t xml:space="preserve">貸</w:t>
      </w:r>
      <w:r>
        <w:t xml:space="preserve"> </w:t>
      </w:r>
      <w:r>
        <w:rPr>
          <w:rFonts w:hint="eastAsia"/>
        </w:rPr>
        <w:t xml:space="preserve">保</w:t>
      </w:r>
      <w:r>
        <w:t xml:space="preserve"> </w:t>
      </w:r>
      <w:r>
        <w:rPr>
          <w:rFonts w:hint="eastAsia"/>
        </w:rPr>
        <w:t xml:space="preserve">險</w:t>
      </w:r>
      <w:r>
        <w:t xml:space="preserve"> </w:t>
      </w:r>
      <w:r>
        <w:rPr>
          <w:rFonts w:hint="eastAsia"/>
        </w:rPr>
        <w:t xml:space="preserve">和</w:t>
      </w:r>
      <w:r>
        <w:t xml:space="preserve"> </w:t>
      </w:r>
      <w:r>
        <w:rPr>
          <w:rFonts w:hint="eastAsia"/>
        </w:rPr>
        <w:t xml:space="preserve">退</w:t>
      </w:r>
      <w:r>
        <w:t xml:space="preserve"> </w:t>
      </w:r>
      <w:r>
        <w:rPr>
          <w:rFonts w:hint="eastAsia"/>
        </w:rPr>
        <w:t xml:space="preserve">休</w:t>
      </w:r>
      <w:r>
        <w:t xml:space="preserve"> </w:t>
      </w:r>
      <w:r>
        <w:rPr>
          <w:rFonts w:hint="eastAsia"/>
        </w:rPr>
        <w:t xml:space="preserve">保</w:t>
      </w:r>
      <w:r>
        <w:t xml:space="preserve"> </w:t>
      </w:r>
      <w:r>
        <w:rPr>
          <w:rFonts w:hint="eastAsia"/>
        </w:rPr>
        <w:t xml:space="preserve">障</w:t>
      </w:r>
    </w:p>
    <w:p>
      <w:pPr>
        <w:pStyle w:val="BodyText"/>
      </w:pPr>
      <w:r>
        <w:rPr>
          <w:rFonts w:hint="eastAsia"/>
        </w:rPr>
        <w:t xml:space="preserve">澳洲、柬埔寨、印尼、緬甸、菲律賓、</w:t>
      </w:r>
    </w:p>
    <w:p>
      <w:pPr>
        <w:pStyle w:val="BodyText"/>
      </w:pPr>
      <w:r>
        <w:rPr>
          <w:rFonts w:hint="eastAsia"/>
        </w:rPr>
        <w:t xml:space="preserve">服</w:t>
      </w:r>
      <w:r>
        <w:t xml:space="preserve"> </w:t>
      </w:r>
      <w:r>
        <w:rPr>
          <w:rFonts w:hint="eastAsia"/>
        </w:rPr>
        <w:t xml:space="preserve">務。</w:t>
      </w:r>
      <w:r>
        <w:t xml:space="preserve"> </w:t>
      </w:r>
      <w:r>
        <w:rPr>
          <w:rFonts w:hint="eastAsia"/>
        </w:rPr>
        <w:t xml:space="preserve">集</w:t>
      </w:r>
      <w:r>
        <w:t xml:space="preserve"> </w:t>
      </w:r>
      <w:r>
        <w:rPr>
          <w:rFonts w:hint="eastAsia"/>
        </w:rPr>
        <w:t xml:space="preserve">團</w:t>
      </w:r>
      <w:r>
        <w:t xml:space="preserve"> </w:t>
      </w:r>
      <w:r>
        <w:rPr>
          <w:rFonts w:hint="eastAsia"/>
        </w:rPr>
        <w:t xml:space="preserve">透</w:t>
      </w:r>
      <w:r>
        <w:t xml:space="preserve"> </w:t>
      </w:r>
      <w:r>
        <w:rPr>
          <w:rFonts w:hint="eastAsia"/>
        </w:rPr>
        <w:t xml:space="preserve">過</w:t>
      </w:r>
      <w:r>
        <w:t xml:space="preserve"> </w:t>
      </w:r>
      <w:r>
        <w:rPr>
          <w:rFonts w:hint="eastAsia"/>
        </w:rPr>
        <w:t xml:space="preserve">遍</w:t>
      </w:r>
      <w:r>
        <w:t xml:space="preserve"> </w:t>
      </w:r>
      <w:r>
        <w:rPr>
          <w:rFonts w:hint="eastAsia"/>
        </w:rPr>
        <w:t xml:space="preserve">佈</w:t>
      </w:r>
      <w:r>
        <w:t xml:space="preserve"> </w:t>
      </w:r>
      <w:r>
        <w:rPr>
          <w:rFonts w:hint="eastAsia"/>
        </w:rPr>
        <w:t xml:space="preserve">亞</w:t>
      </w:r>
      <w:r>
        <w:t xml:space="preserve"> </w:t>
      </w:r>
      <w:r>
        <w:rPr>
          <w:rFonts w:hint="eastAsia"/>
        </w:rPr>
        <w:t xml:space="preserve">洲</w:t>
      </w:r>
      <w:r>
        <w:t xml:space="preserve"> </w:t>
      </w:r>
      <w:r>
        <w:rPr>
          <w:rFonts w:hint="eastAsia"/>
        </w:rPr>
        <w:t xml:space="preserve">的</w:t>
      </w:r>
      <w:r>
        <w:t xml:space="preserve"> </w:t>
      </w:r>
      <w:r>
        <w:rPr>
          <w:rFonts w:hint="eastAsia"/>
        </w:rPr>
        <w:t xml:space="preserve">龐</w:t>
      </w:r>
      <w:r>
        <w:t xml:space="preserve"> </w:t>
      </w:r>
      <w:r>
        <w:rPr>
          <w:rFonts w:hint="eastAsia"/>
        </w:rPr>
        <w:t xml:space="preserve">大</w:t>
      </w:r>
      <w:r>
        <w:t xml:space="preserve"> </w:t>
      </w:r>
      <w:r>
        <w:rPr>
          <w:rFonts w:hint="eastAsia"/>
        </w:rPr>
        <w:t xml:space="preserve">專</w:t>
      </w:r>
      <w:r>
        <w:t xml:space="preserve"> </w:t>
      </w:r>
      <w:r>
        <w:rPr>
          <w:rFonts w:hint="eastAsia"/>
        </w:rPr>
        <w:t xml:space="preserve">屬</w:t>
      </w:r>
    </w:p>
    <w:p>
      <w:pPr>
        <w:pStyle w:val="BodyText"/>
      </w:pPr>
      <w:r>
        <w:rPr>
          <w:rFonts w:hint="eastAsia"/>
        </w:rPr>
        <w:t xml:space="preserve">南</w:t>
      </w:r>
      <w:r>
        <w:t xml:space="preserve"> </w:t>
      </w:r>
      <w:r>
        <w:rPr>
          <w:rFonts w:hint="eastAsia"/>
        </w:rPr>
        <w:t xml:space="preserve">韓、</w:t>
      </w:r>
      <w:r>
        <w:t xml:space="preserve"> </w:t>
      </w:r>
      <w:r>
        <w:rPr>
          <w:rFonts w:hint="eastAsia"/>
        </w:rPr>
        <w:t xml:space="preserve">斯</w:t>
      </w:r>
      <w:r>
        <w:t xml:space="preserve"> </w:t>
      </w:r>
      <w:r>
        <w:rPr>
          <w:rFonts w:hint="eastAsia"/>
        </w:rPr>
        <w:t xml:space="preserve">里</w:t>
      </w:r>
      <w:r>
        <w:t xml:space="preserve"> </w:t>
      </w:r>
      <w:r>
        <w:rPr>
          <w:rFonts w:hint="eastAsia"/>
        </w:rPr>
        <w:t xml:space="preserve">蘭</w:t>
      </w:r>
      <w:r>
        <w:t xml:space="preserve"> </w:t>
      </w:r>
      <w:r>
        <w:rPr>
          <w:rFonts w:hint="eastAsia"/>
        </w:rPr>
        <w:t xml:space="preserve">卡、</w:t>
      </w:r>
      <w:r>
        <w:t xml:space="preserve"> </w:t>
      </w:r>
      <w:r>
        <w:rPr>
          <w:rFonts w:hint="eastAsia"/>
        </w:rPr>
        <w:t xml:space="preserve">中</w:t>
      </w:r>
      <w:r>
        <w:t xml:space="preserve"> </w:t>
      </w:r>
      <w:r>
        <w:rPr>
          <w:rFonts w:hint="eastAsia"/>
        </w:rPr>
        <w:t xml:space="preserve">國</w:t>
      </w:r>
      <w:r>
        <w:t xml:space="preserve"> </w:t>
      </w:r>
      <w:r>
        <w:rPr>
          <w:rFonts w:hint="eastAsia"/>
        </w:rPr>
        <w:t xml:space="preserve">台</w:t>
      </w:r>
      <w:r>
        <w:t xml:space="preserve"> </w:t>
      </w:r>
      <w:r>
        <w:rPr>
          <w:rFonts w:hint="eastAsia"/>
        </w:rPr>
        <w:t xml:space="preserve">灣、</w:t>
      </w:r>
      <w:r>
        <w:t xml:space="preserve"> </w:t>
      </w:r>
      <w:r>
        <w:rPr>
          <w:rFonts w:hint="eastAsia"/>
        </w:rPr>
        <w:t xml:space="preserve">越</w:t>
      </w:r>
      <w:r>
        <w:t xml:space="preserve"> </w:t>
      </w:r>
      <w:r>
        <w:rPr>
          <w:rFonts w:hint="eastAsia"/>
        </w:rPr>
        <w:t xml:space="preserve">南、</w:t>
      </w:r>
    </w:p>
    <w:p>
      <w:pPr>
        <w:pStyle w:val="BodyText"/>
      </w:pPr>
      <w:r>
        <w:rPr>
          <w:rFonts w:hint="eastAsia"/>
        </w:rPr>
        <w:t xml:space="preserve">代理、夥伴及員工網絡，為超過3,800萬</w:t>
      </w:r>
    </w:p>
    <w:p>
      <w:pPr>
        <w:pStyle w:val="BodyText"/>
      </w:pPr>
      <w:r>
        <w:rPr>
          <w:rFonts w:hint="eastAsia"/>
        </w:rPr>
        <w:t xml:space="preserve">汶</w:t>
      </w:r>
      <w:r>
        <w:t xml:space="preserve"> </w:t>
      </w:r>
      <w:r>
        <w:rPr>
          <w:rFonts w:hint="eastAsia"/>
        </w:rPr>
        <w:t xml:space="preserve">萊、</w:t>
      </w:r>
      <w:r>
        <w:t xml:space="preserve"> </w:t>
      </w:r>
      <w:r>
        <w:rPr>
          <w:rFonts w:hint="eastAsia"/>
        </w:rPr>
        <w:t xml:space="preserve">澳</w:t>
      </w:r>
      <w:r>
        <w:t xml:space="preserve"> </w:t>
      </w:r>
      <w:r>
        <w:rPr>
          <w:rFonts w:hint="eastAsia"/>
        </w:rPr>
        <w:t xml:space="preserve">門</w:t>
      </w:r>
      <w:r>
        <w:t xml:space="preserve"> </w:t>
      </w:r>
      <w:r>
        <w:rPr>
          <w:rFonts w:hint="eastAsia"/>
        </w:rPr>
        <w:t xml:space="preserve">特</w:t>
      </w:r>
      <w:r>
        <w:t xml:space="preserve"> </w:t>
      </w:r>
      <w:r>
        <w:rPr>
          <w:rFonts w:hint="eastAsia"/>
        </w:rPr>
        <w:t xml:space="preserve">別</w:t>
      </w:r>
      <w:r>
        <w:t xml:space="preserve"> </w:t>
      </w:r>
      <w:r>
        <w:rPr>
          <w:rFonts w:hint="eastAsia"/>
        </w:rPr>
        <w:t xml:space="preserve">行</w:t>
      </w:r>
      <w:r>
        <w:t xml:space="preserve"> </w:t>
      </w:r>
      <w:r>
        <w:rPr>
          <w:rFonts w:hint="eastAsia"/>
        </w:rPr>
        <w:t xml:space="preserve">政</w:t>
      </w:r>
      <w:r>
        <w:t xml:space="preserve"> </w:t>
      </w:r>
      <w:r>
        <w:rPr>
          <w:rFonts w:hint="eastAsia"/>
        </w:rPr>
        <w:t xml:space="preserve">區</w:t>
      </w:r>
      <w:r>
        <w:t xml:space="preserve"> </w:t>
      </w:r>
      <w:r>
        <w:rPr>
          <w:rFonts w:hint="eastAsia"/>
        </w:rPr>
        <w:t xml:space="preserve">和</w:t>
      </w:r>
      <w:r>
        <w:t xml:space="preserve"> </w:t>
      </w:r>
      <w:r>
        <w:rPr>
          <w:rFonts w:hint="eastAsia"/>
        </w:rPr>
        <w:t xml:space="preserve">新</w:t>
      </w:r>
      <w:r>
        <w:t xml:space="preserve"> </w:t>
      </w:r>
      <w:r>
        <w:rPr>
          <w:rFonts w:hint="eastAsia"/>
        </w:rPr>
        <w:t xml:space="preserve">西</w:t>
      </w:r>
      <w:r>
        <w:t xml:space="preserve"> </w:t>
      </w:r>
      <w:r>
        <w:rPr>
          <w:rFonts w:hint="eastAsia"/>
        </w:rPr>
        <w:t xml:space="preserve">蘭</w:t>
      </w:r>
      <w:r>
        <w:t xml:space="preserve"> </w:t>
      </w:r>
      <w:r>
        <w:rPr>
          <w:rFonts w:hint="eastAsia"/>
        </w:rPr>
        <w:t xml:space="preserve">擁</w:t>
      </w:r>
      <w:r>
        <w:t xml:space="preserve"> </w:t>
      </w:r>
      <w:r>
        <w:rPr>
          <w:rFonts w:hint="eastAsia"/>
        </w:rPr>
        <w:t xml:space="preserve">有</w:t>
      </w:r>
    </w:p>
    <w:p>
      <w:pPr>
        <w:pStyle w:val="BodyText"/>
      </w:pPr>
      <w:r>
        <w:rPr>
          <w:rFonts w:hint="eastAsia"/>
        </w:rPr>
        <w:t xml:space="preserve">份個人保單的持有人及逾1,600萬名團體</w:t>
      </w:r>
    </w:p>
    <w:p>
      <w:pPr>
        <w:pStyle w:val="BodyText"/>
      </w:pPr>
      <w:r>
        <w:rPr>
          <w:rFonts w:hint="eastAsia"/>
        </w:rPr>
        <w:t xml:space="preserve">全</w:t>
      </w:r>
      <w:r>
        <w:t xml:space="preserve"> </w:t>
      </w:r>
      <w:r>
        <w:rPr>
          <w:rFonts w:hint="eastAsia"/>
        </w:rPr>
        <w:t xml:space="preserve">資</w:t>
      </w:r>
      <w:r>
        <w:t xml:space="preserve"> </w:t>
      </w:r>
      <w:r>
        <w:rPr>
          <w:rFonts w:hint="eastAsia"/>
        </w:rPr>
        <w:t xml:space="preserve">的</w:t>
      </w:r>
      <w:r>
        <w:t xml:space="preserve"> </w:t>
      </w:r>
      <w:r>
        <w:rPr>
          <w:rFonts w:hint="eastAsia"/>
        </w:rPr>
        <w:t xml:space="preserve">分</w:t>
      </w:r>
      <w:r>
        <w:t xml:space="preserve"> </w:t>
      </w:r>
      <w:r>
        <w:rPr>
          <w:rFonts w:hint="eastAsia"/>
        </w:rPr>
        <w:t xml:space="preserve">公</w:t>
      </w:r>
      <w:r>
        <w:t xml:space="preserve"> </w:t>
      </w:r>
      <w:r>
        <w:rPr>
          <w:rFonts w:hint="eastAsia"/>
        </w:rPr>
        <w:t xml:space="preserve">司</w:t>
      </w:r>
      <w:r>
        <w:t xml:space="preserve"> </w:t>
      </w:r>
      <w:r>
        <w:rPr>
          <w:rFonts w:hint="eastAsia"/>
        </w:rPr>
        <w:t xml:space="preserve">及</w:t>
      </w:r>
      <w:r>
        <w:t xml:space="preserve"> </w:t>
      </w:r>
      <w:r>
        <w:rPr>
          <w:rFonts w:hint="eastAsia"/>
        </w:rPr>
        <w:t xml:space="preserve">附</w:t>
      </w:r>
      <w:r>
        <w:t xml:space="preserve"> </w:t>
      </w:r>
      <w:r>
        <w:rPr>
          <w:rFonts w:hint="eastAsia"/>
        </w:rPr>
        <w:t xml:space="preserve">屬</w:t>
      </w:r>
      <w:r>
        <w:t xml:space="preserve"> </w:t>
      </w:r>
      <w:r>
        <w:rPr>
          <w:rFonts w:hint="eastAsia"/>
        </w:rPr>
        <w:t xml:space="preserve">公</w:t>
      </w:r>
      <w:r>
        <w:t xml:space="preserve"> </w:t>
      </w:r>
      <w:r>
        <w:rPr>
          <w:rFonts w:hint="eastAsia"/>
        </w:rPr>
        <w:t xml:space="preserve">司，</w:t>
      </w:r>
      <w:r>
        <w:t xml:space="preserve"> </w:t>
      </w:r>
      <w:r>
        <w:rPr>
          <w:rFonts w:hint="eastAsia"/>
        </w:rPr>
        <w:t xml:space="preserve">以</w:t>
      </w:r>
      <w:r>
        <w:t xml:space="preserve"> </w:t>
      </w:r>
      <w:r>
        <w:rPr>
          <w:rFonts w:hint="eastAsia"/>
        </w:rPr>
        <w:t xml:space="preserve">及</w:t>
      </w:r>
      <w:r>
        <w:t xml:space="preserve"> </w:t>
      </w:r>
      <w:r>
        <w:rPr>
          <w:rFonts w:hint="eastAsia"/>
        </w:rPr>
        <w:t xml:space="preserve">印</w:t>
      </w:r>
      <w:r>
        <w:t xml:space="preserve"> </w:t>
      </w:r>
      <w:r>
        <w:rPr>
          <w:rFonts w:hint="eastAsia"/>
        </w:rPr>
        <w:t xml:space="preserve">度</w:t>
      </w:r>
    </w:p>
    <w:p>
      <w:pPr>
        <w:pStyle w:val="BodyText"/>
      </w:pPr>
      <w:r>
        <w:rPr>
          <w:rFonts w:hint="eastAsia"/>
        </w:rPr>
        <w:t xml:space="preserve">保險計劃的參與成員提供服務。</w:t>
      </w:r>
    </w:p>
    <w:p>
      <w:pPr>
        <w:pStyle w:val="BodyText"/>
      </w:pPr>
      <w:r>
        <w:rPr>
          <w:rFonts w:hint="eastAsia"/>
        </w:rPr>
        <w:t xml:space="preserve">合資公司的49%權益。</w:t>
      </w:r>
    </w:p>
    <w:p>
      <w:pPr>
        <w:pStyle w:val="BodyText"/>
      </w:pPr>
      <w:r>
        <w:rPr>
          <w:rFonts w:hint="eastAsia"/>
        </w:rPr>
        <w:t xml:space="preserve">友</w:t>
      </w:r>
      <w:r>
        <w:t xml:space="preserve"> </w:t>
      </w:r>
      <w:r>
        <w:rPr>
          <w:rFonts w:hint="eastAsia"/>
        </w:rPr>
        <w:t xml:space="preserve">邦</w:t>
      </w:r>
      <w:r>
        <w:t xml:space="preserve"> </w:t>
      </w:r>
      <w:r>
        <w:rPr>
          <w:rFonts w:hint="eastAsia"/>
        </w:rPr>
        <w:t xml:space="preserve">保</w:t>
      </w:r>
      <w:r>
        <w:t xml:space="preserve"> </w:t>
      </w:r>
      <w:r>
        <w:rPr>
          <w:rFonts w:hint="eastAsia"/>
        </w:rPr>
        <w:t xml:space="preserve">險</w:t>
      </w:r>
      <w:r>
        <w:t xml:space="preserve"> </w:t>
      </w:r>
      <w:r>
        <w:rPr>
          <w:rFonts w:hint="eastAsia"/>
        </w:rPr>
        <w:t xml:space="preserve">控</w:t>
      </w:r>
      <w:r>
        <w:t xml:space="preserve"> </w:t>
      </w:r>
      <w:r>
        <w:rPr>
          <w:rFonts w:hint="eastAsia"/>
        </w:rPr>
        <w:t xml:space="preserve">股</w:t>
      </w:r>
      <w:r>
        <w:t xml:space="preserve"> </w:t>
      </w:r>
      <w:r>
        <w:rPr>
          <w:rFonts w:hint="eastAsia"/>
        </w:rPr>
        <w:t xml:space="preserve">有</w:t>
      </w:r>
      <w:r>
        <w:t xml:space="preserve"> </w:t>
      </w:r>
      <w:r>
        <w:rPr>
          <w:rFonts w:hint="eastAsia"/>
        </w:rPr>
        <w:t xml:space="preserve">限</w:t>
      </w:r>
      <w:r>
        <w:t xml:space="preserve"> </w:t>
      </w:r>
      <w:r>
        <w:rPr>
          <w:rFonts w:hint="eastAsia"/>
        </w:rPr>
        <w:t xml:space="preserve">公</w:t>
      </w:r>
      <w:r>
        <w:t xml:space="preserve"> </w:t>
      </w:r>
      <w:r>
        <w:rPr>
          <w:rFonts w:hint="eastAsia"/>
        </w:rPr>
        <w:t xml:space="preserve">司</w:t>
      </w:r>
      <w:r>
        <w:t xml:space="preserve"> </w:t>
      </w:r>
      <w:r>
        <w:rPr>
          <w:rFonts w:hint="eastAsia"/>
        </w:rPr>
        <w:t xml:space="preserve">於</w:t>
      </w:r>
      <w:r>
        <w:t xml:space="preserve"> </w:t>
      </w:r>
      <w:r>
        <w:rPr>
          <w:rFonts w:hint="eastAsia"/>
        </w:rPr>
        <w:t xml:space="preserve">香</w:t>
      </w:r>
      <w:r>
        <w:t xml:space="preserve"> </w:t>
      </w:r>
      <w:r>
        <w:rPr>
          <w:rFonts w:hint="eastAsia"/>
        </w:rPr>
        <w:t xml:space="preserve">港</w:t>
      </w:r>
      <w:r>
        <w:t xml:space="preserve"> </w:t>
      </w:r>
      <w:r>
        <w:rPr>
          <w:rFonts w:hint="eastAsia"/>
        </w:rPr>
        <w:t xml:space="preserve">聯</w:t>
      </w:r>
      <w:r>
        <w:t xml:space="preserve"> </w:t>
      </w:r>
      <w:r>
        <w:rPr>
          <w:rFonts w:hint="eastAsia"/>
        </w:rPr>
        <w:t xml:space="preserve">合</w:t>
      </w:r>
    </w:p>
    <w:p>
      <w:pPr>
        <w:pStyle w:val="BodyText"/>
      </w:pPr>
      <w:r>
        <w:rPr>
          <w:rFonts w:hint="eastAsia"/>
        </w:rPr>
        <w:t xml:space="preserve">友</w:t>
      </w:r>
      <w:r>
        <w:t xml:space="preserve"> </w:t>
      </w:r>
      <w:r>
        <w:rPr>
          <w:rFonts w:hint="eastAsia"/>
        </w:rPr>
        <w:t xml:space="preserve">邦</w:t>
      </w:r>
      <w:r>
        <w:t xml:space="preserve"> </w:t>
      </w:r>
      <w:r>
        <w:rPr>
          <w:rFonts w:hint="eastAsia"/>
        </w:rPr>
        <w:t xml:space="preserve">保</w:t>
      </w:r>
      <w:r>
        <w:t xml:space="preserve"> </w:t>
      </w:r>
      <w:r>
        <w:rPr>
          <w:rFonts w:hint="eastAsia"/>
        </w:rPr>
        <w:t xml:space="preserve">險</w:t>
      </w:r>
      <w:r>
        <w:t xml:space="preserve"> </w:t>
      </w:r>
      <w:r>
        <w:rPr>
          <w:rFonts w:hint="eastAsia"/>
        </w:rPr>
        <w:t xml:space="preserve">今</w:t>
      </w:r>
      <w:r>
        <w:t xml:space="preserve"> </w:t>
      </w:r>
      <w:r>
        <w:rPr>
          <w:rFonts w:hint="eastAsia"/>
        </w:rPr>
        <w:t xml:space="preserve">日</w:t>
      </w:r>
      <w:r>
        <w:t xml:space="preserve"> </w:t>
      </w:r>
      <w:r>
        <w:rPr>
          <w:rFonts w:hint="eastAsia"/>
        </w:rPr>
        <w:t xml:space="preserve">的</w:t>
      </w:r>
      <w:r>
        <w:t xml:space="preserve"> </w:t>
      </w:r>
      <w:r>
        <w:rPr>
          <w:rFonts w:hint="eastAsia"/>
        </w:rPr>
        <w:t xml:space="preserve">業</w:t>
      </w:r>
      <w:r>
        <w:t xml:space="preserve"> </w:t>
      </w:r>
      <w:r>
        <w:rPr>
          <w:rFonts w:hint="eastAsia"/>
        </w:rPr>
        <w:t xml:space="preserve">務</w:t>
      </w:r>
      <w:r>
        <w:t xml:space="preserve"> </w:t>
      </w:r>
      <w:r>
        <w:rPr>
          <w:rFonts w:hint="eastAsia"/>
        </w:rPr>
        <w:t xml:space="preserve">成</w:t>
      </w:r>
      <w:r>
        <w:t xml:space="preserve"> </w:t>
      </w:r>
      <w:r>
        <w:rPr>
          <w:rFonts w:hint="eastAsia"/>
        </w:rPr>
        <w:t xml:space="preserve">就</w:t>
      </w:r>
      <w:r>
        <w:t xml:space="preserve"> </w:t>
      </w:r>
      <w:r>
        <w:rPr>
          <w:rFonts w:hint="eastAsia"/>
        </w:rPr>
        <w:t xml:space="preserve">可</w:t>
      </w:r>
      <w:r>
        <w:t xml:space="preserve"> </w:t>
      </w:r>
      <w:r>
        <w:rPr>
          <w:rFonts w:hint="eastAsia"/>
        </w:rPr>
        <w:t xml:space="preserve">追</w:t>
      </w:r>
      <w:r>
        <w:t xml:space="preserve"> </w:t>
      </w:r>
      <w:r>
        <w:rPr>
          <w:rFonts w:hint="eastAsia"/>
        </w:rPr>
        <w:t xml:space="preserve">溯</w:t>
      </w:r>
      <w:r>
        <w:t xml:space="preserve"> </w:t>
      </w:r>
      <w:r>
        <w:rPr>
          <w:rFonts w:hint="eastAsia"/>
        </w:rPr>
        <w:t xml:space="preserve">至</w:t>
      </w:r>
    </w:p>
    <w:p>
      <w:pPr>
        <w:pStyle w:val="BodyText"/>
      </w:pPr>
      <w:r>
        <w:rPr>
          <w:rFonts w:hint="eastAsia"/>
        </w:rPr>
        <w:t xml:space="preserve">交易所有限公司主板上市（股份代號為</w:t>
      </w:r>
    </w:p>
    <w:p>
      <w:pPr>
        <w:pStyle w:val="BodyText"/>
      </w:pPr>
      <w:r>
        <w:rPr>
          <w:rFonts w:hint="eastAsia"/>
        </w:rPr>
        <w:t xml:space="preserve">1919年逾一個世紀前於上海的發源地。</w:t>
      </w:r>
    </w:p>
    <w:p>
      <w:pPr>
        <w:pStyle w:val="BodyText"/>
      </w:pPr>
      <w:r>
        <w:rPr>
          <w:rFonts w:hint="eastAsia"/>
        </w:rPr>
        <w:t xml:space="preserve">「1299」）；</w:t>
      </w:r>
      <w:r>
        <w:t xml:space="preserve"> </w:t>
      </w:r>
      <w:r>
        <w:rPr>
          <w:rFonts w:hint="eastAsia"/>
        </w:rPr>
        <w:t xml:space="preserve">其</w:t>
      </w:r>
      <w:r>
        <w:t xml:space="preserve"> </w:t>
      </w:r>
      <w:r>
        <w:rPr>
          <w:rFonts w:hint="eastAsia"/>
        </w:rPr>
        <w:t xml:space="preserve">美</w:t>
      </w:r>
      <w:r>
        <w:t xml:space="preserve"> </w:t>
      </w:r>
      <w:r>
        <w:rPr>
          <w:rFonts w:hint="eastAsia"/>
        </w:rPr>
        <w:t xml:space="preserve">國</w:t>
      </w:r>
      <w:r>
        <w:t xml:space="preserve"> </w:t>
      </w:r>
      <w:r>
        <w:rPr>
          <w:rFonts w:hint="eastAsia"/>
        </w:rPr>
        <w:t xml:space="preserve">預</w:t>
      </w:r>
      <w:r>
        <w:t xml:space="preserve"> </w:t>
      </w:r>
      <w:r>
        <w:rPr>
          <w:rFonts w:hint="eastAsia"/>
        </w:rPr>
        <w:t xml:space="preserve">託</w:t>
      </w:r>
      <w:r>
        <w:t xml:space="preserve"> </w:t>
      </w:r>
      <w:r>
        <w:rPr>
          <w:rFonts w:hint="eastAsia"/>
        </w:rPr>
        <w:t xml:space="preserve">證</w:t>
      </w:r>
      <w:r>
        <w:t xml:space="preserve"> </w:t>
      </w:r>
      <w:r>
        <w:rPr>
          <w:rFonts w:hint="eastAsia"/>
        </w:rPr>
        <w:t xml:space="preserve">券（一</w:t>
      </w:r>
      <w:r>
        <w:t xml:space="preserve"> </w:t>
      </w:r>
      <w:r>
        <w:rPr>
          <w:rFonts w:hint="eastAsia"/>
        </w:rPr>
        <w:t xml:space="preserve">級）於</w:t>
      </w:r>
    </w:p>
    <w:p>
      <w:pPr>
        <w:pStyle w:val="BodyText"/>
      </w:pPr>
      <w:r>
        <w:rPr>
          <w:rFonts w:hint="eastAsia"/>
        </w:rPr>
        <w:t xml:space="preserve">按</w:t>
      </w:r>
      <w:r>
        <w:t xml:space="preserve"> </w:t>
      </w:r>
      <w:r>
        <w:rPr>
          <w:rFonts w:hint="eastAsia"/>
        </w:rPr>
        <w:t xml:space="preserve">壽</w:t>
      </w:r>
      <w:r>
        <w:t xml:space="preserve"> </w:t>
      </w:r>
      <w:r>
        <w:rPr>
          <w:rFonts w:hint="eastAsia"/>
        </w:rPr>
        <w:t xml:space="preserve">險</w:t>
      </w:r>
      <w:r>
        <w:t xml:space="preserve"> </w:t>
      </w:r>
      <w:r>
        <w:rPr>
          <w:rFonts w:hint="eastAsia"/>
        </w:rPr>
        <w:t xml:space="preserve">保</w:t>
      </w:r>
      <w:r>
        <w:t xml:space="preserve"> </w:t>
      </w:r>
      <w:r>
        <w:rPr>
          <w:rFonts w:hint="eastAsia"/>
        </w:rPr>
        <w:t xml:space="preserve">費</w:t>
      </w:r>
      <w:r>
        <w:t xml:space="preserve"> </w:t>
      </w:r>
      <w:r>
        <w:rPr>
          <w:rFonts w:hint="eastAsia"/>
        </w:rPr>
        <w:t xml:space="preserve">計</w:t>
      </w:r>
      <w:r>
        <w:t xml:space="preserve"> </w:t>
      </w:r>
      <w:r>
        <w:rPr>
          <w:rFonts w:hint="eastAsia"/>
        </w:rPr>
        <w:t xml:space="preserve">算，</w:t>
      </w:r>
      <w:r>
        <w:t xml:space="preserve"> </w:t>
      </w:r>
      <w:r>
        <w:rPr>
          <w:rFonts w:hint="eastAsia"/>
        </w:rPr>
        <w:t xml:space="preserve">集</w:t>
      </w:r>
      <w:r>
        <w:t xml:space="preserve"> </w:t>
      </w:r>
      <w:r>
        <w:rPr>
          <w:rFonts w:hint="eastAsia"/>
        </w:rPr>
        <w:t xml:space="preserve">團</w:t>
      </w:r>
      <w:r>
        <w:t xml:space="preserve"> </w:t>
      </w:r>
      <w:r>
        <w:rPr>
          <w:rFonts w:hint="eastAsia"/>
        </w:rPr>
        <w:t xml:space="preserve">在</w:t>
      </w:r>
      <w:r>
        <w:t xml:space="preserve"> </w:t>
      </w:r>
      <w:r>
        <w:rPr>
          <w:rFonts w:hint="eastAsia"/>
        </w:rPr>
        <w:t xml:space="preserve">亞</w:t>
      </w:r>
      <w:r>
        <w:t xml:space="preserve"> </w:t>
      </w:r>
      <w:r>
        <w:rPr>
          <w:rFonts w:hint="eastAsia"/>
        </w:rPr>
        <w:t xml:space="preserve">洲（日</w:t>
      </w:r>
      <w:r>
        <w:t xml:space="preserve"> </w:t>
      </w:r>
      <w:r>
        <w:rPr>
          <w:rFonts w:hint="eastAsia"/>
        </w:rPr>
        <w:t xml:space="preserve">本</w:t>
      </w:r>
    </w:p>
    <w:p>
      <w:pPr>
        <w:pStyle w:val="BodyText"/>
      </w:pPr>
      <w:r>
        <w:rPr>
          <w:rFonts w:hint="eastAsia"/>
        </w:rPr>
        <w:t xml:space="preserve">場</w:t>
      </w:r>
      <w:r>
        <w:t xml:space="preserve"> </w:t>
      </w:r>
      <w:r>
        <w:rPr>
          <w:rFonts w:hint="eastAsia"/>
        </w:rPr>
        <w:t xml:space="preserve">外</w:t>
      </w:r>
      <w:r>
        <w:t xml:space="preserve"> </w:t>
      </w:r>
      <w:r>
        <w:rPr>
          <w:rFonts w:hint="eastAsia"/>
        </w:rPr>
        <w:t xml:space="preserve">交</w:t>
      </w:r>
      <w:r>
        <w:t xml:space="preserve"> </w:t>
      </w:r>
      <w:r>
        <w:rPr>
          <w:rFonts w:hint="eastAsia"/>
        </w:rPr>
        <w:t xml:space="preserve">易</w:t>
      </w:r>
      <w:r>
        <w:t xml:space="preserve"> </w:t>
      </w:r>
      <w:r>
        <w:rPr>
          <w:rFonts w:hint="eastAsia"/>
        </w:rPr>
        <w:t xml:space="preserve">市</w:t>
      </w:r>
      <w:r>
        <w:t xml:space="preserve"> </w:t>
      </w:r>
      <w:r>
        <w:rPr>
          <w:rFonts w:hint="eastAsia"/>
        </w:rPr>
        <w:t xml:space="preserve">場</w:t>
      </w:r>
      <w:r>
        <w:t xml:space="preserve"> </w:t>
      </w:r>
      <w:r>
        <w:rPr>
          <w:rFonts w:hint="eastAsia"/>
        </w:rPr>
        <w:t xml:space="preserve">進</w:t>
      </w:r>
      <w:r>
        <w:t xml:space="preserve"> </w:t>
      </w:r>
      <w:r>
        <w:rPr>
          <w:rFonts w:hint="eastAsia"/>
        </w:rPr>
        <w:t xml:space="preserve">行</w:t>
      </w:r>
      <w:r>
        <w:t xml:space="preserve"> </w:t>
      </w:r>
      <w:r>
        <w:rPr>
          <w:rFonts w:hint="eastAsia"/>
        </w:rPr>
        <w:t xml:space="preserve">買</w:t>
      </w:r>
      <w:r>
        <w:t xml:space="preserve"> </w:t>
      </w:r>
      <w:r>
        <w:rPr>
          <w:rFonts w:hint="eastAsia"/>
        </w:rPr>
        <w:t xml:space="preserve">賣（交</w:t>
      </w:r>
      <w:r>
        <w:t xml:space="preserve"> </w:t>
      </w:r>
      <w:r>
        <w:rPr>
          <w:rFonts w:hint="eastAsia"/>
        </w:rPr>
        <w:t xml:space="preserve">易</w:t>
      </w:r>
      <w:r>
        <w:t xml:space="preserve"> </w:t>
      </w:r>
      <w:r>
        <w:rPr>
          <w:rFonts w:hint="eastAsia"/>
        </w:rPr>
        <w:t xml:space="preserve">編</w:t>
      </w:r>
      <w:r>
        <w:t xml:space="preserve"> </w:t>
      </w:r>
      <w:r>
        <w:rPr>
          <w:rFonts w:hint="eastAsia"/>
        </w:rPr>
        <w:t xml:space="preserve">號</w:t>
      </w:r>
      <w:r>
        <w:t xml:space="preserve"> </w:t>
      </w:r>
      <w:r>
        <w:rPr>
          <w:rFonts w:hint="eastAsia"/>
        </w:rPr>
        <w:t xml:space="preserve">為</w:t>
      </w:r>
    </w:p>
    <w:p>
      <w:pPr>
        <w:pStyle w:val="BodyText"/>
      </w:pPr>
      <w:r>
        <w:rPr>
          <w:rFonts w:hint="eastAsia"/>
        </w:rPr>
        <w:t xml:space="preserve">除外）領先同業，並於大部分市場穩佔</w:t>
      </w:r>
    </w:p>
    <w:p>
      <w:pPr>
        <w:pStyle w:val="BodyText"/>
      </w:pPr>
      <w:r>
        <w:rPr>
          <w:rFonts w:hint="eastAsia"/>
        </w:rPr>
        <w:t xml:space="preserve">「AAGIY」）。</w:t>
      </w:r>
    </w:p>
    <w:p>
      <w:pPr>
        <w:pStyle w:val="BodyText"/>
      </w:pPr>
      <w:r>
        <w:rPr>
          <w:rFonts w:hint="eastAsia"/>
        </w:rPr>
        <w:t xml:space="preserve">領</w:t>
      </w:r>
      <w:r>
        <w:t xml:space="preserve"> </w:t>
      </w:r>
      <w:r>
        <w:rPr>
          <w:rFonts w:hint="eastAsia"/>
        </w:rPr>
        <w:t xml:space="preserve">導</w:t>
      </w:r>
      <w:r>
        <w:t xml:space="preserve"> </w:t>
      </w:r>
      <w:r>
        <w:rPr>
          <w:rFonts w:hint="eastAsia"/>
        </w:rPr>
        <w:t xml:space="preserve">地</w:t>
      </w:r>
      <w:r>
        <w:t xml:space="preserve"> </w:t>
      </w:r>
      <w:r>
        <w:rPr>
          <w:rFonts w:hint="eastAsia"/>
        </w:rPr>
        <w:t xml:space="preserve">位。</w:t>
      </w:r>
      <w:r>
        <w:t xml:space="preserve"> </w:t>
      </w:r>
      <w:r>
        <w:rPr>
          <w:rFonts w:hint="eastAsia"/>
        </w:rPr>
        <w:t xml:space="preserve">截</w:t>
      </w:r>
      <w:r>
        <w:t xml:space="preserve"> </w:t>
      </w:r>
      <w:r>
        <w:rPr>
          <w:rFonts w:hint="eastAsia"/>
        </w:rPr>
        <w:t xml:space="preserve">至2020年12月31日，</w:t>
      </w:r>
      <w:r>
        <w:t xml:space="preserve"> </w:t>
      </w:r>
      <w:r>
        <w:rPr>
          <w:rFonts w:hint="eastAsia"/>
        </w:rPr>
        <w:t xml:space="preserve">集</w:t>
      </w:r>
      <w:r>
        <w:t xml:space="preserve"> </w:t>
      </w:r>
      <w:r>
        <w:rPr>
          <w:rFonts w:hint="eastAsia"/>
        </w:rPr>
        <w:t xml:space="preserve">團</w:t>
      </w:r>
    </w:p>
    <w:p>
      <w:pPr>
        <w:pStyle w:val="BodyText"/>
      </w:pPr>
      <w:r>
        <w:rPr>
          <w:rFonts w:hint="eastAsia"/>
        </w:rPr>
        <w:t xml:space="preserve">總資產值為3,260億美元。</w:t>
      </w:r>
    </w:p>
    <w:p>
      <w:pPr>
        <w:pStyle w:val="BodyText"/>
      </w:pPr>
      <w:r>
        <w:t xml:space="preserve">078 </w:t>
      </w:r>
      <w:r>
        <w:rPr>
          <w:rFonts w:hint="eastAsia"/>
        </w:rPr>
        <w:t xml:space="preserve">執行委員會</w:t>
      </w:r>
    </w:p>
    <w:p>
      <w:pPr>
        <w:pStyle w:val="BodyText"/>
      </w:pPr>
      <w:r>
        <w:t xml:space="preserve">083 </w:t>
      </w:r>
      <w:r>
        <w:rPr>
          <w:rFonts w:hint="eastAsia"/>
        </w:rPr>
        <w:t xml:space="preserve">董事會報告</w:t>
      </w:r>
    </w:p>
    <w:p>
      <w:pPr>
        <w:pStyle w:val="BodyText"/>
      </w:pPr>
      <w:r>
        <w:t xml:space="preserve">096 </w:t>
      </w:r>
      <w:r>
        <w:rPr>
          <w:rFonts w:hint="eastAsia"/>
        </w:rPr>
        <w:t xml:space="preserve">企業管治報告</w:t>
      </w:r>
    </w:p>
    <w:p>
      <w:pPr>
        <w:pStyle w:val="BodyText"/>
      </w:pPr>
      <w:r>
        <w:t xml:space="preserve">110 </w:t>
      </w:r>
      <w:r>
        <w:rPr>
          <w:rFonts w:hint="eastAsia"/>
        </w:rPr>
        <w:t xml:space="preserve">薪酬報告</w:t>
      </w:r>
    </w:p>
    <w:p>
      <w:pPr>
        <w:pStyle w:val="BodyText"/>
      </w:pPr>
      <w:r>
        <w:rPr>
          <w:rFonts w:hint="eastAsia"/>
        </w:rPr>
        <w:t xml:space="preserve">財務報表</w:t>
      </w:r>
      <w:r>
        <w:br/>
      </w:r>
      <w:r>
        <w:t xml:space="preserve">125 </w:t>
      </w:r>
      <w:r>
        <w:rPr>
          <w:rFonts w:hint="eastAsia"/>
        </w:rPr>
        <w:t xml:space="preserve">獨立核數師報告</w:t>
      </w:r>
    </w:p>
    <w:p>
      <w:pPr>
        <w:pStyle w:val="BodyText"/>
      </w:pPr>
      <w:r>
        <w:t xml:space="preserve">132 </w:t>
      </w:r>
      <w:r>
        <w:rPr>
          <w:rFonts w:hint="eastAsia"/>
        </w:rPr>
        <w:t xml:space="preserve">合併收入表</w:t>
      </w:r>
    </w:p>
    <w:p>
      <w:pPr>
        <w:pStyle w:val="BodyText"/>
      </w:pPr>
      <w:r>
        <w:t xml:space="preserve">133 </w:t>
      </w:r>
      <w:r>
        <w:rPr>
          <w:rFonts w:hint="eastAsia"/>
        </w:rPr>
        <w:t xml:space="preserve">合併全面收入表</w:t>
      </w:r>
    </w:p>
    <w:p>
      <w:pPr>
        <w:pStyle w:val="BodyText"/>
      </w:pPr>
      <w:r>
        <w:t xml:space="preserve">134 </w:t>
      </w:r>
      <w:r>
        <w:rPr>
          <w:rFonts w:hint="eastAsia"/>
        </w:rPr>
        <w:t xml:space="preserve">合併財務狀況表</w:t>
      </w:r>
    </w:p>
    <w:p>
      <w:pPr>
        <w:pStyle w:val="BodyText"/>
      </w:pPr>
      <w:r>
        <w:t xml:space="preserve">136 </w:t>
      </w:r>
      <w:r>
        <w:rPr>
          <w:rFonts w:hint="eastAsia"/>
        </w:rPr>
        <w:t xml:space="preserve">合併權益變動表</w:t>
      </w:r>
    </w:p>
    <w:p>
      <w:pPr>
        <w:pStyle w:val="BodyText"/>
      </w:pPr>
      <w:r>
        <w:t xml:space="preserve">138 </w:t>
      </w:r>
      <w:r>
        <w:rPr>
          <w:rFonts w:hint="eastAsia"/>
        </w:rPr>
        <w:t xml:space="preserve">合併現金流量表</w:t>
      </w:r>
    </w:p>
    <w:p>
      <w:pPr>
        <w:pStyle w:val="BodyText"/>
      </w:pPr>
      <w:r>
        <w:t xml:space="preserve">140 </w:t>
      </w:r>
      <w:r>
        <w:rPr>
          <w:rFonts w:hint="eastAsia"/>
        </w:rPr>
        <w:t xml:space="preserve">合併財務報表附註</w:t>
      </w:r>
      <w:r>
        <w:br/>
      </w:r>
      <w:r>
        <w:rPr>
          <w:rFonts w:hint="eastAsia"/>
        </w:rPr>
        <w:t xml:space="preserve">及主要會計政策</w:t>
      </w:r>
    </w:p>
    <w:p>
      <w:pPr>
        <w:pStyle w:val="BodyText"/>
      </w:pPr>
      <w:r>
        <w:t xml:space="preserve">265 </w:t>
      </w:r>
      <w:r>
        <w:rPr>
          <w:rFonts w:hint="eastAsia"/>
        </w:rPr>
        <w:t xml:space="preserve">內涵價值補充資料的</w:t>
      </w:r>
      <w:r>
        <w:br/>
      </w:r>
      <w:r>
        <w:rPr>
          <w:rFonts w:hint="eastAsia"/>
        </w:rPr>
        <w:t xml:space="preserve">獨立核數師報告</w:t>
      </w:r>
    </w:p>
    <w:p>
      <w:pPr>
        <w:pStyle w:val="BodyText"/>
      </w:pPr>
      <w:r>
        <w:t xml:space="preserve">269 </w:t>
      </w:r>
      <w:r>
        <w:rPr>
          <w:rFonts w:hint="eastAsia"/>
        </w:rPr>
        <w:t xml:space="preserve">內涵價值補充資料</w:t>
      </w:r>
    </w:p>
    <w:p>
      <w:pPr>
        <w:pStyle w:val="BodyText"/>
      </w:pPr>
      <w:r>
        <w:rPr>
          <w:rFonts w:hint="eastAsia"/>
        </w:rPr>
        <w:t xml:space="preserve">其他資料</w:t>
      </w:r>
      <w:r>
        <w:br/>
      </w:r>
      <w:r>
        <w:t xml:space="preserve">295 </w:t>
      </w:r>
      <w:r>
        <w:rPr>
          <w:rFonts w:hint="eastAsia"/>
        </w:rPr>
        <w:t xml:space="preserve">股東參考資料</w:t>
      </w:r>
    </w:p>
    <w:p>
      <w:pPr>
        <w:pStyle w:val="BodyText"/>
      </w:pPr>
      <w:r>
        <w:t xml:space="preserve">298 </w:t>
      </w:r>
      <w:r>
        <w:rPr>
          <w:rFonts w:hint="eastAsia"/>
        </w:rPr>
        <w:t xml:space="preserve">公司資料</w:t>
      </w:r>
    </w:p>
    <w:p>
      <w:pPr>
        <w:pStyle w:val="BodyText"/>
      </w:pPr>
      <w:r>
        <w:t xml:space="preserve">299 </w:t>
      </w:r>
      <w:r>
        <w:rPr>
          <w:rFonts w:hint="eastAsia"/>
        </w:rPr>
        <w:t xml:space="preserve">詞彙</w:t>
      </w:r>
    </w:p>
    <w:p>
      <w:pPr>
        <w:pStyle w:val="BodyText"/>
      </w:pPr>
      <w:r>
        <w:rPr>
          <w:rFonts w:hint="eastAsia"/>
        </w:rPr>
        <w:t xml:space="preserve">附註：</w:t>
      </w:r>
    </w:p>
    <w:p>
      <w:pPr>
        <w:pStyle w:val="Compact"/>
        <w:numPr>
          <w:ilvl w:val="0"/>
          <w:numId w:val="1741"/>
        </w:numPr>
      </w:pPr>
      <w:r>
        <w:rPr>
          <w:rFonts w:hint="eastAsia"/>
        </w:rPr>
        <w:t xml:space="preserve">本報告所使用的若干詞彙的解釋和縮寫已列明於詞彙章節。</w:t>
      </w:r>
    </w:p>
    <w:p>
      <w:pPr>
        <w:pStyle w:val="FirstParagraph"/>
      </w:pPr>
      <w:r>
        <w:rPr>
          <w:rFonts w:hint="eastAsia"/>
        </w:rPr>
        <w:t xml:space="preserve">友</w:t>
      </w:r>
      <w:r>
        <w:br/>
      </w:r>
      <w:r>
        <w:rPr>
          <w:rFonts w:hint="eastAsia"/>
        </w:rPr>
        <w:t xml:space="preserve">邦</w:t>
      </w:r>
      <w:r>
        <w:br/>
      </w:r>
      <w:r>
        <w:rPr>
          <w:rFonts w:hint="eastAsia"/>
        </w:rPr>
        <w:t xml:space="preserve">保</w:t>
      </w:r>
      <w:r>
        <w:br/>
      </w:r>
      <w:r>
        <w:rPr>
          <w:rFonts w:hint="eastAsia"/>
        </w:rPr>
        <w:t xml:space="preserve">險</w:t>
      </w:r>
      <w:r>
        <w:br/>
      </w:r>
      <w:r>
        <w:rPr>
          <w:rFonts w:hint="eastAsia"/>
        </w:rPr>
        <w:t xml:space="preserve">控</w:t>
      </w:r>
      <w:r>
        <w:br/>
      </w:r>
      <w:r>
        <w:rPr>
          <w:rFonts w:hint="eastAsia"/>
        </w:rPr>
        <w:t xml:space="preserve">股</w:t>
      </w:r>
      <w:r>
        <w:br/>
      </w:r>
      <w:r>
        <w:rPr>
          <w:rFonts w:hint="eastAsia"/>
        </w:rPr>
        <w:t xml:space="preserve">有</w:t>
      </w:r>
      <w:r>
        <w:br/>
      </w:r>
      <w:r>
        <w:rPr>
          <w:rFonts w:hint="eastAsia"/>
        </w:rPr>
        <w:t xml:space="preserve">限</w:t>
      </w:r>
      <w:r>
        <w:br/>
      </w:r>
      <w:r>
        <w:rPr>
          <w:rFonts w:hint="eastAsia"/>
        </w:rPr>
        <w:t xml:space="preserve">公</w:t>
      </w:r>
      <w:r>
        <w:br/>
      </w:r>
      <w:r>
        <w:rPr>
          <w:rFonts w:hint="eastAsia"/>
        </w:rPr>
        <w:t xml:space="preserve">司</w:t>
      </w:r>
    </w:p>
    <w:p>
      <w:pPr>
        <w:pStyle w:val="BodyText"/>
      </w:pPr>
      <w:r>
        <w:t xml:space="preserve">A</w:t>
      </w:r>
    </w:p>
    <w:p>
      <w:pPr>
        <w:pStyle w:val="BodyText"/>
      </w:pPr>
      <w:r>
        <w:t xml:space="preserve">I</w:t>
      </w:r>
    </w:p>
    <w:p>
      <w:pPr>
        <w:pStyle w:val="BodyText"/>
      </w:pPr>
      <w:r>
        <w:t xml:space="preserve">A</w:t>
      </w:r>
    </w:p>
    <w:p>
      <w:pPr>
        <w:pStyle w:val="BodyText"/>
      </w:pPr>
      <w:r>
        <w:t xml:space="preserve">G</w:t>
      </w:r>
      <w:r>
        <w:br/>
      </w:r>
      <w:r>
        <w:t xml:space="preserve">R</w:t>
      </w:r>
      <w:r>
        <w:br/>
      </w:r>
      <w:r>
        <w:t xml:space="preserve">O</w:t>
      </w:r>
      <w:r>
        <w:br/>
      </w:r>
      <w:r>
        <w:t xml:space="preserve">U</w:t>
      </w:r>
      <w:r>
        <w:br/>
      </w:r>
      <w:r>
        <w:t xml:space="preserve">P</w:t>
      </w:r>
    </w:p>
    <w:p>
      <w:pPr>
        <w:pStyle w:val="BodyText"/>
      </w:pPr>
      <w:r>
        <w:t xml:space="preserve">L</w:t>
      </w:r>
      <w:r>
        <w:br/>
      </w:r>
      <w:r>
        <w:t xml:space="preserve">I</w:t>
      </w:r>
    </w:p>
    <w:p>
      <w:pPr>
        <w:pStyle w:val="BodyText"/>
      </w:pPr>
      <w:r>
        <w:t xml:space="preserve">M</w:t>
      </w:r>
    </w:p>
    <w:p>
      <w:pPr>
        <w:pStyle w:val="BodyText"/>
      </w:pPr>
      <w:r>
        <w:t xml:space="preserve">I</w:t>
      </w:r>
      <w:r>
        <w:br/>
      </w:r>
      <w:r>
        <w:t xml:space="preserve">T</w:t>
      </w:r>
      <w:r>
        <w:br/>
      </w:r>
      <w:r>
        <w:t xml:space="preserve">E</w:t>
      </w:r>
      <w:r>
        <w:br/>
      </w:r>
      <w:r>
        <w:t xml:space="preserve">D</w:t>
      </w:r>
    </w:p>
    <w:p>
      <w:pPr>
        <w:pStyle w:val="BodyText"/>
      </w:pPr>
      <w:r>
        <w:t xml:space="preserve">2</w:t>
      </w:r>
      <w:r>
        <w:br/>
      </w:r>
      <w:r>
        <w:t xml:space="preserve">0</w:t>
      </w:r>
      <w:r>
        <w:br/>
      </w:r>
      <w:r>
        <w:t xml:space="preserve">2</w:t>
      </w:r>
      <w:r>
        <w:br/>
      </w:r>
      <w:r>
        <w:t xml:space="preserve">0</w:t>
      </w:r>
      <w:r>
        <w:br/>
      </w:r>
      <w:r>
        <w:rPr>
          <w:rFonts w:hint="eastAsia"/>
        </w:rPr>
        <w:t xml:space="preserve">年</w:t>
      </w:r>
      <w:r>
        <w:br/>
      </w:r>
      <w:r>
        <w:rPr>
          <w:rFonts w:hint="eastAsia"/>
        </w:rPr>
        <w:t xml:space="preserve">報</w:t>
      </w:r>
    </w:p>
    <w:p>
      <w:pPr>
        <w:pStyle w:val="BodyText"/>
      </w:pPr>
      <w:r>
        <w:t xml:space="preserve">HEALTHIER</w:t>
      </w:r>
      <w:r>
        <w:br/>
      </w:r>
      <w:r>
        <w:t xml:space="preserve">LONGER</w:t>
      </w:r>
      <w:r>
        <w:br/>
      </w:r>
      <w:r>
        <w:t xml:space="preserve">BETTER</w:t>
      </w:r>
      <w:r>
        <w:br/>
      </w:r>
      <w:r>
        <w:t xml:space="preserve">LIVES</w:t>
      </w:r>
      <w:r>
        <w:br/>
      </w:r>
      <w:r>
        <w:rPr>
          <w:rFonts w:hint="eastAsia"/>
        </w:rPr>
        <w:t xml:space="preserve">健康、長久、好生活</w:t>
      </w:r>
    </w:p>
    <w:p>
      <w:pPr>
        <w:pStyle w:val="BodyText"/>
      </w:pPr>
      <w:r>
        <w:t xml:space="preserve">AIA.COM</w:t>
      </w:r>
    </w:p>
    <w:p>
      <w:pPr>
        <w:pStyle w:val="BodyText"/>
      </w:pPr>
      <w:r>
        <w:t xml:space="preserve">2020 </w:t>
      </w:r>
      <w:r>
        <w:rPr>
          <w:rFonts w:hint="eastAsia"/>
        </w:rPr>
        <w:t xml:space="preserve">年報</w:t>
      </w:r>
    </w:p>
    <w:p>
      <w:pPr>
        <w:pStyle w:val="BodyText"/>
      </w:pPr>
      <w:r>
        <w:rPr>
          <w:rFonts w:hint="eastAsia"/>
        </w:rPr>
        <w:t xml:space="preserve">友邦保險控股有限公司</w:t>
      </w:r>
      <w:r>
        <w:t xml:space="preserve"> AIA GROUP LIMITED</w:t>
      </w:r>
    </w:p>
    <w:p>
      <w:pPr>
        <w:pStyle w:val="BodyText"/>
      </w:pPr>
      <w:r>
        <w:rPr>
          <w:rFonts w:hint="eastAsia"/>
        </w:rPr>
        <w:t xml:space="preserve">股份代號</w:t>
      </w:r>
      <w:r>
        <w:t xml:space="preserve"> 1299</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03">
    <w:nsid w:val="A9943103"/>
    <w:multiLevelType w:val="multilevel"/>
    <w:lvl w:ilvl="0">
      <w:start w:val="103"/>
      <w:numFmt w:val="decimal"/>
      <w:lvlText w:val="(%1)"/>
      <w:lvlJc w:val="left"/>
      <w:pPr>
        <w:ind w:left="720" w:hanging="360"/>
      </w:pPr>
    </w:lvl>
    <w:lvl w:ilvl="1">
      <w:start w:val="103"/>
      <w:numFmt w:val="decimal"/>
      <w:lvlText w:val="(%2)"/>
      <w:lvlJc w:val="left"/>
      <w:pPr>
        <w:ind w:left="1440" w:hanging="360"/>
      </w:pPr>
    </w:lvl>
    <w:lvl w:ilvl="2">
      <w:start w:val="103"/>
      <w:numFmt w:val="decimal"/>
      <w:lvlText w:val="(%3)"/>
      <w:lvlJc w:val="left"/>
      <w:pPr>
        <w:ind w:left="2160" w:hanging="360"/>
      </w:pPr>
    </w:lvl>
    <w:lvl w:ilvl="3">
      <w:start w:val="103"/>
      <w:numFmt w:val="decimal"/>
      <w:lvlText w:val="(%4)"/>
      <w:lvlJc w:val="left"/>
      <w:pPr>
        <w:ind w:left="2880" w:hanging="360"/>
      </w:pPr>
    </w:lvl>
    <w:lvl w:ilvl="4">
      <w:start w:val="103"/>
      <w:numFmt w:val="decimal"/>
      <w:lvlText w:val="(%5)"/>
      <w:lvlJc w:val="left"/>
      <w:pPr>
        <w:ind w:left="3600" w:hanging="360"/>
      </w:pPr>
    </w:lvl>
    <w:lvl w:ilvl="5">
      <w:start w:val="103"/>
      <w:numFmt w:val="decimal"/>
      <w:lvlText w:val="(%6)"/>
      <w:lvlJc w:val="left"/>
      <w:pPr>
        <w:ind w:left="4320" w:hanging="360"/>
      </w:pPr>
    </w:lvl>
    <w:lvl w:ilvl="6">
      <w:start w:val="103"/>
      <w:numFmt w:val="decimal"/>
      <w:lvlText w:val="(%7)"/>
      <w:lvlJc w:val="left"/>
      <w:pPr>
        <w:ind w:left="5040" w:hanging="360"/>
      </w:pPr>
    </w:lvl>
    <w:lvl w:ilvl="7">
      <w:start w:val="103"/>
      <w:numFmt w:val="decimal"/>
      <w:lvlText w:val="(%8)"/>
      <w:lvlJc w:val="left"/>
      <w:pPr>
        <w:ind w:left="5760" w:hanging="360"/>
      </w:pPr>
    </w:lvl>
    <w:lvl w:ilvl="8">
      <w:start w:val="103"/>
      <w:numFmt w:val="decimal"/>
      <w:lvlText w:val="(%9)"/>
      <w:lvlJc w:val="left"/>
      <w:pPr>
        <w:ind w:left="6480" w:hanging="360"/>
      </w:pPr>
    </w:lvl>
  </w:abstractNum>
  <w:abstractNum w:abstractNumId="9943161">
    <w:nsid w:val="A9943161"/>
    <w:multiLevelType w:val="multilevel"/>
    <w:lvl w:ilvl="0">
      <w:start w:val="161"/>
      <w:numFmt w:val="decimal"/>
      <w:lvlText w:val="(%1)"/>
      <w:lvlJc w:val="left"/>
      <w:pPr>
        <w:ind w:left="720" w:hanging="360"/>
      </w:pPr>
    </w:lvl>
    <w:lvl w:ilvl="1">
      <w:start w:val="161"/>
      <w:numFmt w:val="decimal"/>
      <w:lvlText w:val="(%2)"/>
      <w:lvlJc w:val="left"/>
      <w:pPr>
        <w:ind w:left="1440" w:hanging="360"/>
      </w:pPr>
    </w:lvl>
    <w:lvl w:ilvl="2">
      <w:start w:val="161"/>
      <w:numFmt w:val="decimal"/>
      <w:lvlText w:val="(%3)"/>
      <w:lvlJc w:val="left"/>
      <w:pPr>
        <w:ind w:left="2160" w:hanging="360"/>
      </w:pPr>
    </w:lvl>
    <w:lvl w:ilvl="3">
      <w:start w:val="161"/>
      <w:numFmt w:val="decimal"/>
      <w:lvlText w:val="(%4)"/>
      <w:lvlJc w:val="left"/>
      <w:pPr>
        <w:ind w:left="2880" w:hanging="360"/>
      </w:pPr>
    </w:lvl>
    <w:lvl w:ilvl="4">
      <w:start w:val="161"/>
      <w:numFmt w:val="decimal"/>
      <w:lvlText w:val="(%5)"/>
      <w:lvlJc w:val="left"/>
      <w:pPr>
        <w:ind w:left="3600" w:hanging="360"/>
      </w:pPr>
    </w:lvl>
    <w:lvl w:ilvl="5">
      <w:start w:val="161"/>
      <w:numFmt w:val="decimal"/>
      <w:lvlText w:val="(%6)"/>
      <w:lvlJc w:val="left"/>
      <w:pPr>
        <w:ind w:left="4320" w:hanging="360"/>
      </w:pPr>
    </w:lvl>
    <w:lvl w:ilvl="6">
      <w:start w:val="161"/>
      <w:numFmt w:val="decimal"/>
      <w:lvlText w:val="(%7)"/>
      <w:lvlJc w:val="left"/>
      <w:pPr>
        <w:ind w:left="5040" w:hanging="360"/>
      </w:pPr>
    </w:lvl>
    <w:lvl w:ilvl="7">
      <w:start w:val="161"/>
      <w:numFmt w:val="decimal"/>
      <w:lvlText w:val="(%8)"/>
      <w:lvlJc w:val="left"/>
      <w:pPr>
        <w:ind w:left="5760" w:hanging="360"/>
      </w:pPr>
    </w:lvl>
    <w:lvl w:ilvl="8">
      <w:start w:val="161"/>
      <w:numFmt w:val="decimal"/>
      <w:lvlText w:val="(%9)"/>
      <w:lvlJc w:val="left"/>
      <w:pPr>
        <w:ind w:left="6480" w:hanging="360"/>
      </w:pPr>
    </w:lvl>
  </w:abstractNum>
  <w:abstractNum w:abstractNumId="994324">
    <w:nsid w:val="0A9943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318">
    <w:nsid w:val="0A9943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331">
    <w:nsid w:val="0A9943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3664">
    <w:nsid w:val="A9943664"/>
    <w:multiLevelType w:val="multilevel"/>
    <w:lvl w:ilvl="0">
      <w:start w:val="664"/>
      <w:numFmt w:val="decimal"/>
      <w:lvlText w:val="(%1)"/>
      <w:lvlJc w:val="left"/>
      <w:pPr>
        <w:ind w:left="720" w:hanging="360"/>
      </w:pPr>
    </w:lvl>
    <w:lvl w:ilvl="1">
      <w:start w:val="664"/>
      <w:numFmt w:val="decimal"/>
      <w:lvlText w:val="(%2)"/>
      <w:lvlJc w:val="left"/>
      <w:pPr>
        <w:ind w:left="1440" w:hanging="360"/>
      </w:pPr>
    </w:lvl>
    <w:lvl w:ilvl="2">
      <w:start w:val="664"/>
      <w:numFmt w:val="decimal"/>
      <w:lvlText w:val="(%3)"/>
      <w:lvlJc w:val="left"/>
      <w:pPr>
        <w:ind w:left="2160" w:hanging="360"/>
      </w:pPr>
    </w:lvl>
    <w:lvl w:ilvl="3">
      <w:start w:val="664"/>
      <w:numFmt w:val="decimal"/>
      <w:lvlText w:val="(%4)"/>
      <w:lvlJc w:val="left"/>
      <w:pPr>
        <w:ind w:left="2880" w:hanging="360"/>
      </w:pPr>
    </w:lvl>
    <w:lvl w:ilvl="4">
      <w:start w:val="664"/>
      <w:numFmt w:val="decimal"/>
      <w:lvlText w:val="(%5)"/>
      <w:lvlJc w:val="left"/>
      <w:pPr>
        <w:ind w:left="3600" w:hanging="360"/>
      </w:pPr>
    </w:lvl>
    <w:lvl w:ilvl="5">
      <w:start w:val="664"/>
      <w:numFmt w:val="decimal"/>
      <w:lvlText w:val="(%6)"/>
      <w:lvlJc w:val="left"/>
      <w:pPr>
        <w:ind w:left="4320" w:hanging="360"/>
      </w:pPr>
    </w:lvl>
    <w:lvl w:ilvl="6">
      <w:start w:val="664"/>
      <w:numFmt w:val="decimal"/>
      <w:lvlText w:val="(%7)"/>
      <w:lvlJc w:val="left"/>
      <w:pPr>
        <w:ind w:left="5040" w:hanging="360"/>
      </w:pPr>
    </w:lvl>
    <w:lvl w:ilvl="7">
      <w:start w:val="664"/>
      <w:numFmt w:val="decimal"/>
      <w:lvlText w:val="(%8)"/>
      <w:lvlJc w:val="left"/>
      <w:pPr>
        <w:ind w:left="5760" w:hanging="360"/>
      </w:pPr>
    </w:lvl>
    <w:lvl w:ilvl="8">
      <w:start w:val="664"/>
      <w:numFmt w:val="decimal"/>
      <w:lvlText w:val="(%9)"/>
      <w:lvlJc w:val="left"/>
      <w:pPr>
        <w:ind w:left="6480" w:hanging="360"/>
      </w:pPr>
    </w:lvl>
  </w:abstractNum>
  <w:abstractNum w:abstractNumId="9943942">
    <w:nsid w:val="A9943942"/>
    <w:multiLevelType w:val="multilevel"/>
    <w:lvl w:ilvl="0">
      <w:start w:val="942"/>
      <w:numFmt w:val="decimal"/>
      <w:lvlText w:val="(%1)"/>
      <w:lvlJc w:val="left"/>
      <w:pPr>
        <w:ind w:left="720" w:hanging="360"/>
      </w:pPr>
    </w:lvl>
    <w:lvl w:ilvl="1">
      <w:start w:val="942"/>
      <w:numFmt w:val="decimal"/>
      <w:lvlText w:val="(%2)"/>
      <w:lvlJc w:val="left"/>
      <w:pPr>
        <w:ind w:left="1440" w:hanging="360"/>
      </w:pPr>
    </w:lvl>
    <w:lvl w:ilvl="2">
      <w:start w:val="942"/>
      <w:numFmt w:val="decimal"/>
      <w:lvlText w:val="(%3)"/>
      <w:lvlJc w:val="left"/>
      <w:pPr>
        <w:ind w:left="2160" w:hanging="360"/>
      </w:pPr>
    </w:lvl>
    <w:lvl w:ilvl="3">
      <w:start w:val="942"/>
      <w:numFmt w:val="decimal"/>
      <w:lvlText w:val="(%4)"/>
      <w:lvlJc w:val="left"/>
      <w:pPr>
        <w:ind w:left="2880" w:hanging="360"/>
      </w:pPr>
    </w:lvl>
    <w:lvl w:ilvl="4">
      <w:start w:val="942"/>
      <w:numFmt w:val="decimal"/>
      <w:lvlText w:val="(%5)"/>
      <w:lvlJc w:val="left"/>
      <w:pPr>
        <w:ind w:left="3600" w:hanging="360"/>
      </w:pPr>
    </w:lvl>
    <w:lvl w:ilvl="5">
      <w:start w:val="942"/>
      <w:numFmt w:val="decimal"/>
      <w:lvlText w:val="(%6)"/>
      <w:lvlJc w:val="left"/>
      <w:pPr>
        <w:ind w:left="4320" w:hanging="360"/>
      </w:pPr>
    </w:lvl>
    <w:lvl w:ilvl="6">
      <w:start w:val="942"/>
      <w:numFmt w:val="decimal"/>
      <w:lvlText w:val="(%7)"/>
      <w:lvlJc w:val="left"/>
      <w:pPr>
        <w:ind w:left="5040" w:hanging="360"/>
      </w:pPr>
    </w:lvl>
    <w:lvl w:ilvl="7">
      <w:start w:val="942"/>
      <w:numFmt w:val="decimal"/>
      <w:lvlText w:val="(%8)"/>
      <w:lvlJc w:val="left"/>
      <w:pPr>
        <w:ind w:left="5760" w:hanging="360"/>
      </w:pPr>
    </w:lvl>
    <w:lvl w:ilvl="8">
      <w:start w:val="942"/>
      <w:numFmt w:val="decimal"/>
      <w:lvlText w:val="(%9)"/>
      <w:lvlJc w:val="left"/>
      <w:pPr>
        <w:ind w:left="6480" w:hanging="360"/>
      </w:pPr>
    </w:lvl>
  </w:abstractNum>
  <w:abstractNum w:abstractNumId="994359">
    <w:nsid w:val="0A9943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490">
    <w:nsid w:val="A9943490"/>
    <w:multiLevelType w:val="multilevel"/>
    <w:lvl w:ilvl="0">
      <w:start w:val="490"/>
      <w:numFmt w:val="decimal"/>
      <w:lvlText w:val="(%1)"/>
      <w:lvlJc w:val="left"/>
      <w:pPr>
        <w:ind w:left="720" w:hanging="360"/>
      </w:pPr>
    </w:lvl>
    <w:lvl w:ilvl="1">
      <w:start w:val="490"/>
      <w:numFmt w:val="decimal"/>
      <w:lvlText w:val="(%2)"/>
      <w:lvlJc w:val="left"/>
      <w:pPr>
        <w:ind w:left="1440" w:hanging="360"/>
      </w:pPr>
    </w:lvl>
    <w:lvl w:ilvl="2">
      <w:start w:val="490"/>
      <w:numFmt w:val="decimal"/>
      <w:lvlText w:val="(%3)"/>
      <w:lvlJc w:val="left"/>
      <w:pPr>
        <w:ind w:left="2160" w:hanging="360"/>
      </w:pPr>
    </w:lvl>
    <w:lvl w:ilvl="3">
      <w:start w:val="490"/>
      <w:numFmt w:val="decimal"/>
      <w:lvlText w:val="(%4)"/>
      <w:lvlJc w:val="left"/>
      <w:pPr>
        <w:ind w:left="2880" w:hanging="360"/>
      </w:pPr>
    </w:lvl>
    <w:lvl w:ilvl="4">
      <w:start w:val="490"/>
      <w:numFmt w:val="decimal"/>
      <w:lvlText w:val="(%5)"/>
      <w:lvlJc w:val="left"/>
      <w:pPr>
        <w:ind w:left="3600" w:hanging="360"/>
      </w:pPr>
    </w:lvl>
    <w:lvl w:ilvl="5">
      <w:start w:val="490"/>
      <w:numFmt w:val="decimal"/>
      <w:lvlText w:val="(%6)"/>
      <w:lvlJc w:val="left"/>
      <w:pPr>
        <w:ind w:left="4320" w:hanging="360"/>
      </w:pPr>
    </w:lvl>
    <w:lvl w:ilvl="6">
      <w:start w:val="490"/>
      <w:numFmt w:val="decimal"/>
      <w:lvlText w:val="(%7)"/>
      <w:lvlJc w:val="left"/>
      <w:pPr>
        <w:ind w:left="5040" w:hanging="360"/>
      </w:pPr>
    </w:lvl>
    <w:lvl w:ilvl="7">
      <w:start w:val="490"/>
      <w:numFmt w:val="decimal"/>
      <w:lvlText w:val="(%8)"/>
      <w:lvlJc w:val="left"/>
      <w:pPr>
        <w:ind w:left="5760" w:hanging="360"/>
      </w:pPr>
    </w:lvl>
    <w:lvl w:ilvl="8">
      <w:start w:val="490"/>
      <w:numFmt w:val="decimal"/>
      <w:lvlText w:val="(%9)"/>
      <w:lvlJc w:val="left"/>
      <w:pPr>
        <w:ind w:left="6480" w:hanging="360"/>
      </w:pPr>
    </w:lvl>
  </w:abstractNum>
  <w:abstractNum w:abstractNumId="9943967">
    <w:nsid w:val="A9943967"/>
    <w:multiLevelType w:val="multilevel"/>
    <w:lvl w:ilvl="0">
      <w:start w:val="967"/>
      <w:numFmt w:val="decimal"/>
      <w:lvlText w:val="(%1)"/>
      <w:lvlJc w:val="left"/>
      <w:pPr>
        <w:ind w:left="720" w:hanging="360"/>
      </w:pPr>
    </w:lvl>
    <w:lvl w:ilvl="1">
      <w:start w:val="967"/>
      <w:numFmt w:val="decimal"/>
      <w:lvlText w:val="(%2)"/>
      <w:lvlJc w:val="left"/>
      <w:pPr>
        <w:ind w:left="1440" w:hanging="360"/>
      </w:pPr>
    </w:lvl>
    <w:lvl w:ilvl="2">
      <w:start w:val="967"/>
      <w:numFmt w:val="decimal"/>
      <w:lvlText w:val="(%3)"/>
      <w:lvlJc w:val="left"/>
      <w:pPr>
        <w:ind w:left="2160" w:hanging="360"/>
      </w:pPr>
    </w:lvl>
    <w:lvl w:ilvl="3">
      <w:start w:val="967"/>
      <w:numFmt w:val="decimal"/>
      <w:lvlText w:val="(%4)"/>
      <w:lvlJc w:val="left"/>
      <w:pPr>
        <w:ind w:left="2880" w:hanging="360"/>
      </w:pPr>
    </w:lvl>
    <w:lvl w:ilvl="4">
      <w:start w:val="967"/>
      <w:numFmt w:val="decimal"/>
      <w:lvlText w:val="(%5)"/>
      <w:lvlJc w:val="left"/>
      <w:pPr>
        <w:ind w:left="3600" w:hanging="360"/>
      </w:pPr>
    </w:lvl>
    <w:lvl w:ilvl="5">
      <w:start w:val="967"/>
      <w:numFmt w:val="decimal"/>
      <w:lvlText w:val="(%6)"/>
      <w:lvlJc w:val="left"/>
      <w:pPr>
        <w:ind w:left="4320" w:hanging="360"/>
      </w:pPr>
    </w:lvl>
    <w:lvl w:ilvl="6">
      <w:start w:val="967"/>
      <w:numFmt w:val="decimal"/>
      <w:lvlText w:val="(%7)"/>
      <w:lvlJc w:val="left"/>
      <w:pPr>
        <w:ind w:left="5040" w:hanging="360"/>
      </w:pPr>
    </w:lvl>
    <w:lvl w:ilvl="7">
      <w:start w:val="967"/>
      <w:numFmt w:val="decimal"/>
      <w:lvlText w:val="(%8)"/>
      <w:lvlJc w:val="left"/>
      <w:pPr>
        <w:ind w:left="5760" w:hanging="360"/>
      </w:pPr>
    </w:lvl>
    <w:lvl w:ilvl="8">
      <w:start w:val="967"/>
      <w:numFmt w:val="decimal"/>
      <w:lvlText w:val="(%9)"/>
      <w:lvlJc w:val="left"/>
      <w:pPr>
        <w:ind w:left="6480" w:hanging="360"/>
      </w:pPr>
    </w:lvl>
  </w:abstractNum>
  <w:abstractNum w:abstractNumId="9943319">
    <w:nsid w:val="A9943319"/>
    <w:multiLevelType w:val="multilevel"/>
    <w:lvl w:ilvl="0">
      <w:start w:val="319"/>
      <w:numFmt w:val="decimal"/>
      <w:lvlText w:val="(%1)"/>
      <w:lvlJc w:val="left"/>
      <w:pPr>
        <w:ind w:left="720" w:hanging="360"/>
      </w:pPr>
    </w:lvl>
    <w:lvl w:ilvl="1">
      <w:start w:val="319"/>
      <w:numFmt w:val="decimal"/>
      <w:lvlText w:val="(%2)"/>
      <w:lvlJc w:val="left"/>
      <w:pPr>
        <w:ind w:left="1440" w:hanging="360"/>
      </w:pPr>
    </w:lvl>
    <w:lvl w:ilvl="2">
      <w:start w:val="319"/>
      <w:numFmt w:val="decimal"/>
      <w:lvlText w:val="(%3)"/>
      <w:lvlJc w:val="left"/>
      <w:pPr>
        <w:ind w:left="2160" w:hanging="360"/>
      </w:pPr>
    </w:lvl>
    <w:lvl w:ilvl="3">
      <w:start w:val="319"/>
      <w:numFmt w:val="decimal"/>
      <w:lvlText w:val="(%4)"/>
      <w:lvlJc w:val="left"/>
      <w:pPr>
        <w:ind w:left="2880" w:hanging="360"/>
      </w:pPr>
    </w:lvl>
    <w:lvl w:ilvl="4">
      <w:start w:val="319"/>
      <w:numFmt w:val="decimal"/>
      <w:lvlText w:val="(%5)"/>
      <w:lvlJc w:val="left"/>
      <w:pPr>
        <w:ind w:left="3600" w:hanging="360"/>
      </w:pPr>
    </w:lvl>
    <w:lvl w:ilvl="5">
      <w:start w:val="319"/>
      <w:numFmt w:val="decimal"/>
      <w:lvlText w:val="(%6)"/>
      <w:lvlJc w:val="left"/>
      <w:pPr>
        <w:ind w:left="4320" w:hanging="360"/>
      </w:pPr>
    </w:lvl>
    <w:lvl w:ilvl="6">
      <w:start w:val="319"/>
      <w:numFmt w:val="decimal"/>
      <w:lvlText w:val="(%7)"/>
      <w:lvlJc w:val="left"/>
      <w:pPr>
        <w:ind w:left="5040" w:hanging="360"/>
      </w:pPr>
    </w:lvl>
    <w:lvl w:ilvl="7">
      <w:start w:val="319"/>
      <w:numFmt w:val="decimal"/>
      <w:lvlText w:val="(%8)"/>
      <w:lvlJc w:val="left"/>
      <w:pPr>
        <w:ind w:left="5760" w:hanging="360"/>
      </w:pPr>
    </w:lvl>
    <w:lvl w:ilvl="8">
      <w:start w:val="319"/>
      <w:numFmt w:val="decimal"/>
      <w:lvlText w:val="(%9)"/>
      <w:lvlJc w:val="left"/>
      <w:pPr>
        <w:ind w:left="6480" w:hanging="360"/>
      </w:pPr>
    </w:lvl>
  </w:abstractNum>
  <w:abstractNum w:abstractNumId="9943247">
    <w:nsid w:val="A9943247"/>
    <w:multiLevelType w:val="multilevel"/>
    <w:lvl w:ilvl="0">
      <w:start w:val="247"/>
      <w:numFmt w:val="decimal"/>
      <w:lvlText w:val="(%1)"/>
      <w:lvlJc w:val="left"/>
      <w:pPr>
        <w:ind w:left="720" w:hanging="360"/>
      </w:pPr>
    </w:lvl>
    <w:lvl w:ilvl="1">
      <w:start w:val="247"/>
      <w:numFmt w:val="decimal"/>
      <w:lvlText w:val="(%2)"/>
      <w:lvlJc w:val="left"/>
      <w:pPr>
        <w:ind w:left="1440" w:hanging="360"/>
      </w:pPr>
    </w:lvl>
    <w:lvl w:ilvl="2">
      <w:start w:val="247"/>
      <w:numFmt w:val="decimal"/>
      <w:lvlText w:val="(%3)"/>
      <w:lvlJc w:val="left"/>
      <w:pPr>
        <w:ind w:left="2160" w:hanging="360"/>
      </w:pPr>
    </w:lvl>
    <w:lvl w:ilvl="3">
      <w:start w:val="247"/>
      <w:numFmt w:val="decimal"/>
      <w:lvlText w:val="(%4)"/>
      <w:lvlJc w:val="left"/>
      <w:pPr>
        <w:ind w:left="2880" w:hanging="360"/>
      </w:pPr>
    </w:lvl>
    <w:lvl w:ilvl="4">
      <w:start w:val="247"/>
      <w:numFmt w:val="decimal"/>
      <w:lvlText w:val="(%5)"/>
      <w:lvlJc w:val="left"/>
      <w:pPr>
        <w:ind w:left="3600" w:hanging="360"/>
      </w:pPr>
    </w:lvl>
    <w:lvl w:ilvl="5">
      <w:start w:val="247"/>
      <w:numFmt w:val="decimal"/>
      <w:lvlText w:val="(%6)"/>
      <w:lvlJc w:val="left"/>
      <w:pPr>
        <w:ind w:left="4320" w:hanging="360"/>
      </w:pPr>
    </w:lvl>
    <w:lvl w:ilvl="6">
      <w:start w:val="247"/>
      <w:numFmt w:val="decimal"/>
      <w:lvlText w:val="(%7)"/>
      <w:lvlJc w:val="left"/>
      <w:pPr>
        <w:ind w:left="5040" w:hanging="360"/>
      </w:pPr>
    </w:lvl>
    <w:lvl w:ilvl="7">
      <w:start w:val="247"/>
      <w:numFmt w:val="decimal"/>
      <w:lvlText w:val="(%8)"/>
      <w:lvlJc w:val="left"/>
      <w:pPr>
        <w:ind w:left="5760" w:hanging="360"/>
      </w:pPr>
    </w:lvl>
    <w:lvl w:ilvl="8">
      <w:start w:val="247"/>
      <w:numFmt w:val="decimal"/>
      <w:lvlText w:val="(%9)"/>
      <w:lvlJc w:val="left"/>
      <w:pPr>
        <w:ind w:left="6480" w:hanging="360"/>
      </w:pPr>
    </w:lvl>
  </w:abstractNum>
  <w:abstractNum w:abstractNumId="9943330">
    <w:nsid w:val="A9943330"/>
    <w:multiLevelType w:val="multilevel"/>
    <w:lvl w:ilvl="0">
      <w:start w:val="330"/>
      <w:numFmt w:val="decimal"/>
      <w:lvlText w:val="(%1)"/>
      <w:lvlJc w:val="left"/>
      <w:pPr>
        <w:ind w:left="720" w:hanging="360"/>
      </w:pPr>
    </w:lvl>
    <w:lvl w:ilvl="1">
      <w:start w:val="330"/>
      <w:numFmt w:val="decimal"/>
      <w:lvlText w:val="(%2)"/>
      <w:lvlJc w:val="left"/>
      <w:pPr>
        <w:ind w:left="1440" w:hanging="360"/>
      </w:pPr>
    </w:lvl>
    <w:lvl w:ilvl="2">
      <w:start w:val="330"/>
      <w:numFmt w:val="decimal"/>
      <w:lvlText w:val="(%3)"/>
      <w:lvlJc w:val="left"/>
      <w:pPr>
        <w:ind w:left="2160" w:hanging="360"/>
      </w:pPr>
    </w:lvl>
    <w:lvl w:ilvl="3">
      <w:start w:val="330"/>
      <w:numFmt w:val="decimal"/>
      <w:lvlText w:val="(%4)"/>
      <w:lvlJc w:val="left"/>
      <w:pPr>
        <w:ind w:left="2880" w:hanging="360"/>
      </w:pPr>
    </w:lvl>
    <w:lvl w:ilvl="4">
      <w:start w:val="330"/>
      <w:numFmt w:val="decimal"/>
      <w:lvlText w:val="(%5)"/>
      <w:lvlJc w:val="left"/>
      <w:pPr>
        <w:ind w:left="3600" w:hanging="360"/>
      </w:pPr>
    </w:lvl>
    <w:lvl w:ilvl="5">
      <w:start w:val="330"/>
      <w:numFmt w:val="decimal"/>
      <w:lvlText w:val="(%6)"/>
      <w:lvlJc w:val="left"/>
      <w:pPr>
        <w:ind w:left="4320" w:hanging="360"/>
      </w:pPr>
    </w:lvl>
    <w:lvl w:ilvl="6">
      <w:start w:val="330"/>
      <w:numFmt w:val="decimal"/>
      <w:lvlText w:val="(%7)"/>
      <w:lvlJc w:val="left"/>
      <w:pPr>
        <w:ind w:left="5040" w:hanging="360"/>
      </w:pPr>
    </w:lvl>
    <w:lvl w:ilvl="7">
      <w:start w:val="330"/>
      <w:numFmt w:val="decimal"/>
      <w:lvlText w:val="(%8)"/>
      <w:lvlJc w:val="left"/>
      <w:pPr>
        <w:ind w:left="5760" w:hanging="360"/>
      </w:pPr>
    </w:lvl>
    <w:lvl w:ilvl="8">
      <w:start w:val="330"/>
      <w:numFmt w:val="decimal"/>
      <w:lvlText w:val="(%9)"/>
      <w:lvlJc w:val="left"/>
      <w:pPr>
        <w:ind w:left="6480" w:hanging="360"/>
      </w:pPr>
    </w:lvl>
  </w:abstractNum>
  <w:abstractNum w:abstractNumId="9943208">
    <w:nsid w:val="A9943208"/>
    <w:multiLevelType w:val="multilevel"/>
    <w:lvl w:ilvl="0">
      <w:start w:val="208"/>
      <w:numFmt w:val="decimal"/>
      <w:lvlText w:val="(%1)"/>
      <w:lvlJc w:val="left"/>
      <w:pPr>
        <w:ind w:left="720" w:hanging="360"/>
      </w:pPr>
    </w:lvl>
    <w:lvl w:ilvl="1">
      <w:start w:val="208"/>
      <w:numFmt w:val="decimal"/>
      <w:lvlText w:val="(%2)"/>
      <w:lvlJc w:val="left"/>
      <w:pPr>
        <w:ind w:left="1440" w:hanging="360"/>
      </w:pPr>
    </w:lvl>
    <w:lvl w:ilvl="2">
      <w:start w:val="208"/>
      <w:numFmt w:val="decimal"/>
      <w:lvlText w:val="(%3)"/>
      <w:lvlJc w:val="left"/>
      <w:pPr>
        <w:ind w:left="2160" w:hanging="360"/>
      </w:pPr>
    </w:lvl>
    <w:lvl w:ilvl="3">
      <w:start w:val="208"/>
      <w:numFmt w:val="decimal"/>
      <w:lvlText w:val="(%4)"/>
      <w:lvlJc w:val="left"/>
      <w:pPr>
        <w:ind w:left="2880" w:hanging="360"/>
      </w:pPr>
    </w:lvl>
    <w:lvl w:ilvl="4">
      <w:start w:val="208"/>
      <w:numFmt w:val="decimal"/>
      <w:lvlText w:val="(%5)"/>
      <w:lvlJc w:val="left"/>
      <w:pPr>
        <w:ind w:left="3600" w:hanging="360"/>
      </w:pPr>
    </w:lvl>
    <w:lvl w:ilvl="5">
      <w:start w:val="208"/>
      <w:numFmt w:val="decimal"/>
      <w:lvlText w:val="(%6)"/>
      <w:lvlJc w:val="left"/>
      <w:pPr>
        <w:ind w:left="4320" w:hanging="360"/>
      </w:pPr>
    </w:lvl>
    <w:lvl w:ilvl="6">
      <w:start w:val="208"/>
      <w:numFmt w:val="decimal"/>
      <w:lvlText w:val="(%7)"/>
      <w:lvlJc w:val="left"/>
      <w:pPr>
        <w:ind w:left="5040" w:hanging="360"/>
      </w:pPr>
    </w:lvl>
    <w:lvl w:ilvl="7">
      <w:start w:val="208"/>
      <w:numFmt w:val="decimal"/>
      <w:lvlText w:val="(%8)"/>
      <w:lvlJc w:val="left"/>
      <w:pPr>
        <w:ind w:left="5760" w:hanging="360"/>
      </w:pPr>
    </w:lvl>
    <w:lvl w:ilvl="8">
      <w:start w:val="208"/>
      <w:numFmt w:val="decimal"/>
      <w:lvlText w:val="(%9)"/>
      <w:lvlJc w:val="left"/>
      <w:pPr>
        <w:ind w:left="6480" w:hanging="360"/>
      </w:pPr>
    </w:lvl>
  </w:abstractNum>
  <w:abstractNum w:abstractNumId="9943254">
    <w:nsid w:val="A9943254"/>
    <w:multiLevelType w:val="multilevel"/>
    <w:lvl w:ilvl="0">
      <w:start w:val="254"/>
      <w:numFmt w:val="decimal"/>
      <w:lvlText w:val="(%1)"/>
      <w:lvlJc w:val="left"/>
      <w:pPr>
        <w:ind w:left="720" w:hanging="360"/>
      </w:pPr>
    </w:lvl>
    <w:lvl w:ilvl="1">
      <w:start w:val="254"/>
      <w:numFmt w:val="decimal"/>
      <w:lvlText w:val="(%2)"/>
      <w:lvlJc w:val="left"/>
      <w:pPr>
        <w:ind w:left="1440" w:hanging="360"/>
      </w:pPr>
    </w:lvl>
    <w:lvl w:ilvl="2">
      <w:start w:val="254"/>
      <w:numFmt w:val="decimal"/>
      <w:lvlText w:val="(%3)"/>
      <w:lvlJc w:val="left"/>
      <w:pPr>
        <w:ind w:left="2160" w:hanging="360"/>
      </w:pPr>
    </w:lvl>
    <w:lvl w:ilvl="3">
      <w:start w:val="254"/>
      <w:numFmt w:val="decimal"/>
      <w:lvlText w:val="(%4)"/>
      <w:lvlJc w:val="left"/>
      <w:pPr>
        <w:ind w:left="2880" w:hanging="360"/>
      </w:pPr>
    </w:lvl>
    <w:lvl w:ilvl="4">
      <w:start w:val="254"/>
      <w:numFmt w:val="decimal"/>
      <w:lvlText w:val="(%5)"/>
      <w:lvlJc w:val="left"/>
      <w:pPr>
        <w:ind w:left="3600" w:hanging="360"/>
      </w:pPr>
    </w:lvl>
    <w:lvl w:ilvl="5">
      <w:start w:val="254"/>
      <w:numFmt w:val="decimal"/>
      <w:lvlText w:val="(%6)"/>
      <w:lvlJc w:val="left"/>
      <w:pPr>
        <w:ind w:left="4320" w:hanging="360"/>
      </w:pPr>
    </w:lvl>
    <w:lvl w:ilvl="6">
      <w:start w:val="254"/>
      <w:numFmt w:val="decimal"/>
      <w:lvlText w:val="(%7)"/>
      <w:lvlJc w:val="left"/>
      <w:pPr>
        <w:ind w:left="5040" w:hanging="360"/>
      </w:pPr>
    </w:lvl>
    <w:lvl w:ilvl="7">
      <w:start w:val="254"/>
      <w:numFmt w:val="decimal"/>
      <w:lvlText w:val="(%8)"/>
      <w:lvlJc w:val="left"/>
      <w:pPr>
        <w:ind w:left="5760" w:hanging="360"/>
      </w:pPr>
    </w:lvl>
    <w:lvl w:ilvl="8">
      <w:start w:val="254"/>
      <w:numFmt w:val="decimal"/>
      <w:lvlText w:val="(%9)"/>
      <w:lvlJc w:val="left"/>
      <w:pPr>
        <w:ind w:left="6480" w:hanging="360"/>
      </w:pPr>
    </w:lvl>
  </w:abstractNum>
  <w:abstractNum w:abstractNumId="9943298">
    <w:nsid w:val="A9943298"/>
    <w:multiLevelType w:val="multilevel"/>
    <w:lvl w:ilvl="0">
      <w:start w:val="298"/>
      <w:numFmt w:val="decimal"/>
      <w:lvlText w:val="(%1)"/>
      <w:lvlJc w:val="left"/>
      <w:pPr>
        <w:ind w:left="720" w:hanging="360"/>
      </w:pPr>
    </w:lvl>
    <w:lvl w:ilvl="1">
      <w:start w:val="298"/>
      <w:numFmt w:val="decimal"/>
      <w:lvlText w:val="(%2)"/>
      <w:lvlJc w:val="left"/>
      <w:pPr>
        <w:ind w:left="1440" w:hanging="360"/>
      </w:pPr>
    </w:lvl>
    <w:lvl w:ilvl="2">
      <w:start w:val="298"/>
      <w:numFmt w:val="decimal"/>
      <w:lvlText w:val="(%3)"/>
      <w:lvlJc w:val="left"/>
      <w:pPr>
        <w:ind w:left="2160" w:hanging="360"/>
      </w:pPr>
    </w:lvl>
    <w:lvl w:ilvl="3">
      <w:start w:val="298"/>
      <w:numFmt w:val="decimal"/>
      <w:lvlText w:val="(%4)"/>
      <w:lvlJc w:val="left"/>
      <w:pPr>
        <w:ind w:left="2880" w:hanging="360"/>
      </w:pPr>
    </w:lvl>
    <w:lvl w:ilvl="4">
      <w:start w:val="298"/>
      <w:numFmt w:val="decimal"/>
      <w:lvlText w:val="(%5)"/>
      <w:lvlJc w:val="left"/>
      <w:pPr>
        <w:ind w:left="3600" w:hanging="360"/>
      </w:pPr>
    </w:lvl>
    <w:lvl w:ilvl="5">
      <w:start w:val="298"/>
      <w:numFmt w:val="decimal"/>
      <w:lvlText w:val="(%6)"/>
      <w:lvlJc w:val="left"/>
      <w:pPr>
        <w:ind w:left="4320" w:hanging="360"/>
      </w:pPr>
    </w:lvl>
    <w:lvl w:ilvl="6">
      <w:start w:val="298"/>
      <w:numFmt w:val="decimal"/>
      <w:lvlText w:val="(%7)"/>
      <w:lvlJc w:val="left"/>
      <w:pPr>
        <w:ind w:left="5040" w:hanging="360"/>
      </w:pPr>
    </w:lvl>
    <w:lvl w:ilvl="7">
      <w:start w:val="298"/>
      <w:numFmt w:val="decimal"/>
      <w:lvlText w:val="(%8)"/>
      <w:lvlJc w:val="left"/>
      <w:pPr>
        <w:ind w:left="5760" w:hanging="360"/>
      </w:pPr>
    </w:lvl>
    <w:lvl w:ilvl="8">
      <w:start w:val="298"/>
      <w:numFmt w:val="decimal"/>
      <w:lvlText w:val="(%9)"/>
      <w:lvlJc w:val="left"/>
      <w:pPr>
        <w:ind w:left="6480" w:hanging="360"/>
      </w:pPr>
    </w:lvl>
  </w:abstractNum>
  <w:abstractNum w:abstractNumId="9943797">
    <w:nsid w:val="A9943797"/>
    <w:multiLevelType w:val="multilevel"/>
    <w:lvl w:ilvl="0">
      <w:start w:val="797"/>
      <w:numFmt w:val="decimal"/>
      <w:lvlText w:val="(%1)"/>
      <w:lvlJc w:val="left"/>
      <w:pPr>
        <w:ind w:left="720" w:hanging="360"/>
      </w:pPr>
    </w:lvl>
    <w:lvl w:ilvl="1">
      <w:start w:val="797"/>
      <w:numFmt w:val="decimal"/>
      <w:lvlText w:val="(%2)"/>
      <w:lvlJc w:val="left"/>
      <w:pPr>
        <w:ind w:left="1440" w:hanging="360"/>
      </w:pPr>
    </w:lvl>
    <w:lvl w:ilvl="2">
      <w:start w:val="797"/>
      <w:numFmt w:val="decimal"/>
      <w:lvlText w:val="(%3)"/>
      <w:lvlJc w:val="left"/>
      <w:pPr>
        <w:ind w:left="2160" w:hanging="360"/>
      </w:pPr>
    </w:lvl>
    <w:lvl w:ilvl="3">
      <w:start w:val="797"/>
      <w:numFmt w:val="decimal"/>
      <w:lvlText w:val="(%4)"/>
      <w:lvlJc w:val="left"/>
      <w:pPr>
        <w:ind w:left="2880" w:hanging="360"/>
      </w:pPr>
    </w:lvl>
    <w:lvl w:ilvl="4">
      <w:start w:val="797"/>
      <w:numFmt w:val="decimal"/>
      <w:lvlText w:val="(%5)"/>
      <w:lvlJc w:val="left"/>
      <w:pPr>
        <w:ind w:left="3600" w:hanging="360"/>
      </w:pPr>
    </w:lvl>
    <w:lvl w:ilvl="5">
      <w:start w:val="797"/>
      <w:numFmt w:val="decimal"/>
      <w:lvlText w:val="(%6)"/>
      <w:lvlJc w:val="left"/>
      <w:pPr>
        <w:ind w:left="4320" w:hanging="360"/>
      </w:pPr>
    </w:lvl>
    <w:lvl w:ilvl="6">
      <w:start w:val="797"/>
      <w:numFmt w:val="decimal"/>
      <w:lvlText w:val="(%7)"/>
      <w:lvlJc w:val="left"/>
      <w:pPr>
        <w:ind w:left="5040" w:hanging="360"/>
      </w:pPr>
    </w:lvl>
    <w:lvl w:ilvl="7">
      <w:start w:val="797"/>
      <w:numFmt w:val="decimal"/>
      <w:lvlText w:val="(%8)"/>
      <w:lvlJc w:val="left"/>
      <w:pPr>
        <w:ind w:left="5760" w:hanging="360"/>
      </w:pPr>
    </w:lvl>
    <w:lvl w:ilvl="8">
      <w:start w:val="797"/>
      <w:numFmt w:val="decimal"/>
      <w:lvlText w:val="(%9)"/>
      <w:lvlJc w:val="left"/>
      <w:pPr>
        <w:ind w:left="6480" w:hanging="360"/>
      </w:pPr>
    </w:lvl>
  </w:abstractNum>
  <w:abstractNum w:abstractNumId="9943207">
    <w:nsid w:val="A9943207"/>
    <w:multiLevelType w:val="multilevel"/>
    <w:lvl w:ilvl="0">
      <w:start w:val="207"/>
      <w:numFmt w:val="decimal"/>
      <w:lvlText w:val="(%1)"/>
      <w:lvlJc w:val="left"/>
      <w:pPr>
        <w:ind w:left="720" w:hanging="360"/>
      </w:pPr>
    </w:lvl>
    <w:lvl w:ilvl="1">
      <w:start w:val="207"/>
      <w:numFmt w:val="decimal"/>
      <w:lvlText w:val="(%2)"/>
      <w:lvlJc w:val="left"/>
      <w:pPr>
        <w:ind w:left="1440" w:hanging="360"/>
      </w:pPr>
    </w:lvl>
    <w:lvl w:ilvl="2">
      <w:start w:val="207"/>
      <w:numFmt w:val="decimal"/>
      <w:lvlText w:val="(%3)"/>
      <w:lvlJc w:val="left"/>
      <w:pPr>
        <w:ind w:left="2160" w:hanging="360"/>
      </w:pPr>
    </w:lvl>
    <w:lvl w:ilvl="3">
      <w:start w:val="207"/>
      <w:numFmt w:val="decimal"/>
      <w:lvlText w:val="(%4)"/>
      <w:lvlJc w:val="left"/>
      <w:pPr>
        <w:ind w:left="2880" w:hanging="360"/>
      </w:pPr>
    </w:lvl>
    <w:lvl w:ilvl="4">
      <w:start w:val="207"/>
      <w:numFmt w:val="decimal"/>
      <w:lvlText w:val="(%5)"/>
      <w:lvlJc w:val="left"/>
      <w:pPr>
        <w:ind w:left="3600" w:hanging="360"/>
      </w:pPr>
    </w:lvl>
    <w:lvl w:ilvl="5">
      <w:start w:val="207"/>
      <w:numFmt w:val="decimal"/>
      <w:lvlText w:val="(%6)"/>
      <w:lvlJc w:val="left"/>
      <w:pPr>
        <w:ind w:left="4320" w:hanging="360"/>
      </w:pPr>
    </w:lvl>
    <w:lvl w:ilvl="6">
      <w:start w:val="207"/>
      <w:numFmt w:val="decimal"/>
      <w:lvlText w:val="(%7)"/>
      <w:lvlJc w:val="left"/>
      <w:pPr>
        <w:ind w:left="5040" w:hanging="360"/>
      </w:pPr>
    </w:lvl>
    <w:lvl w:ilvl="7">
      <w:start w:val="207"/>
      <w:numFmt w:val="decimal"/>
      <w:lvlText w:val="(%8)"/>
      <w:lvlJc w:val="left"/>
      <w:pPr>
        <w:ind w:left="5760" w:hanging="360"/>
      </w:pPr>
    </w:lvl>
    <w:lvl w:ilvl="8">
      <w:start w:val="20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06">
    <w:nsid w:val="A9943406"/>
    <w:multiLevelType w:val="multilevel"/>
    <w:lvl w:ilvl="0">
      <w:start w:val="406"/>
      <w:numFmt w:val="decimal"/>
      <w:lvlText w:val="(%1)"/>
      <w:lvlJc w:val="left"/>
      <w:pPr>
        <w:ind w:left="720" w:hanging="360"/>
      </w:pPr>
    </w:lvl>
    <w:lvl w:ilvl="1">
      <w:start w:val="406"/>
      <w:numFmt w:val="decimal"/>
      <w:lvlText w:val="(%2)"/>
      <w:lvlJc w:val="left"/>
      <w:pPr>
        <w:ind w:left="1440" w:hanging="360"/>
      </w:pPr>
    </w:lvl>
    <w:lvl w:ilvl="2">
      <w:start w:val="406"/>
      <w:numFmt w:val="decimal"/>
      <w:lvlText w:val="(%3)"/>
      <w:lvlJc w:val="left"/>
      <w:pPr>
        <w:ind w:left="2160" w:hanging="360"/>
      </w:pPr>
    </w:lvl>
    <w:lvl w:ilvl="3">
      <w:start w:val="406"/>
      <w:numFmt w:val="decimal"/>
      <w:lvlText w:val="(%4)"/>
      <w:lvlJc w:val="left"/>
      <w:pPr>
        <w:ind w:left="2880" w:hanging="360"/>
      </w:pPr>
    </w:lvl>
    <w:lvl w:ilvl="4">
      <w:start w:val="406"/>
      <w:numFmt w:val="decimal"/>
      <w:lvlText w:val="(%5)"/>
      <w:lvlJc w:val="left"/>
      <w:pPr>
        <w:ind w:left="3600" w:hanging="360"/>
      </w:pPr>
    </w:lvl>
    <w:lvl w:ilvl="5">
      <w:start w:val="406"/>
      <w:numFmt w:val="decimal"/>
      <w:lvlText w:val="(%6)"/>
      <w:lvlJc w:val="left"/>
      <w:pPr>
        <w:ind w:left="4320" w:hanging="360"/>
      </w:pPr>
    </w:lvl>
    <w:lvl w:ilvl="6">
      <w:start w:val="406"/>
      <w:numFmt w:val="decimal"/>
      <w:lvlText w:val="(%7)"/>
      <w:lvlJc w:val="left"/>
      <w:pPr>
        <w:ind w:left="5040" w:hanging="360"/>
      </w:pPr>
    </w:lvl>
    <w:lvl w:ilvl="7">
      <w:start w:val="406"/>
      <w:numFmt w:val="decimal"/>
      <w:lvlText w:val="(%8)"/>
      <w:lvlJc w:val="left"/>
      <w:pPr>
        <w:ind w:left="5760" w:hanging="360"/>
      </w:pPr>
    </w:lvl>
    <w:lvl w:ilvl="8">
      <w:start w:val="406"/>
      <w:numFmt w:val="decimal"/>
      <w:lvlText w:val="(%9)"/>
      <w:lvlJc w:val="left"/>
      <w:pPr>
        <w:ind w:left="6480" w:hanging="360"/>
      </w:pPr>
    </w:lvl>
  </w:abstractNum>
  <w:abstractNum w:abstractNumId="994356">
    <w:nsid w:val="0A9943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abstractNum w:abstractNumId="9943153">
    <w:nsid w:val="A9943153"/>
    <w:multiLevelType w:val="multilevel"/>
    <w:lvl w:ilvl="0">
      <w:start w:val="153"/>
      <w:numFmt w:val="decimal"/>
      <w:lvlText w:val="(%1)"/>
      <w:lvlJc w:val="left"/>
      <w:pPr>
        <w:ind w:left="720" w:hanging="360"/>
      </w:pPr>
    </w:lvl>
    <w:lvl w:ilvl="1">
      <w:start w:val="153"/>
      <w:numFmt w:val="decimal"/>
      <w:lvlText w:val="(%2)"/>
      <w:lvlJc w:val="left"/>
      <w:pPr>
        <w:ind w:left="1440" w:hanging="360"/>
      </w:pPr>
    </w:lvl>
    <w:lvl w:ilvl="2">
      <w:start w:val="153"/>
      <w:numFmt w:val="decimal"/>
      <w:lvlText w:val="(%3)"/>
      <w:lvlJc w:val="left"/>
      <w:pPr>
        <w:ind w:left="2160" w:hanging="360"/>
      </w:pPr>
    </w:lvl>
    <w:lvl w:ilvl="3">
      <w:start w:val="153"/>
      <w:numFmt w:val="decimal"/>
      <w:lvlText w:val="(%4)"/>
      <w:lvlJc w:val="left"/>
      <w:pPr>
        <w:ind w:left="2880" w:hanging="360"/>
      </w:pPr>
    </w:lvl>
    <w:lvl w:ilvl="4">
      <w:start w:val="153"/>
      <w:numFmt w:val="decimal"/>
      <w:lvlText w:val="(%5)"/>
      <w:lvlJc w:val="left"/>
      <w:pPr>
        <w:ind w:left="3600" w:hanging="360"/>
      </w:pPr>
    </w:lvl>
    <w:lvl w:ilvl="5">
      <w:start w:val="153"/>
      <w:numFmt w:val="decimal"/>
      <w:lvlText w:val="(%6)"/>
      <w:lvlJc w:val="left"/>
      <w:pPr>
        <w:ind w:left="4320" w:hanging="360"/>
      </w:pPr>
    </w:lvl>
    <w:lvl w:ilvl="6">
      <w:start w:val="153"/>
      <w:numFmt w:val="decimal"/>
      <w:lvlText w:val="(%7)"/>
      <w:lvlJc w:val="left"/>
      <w:pPr>
        <w:ind w:left="5040" w:hanging="360"/>
      </w:pPr>
    </w:lvl>
    <w:lvl w:ilvl="7">
      <w:start w:val="153"/>
      <w:numFmt w:val="decimal"/>
      <w:lvlText w:val="(%8)"/>
      <w:lvlJc w:val="left"/>
      <w:pPr>
        <w:ind w:left="5760" w:hanging="360"/>
      </w:pPr>
    </w:lvl>
    <w:lvl w:ilvl="8">
      <w:start w:val="153"/>
      <w:numFmt w:val="decimal"/>
      <w:lvlText w:val="(%9)"/>
      <w:lvlJc w:val="left"/>
      <w:pPr>
        <w:ind w:left="6480" w:hanging="360"/>
      </w:pPr>
    </w:lvl>
  </w:abstractNum>
  <w:abstractNum w:abstractNumId="994316">
    <w:nsid w:val="0A9943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46">
    <w:nsid w:val="0A9943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321">
    <w:nsid w:val="0A9943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3173">
    <w:nsid w:val="A9943173"/>
    <w:multiLevelType w:val="multilevel"/>
    <w:lvl w:ilvl="0">
      <w:start w:val="173"/>
      <w:numFmt w:val="decimal"/>
      <w:lvlText w:val="(%1)"/>
      <w:lvlJc w:val="left"/>
      <w:pPr>
        <w:ind w:left="720" w:hanging="360"/>
      </w:pPr>
    </w:lvl>
    <w:lvl w:ilvl="1">
      <w:start w:val="173"/>
      <w:numFmt w:val="decimal"/>
      <w:lvlText w:val="(%2)"/>
      <w:lvlJc w:val="left"/>
      <w:pPr>
        <w:ind w:left="1440" w:hanging="360"/>
      </w:pPr>
    </w:lvl>
    <w:lvl w:ilvl="2">
      <w:start w:val="173"/>
      <w:numFmt w:val="decimal"/>
      <w:lvlText w:val="(%3)"/>
      <w:lvlJc w:val="left"/>
      <w:pPr>
        <w:ind w:left="2160" w:hanging="360"/>
      </w:pPr>
    </w:lvl>
    <w:lvl w:ilvl="3">
      <w:start w:val="173"/>
      <w:numFmt w:val="decimal"/>
      <w:lvlText w:val="(%4)"/>
      <w:lvlJc w:val="left"/>
      <w:pPr>
        <w:ind w:left="2880" w:hanging="360"/>
      </w:pPr>
    </w:lvl>
    <w:lvl w:ilvl="4">
      <w:start w:val="173"/>
      <w:numFmt w:val="decimal"/>
      <w:lvlText w:val="(%5)"/>
      <w:lvlJc w:val="left"/>
      <w:pPr>
        <w:ind w:left="3600" w:hanging="360"/>
      </w:pPr>
    </w:lvl>
    <w:lvl w:ilvl="5">
      <w:start w:val="173"/>
      <w:numFmt w:val="decimal"/>
      <w:lvlText w:val="(%6)"/>
      <w:lvlJc w:val="left"/>
      <w:pPr>
        <w:ind w:left="4320" w:hanging="360"/>
      </w:pPr>
    </w:lvl>
    <w:lvl w:ilvl="6">
      <w:start w:val="173"/>
      <w:numFmt w:val="decimal"/>
      <w:lvlText w:val="(%7)"/>
      <w:lvlJc w:val="left"/>
      <w:pPr>
        <w:ind w:left="5040" w:hanging="360"/>
      </w:pPr>
    </w:lvl>
    <w:lvl w:ilvl="7">
      <w:start w:val="173"/>
      <w:numFmt w:val="decimal"/>
      <w:lvlText w:val="(%8)"/>
      <w:lvlJc w:val="left"/>
      <w:pPr>
        <w:ind w:left="5760" w:hanging="360"/>
      </w:pPr>
    </w:lvl>
    <w:lvl w:ilvl="8">
      <w:start w:val="173"/>
      <w:numFmt w:val="decimal"/>
      <w:lvlText w:val="(%9)"/>
      <w:lvlJc w:val="left"/>
      <w:pPr>
        <w:ind w:left="6480" w:hanging="360"/>
      </w:pPr>
    </w:lvl>
  </w:abstractNum>
  <w:abstractNum w:abstractNumId="9943192">
    <w:nsid w:val="A9943192"/>
    <w:multiLevelType w:val="multilevel"/>
    <w:lvl w:ilvl="0">
      <w:start w:val="192"/>
      <w:numFmt w:val="decimal"/>
      <w:lvlText w:val="(%1)"/>
      <w:lvlJc w:val="left"/>
      <w:pPr>
        <w:ind w:left="720" w:hanging="360"/>
      </w:pPr>
    </w:lvl>
    <w:lvl w:ilvl="1">
      <w:start w:val="192"/>
      <w:numFmt w:val="decimal"/>
      <w:lvlText w:val="(%2)"/>
      <w:lvlJc w:val="left"/>
      <w:pPr>
        <w:ind w:left="1440" w:hanging="360"/>
      </w:pPr>
    </w:lvl>
    <w:lvl w:ilvl="2">
      <w:start w:val="192"/>
      <w:numFmt w:val="decimal"/>
      <w:lvlText w:val="(%3)"/>
      <w:lvlJc w:val="left"/>
      <w:pPr>
        <w:ind w:left="2160" w:hanging="360"/>
      </w:pPr>
    </w:lvl>
    <w:lvl w:ilvl="3">
      <w:start w:val="192"/>
      <w:numFmt w:val="decimal"/>
      <w:lvlText w:val="(%4)"/>
      <w:lvlJc w:val="left"/>
      <w:pPr>
        <w:ind w:left="2880" w:hanging="360"/>
      </w:pPr>
    </w:lvl>
    <w:lvl w:ilvl="4">
      <w:start w:val="192"/>
      <w:numFmt w:val="decimal"/>
      <w:lvlText w:val="(%5)"/>
      <w:lvlJc w:val="left"/>
      <w:pPr>
        <w:ind w:left="3600" w:hanging="360"/>
      </w:pPr>
    </w:lvl>
    <w:lvl w:ilvl="5">
      <w:start w:val="192"/>
      <w:numFmt w:val="decimal"/>
      <w:lvlText w:val="(%6)"/>
      <w:lvlJc w:val="left"/>
      <w:pPr>
        <w:ind w:left="4320" w:hanging="360"/>
      </w:pPr>
    </w:lvl>
    <w:lvl w:ilvl="6">
      <w:start w:val="192"/>
      <w:numFmt w:val="decimal"/>
      <w:lvlText w:val="(%7)"/>
      <w:lvlJc w:val="left"/>
      <w:pPr>
        <w:ind w:left="5040" w:hanging="360"/>
      </w:pPr>
    </w:lvl>
    <w:lvl w:ilvl="7">
      <w:start w:val="192"/>
      <w:numFmt w:val="decimal"/>
      <w:lvlText w:val="(%8)"/>
      <w:lvlJc w:val="left"/>
      <w:pPr>
        <w:ind w:left="5760" w:hanging="360"/>
      </w:pPr>
    </w:lvl>
    <w:lvl w:ilvl="8">
      <w:start w:val="192"/>
      <w:numFmt w:val="decimal"/>
      <w:lvlText w:val="(%9)"/>
      <w:lvlJc w:val="left"/>
      <w:pPr>
        <w:ind w:left="6480" w:hanging="360"/>
      </w:pPr>
    </w:lvl>
  </w:abstractNum>
  <w:abstractNum w:abstractNumId="9943588">
    <w:nsid w:val="A9943588"/>
    <w:multiLevelType w:val="multilevel"/>
    <w:lvl w:ilvl="0">
      <w:start w:val="588"/>
      <w:numFmt w:val="decimal"/>
      <w:lvlText w:val="(%1)"/>
      <w:lvlJc w:val="left"/>
      <w:pPr>
        <w:ind w:left="720" w:hanging="360"/>
      </w:pPr>
    </w:lvl>
    <w:lvl w:ilvl="1">
      <w:start w:val="588"/>
      <w:numFmt w:val="decimal"/>
      <w:lvlText w:val="(%2)"/>
      <w:lvlJc w:val="left"/>
      <w:pPr>
        <w:ind w:left="1440" w:hanging="360"/>
      </w:pPr>
    </w:lvl>
    <w:lvl w:ilvl="2">
      <w:start w:val="588"/>
      <w:numFmt w:val="decimal"/>
      <w:lvlText w:val="(%3)"/>
      <w:lvlJc w:val="left"/>
      <w:pPr>
        <w:ind w:left="2160" w:hanging="360"/>
      </w:pPr>
    </w:lvl>
    <w:lvl w:ilvl="3">
      <w:start w:val="588"/>
      <w:numFmt w:val="decimal"/>
      <w:lvlText w:val="(%4)"/>
      <w:lvlJc w:val="left"/>
      <w:pPr>
        <w:ind w:left="2880" w:hanging="360"/>
      </w:pPr>
    </w:lvl>
    <w:lvl w:ilvl="4">
      <w:start w:val="588"/>
      <w:numFmt w:val="decimal"/>
      <w:lvlText w:val="(%5)"/>
      <w:lvlJc w:val="left"/>
      <w:pPr>
        <w:ind w:left="3600" w:hanging="360"/>
      </w:pPr>
    </w:lvl>
    <w:lvl w:ilvl="5">
      <w:start w:val="588"/>
      <w:numFmt w:val="decimal"/>
      <w:lvlText w:val="(%6)"/>
      <w:lvlJc w:val="left"/>
      <w:pPr>
        <w:ind w:left="4320" w:hanging="360"/>
      </w:pPr>
    </w:lvl>
    <w:lvl w:ilvl="6">
      <w:start w:val="588"/>
      <w:numFmt w:val="decimal"/>
      <w:lvlText w:val="(%7)"/>
      <w:lvlJc w:val="left"/>
      <w:pPr>
        <w:ind w:left="5040" w:hanging="360"/>
      </w:pPr>
    </w:lvl>
    <w:lvl w:ilvl="7">
      <w:start w:val="588"/>
      <w:numFmt w:val="decimal"/>
      <w:lvlText w:val="(%8)"/>
      <w:lvlJc w:val="left"/>
      <w:pPr>
        <w:ind w:left="5760" w:hanging="360"/>
      </w:pPr>
    </w:lvl>
    <w:lvl w:ilvl="8">
      <w:start w:val="588"/>
      <w:numFmt w:val="decimal"/>
      <w:lvlText w:val="(%9)"/>
      <w:lvlJc w:val="left"/>
      <w:pPr>
        <w:ind w:left="6480" w:hanging="360"/>
      </w:pPr>
    </w:lvl>
  </w:abstractNum>
  <w:abstractNum w:abstractNumId="9943839">
    <w:nsid w:val="A9943839"/>
    <w:multiLevelType w:val="multilevel"/>
    <w:lvl w:ilvl="0">
      <w:start w:val="839"/>
      <w:numFmt w:val="decimal"/>
      <w:lvlText w:val="(%1)"/>
      <w:lvlJc w:val="left"/>
      <w:pPr>
        <w:ind w:left="720" w:hanging="360"/>
      </w:pPr>
    </w:lvl>
    <w:lvl w:ilvl="1">
      <w:start w:val="839"/>
      <w:numFmt w:val="decimal"/>
      <w:lvlText w:val="(%2)"/>
      <w:lvlJc w:val="left"/>
      <w:pPr>
        <w:ind w:left="1440" w:hanging="360"/>
      </w:pPr>
    </w:lvl>
    <w:lvl w:ilvl="2">
      <w:start w:val="839"/>
      <w:numFmt w:val="decimal"/>
      <w:lvlText w:val="(%3)"/>
      <w:lvlJc w:val="left"/>
      <w:pPr>
        <w:ind w:left="2160" w:hanging="360"/>
      </w:pPr>
    </w:lvl>
    <w:lvl w:ilvl="3">
      <w:start w:val="839"/>
      <w:numFmt w:val="decimal"/>
      <w:lvlText w:val="(%4)"/>
      <w:lvlJc w:val="left"/>
      <w:pPr>
        <w:ind w:left="2880" w:hanging="360"/>
      </w:pPr>
    </w:lvl>
    <w:lvl w:ilvl="4">
      <w:start w:val="839"/>
      <w:numFmt w:val="decimal"/>
      <w:lvlText w:val="(%5)"/>
      <w:lvlJc w:val="left"/>
      <w:pPr>
        <w:ind w:left="3600" w:hanging="360"/>
      </w:pPr>
    </w:lvl>
    <w:lvl w:ilvl="5">
      <w:start w:val="839"/>
      <w:numFmt w:val="decimal"/>
      <w:lvlText w:val="(%6)"/>
      <w:lvlJc w:val="left"/>
      <w:pPr>
        <w:ind w:left="4320" w:hanging="360"/>
      </w:pPr>
    </w:lvl>
    <w:lvl w:ilvl="6">
      <w:start w:val="839"/>
      <w:numFmt w:val="decimal"/>
      <w:lvlText w:val="(%7)"/>
      <w:lvlJc w:val="left"/>
      <w:pPr>
        <w:ind w:left="5040" w:hanging="360"/>
      </w:pPr>
    </w:lvl>
    <w:lvl w:ilvl="7">
      <w:start w:val="839"/>
      <w:numFmt w:val="decimal"/>
      <w:lvlText w:val="(%8)"/>
      <w:lvlJc w:val="left"/>
      <w:pPr>
        <w:ind w:left="5760" w:hanging="360"/>
      </w:pPr>
    </w:lvl>
    <w:lvl w:ilvl="8">
      <w:start w:val="839"/>
      <w:numFmt w:val="decimal"/>
      <w:lvlText w:val="(%9)"/>
      <w:lvlJc w:val="left"/>
      <w:pPr>
        <w:ind w:left="6480" w:hanging="360"/>
      </w:pPr>
    </w:lvl>
  </w:abstractNum>
  <w:abstractNum w:abstractNumId="9943344">
    <w:nsid w:val="A9943344"/>
    <w:multiLevelType w:val="multilevel"/>
    <w:lvl w:ilvl="0">
      <w:start w:val="344"/>
      <w:numFmt w:val="decimal"/>
      <w:lvlText w:val="(%1)"/>
      <w:lvlJc w:val="left"/>
      <w:pPr>
        <w:ind w:left="720" w:hanging="360"/>
      </w:pPr>
    </w:lvl>
    <w:lvl w:ilvl="1">
      <w:start w:val="344"/>
      <w:numFmt w:val="decimal"/>
      <w:lvlText w:val="(%2)"/>
      <w:lvlJc w:val="left"/>
      <w:pPr>
        <w:ind w:left="1440" w:hanging="360"/>
      </w:pPr>
    </w:lvl>
    <w:lvl w:ilvl="2">
      <w:start w:val="344"/>
      <w:numFmt w:val="decimal"/>
      <w:lvlText w:val="(%3)"/>
      <w:lvlJc w:val="left"/>
      <w:pPr>
        <w:ind w:left="2160" w:hanging="360"/>
      </w:pPr>
    </w:lvl>
    <w:lvl w:ilvl="3">
      <w:start w:val="344"/>
      <w:numFmt w:val="decimal"/>
      <w:lvlText w:val="(%4)"/>
      <w:lvlJc w:val="left"/>
      <w:pPr>
        <w:ind w:left="2880" w:hanging="360"/>
      </w:pPr>
    </w:lvl>
    <w:lvl w:ilvl="4">
      <w:start w:val="344"/>
      <w:numFmt w:val="decimal"/>
      <w:lvlText w:val="(%5)"/>
      <w:lvlJc w:val="left"/>
      <w:pPr>
        <w:ind w:left="3600" w:hanging="360"/>
      </w:pPr>
    </w:lvl>
    <w:lvl w:ilvl="5">
      <w:start w:val="344"/>
      <w:numFmt w:val="decimal"/>
      <w:lvlText w:val="(%6)"/>
      <w:lvlJc w:val="left"/>
      <w:pPr>
        <w:ind w:left="4320" w:hanging="360"/>
      </w:pPr>
    </w:lvl>
    <w:lvl w:ilvl="6">
      <w:start w:val="344"/>
      <w:numFmt w:val="decimal"/>
      <w:lvlText w:val="(%7)"/>
      <w:lvlJc w:val="left"/>
      <w:pPr>
        <w:ind w:left="5040" w:hanging="360"/>
      </w:pPr>
    </w:lvl>
    <w:lvl w:ilvl="7">
      <w:start w:val="344"/>
      <w:numFmt w:val="decimal"/>
      <w:lvlText w:val="(%8)"/>
      <w:lvlJc w:val="left"/>
      <w:pPr>
        <w:ind w:left="5760" w:hanging="360"/>
      </w:pPr>
    </w:lvl>
    <w:lvl w:ilvl="8">
      <w:start w:val="344"/>
      <w:numFmt w:val="decimal"/>
      <w:lvlText w:val="(%9)"/>
      <w:lvlJc w:val="left"/>
      <w:pPr>
        <w:ind w:left="6480" w:hanging="360"/>
      </w:pPr>
    </w:lvl>
  </w:abstractNum>
  <w:abstractNum w:abstractNumId="9943245">
    <w:nsid w:val="A9943245"/>
    <w:multiLevelType w:val="multilevel"/>
    <w:lvl w:ilvl="0">
      <w:start w:val="245"/>
      <w:numFmt w:val="decimal"/>
      <w:lvlText w:val="(%1)"/>
      <w:lvlJc w:val="left"/>
      <w:pPr>
        <w:ind w:left="720" w:hanging="360"/>
      </w:pPr>
    </w:lvl>
    <w:lvl w:ilvl="1">
      <w:start w:val="245"/>
      <w:numFmt w:val="decimal"/>
      <w:lvlText w:val="(%2)"/>
      <w:lvlJc w:val="left"/>
      <w:pPr>
        <w:ind w:left="1440" w:hanging="360"/>
      </w:pPr>
    </w:lvl>
    <w:lvl w:ilvl="2">
      <w:start w:val="245"/>
      <w:numFmt w:val="decimal"/>
      <w:lvlText w:val="(%3)"/>
      <w:lvlJc w:val="left"/>
      <w:pPr>
        <w:ind w:left="2160" w:hanging="360"/>
      </w:pPr>
    </w:lvl>
    <w:lvl w:ilvl="3">
      <w:start w:val="245"/>
      <w:numFmt w:val="decimal"/>
      <w:lvlText w:val="(%4)"/>
      <w:lvlJc w:val="left"/>
      <w:pPr>
        <w:ind w:left="2880" w:hanging="360"/>
      </w:pPr>
    </w:lvl>
    <w:lvl w:ilvl="4">
      <w:start w:val="245"/>
      <w:numFmt w:val="decimal"/>
      <w:lvlText w:val="(%5)"/>
      <w:lvlJc w:val="left"/>
      <w:pPr>
        <w:ind w:left="3600" w:hanging="360"/>
      </w:pPr>
    </w:lvl>
    <w:lvl w:ilvl="5">
      <w:start w:val="245"/>
      <w:numFmt w:val="decimal"/>
      <w:lvlText w:val="(%6)"/>
      <w:lvlJc w:val="left"/>
      <w:pPr>
        <w:ind w:left="4320" w:hanging="360"/>
      </w:pPr>
    </w:lvl>
    <w:lvl w:ilvl="6">
      <w:start w:val="245"/>
      <w:numFmt w:val="decimal"/>
      <w:lvlText w:val="(%7)"/>
      <w:lvlJc w:val="left"/>
      <w:pPr>
        <w:ind w:left="5040" w:hanging="360"/>
      </w:pPr>
    </w:lvl>
    <w:lvl w:ilvl="7">
      <w:start w:val="245"/>
      <w:numFmt w:val="decimal"/>
      <w:lvlText w:val="(%8)"/>
      <w:lvlJc w:val="left"/>
      <w:pPr>
        <w:ind w:left="5760" w:hanging="360"/>
      </w:pPr>
    </w:lvl>
    <w:lvl w:ilvl="8">
      <w:start w:val="245"/>
      <w:numFmt w:val="decimal"/>
      <w:lvlText w:val="(%9)"/>
      <w:lvlJc w:val="left"/>
      <w:pPr>
        <w:ind w:left="6480" w:hanging="360"/>
      </w:pPr>
    </w:lvl>
  </w:abstractNum>
  <w:abstractNum w:abstractNumId="9943228">
    <w:nsid w:val="A9943228"/>
    <w:multiLevelType w:val="multilevel"/>
    <w:lvl w:ilvl="0">
      <w:start w:val="228"/>
      <w:numFmt w:val="decimal"/>
      <w:lvlText w:val="(%1)"/>
      <w:lvlJc w:val="left"/>
      <w:pPr>
        <w:ind w:left="720" w:hanging="360"/>
      </w:pPr>
    </w:lvl>
    <w:lvl w:ilvl="1">
      <w:start w:val="228"/>
      <w:numFmt w:val="decimal"/>
      <w:lvlText w:val="(%2)"/>
      <w:lvlJc w:val="left"/>
      <w:pPr>
        <w:ind w:left="1440" w:hanging="360"/>
      </w:pPr>
    </w:lvl>
    <w:lvl w:ilvl="2">
      <w:start w:val="228"/>
      <w:numFmt w:val="decimal"/>
      <w:lvlText w:val="(%3)"/>
      <w:lvlJc w:val="left"/>
      <w:pPr>
        <w:ind w:left="2160" w:hanging="360"/>
      </w:pPr>
    </w:lvl>
    <w:lvl w:ilvl="3">
      <w:start w:val="228"/>
      <w:numFmt w:val="decimal"/>
      <w:lvlText w:val="(%4)"/>
      <w:lvlJc w:val="left"/>
      <w:pPr>
        <w:ind w:left="2880" w:hanging="360"/>
      </w:pPr>
    </w:lvl>
    <w:lvl w:ilvl="4">
      <w:start w:val="228"/>
      <w:numFmt w:val="decimal"/>
      <w:lvlText w:val="(%5)"/>
      <w:lvlJc w:val="left"/>
      <w:pPr>
        <w:ind w:left="3600" w:hanging="360"/>
      </w:pPr>
    </w:lvl>
    <w:lvl w:ilvl="5">
      <w:start w:val="228"/>
      <w:numFmt w:val="decimal"/>
      <w:lvlText w:val="(%6)"/>
      <w:lvlJc w:val="left"/>
      <w:pPr>
        <w:ind w:left="4320" w:hanging="360"/>
      </w:pPr>
    </w:lvl>
    <w:lvl w:ilvl="6">
      <w:start w:val="228"/>
      <w:numFmt w:val="decimal"/>
      <w:lvlText w:val="(%7)"/>
      <w:lvlJc w:val="left"/>
      <w:pPr>
        <w:ind w:left="5040" w:hanging="360"/>
      </w:pPr>
    </w:lvl>
    <w:lvl w:ilvl="7">
      <w:start w:val="228"/>
      <w:numFmt w:val="decimal"/>
      <w:lvlText w:val="(%8)"/>
      <w:lvlJc w:val="left"/>
      <w:pPr>
        <w:ind w:left="5760" w:hanging="360"/>
      </w:pPr>
    </w:lvl>
    <w:lvl w:ilvl="8">
      <w:start w:val="228"/>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3949">
    <w:nsid w:val="A9943949"/>
    <w:multiLevelType w:val="multilevel"/>
    <w:lvl w:ilvl="0">
      <w:start w:val="949"/>
      <w:numFmt w:val="decimal"/>
      <w:lvlText w:val="(%1)"/>
      <w:lvlJc w:val="left"/>
      <w:pPr>
        <w:ind w:left="720" w:hanging="360"/>
      </w:pPr>
    </w:lvl>
    <w:lvl w:ilvl="1">
      <w:start w:val="949"/>
      <w:numFmt w:val="decimal"/>
      <w:lvlText w:val="(%2)"/>
      <w:lvlJc w:val="left"/>
      <w:pPr>
        <w:ind w:left="1440" w:hanging="360"/>
      </w:pPr>
    </w:lvl>
    <w:lvl w:ilvl="2">
      <w:start w:val="949"/>
      <w:numFmt w:val="decimal"/>
      <w:lvlText w:val="(%3)"/>
      <w:lvlJc w:val="left"/>
      <w:pPr>
        <w:ind w:left="2160" w:hanging="360"/>
      </w:pPr>
    </w:lvl>
    <w:lvl w:ilvl="3">
      <w:start w:val="949"/>
      <w:numFmt w:val="decimal"/>
      <w:lvlText w:val="(%4)"/>
      <w:lvlJc w:val="left"/>
      <w:pPr>
        <w:ind w:left="2880" w:hanging="360"/>
      </w:pPr>
    </w:lvl>
    <w:lvl w:ilvl="4">
      <w:start w:val="949"/>
      <w:numFmt w:val="decimal"/>
      <w:lvlText w:val="(%5)"/>
      <w:lvlJc w:val="left"/>
      <w:pPr>
        <w:ind w:left="3600" w:hanging="360"/>
      </w:pPr>
    </w:lvl>
    <w:lvl w:ilvl="5">
      <w:start w:val="949"/>
      <w:numFmt w:val="decimal"/>
      <w:lvlText w:val="(%6)"/>
      <w:lvlJc w:val="left"/>
      <w:pPr>
        <w:ind w:left="4320" w:hanging="360"/>
      </w:pPr>
    </w:lvl>
    <w:lvl w:ilvl="6">
      <w:start w:val="949"/>
      <w:numFmt w:val="decimal"/>
      <w:lvlText w:val="(%7)"/>
      <w:lvlJc w:val="left"/>
      <w:pPr>
        <w:ind w:left="5040" w:hanging="360"/>
      </w:pPr>
    </w:lvl>
    <w:lvl w:ilvl="7">
      <w:start w:val="949"/>
      <w:numFmt w:val="decimal"/>
      <w:lvlText w:val="(%8)"/>
      <w:lvlJc w:val="left"/>
      <w:pPr>
        <w:ind w:left="5760" w:hanging="360"/>
      </w:pPr>
    </w:lvl>
    <w:lvl w:ilvl="8">
      <w:start w:val="949"/>
      <w:numFmt w:val="decimal"/>
      <w:lvlText w:val="(%9)"/>
      <w:lvlJc w:val="left"/>
      <w:pPr>
        <w:ind w:left="6480" w:hanging="360"/>
      </w:pPr>
    </w:lvl>
  </w:abstractNum>
  <w:abstractNum w:abstractNumId="9943672">
    <w:nsid w:val="A9943672"/>
    <w:multiLevelType w:val="multilevel"/>
    <w:lvl w:ilvl="0">
      <w:start w:val="672"/>
      <w:numFmt w:val="decimal"/>
      <w:lvlText w:val="(%1)"/>
      <w:lvlJc w:val="left"/>
      <w:pPr>
        <w:ind w:left="720" w:hanging="360"/>
      </w:pPr>
    </w:lvl>
    <w:lvl w:ilvl="1">
      <w:start w:val="672"/>
      <w:numFmt w:val="decimal"/>
      <w:lvlText w:val="(%2)"/>
      <w:lvlJc w:val="left"/>
      <w:pPr>
        <w:ind w:left="1440" w:hanging="360"/>
      </w:pPr>
    </w:lvl>
    <w:lvl w:ilvl="2">
      <w:start w:val="672"/>
      <w:numFmt w:val="decimal"/>
      <w:lvlText w:val="(%3)"/>
      <w:lvlJc w:val="left"/>
      <w:pPr>
        <w:ind w:left="2160" w:hanging="360"/>
      </w:pPr>
    </w:lvl>
    <w:lvl w:ilvl="3">
      <w:start w:val="672"/>
      <w:numFmt w:val="decimal"/>
      <w:lvlText w:val="(%4)"/>
      <w:lvlJc w:val="left"/>
      <w:pPr>
        <w:ind w:left="2880" w:hanging="360"/>
      </w:pPr>
    </w:lvl>
    <w:lvl w:ilvl="4">
      <w:start w:val="672"/>
      <w:numFmt w:val="decimal"/>
      <w:lvlText w:val="(%5)"/>
      <w:lvlJc w:val="left"/>
      <w:pPr>
        <w:ind w:left="3600" w:hanging="360"/>
      </w:pPr>
    </w:lvl>
    <w:lvl w:ilvl="5">
      <w:start w:val="672"/>
      <w:numFmt w:val="decimal"/>
      <w:lvlText w:val="(%6)"/>
      <w:lvlJc w:val="left"/>
      <w:pPr>
        <w:ind w:left="4320" w:hanging="360"/>
      </w:pPr>
    </w:lvl>
    <w:lvl w:ilvl="6">
      <w:start w:val="672"/>
      <w:numFmt w:val="decimal"/>
      <w:lvlText w:val="(%7)"/>
      <w:lvlJc w:val="left"/>
      <w:pPr>
        <w:ind w:left="5040" w:hanging="360"/>
      </w:pPr>
    </w:lvl>
    <w:lvl w:ilvl="7">
      <w:start w:val="672"/>
      <w:numFmt w:val="decimal"/>
      <w:lvlText w:val="(%8)"/>
      <w:lvlJc w:val="left"/>
      <w:pPr>
        <w:ind w:left="5760" w:hanging="360"/>
      </w:pPr>
    </w:lvl>
    <w:lvl w:ilvl="8">
      <w:start w:val="67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9">
    <w:nsid w:val="0A9943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7">
    <w:nsid w:val="0A9943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171">
    <w:nsid w:val="A9943171"/>
    <w:multiLevelType w:val="multilevel"/>
    <w:lvl w:ilvl="0">
      <w:start w:val="171"/>
      <w:numFmt w:val="decimal"/>
      <w:lvlText w:val="(%1)"/>
      <w:lvlJc w:val="left"/>
      <w:pPr>
        <w:ind w:left="720" w:hanging="360"/>
      </w:pPr>
    </w:lvl>
    <w:lvl w:ilvl="1">
      <w:start w:val="171"/>
      <w:numFmt w:val="decimal"/>
      <w:lvlText w:val="(%2)"/>
      <w:lvlJc w:val="left"/>
      <w:pPr>
        <w:ind w:left="1440" w:hanging="360"/>
      </w:pPr>
    </w:lvl>
    <w:lvl w:ilvl="2">
      <w:start w:val="171"/>
      <w:numFmt w:val="decimal"/>
      <w:lvlText w:val="(%3)"/>
      <w:lvlJc w:val="left"/>
      <w:pPr>
        <w:ind w:left="2160" w:hanging="360"/>
      </w:pPr>
    </w:lvl>
    <w:lvl w:ilvl="3">
      <w:start w:val="171"/>
      <w:numFmt w:val="decimal"/>
      <w:lvlText w:val="(%4)"/>
      <w:lvlJc w:val="left"/>
      <w:pPr>
        <w:ind w:left="2880" w:hanging="360"/>
      </w:pPr>
    </w:lvl>
    <w:lvl w:ilvl="4">
      <w:start w:val="171"/>
      <w:numFmt w:val="decimal"/>
      <w:lvlText w:val="(%5)"/>
      <w:lvlJc w:val="left"/>
      <w:pPr>
        <w:ind w:left="3600" w:hanging="360"/>
      </w:pPr>
    </w:lvl>
    <w:lvl w:ilvl="5">
      <w:start w:val="171"/>
      <w:numFmt w:val="decimal"/>
      <w:lvlText w:val="(%6)"/>
      <w:lvlJc w:val="left"/>
      <w:pPr>
        <w:ind w:left="4320" w:hanging="360"/>
      </w:pPr>
    </w:lvl>
    <w:lvl w:ilvl="6">
      <w:start w:val="171"/>
      <w:numFmt w:val="decimal"/>
      <w:lvlText w:val="(%7)"/>
      <w:lvlJc w:val="left"/>
      <w:pPr>
        <w:ind w:left="5040" w:hanging="360"/>
      </w:pPr>
    </w:lvl>
    <w:lvl w:ilvl="7">
      <w:start w:val="171"/>
      <w:numFmt w:val="decimal"/>
      <w:lvlText w:val="(%8)"/>
      <w:lvlJc w:val="left"/>
      <w:pPr>
        <w:ind w:left="5760" w:hanging="360"/>
      </w:pPr>
    </w:lvl>
    <w:lvl w:ilvl="8">
      <w:start w:val="171"/>
      <w:numFmt w:val="decimal"/>
      <w:lvlText w:val="(%9)"/>
      <w:lvlJc w:val="left"/>
      <w:pPr>
        <w:ind w:left="6480" w:hanging="360"/>
      </w:pPr>
    </w:lvl>
  </w:abstractNum>
  <w:abstractNum w:abstractNumId="9943179">
    <w:nsid w:val="A9943179"/>
    <w:multiLevelType w:val="multilevel"/>
    <w:lvl w:ilvl="0">
      <w:start w:val="179"/>
      <w:numFmt w:val="decimal"/>
      <w:lvlText w:val="(%1)"/>
      <w:lvlJc w:val="left"/>
      <w:pPr>
        <w:ind w:left="720" w:hanging="360"/>
      </w:pPr>
    </w:lvl>
    <w:lvl w:ilvl="1">
      <w:start w:val="179"/>
      <w:numFmt w:val="decimal"/>
      <w:lvlText w:val="(%2)"/>
      <w:lvlJc w:val="left"/>
      <w:pPr>
        <w:ind w:left="1440" w:hanging="360"/>
      </w:pPr>
    </w:lvl>
    <w:lvl w:ilvl="2">
      <w:start w:val="179"/>
      <w:numFmt w:val="decimal"/>
      <w:lvlText w:val="(%3)"/>
      <w:lvlJc w:val="left"/>
      <w:pPr>
        <w:ind w:left="2160" w:hanging="360"/>
      </w:pPr>
    </w:lvl>
    <w:lvl w:ilvl="3">
      <w:start w:val="179"/>
      <w:numFmt w:val="decimal"/>
      <w:lvlText w:val="(%4)"/>
      <w:lvlJc w:val="left"/>
      <w:pPr>
        <w:ind w:left="2880" w:hanging="360"/>
      </w:pPr>
    </w:lvl>
    <w:lvl w:ilvl="4">
      <w:start w:val="179"/>
      <w:numFmt w:val="decimal"/>
      <w:lvlText w:val="(%5)"/>
      <w:lvlJc w:val="left"/>
      <w:pPr>
        <w:ind w:left="3600" w:hanging="360"/>
      </w:pPr>
    </w:lvl>
    <w:lvl w:ilvl="5">
      <w:start w:val="179"/>
      <w:numFmt w:val="decimal"/>
      <w:lvlText w:val="(%6)"/>
      <w:lvlJc w:val="left"/>
      <w:pPr>
        <w:ind w:left="4320" w:hanging="360"/>
      </w:pPr>
    </w:lvl>
    <w:lvl w:ilvl="6">
      <w:start w:val="179"/>
      <w:numFmt w:val="decimal"/>
      <w:lvlText w:val="(%7)"/>
      <w:lvlJc w:val="left"/>
      <w:pPr>
        <w:ind w:left="5040" w:hanging="360"/>
      </w:pPr>
    </w:lvl>
    <w:lvl w:ilvl="7">
      <w:start w:val="179"/>
      <w:numFmt w:val="decimal"/>
      <w:lvlText w:val="(%8)"/>
      <w:lvlJc w:val="left"/>
      <w:pPr>
        <w:ind w:left="5760" w:hanging="360"/>
      </w:pPr>
    </w:lvl>
    <w:lvl w:ilvl="8">
      <w:start w:val="179"/>
      <w:numFmt w:val="decimal"/>
      <w:lvlText w:val="(%9)"/>
      <w:lvlJc w:val="left"/>
      <w:pPr>
        <w:ind w:left="6480" w:hanging="360"/>
      </w:pPr>
    </w:lvl>
  </w:abstractNum>
  <w:abstractNum w:abstractNumId="9943155">
    <w:nsid w:val="A9943155"/>
    <w:multiLevelType w:val="multilevel"/>
    <w:lvl w:ilvl="0">
      <w:start w:val="155"/>
      <w:numFmt w:val="decimal"/>
      <w:lvlText w:val="(%1)"/>
      <w:lvlJc w:val="left"/>
      <w:pPr>
        <w:ind w:left="720" w:hanging="360"/>
      </w:pPr>
    </w:lvl>
    <w:lvl w:ilvl="1">
      <w:start w:val="155"/>
      <w:numFmt w:val="decimal"/>
      <w:lvlText w:val="(%2)"/>
      <w:lvlJc w:val="left"/>
      <w:pPr>
        <w:ind w:left="1440" w:hanging="360"/>
      </w:pPr>
    </w:lvl>
    <w:lvl w:ilvl="2">
      <w:start w:val="155"/>
      <w:numFmt w:val="decimal"/>
      <w:lvlText w:val="(%3)"/>
      <w:lvlJc w:val="left"/>
      <w:pPr>
        <w:ind w:left="2160" w:hanging="360"/>
      </w:pPr>
    </w:lvl>
    <w:lvl w:ilvl="3">
      <w:start w:val="155"/>
      <w:numFmt w:val="decimal"/>
      <w:lvlText w:val="(%4)"/>
      <w:lvlJc w:val="left"/>
      <w:pPr>
        <w:ind w:left="2880" w:hanging="360"/>
      </w:pPr>
    </w:lvl>
    <w:lvl w:ilvl="4">
      <w:start w:val="155"/>
      <w:numFmt w:val="decimal"/>
      <w:lvlText w:val="(%5)"/>
      <w:lvlJc w:val="left"/>
      <w:pPr>
        <w:ind w:left="3600" w:hanging="360"/>
      </w:pPr>
    </w:lvl>
    <w:lvl w:ilvl="5">
      <w:start w:val="155"/>
      <w:numFmt w:val="decimal"/>
      <w:lvlText w:val="(%6)"/>
      <w:lvlJc w:val="left"/>
      <w:pPr>
        <w:ind w:left="4320" w:hanging="360"/>
      </w:pPr>
    </w:lvl>
    <w:lvl w:ilvl="6">
      <w:start w:val="155"/>
      <w:numFmt w:val="decimal"/>
      <w:lvlText w:val="(%7)"/>
      <w:lvlJc w:val="left"/>
      <w:pPr>
        <w:ind w:left="5040" w:hanging="360"/>
      </w:pPr>
    </w:lvl>
    <w:lvl w:ilvl="7">
      <w:start w:val="155"/>
      <w:numFmt w:val="decimal"/>
      <w:lvlText w:val="(%8)"/>
      <w:lvlJc w:val="left"/>
      <w:pPr>
        <w:ind w:left="5760" w:hanging="360"/>
      </w:pPr>
    </w:lvl>
    <w:lvl w:ilvl="8">
      <w:start w:val="155"/>
      <w:numFmt w:val="decimal"/>
      <w:lvlText w:val="(%9)"/>
      <w:lvlJc w:val="left"/>
      <w:pPr>
        <w:ind w:left="6480" w:hanging="360"/>
      </w:pPr>
    </w:lvl>
  </w:abstractNum>
  <w:abstractNum w:abstractNumId="9943220">
    <w:nsid w:val="A9943220"/>
    <w:multiLevelType w:val="multilevel"/>
    <w:lvl w:ilvl="0">
      <w:start w:val="220"/>
      <w:numFmt w:val="decimal"/>
      <w:lvlText w:val="(%1)"/>
      <w:lvlJc w:val="left"/>
      <w:pPr>
        <w:ind w:left="720" w:hanging="360"/>
      </w:pPr>
    </w:lvl>
    <w:lvl w:ilvl="1">
      <w:start w:val="220"/>
      <w:numFmt w:val="decimal"/>
      <w:lvlText w:val="(%2)"/>
      <w:lvlJc w:val="left"/>
      <w:pPr>
        <w:ind w:left="1440" w:hanging="360"/>
      </w:pPr>
    </w:lvl>
    <w:lvl w:ilvl="2">
      <w:start w:val="220"/>
      <w:numFmt w:val="decimal"/>
      <w:lvlText w:val="(%3)"/>
      <w:lvlJc w:val="left"/>
      <w:pPr>
        <w:ind w:left="2160" w:hanging="360"/>
      </w:pPr>
    </w:lvl>
    <w:lvl w:ilvl="3">
      <w:start w:val="220"/>
      <w:numFmt w:val="decimal"/>
      <w:lvlText w:val="(%4)"/>
      <w:lvlJc w:val="left"/>
      <w:pPr>
        <w:ind w:left="2880" w:hanging="360"/>
      </w:pPr>
    </w:lvl>
    <w:lvl w:ilvl="4">
      <w:start w:val="220"/>
      <w:numFmt w:val="decimal"/>
      <w:lvlText w:val="(%5)"/>
      <w:lvlJc w:val="left"/>
      <w:pPr>
        <w:ind w:left="3600" w:hanging="360"/>
      </w:pPr>
    </w:lvl>
    <w:lvl w:ilvl="5">
      <w:start w:val="220"/>
      <w:numFmt w:val="decimal"/>
      <w:lvlText w:val="(%6)"/>
      <w:lvlJc w:val="left"/>
      <w:pPr>
        <w:ind w:left="4320" w:hanging="360"/>
      </w:pPr>
    </w:lvl>
    <w:lvl w:ilvl="6">
      <w:start w:val="220"/>
      <w:numFmt w:val="decimal"/>
      <w:lvlText w:val="(%7)"/>
      <w:lvlJc w:val="left"/>
      <w:pPr>
        <w:ind w:left="5040" w:hanging="360"/>
      </w:pPr>
    </w:lvl>
    <w:lvl w:ilvl="7">
      <w:start w:val="220"/>
      <w:numFmt w:val="decimal"/>
      <w:lvlText w:val="(%8)"/>
      <w:lvlJc w:val="left"/>
      <w:pPr>
        <w:ind w:left="5760" w:hanging="360"/>
      </w:pPr>
    </w:lvl>
    <w:lvl w:ilvl="8">
      <w:start w:val="220"/>
      <w:numFmt w:val="decimal"/>
      <w:lvlText w:val="(%9)"/>
      <w:lvlJc w:val="left"/>
      <w:pPr>
        <w:ind w:left="6480" w:hanging="360"/>
      </w:pPr>
    </w:lvl>
  </w:abstractNum>
  <w:abstractNum w:abstractNumId="9943258">
    <w:nsid w:val="A9943258"/>
    <w:multiLevelType w:val="multilevel"/>
    <w:lvl w:ilvl="0">
      <w:start w:val="258"/>
      <w:numFmt w:val="decimal"/>
      <w:lvlText w:val="(%1)"/>
      <w:lvlJc w:val="left"/>
      <w:pPr>
        <w:ind w:left="720" w:hanging="360"/>
      </w:pPr>
    </w:lvl>
    <w:lvl w:ilvl="1">
      <w:start w:val="258"/>
      <w:numFmt w:val="decimal"/>
      <w:lvlText w:val="(%2)"/>
      <w:lvlJc w:val="left"/>
      <w:pPr>
        <w:ind w:left="1440" w:hanging="360"/>
      </w:pPr>
    </w:lvl>
    <w:lvl w:ilvl="2">
      <w:start w:val="258"/>
      <w:numFmt w:val="decimal"/>
      <w:lvlText w:val="(%3)"/>
      <w:lvlJc w:val="left"/>
      <w:pPr>
        <w:ind w:left="2160" w:hanging="360"/>
      </w:pPr>
    </w:lvl>
    <w:lvl w:ilvl="3">
      <w:start w:val="258"/>
      <w:numFmt w:val="decimal"/>
      <w:lvlText w:val="(%4)"/>
      <w:lvlJc w:val="left"/>
      <w:pPr>
        <w:ind w:left="2880" w:hanging="360"/>
      </w:pPr>
    </w:lvl>
    <w:lvl w:ilvl="4">
      <w:start w:val="258"/>
      <w:numFmt w:val="decimal"/>
      <w:lvlText w:val="(%5)"/>
      <w:lvlJc w:val="left"/>
      <w:pPr>
        <w:ind w:left="3600" w:hanging="360"/>
      </w:pPr>
    </w:lvl>
    <w:lvl w:ilvl="5">
      <w:start w:val="258"/>
      <w:numFmt w:val="decimal"/>
      <w:lvlText w:val="(%6)"/>
      <w:lvlJc w:val="left"/>
      <w:pPr>
        <w:ind w:left="4320" w:hanging="360"/>
      </w:pPr>
    </w:lvl>
    <w:lvl w:ilvl="6">
      <w:start w:val="258"/>
      <w:numFmt w:val="decimal"/>
      <w:lvlText w:val="(%7)"/>
      <w:lvlJc w:val="left"/>
      <w:pPr>
        <w:ind w:left="5040" w:hanging="360"/>
      </w:pPr>
    </w:lvl>
    <w:lvl w:ilvl="7">
      <w:start w:val="258"/>
      <w:numFmt w:val="decimal"/>
      <w:lvlText w:val="(%8)"/>
      <w:lvlJc w:val="left"/>
      <w:pPr>
        <w:ind w:left="5760" w:hanging="360"/>
      </w:pPr>
    </w:lvl>
    <w:lvl w:ilvl="8">
      <w:start w:val="258"/>
      <w:numFmt w:val="decimal"/>
      <w:lvlText w:val="(%9)"/>
      <w:lvlJc w:val="left"/>
      <w:pPr>
        <w:ind w:left="6480" w:hanging="360"/>
      </w:pPr>
    </w:lvl>
  </w:abstractNum>
  <w:abstractNum w:abstractNumId="994343">
    <w:nsid w:val="0A9943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3698">
    <w:nsid w:val="A9943698"/>
    <w:multiLevelType w:val="multilevel"/>
    <w:lvl w:ilvl="0">
      <w:start w:val="698"/>
      <w:numFmt w:val="decimal"/>
      <w:lvlText w:val="(%1)"/>
      <w:lvlJc w:val="left"/>
      <w:pPr>
        <w:ind w:left="720" w:hanging="360"/>
      </w:pPr>
    </w:lvl>
    <w:lvl w:ilvl="1">
      <w:start w:val="698"/>
      <w:numFmt w:val="decimal"/>
      <w:lvlText w:val="(%2)"/>
      <w:lvlJc w:val="left"/>
      <w:pPr>
        <w:ind w:left="1440" w:hanging="360"/>
      </w:pPr>
    </w:lvl>
    <w:lvl w:ilvl="2">
      <w:start w:val="698"/>
      <w:numFmt w:val="decimal"/>
      <w:lvlText w:val="(%3)"/>
      <w:lvlJc w:val="left"/>
      <w:pPr>
        <w:ind w:left="2160" w:hanging="360"/>
      </w:pPr>
    </w:lvl>
    <w:lvl w:ilvl="3">
      <w:start w:val="698"/>
      <w:numFmt w:val="decimal"/>
      <w:lvlText w:val="(%4)"/>
      <w:lvlJc w:val="left"/>
      <w:pPr>
        <w:ind w:left="2880" w:hanging="360"/>
      </w:pPr>
    </w:lvl>
    <w:lvl w:ilvl="4">
      <w:start w:val="698"/>
      <w:numFmt w:val="decimal"/>
      <w:lvlText w:val="(%5)"/>
      <w:lvlJc w:val="left"/>
      <w:pPr>
        <w:ind w:left="3600" w:hanging="360"/>
      </w:pPr>
    </w:lvl>
    <w:lvl w:ilvl="5">
      <w:start w:val="698"/>
      <w:numFmt w:val="decimal"/>
      <w:lvlText w:val="(%6)"/>
      <w:lvlJc w:val="left"/>
      <w:pPr>
        <w:ind w:left="4320" w:hanging="360"/>
      </w:pPr>
    </w:lvl>
    <w:lvl w:ilvl="6">
      <w:start w:val="698"/>
      <w:numFmt w:val="decimal"/>
      <w:lvlText w:val="(%7)"/>
      <w:lvlJc w:val="left"/>
      <w:pPr>
        <w:ind w:left="5040" w:hanging="360"/>
      </w:pPr>
    </w:lvl>
    <w:lvl w:ilvl="7">
      <w:start w:val="698"/>
      <w:numFmt w:val="decimal"/>
      <w:lvlText w:val="(%8)"/>
      <w:lvlJc w:val="left"/>
      <w:pPr>
        <w:ind w:left="5760" w:hanging="360"/>
      </w:pPr>
    </w:lvl>
    <w:lvl w:ilvl="8">
      <w:start w:val="698"/>
      <w:numFmt w:val="decimal"/>
      <w:lvlText w:val="(%9)"/>
      <w:lvlJc w:val="left"/>
      <w:pPr>
        <w:ind w:left="6480" w:hanging="360"/>
      </w:pPr>
    </w:lvl>
  </w:abstractNum>
  <w:abstractNum w:abstractNumId="994341">
    <w:nsid w:val="0A9943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320">
    <w:nsid w:val="0A9943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90">
    <w:nsid w:val="0A994390"/>
    <w:multiLevelType w:val="multilevel"/>
    <w:lvl w:ilvl="0">
      <w:start w:val="90"/>
      <w:numFmt w:val="decimal"/>
      <w:lvlText w:val="(%1)"/>
      <w:lvlJc w:val="left"/>
      <w:pPr>
        <w:ind w:left="720" w:hanging="360"/>
      </w:pPr>
    </w:lvl>
    <w:lvl w:ilvl="1">
      <w:start w:val="90"/>
      <w:numFmt w:val="decimal"/>
      <w:lvlText w:val="(%2)"/>
      <w:lvlJc w:val="left"/>
      <w:pPr>
        <w:ind w:left="1440" w:hanging="360"/>
      </w:pPr>
    </w:lvl>
    <w:lvl w:ilvl="2">
      <w:start w:val="90"/>
      <w:numFmt w:val="decimal"/>
      <w:lvlText w:val="(%3)"/>
      <w:lvlJc w:val="left"/>
      <w:pPr>
        <w:ind w:left="2160" w:hanging="360"/>
      </w:pPr>
    </w:lvl>
    <w:lvl w:ilvl="3">
      <w:start w:val="90"/>
      <w:numFmt w:val="decimal"/>
      <w:lvlText w:val="(%4)"/>
      <w:lvlJc w:val="left"/>
      <w:pPr>
        <w:ind w:left="2880" w:hanging="360"/>
      </w:pPr>
    </w:lvl>
    <w:lvl w:ilvl="4">
      <w:start w:val="90"/>
      <w:numFmt w:val="decimal"/>
      <w:lvlText w:val="(%5)"/>
      <w:lvlJc w:val="left"/>
      <w:pPr>
        <w:ind w:left="3600" w:hanging="360"/>
      </w:pPr>
    </w:lvl>
    <w:lvl w:ilvl="5">
      <w:start w:val="90"/>
      <w:numFmt w:val="decimal"/>
      <w:lvlText w:val="(%6)"/>
      <w:lvlJc w:val="left"/>
      <w:pPr>
        <w:ind w:left="4320" w:hanging="360"/>
      </w:pPr>
    </w:lvl>
    <w:lvl w:ilvl="6">
      <w:start w:val="90"/>
      <w:numFmt w:val="decimal"/>
      <w:lvlText w:val="(%7)"/>
      <w:lvlJc w:val="left"/>
      <w:pPr>
        <w:ind w:left="5040" w:hanging="360"/>
      </w:pPr>
    </w:lvl>
    <w:lvl w:ilvl="7">
      <w:start w:val="90"/>
      <w:numFmt w:val="decimal"/>
      <w:lvlText w:val="(%8)"/>
      <w:lvlJc w:val="left"/>
      <w:pPr>
        <w:ind w:left="5760" w:hanging="360"/>
      </w:pPr>
    </w:lvl>
    <w:lvl w:ilvl="8">
      <w:start w:val="90"/>
      <w:numFmt w:val="decimal"/>
      <w:lvlText w:val="(%9)"/>
      <w:lvlJc w:val="left"/>
      <w:pPr>
        <w:ind w:left="6480" w:hanging="360"/>
      </w:pPr>
    </w:lvl>
  </w:abstractNum>
  <w:abstractNum w:abstractNumId="994381">
    <w:nsid w:val="0A994381"/>
    <w:multiLevelType w:val="multilevel"/>
    <w:lvl w:ilvl="0">
      <w:start w:val="81"/>
      <w:numFmt w:val="decimal"/>
      <w:lvlText w:val="(%1)"/>
      <w:lvlJc w:val="left"/>
      <w:pPr>
        <w:ind w:left="720" w:hanging="360"/>
      </w:pPr>
    </w:lvl>
    <w:lvl w:ilvl="1">
      <w:start w:val="81"/>
      <w:numFmt w:val="decimal"/>
      <w:lvlText w:val="(%2)"/>
      <w:lvlJc w:val="left"/>
      <w:pPr>
        <w:ind w:left="1440" w:hanging="360"/>
      </w:pPr>
    </w:lvl>
    <w:lvl w:ilvl="2">
      <w:start w:val="81"/>
      <w:numFmt w:val="decimal"/>
      <w:lvlText w:val="(%3)"/>
      <w:lvlJc w:val="left"/>
      <w:pPr>
        <w:ind w:left="2160" w:hanging="360"/>
      </w:pPr>
    </w:lvl>
    <w:lvl w:ilvl="3">
      <w:start w:val="81"/>
      <w:numFmt w:val="decimal"/>
      <w:lvlText w:val="(%4)"/>
      <w:lvlJc w:val="left"/>
      <w:pPr>
        <w:ind w:left="2880" w:hanging="360"/>
      </w:pPr>
    </w:lvl>
    <w:lvl w:ilvl="4">
      <w:start w:val="81"/>
      <w:numFmt w:val="decimal"/>
      <w:lvlText w:val="(%5)"/>
      <w:lvlJc w:val="left"/>
      <w:pPr>
        <w:ind w:left="3600" w:hanging="360"/>
      </w:pPr>
    </w:lvl>
    <w:lvl w:ilvl="5">
      <w:start w:val="81"/>
      <w:numFmt w:val="decimal"/>
      <w:lvlText w:val="(%6)"/>
      <w:lvlJc w:val="left"/>
      <w:pPr>
        <w:ind w:left="4320" w:hanging="360"/>
      </w:pPr>
    </w:lvl>
    <w:lvl w:ilvl="6">
      <w:start w:val="81"/>
      <w:numFmt w:val="decimal"/>
      <w:lvlText w:val="(%7)"/>
      <w:lvlJc w:val="left"/>
      <w:pPr>
        <w:ind w:left="5040" w:hanging="360"/>
      </w:pPr>
    </w:lvl>
    <w:lvl w:ilvl="7">
      <w:start w:val="81"/>
      <w:numFmt w:val="decimal"/>
      <w:lvlText w:val="(%8)"/>
      <w:lvlJc w:val="left"/>
      <w:pPr>
        <w:ind w:left="5760" w:hanging="360"/>
      </w:pPr>
    </w:lvl>
    <w:lvl w:ilvl="8">
      <w:start w:val="81"/>
      <w:numFmt w:val="decimal"/>
      <w:lvlText w:val="(%9)"/>
      <w:lvlJc w:val="left"/>
      <w:pPr>
        <w:ind w:left="6480" w:hanging="360"/>
      </w:pPr>
    </w:lvl>
  </w:abstractNum>
  <w:abstractNum w:abstractNumId="9943545">
    <w:nsid w:val="A9943545"/>
    <w:multiLevelType w:val="multilevel"/>
    <w:lvl w:ilvl="0">
      <w:start w:val="545"/>
      <w:numFmt w:val="decimal"/>
      <w:lvlText w:val="(%1)"/>
      <w:lvlJc w:val="left"/>
      <w:pPr>
        <w:ind w:left="720" w:hanging="360"/>
      </w:pPr>
    </w:lvl>
    <w:lvl w:ilvl="1">
      <w:start w:val="545"/>
      <w:numFmt w:val="decimal"/>
      <w:lvlText w:val="(%2)"/>
      <w:lvlJc w:val="left"/>
      <w:pPr>
        <w:ind w:left="1440" w:hanging="360"/>
      </w:pPr>
    </w:lvl>
    <w:lvl w:ilvl="2">
      <w:start w:val="545"/>
      <w:numFmt w:val="decimal"/>
      <w:lvlText w:val="(%3)"/>
      <w:lvlJc w:val="left"/>
      <w:pPr>
        <w:ind w:left="2160" w:hanging="360"/>
      </w:pPr>
    </w:lvl>
    <w:lvl w:ilvl="3">
      <w:start w:val="545"/>
      <w:numFmt w:val="decimal"/>
      <w:lvlText w:val="(%4)"/>
      <w:lvlJc w:val="left"/>
      <w:pPr>
        <w:ind w:left="2880" w:hanging="360"/>
      </w:pPr>
    </w:lvl>
    <w:lvl w:ilvl="4">
      <w:start w:val="545"/>
      <w:numFmt w:val="decimal"/>
      <w:lvlText w:val="(%5)"/>
      <w:lvlJc w:val="left"/>
      <w:pPr>
        <w:ind w:left="3600" w:hanging="360"/>
      </w:pPr>
    </w:lvl>
    <w:lvl w:ilvl="5">
      <w:start w:val="545"/>
      <w:numFmt w:val="decimal"/>
      <w:lvlText w:val="(%6)"/>
      <w:lvlJc w:val="left"/>
      <w:pPr>
        <w:ind w:left="4320" w:hanging="360"/>
      </w:pPr>
    </w:lvl>
    <w:lvl w:ilvl="6">
      <w:start w:val="545"/>
      <w:numFmt w:val="decimal"/>
      <w:lvlText w:val="(%7)"/>
      <w:lvlJc w:val="left"/>
      <w:pPr>
        <w:ind w:left="5040" w:hanging="360"/>
      </w:pPr>
    </w:lvl>
    <w:lvl w:ilvl="7">
      <w:start w:val="545"/>
      <w:numFmt w:val="decimal"/>
      <w:lvlText w:val="(%8)"/>
      <w:lvlJc w:val="left"/>
      <w:pPr>
        <w:ind w:left="5760" w:hanging="360"/>
      </w:pPr>
    </w:lvl>
    <w:lvl w:ilvl="8">
      <w:start w:val="545"/>
      <w:numFmt w:val="decimal"/>
      <w:lvlText w:val="(%9)"/>
      <w:lvlJc w:val="left"/>
      <w:pPr>
        <w:ind w:left="6480" w:hanging="360"/>
      </w:pPr>
    </w:lvl>
  </w:abstractNum>
  <w:abstractNum w:abstractNumId="994377">
    <w:nsid w:val="0A994377"/>
    <w:multiLevelType w:val="multilevel"/>
    <w:lvl w:ilvl="0">
      <w:start w:val="77"/>
      <w:numFmt w:val="decimal"/>
      <w:lvlText w:val="(%1)"/>
      <w:lvlJc w:val="left"/>
      <w:pPr>
        <w:ind w:left="720" w:hanging="360"/>
      </w:pPr>
    </w:lvl>
    <w:lvl w:ilvl="1">
      <w:start w:val="77"/>
      <w:numFmt w:val="decimal"/>
      <w:lvlText w:val="(%2)"/>
      <w:lvlJc w:val="left"/>
      <w:pPr>
        <w:ind w:left="1440" w:hanging="360"/>
      </w:pPr>
    </w:lvl>
    <w:lvl w:ilvl="2">
      <w:start w:val="77"/>
      <w:numFmt w:val="decimal"/>
      <w:lvlText w:val="(%3)"/>
      <w:lvlJc w:val="left"/>
      <w:pPr>
        <w:ind w:left="2160" w:hanging="360"/>
      </w:pPr>
    </w:lvl>
    <w:lvl w:ilvl="3">
      <w:start w:val="77"/>
      <w:numFmt w:val="decimal"/>
      <w:lvlText w:val="(%4)"/>
      <w:lvlJc w:val="left"/>
      <w:pPr>
        <w:ind w:left="2880" w:hanging="360"/>
      </w:pPr>
    </w:lvl>
    <w:lvl w:ilvl="4">
      <w:start w:val="77"/>
      <w:numFmt w:val="decimal"/>
      <w:lvlText w:val="(%5)"/>
      <w:lvlJc w:val="left"/>
      <w:pPr>
        <w:ind w:left="3600" w:hanging="360"/>
      </w:pPr>
    </w:lvl>
    <w:lvl w:ilvl="5">
      <w:start w:val="77"/>
      <w:numFmt w:val="decimal"/>
      <w:lvlText w:val="(%6)"/>
      <w:lvlJc w:val="left"/>
      <w:pPr>
        <w:ind w:left="4320" w:hanging="360"/>
      </w:pPr>
    </w:lvl>
    <w:lvl w:ilvl="6">
      <w:start w:val="77"/>
      <w:numFmt w:val="decimal"/>
      <w:lvlText w:val="(%7)"/>
      <w:lvlJc w:val="left"/>
      <w:pPr>
        <w:ind w:left="5040" w:hanging="360"/>
      </w:pPr>
    </w:lvl>
    <w:lvl w:ilvl="7">
      <w:start w:val="77"/>
      <w:numFmt w:val="decimal"/>
      <w:lvlText w:val="(%8)"/>
      <w:lvlJc w:val="left"/>
      <w:pPr>
        <w:ind w:left="5760" w:hanging="360"/>
      </w:pPr>
    </w:lvl>
    <w:lvl w:ilvl="8">
      <w:start w:val="77"/>
      <w:numFmt w:val="decimal"/>
      <w:lvlText w:val="(%9)"/>
      <w:lvlJc w:val="left"/>
      <w:pPr>
        <w:ind w:left="6480" w:hanging="360"/>
      </w:pPr>
    </w:lvl>
  </w:abstractNum>
  <w:abstractNum w:abstractNumId="9943280">
    <w:nsid w:val="A9943280"/>
    <w:multiLevelType w:val="multilevel"/>
    <w:lvl w:ilvl="0">
      <w:start w:val="280"/>
      <w:numFmt w:val="decimal"/>
      <w:lvlText w:val="(%1)"/>
      <w:lvlJc w:val="left"/>
      <w:pPr>
        <w:ind w:left="720" w:hanging="360"/>
      </w:pPr>
    </w:lvl>
    <w:lvl w:ilvl="1">
      <w:start w:val="280"/>
      <w:numFmt w:val="decimal"/>
      <w:lvlText w:val="(%2)"/>
      <w:lvlJc w:val="left"/>
      <w:pPr>
        <w:ind w:left="1440" w:hanging="360"/>
      </w:pPr>
    </w:lvl>
    <w:lvl w:ilvl="2">
      <w:start w:val="280"/>
      <w:numFmt w:val="decimal"/>
      <w:lvlText w:val="(%3)"/>
      <w:lvlJc w:val="left"/>
      <w:pPr>
        <w:ind w:left="2160" w:hanging="360"/>
      </w:pPr>
    </w:lvl>
    <w:lvl w:ilvl="3">
      <w:start w:val="280"/>
      <w:numFmt w:val="decimal"/>
      <w:lvlText w:val="(%4)"/>
      <w:lvlJc w:val="left"/>
      <w:pPr>
        <w:ind w:left="2880" w:hanging="360"/>
      </w:pPr>
    </w:lvl>
    <w:lvl w:ilvl="4">
      <w:start w:val="280"/>
      <w:numFmt w:val="decimal"/>
      <w:lvlText w:val="(%5)"/>
      <w:lvlJc w:val="left"/>
      <w:pPr>
        <w:ind w:left="3600" w:hanging="360"/>
      </w:pPr>
    </w:lvl>
    <w:lvl w:ilvl="5">
      <w:start w:val="280"/>
      <w:numFmt w:val="decimal"/>
      <w:lvlText w:val="(%6)"/>
      <w:lvlJc w:val="left"/>
      <w:pPr>
        <w:ind w:left="4320" w:hanging="360"/>
      </w:pPr>
    </w:lvl>
    <w:lvl w:ilvl="6">
      <w:start w:val="280"/>
      <w:numFmt w:val="decimal"/>
      <w:lvlText w:val="(%7)"/>
      <w:lvlJc w:val="left"/>
      <w:pPr>
        <w:ind w:left="5040" w:hanging="360"/>
      </w:pPr>
    </w:lvl>
    <w:lvl w:ilvl="7">
      <w:start w:val="280"/>
      <w:numFmt w:val="decimal"/>
      <w:lvlText w:val="(%8)"/>
      <w:lvlJc w:val="left"/>
      <w:pPr>
        <w:ind w:left="5760" w:hanging="360"/>
      </w:pPr>
    </w:lvl>
    <w:lvl w:ilvl="8">
      <w:start w:val="280"/>
      <w:numFmt w:val="decimal"/>
      <w:lvlText w:val="(%9)"/>
      <w:lvlJc w:val="left"/>
      <w:pPr>
        <w:ind w:left="6480" w:hanging="360"/>
      </w:pPr>
    </w:lvl>
  </w:abstractNum>
  <w:abstractNum w:abstractNumId="994339">
    <w:nsid w:val="0A9943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3120">
    <w:nsid w:val="A9943120"/>
    <w:multiLevelType w:val="multilevel"/>
    <w:lvl w:ilvl="0">
      <w:start w:val="120"/>
      <w:numFmt w:val="decimal"/>
      <w:lvlText w:val="(%1)"/>
      <w:lvlJc w:val="left"/>
      <w:pPr>
        <w:ind w:left="720" w:hanging="360"/>
      </w:pPr>
    </w:lvl>
    <w:lvl w:ilvl="1">
      <w:start w:val="120"/>
      <w:numFmt w:val="decimal"/>
      <w:lvlText w:val="(%2)"/>
      <w:lvlJc w:val="left"/>
      <w:pPr>
        <w:ind w:left="1440" w:hanging="360"/>
      </w:pPr>
    </w:lvl>
    <w:lvl w:ilvl="2">
      <w:start w:val="120"/>
      <w:numFmt w:val="decimal"/>
      <w:lvlText w:val="(%3)"/>
      <w:lvlJc w:val="left"/>
      <w:pPr>
        <w:ind w:left="2160" w:hanging="360"/>
      </w:pPr>
    </w:lvl>
    <w:lvl w:ilvl="3">
      <w:start w:val="120"/>
      <w:numFmt w:val="decimal"/>
      <w:lvlText w:val="(%4)"/>
      <w:lvlJc w:val="left"/>
      <w:pPr>
        <w:ind w:left="2880" w:hanging="360"/>
      </w:pPr>
    </w:lvl>
    <w:lvl w:ilvl="4">
      <w:start w:val="120"/>
      <w:numFmt w:val="decimal"/>
      <w:lvlText w:val="(%5)"/>
      <w:lvlJc w:val="left"/>
      <w:pPr>
        <w:ind w:left="3600" w:hanging="360"/>
      </w:pPr>
    </w:lvl>
    <w:lvl w:ilvl="5">
      <w:start w:val="120"/>
      <w:numFmt w:val="decimal"/>
      <w:lvlText w:val="(%6)"/>
      <w:lvlJc w:val="left"/>
      <w:pPr>
        <w:ind w:left="4320" w:hanging="360"/>
      </w:pPr>
    </w:lvl>
    <w:lvl w:ilvl="6">
      <w:start w:val="120"/>
      <w:numFmt w:val="decimal"/>
      <w:lvlText w:val="(%7)"/>
      <w:lvlJc w:val="left"/>
      <w:pPr>
        <w:ind w:left="5040" w:hanging="360"/>
      </w:pPr>
    </w:lvl>
    <w:lvl w:ilvl="7">
      <w:start w:val="120"/>
      <w:numFmt w:val="decimal"/>
      <w:lvlText w:val="(%8)"/>
      <w:lvlJc w:val="left"/>
      <w:pPr>
        <w:ind w:left="5760" w:hanging="360"/>
      </w:pPr>
    </w:lvl>
    <w:lvl w:ilvl="8">
      <w:start w:val="120"/>
      <w:numFmt w:val="decimal"/>
      <w:lvlText w:val="(%9)"/>
      <w:lvlJc w:val="left"/>
      <w:pPr>
        <w:ind w:left="6480" w:hanging="360"/>
      </w:pPr>
    </w:lvl>
  </w:abstractNum>
  <w:abstractNum w:abstractNumId="9943934">
    <w:nsid w:val="A9943934"/>
    <w:multiLevelType w:val="multilevel"/>
    <w:lvl w:ilvl="0">
      <w:start w:val="934"/>
      <w:numFmt w:val="decimal"/>
      <w:lvlText w:val="(%1)"/>
      <w:lvlJc w:val="left"/>
      <w:pPr>
        <w:ind w:left="720" w:hanging="360"/>
      </w:pPr>
    </w:lvl>
    <w:lvl w:ilvl="1">
      <w:start w:val="934"/>
      <w:numFmt w:val="decimal"/>
      <w:lvlText w:val="(%2)"/>
      <w:lvlJc w:val="left"/>
      <w:pPr>
        <w:ind w:left="1440" w:hanging="360"/>
      </w:pPr>
    </w:lvl>
    <w:lvl w:ilvl="2">
      <w:start w:val="934"/>
      <w:numFmt w:val="decimal"/>
      <w:lvlText w:val="(%3)"/>
      <w:lvlJc w:val="left"/>
      <w:pPr>
        <w:ind w:left="2160" w:hanging="360"/>
      </w:pPr>
    </w:lvl>
    <w:lvl w:ilvl="3">
      <w:start w:val="934"/>
      <w:numFmt w:val="decimal"/>
      <w:lvlText w:val="(%4)"/>
      <w:lvlJc w:val="left"/>
      <w:pPr>
        <w:ind w:left="2880" w:hanging="360"/>
      </w:pPr>
    </w:lvl>
    <w:lvl w:ilvl="4">
      <w:start w:val="934"/>
      <w:numFmt w:val="decimal"/>
      <w:lvlText w:val="(%5)"/>
      <w:lvlJc w:val="left"/>
      <w:pPr>
        <w:ind w:left="3600" w:hanging="360"/>
      </w:pPr>
    </w:lvl>
    <w:lvl w:ilvl="5">
      <w:start w:val="934"/>
      <w:numFmt w:val="decimal"/>
      <w:lvlText w:val="(%6)"/>
      <w:lvlJc w:val="left"/>
      <w:pPr>
        <w:ind w:left="4320" w:hanging="360"/>
      </w:pPr>
    </w:lvl>
    <w:lvl w:ilvl="6">
      <w:start w:val="934"/>
      <w:numFmt w:val="decimal"/>
      <w:lvlText w:val="(%7)"/>
      <w:lvlJc w:val="left"/>
      <w:pPr>
        <w:ind w:left="5040" w:hanging="360"/>
      </w:pPr>
    </w:lvl>
    <w:lvl w:ilvl="7">
      <w:start w:val="934"/>
      <w:numFmt w:val="decimal"/>
      <w:lvlText w:val="(%8)"/>
      <w:lvlJc w:val="left"/>
      <w:pPr>
        <w:ind w:left="5760" w:hanging="360"/>
      </w:pPr>
    </w:lvl>
    <w:lvl w:ilvl="8">
      <w:start w:val="934"/>
      <w:numFmt w:val="decimal"/>
      <w:lvlText w:val="(%9)"/>
      <w:lvlJc w:val="left"/>
      <w:pPr>
        <w:ind w:left="6480" w:hanging="360"/>
      </w:pPr>
    </w:lvl>
  </w:abstractNum>
  <w:abstractNum w:abstractNumId="994360">
    <w:nsid w:val="0A994360"/>
    <w:multiLevelType w:val="multilevel"/>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abstractNum w:abstractNumId="9943169">
    <w:nsid w:val="A9943169"/>
    <w:multiLevelType w:val="multilevel"/>
    <w:lvl w:ilvl="0">
      <w:start w:val="169"/>
      <w:numFmt w:val="decimal"/>
      <w:lvlText w:val="(%1)"/>
      <w:lvlJc w:val="left"/>
      <w:pPr>
        <w:ind w:left="720" w:hanging="360"/>
      </w:pPr>
    </w:lvl>
    <w:lvl w:ilvl="1">
      <w:start w:val="169"/>
      <w:numFmt w:val="decimal"/>
      <w:lvlText w:val="(%2)"/>
      <w:lvlJc w:val="left"/>
      <w:pPr>
        <w:ind w:left="1440" w:hanging="360"/>
      </w:pPr>
    </w:lvl>
    <w:lvl w:ilvl="2">
      <w:start w:val="169"/>
      <w:numFmt w:val="decimal"/>
      <w:lvlText w:val="(%3)"/>
      <w:lvlJc w:val="left"/>
      <w:pPr>
        <w:ind w:left="2160" w:hanging="360"/>
      </w:pPr>
    </w:lvl>
    <w:lvl w:ilvl="3">
      <w:start w:val="169"/>
      <w:numFmt w:val="decimal"/>
      <w:lvlText w:val="(%4)"/>
      <w:lvlJc w:val="left"/>
      <w:pPr>
        <w:ind w:left="2880" w:hanging="360"/>
      </w:pPr>
    </w:lvl>
    <w:lvl w:ilvl="4">
      <w:start w:val="169"/>
      <w:numFmt w:val="decimal"/>
      <w:lvlText w:val="(%5)"/>
      <w:lvlJc w:val="left"/>
      <w:pPr>
        <w:ind w:left="3600" w:hanging="360"/>
      </w:pPr>
    </w:lvl>
    <w:lvl w:ilvl="5">
      <w:start w:val="169"/>
      <w:numFmt w:val="decimal"/>
      <w:lvlText w:val="(%6)"/>
      <w:lvlJc w:val="left"/>
      <w:pPr>
        <w:ind w:left="4320" w:hanging="360"/>
      </w:pPr>
    </w:lvl>
    <w:lvl w:ilvl="6">
      <w:start w:val="169"/>
      <w:numFmt w:val="decimal"/>
      <w:lvlText w:val="(%7)"/>
      <w:lvlJc w:val="left"/>
      <w:pPr>
        <w:ind w:left="5040" w:hanging="360"/>
      </w:pPr>
    </w:lvl>
    <w:lvl w:ilvl="7">
      <w:start w:val="169"/>
      <w:numFmt w:val="decimal"/>
      <w:lvlText w:val="(%8)"/>
      <w:lvlJc w:val="left"/>
      <w:pPr>
        <w:ind w:left="5760" w:hanging="360"/>
      </w:pPr>
    </w:lvl>
    <w:lvl w:ilvl="8">
      <w:start w:val="169"/>
      <w:numFmt w:val="decimal"/>
      <w:lvlText w:val="(%9)"/>
      <w:lvlJc w:val="left"/>
      <w:pPr>
        <w:ind w:left="6480" w:hanging="360"/>
      </w:pPr>
    </w:lvl>
  </w:abstractNum>
  <w:abstractNum w:abstractNumId="9943106">
    <w:nsid w:val="A9943106"/>
    <w:multiLevelType w:val="multilevel"/>
    <w:lvl w:ilvl="0">
      <w:start w:val="106"/>
      <w:numFmt w:val="decimal"/>
      <w:lvlText w:val="(%1)"/>
      <w:lvlJc w:val="left"/>
      <w:pPr>
        <w:ind w:left="720" w:hanging="360"/>
      </w:pPr>
    </w:lvl>
    <w:lvl w:ilvl="1">
      <w:start w:val="106"/>
      <w:numFmt w:val="decimal"/>
      <w:lvlText w:val="(%2)"/>
      <w:lvlJc w:val="left"/>
      <w:pPr>
        <w:ind w:left="1440" w:hanging="360"/>
      </w:pPr>
    </w:lvl>
    <w:lvl w:ilvl="2">
      <w:start w:val="106"/>
      <w:numFmt w:val="decimal"/>
      <w:lvlText w:val="(%3)"/>
      <w:lvlJc w:val="left"/>
      <w:pPr>
        <w:ind w:left="2160" w:hanging="360"/>
      </w:pPr>
    </w:lvl>
    <w:lvl w:ilvl="3">
      <w:start w:val="106"/>
      <w:numFmt w:val="decimal"/>
      <w:lvlText w:val="(%4)"/>
      <w:lvlJc w:val="left"/>
      <w:pPr>
        <w:ind w:left="2880" w:hanging="360"/>
      </w:pPr>
    </w:lvl>
    <w:lvl w:ilvl="4">
      <w:start w:val="106"/>
      <w:numFmt w:val="decimal"/>
      <w:lvlText w:val="(%5)"/>
      <w:lvlJc w:val="left"/>
      <w:pPr>
        <w:ind w:left="3600" w:hanging="360"/>
      </w:pPr>
    </w:lvl>
    <w:lvl w:ilvl="5">
      <w:start w:val="106"/>
      <w:numFmt w:val="decimal"/>
      <w:lvlText w:val="(%6)"/>
      <w:lvlJc w:val="left"/>
      <w:pPr>
        <w:ind w:left="4320" w:hanging="360"/>
      </w:pPr>
    </w:lvl>
    <w:lvl w:ilvl="6">
      <w:start w:val="106"/>
      <w:numFmt w:val="decimal"/>
      <w:lvlText w:val="(%7)"/>
      <w:lvlJc w:val="left"/>
      <w:pPr>
        <w:ind w:left="5040" w:hanging="360"/>
      </w:pPr>
    </w:lvl>
    <w:lvl w:ilvl="7">
      <w:start w:val="106"/>
      <w:numFmt w:val="decimal"/>
      <w:lvlText w:val="(%8)"/>
      <w:lvlJc w:val="left"/>
      <w:pPr>
        <w:ind w:left="5760" w:hanging="360"/>
      </w:pPr>
    </w:lvl>
    <w:lvl w:ilvl="8">
      <w:start w:val="106"/>
      <w:numFmt w:val="decimal"/>
      <w:lvlText w:val="(%9)"/>
      <w:lvlJc w:val="left"/>
      <w:pPr>
        <w:ind w:left="6480" w:hanging="360"/>
      </w:pPr>
    </w:lvl>
  </w:abstractNum>
  <w:abstractNum w:abstractNumId="9943500">
    <w:nsid w:val="A9943500"/>
    <w:multiLevelType w:val="multilevel"/>
    <w:lvl w:ilvl="0">
      <w:start w:val="500"/>
      <w:numFmt w:val="decimal"/>
      <w:lvlText w:val="(%1)"/>
      <w:lvlJc w:val="left"/>
      <w:pPr>
        <w:ind w:left="720" w:hanging="360"/>
      </w:pPr>
    </w:lvl>
    <w:lvl w:ilvl="1">
      <w:start w:val="500"/>
      <w:numFmt w:val="decimal"/>
      <w:lvlText w:val="(%2)"/>
      <w:lvlJc w:val="left"/>
      <w:pPr>
        <w:ind w:left="1440" w:hanging="360"/>
      </w:pPr>
    </w:lvl>
    <w:lvl w:ilvl="2">
      <w:start w:val="500"/>
      <w:numFmt w:val="decimal"/>
      <w:lvlText w:val="(%3)"/>
      <w:lvlJc w:val="left"/>
      <w:pPr>
        <w:ind w:left="2160" w:hanging="360"/>
      </w:pPr>
    </w:lvl>
    <w:lvl w:ilvl="3">
      <w:start w:val="500"/>
      <w:numFmt w:val="decimal"/>
      <w:lvlText w:val="(%4)"/>
      <w:lvlJc w:val="left"/>
      <w:pPr>
        <w:ind w:left="2880" w:hanging="360"/>
      </w:pPr>
    </w:lvl>
    <w:lvl w:ilvl="4">
      <w:start w:val="500"/>
      <w:numFmt w:val="decimal"/>
      <w:lvlText w:val="(%5)"/>
      <w:lvlJc w:val="left"/>
      <w:pPr>
        <w:ind w:left="3600" w:hanging="360"/>
      </w:pPr>
    </w:lvl>
    <w:lvl w:ilvl="5">
      <w:start w:val="500"/>
      <w:numFmt w:val="decimal"/>
      <w:lvlText w:val="(%6)"/>
      <w:lvlJc w:val="left"/>
      <w:pPr>
        <w:ind w:left="4320" w:hanging="360"/>
      </w:pPr>
    </w:lvl>
    <w:lvl w:ilvl="6">
      <w:start w:val="500"/>
      <w:numFmt w:val="decimal"/>
      <w:lvlText w:val="(%7)"/>
      <w:lvlJc w:val="left"/>
      <w:pPr>
        <w:ind w:left="5040" w:hanging="360"/>
      </w:pPr>
    </w:lvl>
    <w:lvl w:ilvl="7">
      <w:start w:val="500"/>
      <w:numFmt w:val="decimal"/>
      <w:lvlText w:val="(%8)"/>
      <w:lvlJc w:val="left"/>
      <w:pPr>
        <w:ind w:left="5760" w:hanging="360"/>
      </w:pPr>
    </w:lvl>
    <w:lvl w:ilvl="8">
      <w:start w:val="500"/>
      <w:numFmt w:val="decimal"/>
      <w:lvlText w:val="(%9)"/>
      <w:lvlJc w:val="left"/>
      <w:pPr>
        <w:ind w:left="6480" w:hanging="360"/>
      </w:pPr>
    </w:lvl>
  </w:abstractNum>
  <w:abstractNum w:abstractNumId="9943226">
    <w:nsid w:val="A9943226"/>
    <w:multiLevelType w:val="multilevel"/>
    <w:lvl w:ilvl="0">
      <w:start w:val="226"/>
      <w:numFmt w:val="decimal"/>
      <w:lvlText w:val="(%1)"/>
      <w:lvlJc w:val="left"/>
      <w:pPr>
        <w:ind w:left="720" w:hanging="360"/>
      </w:pPr>
    </w:lvl>
    <w:lvl w:ilvl="1">
      <w:start w:val="226"/>
      <w:numFmt w:val="decimal"/>
      <w:lvlText w:val="(%2)"/>
      <w:lvlJc w:val="left"/>
      <w:pPr>
        <w:ind w:left="1440" w:hanging="360"/>
      </w:pPr>
    </w:lvl>
    <w:lvl w:ilvl="2">
      <w:start w:val="226"/>
      <w:numFmt w:val="decimal"/>
      <w:lvlText w:val="(%3)"/>
      <w:lvlJc w:val="left"/>
      <w:pPr>
        <w:ind w:left="2160" w:hanging="360"/>
      </w:pPr>
    </w:lvl>
    <w:lvl w:ilvl="3">
      <w:start w:val="226"/>
      <w:numFmt w:val="decimal"/>
      <w:lvlText w:val="(%4)"/>
      <w:lvlJc w:val="left"/>
      <w:pPr>
        <w:ind w:left="2880" w:hanging="360"/>
      </w:pPr>
    </w:lvl>
    <w:lvl w:ilvl="4">
      <w:start w:val="226"/>
      <w:numFmt w:val="decimal"/>
      <w:lvlText w:val="(%5)"/>
      <w:lvlJc w:val="left"/>
      <w:pPr>
        <w:ind w:left="3600" w:hanging="360"/>
      </w:pPr>
    </w:lvl>
    <w:lvl w:ilvl="5">
      <w:start w:val="226"/>
      <w:numFmt w:val="decimal"/>
      <w:lvlText w:val="(%6)"/>
      <w:lvlJc w:val="left"/>
      <w:pPr>
        <w:ind w:left="4320" w:hanging="360"/>
      </w:pPr>
    </w:lvl>
    <w:lvl w:ilvl="6">
      <w:start w:val="226"/>
      <w:numFmt w:val="decimal"/>
      <w:lvlText w:val="(%7)"/>
      <w:lvlJc w:val="left"/>
      <w:pPr>
        <w:ind w:left="5040" w:hanging="360"/>
      </w:pPr>
    </w:lvl>
    <w:lvl w:ilvl="7">
      <w:start w:val="226"/>
      <w:numFmt w:val="decimal"/>
      <w:lvlText w:val="(%8)"/>
      <w:lvlJc w:val="left"/>
      <w:pPr>
        <w:ind w:left="5760" w:hanging="360"/>
      </w:pPr>
    </w:lvl>
    <w:lvl w:ilvl="8">
      <w:start w:val="226"/>
      <w:numFmt w:val="decimal"/>
      <w:lvlText w:val="(%9)"/>
      <w:lvlJc w:val="left"/>
      <w:pPr>
        <w:ind w:left="6480" w:hanging="360"/>
      </w:pPr>
    </w:lvl>
  </w:abstractNum>
  <w:abstractNum w:abstractNumId="9943188">
    <w:nsid w:val="A9943188"/>
    <w:multiLevelType w:val="multilevel"/>
    <w:lvl w:ilvl="0">
      <w:start w:val="188"/>
      <w:numFmt w:val="decimal"/>
      <w:lvlText w:val="(%1)"/>
      <w:lvlJc w:val="left"/>
      <w:pPr>
        <w:ind w:left="720" w:hanging="360"/>
      </w:pPr>
    </w:lvl>
    <w:lvl w:ilvl="1">
      <w:start w:val="188"/>
      <w:numFmt w:val="decimal"/>
      <w:lvlText w:val="(%2)"/>
      <w:lvlJc w:val="left"/>
      <w:pPr>
        <w:ind w:left="1440" w:hanging="360"/>
      </w:pPr>
    </w:lvl>
    <w:lvl w:ilvl="2">
      <w:start w:val="188"/>
      <w:numFmt w:val="decimal"/>
      <w:lvlText w:val="(%3)"/>
      <w:lvlJc w:val="left"/>
      <w:pPr>
        <w:ind w:left="2160" w:hanging="360"/>
      </w:pPr>
    </w:lvl>
    <w:lvl w:ilvl="3">
      <w:start w:val="188"/>
      <w:numFmt w:val="decimal"/>
      <w:lvlText w:val="(%4)"/>
      <w:lvlJc w:val="left"/>
      <w:pPr>
        <w:ind w:left="2880" w:hanging="360"/>
      </w:pPr>
    </w:lvl>
    <w:lvl w:ilvl="4">
      <w:start w:val="188"/>
      <w:numFmt w:val="decimal"/>
      <w:lvlText w:val="(%5)"/>
      <w:lvlJc w:val="left"/>
      <w:pPr>
        <w:ind w:left="3600" w:hanging="360"/>
      </w:pPr>
    </w:lvl>
    <w:lvl w:ilvl="5">
      <w:start w:val="188"/>
      <w:numFmt w:val="decimal"/>
      <w:lvlText w:val="(%6)"/>
      <w:lvlJc w:val="left"/>
      <w:pPr>
        <w:ind w:left="4320" w:hanging="360"/>
      </w:pPr>
    </w:lvl>
    <w:lvl w:ilvl="6">
      <w:start w:val="188"/>
      <w:numFmt w:val="decimal"/>
      <w:lvlText w:val="(%7)"/>
      <w:lvlJc w:val="left"/>
      <w:pPr>
        <w:ind w:left="5040" w:hanging="360"/>
      </w:pPr>
    </w:lvl>
    <w:lvl w:ilvl="7">
      <w:start w:val="188"/>
      <w:numFmt w:val="decimal"/>
      <w:lvlText w:val="(%8)"/>
      <w:lvlJc w:val="left"/>
      <w:pPr>
        <w:ind w:left="5760" w:hanging="360"/>
      </w:pPr>
    </w:lvl>
    <w:lvl w:ilvl="8">
      <w:start w:val="188"/>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3118">
    <w:nsid w:val="A9943118"/>
    <w:multiLevelType w:val="multilevel"/>
    <w:lvl w:ilvl="0">
      <w:start w:val="118"/>
      <w:numFmt w:val="decimal"/>
      <w:lvlText w:val="(%1)"/>
      <w:lvlJc w:val="left"/>
      <w:pPr>
        <w:ind w:left="720" w:hanging="360"/>
      </w:pPr>
    </w:lvl>
    <w:lvl w:ilvl="1">
      <w:start w:val="118"/>
      <w:numFmt w:val="decimal"/>
      <w:lvlText w:val="(%2)"/>
      <w:lvlJc w:val="left"/>
      <w:pPr>
        <w:ind w:left="1440" w:hanging="360"/>
      </w:pPr>
    </w:lvl>
    <w:lvl w:ilvl="2">
      <w:start w:val="118"/>
      <w:numFmt w:val="decimal"/>
      <w:lvlText w:val="(%3)"/>
      <w:lvlJc w:val="left"/>
      <w:pPr>
        <w:ind w:left="2160" w:hanging="360"/>
      </w:pPr>
    </w:lvl>
    <w:lvl w:ilvl="3">
      <w:start w:val="118"/>
      <w:numFmt w:val="decimal"/>
      <w:lvlText w:val="(%4)"/>
      <w:lvlJc w:val="left"/>
      <w:pPr>
        <w:ind w:left="2880" w:hanging="360"/>
      </w:pPr>
    </w:lvl>
    <w:lvl w:ilvl="4">
      <w:start w:val="118"/>
      <w:numFmt w:val="decimal"/>
      <w:lvlText w:val="(%5)"/>
      <w:lvlJc w:val="left"/>
      <w:pPr>
        <w:ind w:left="3600" w:hanging="360"/>
      </w:pPr>
    </w:lvl>
    <w:lvl w:ilvl="5">
      <w:start w:val="118"/>
      <w:numFmt w:val="decimal"/>
      <w:lvlText w:val="(%6)"/>
      <w:lvlJc w:val="left"/>
      <w:pPr>
        <w:ind w:left="4320" w:hanging="360"/>
      </w:pPr>
    </w:lvl>
    <w:lvl w:ilvl="6">
      <w:start w:val="118"/>
      <w:numFmt w:val="decimal"/>
      <w:lvlText w:val="(%7)"/>
      <w:lvlJc w:val="left"/>
      <w:pPr>
        <w:ind w:left="5040" w:hanging="360"/>
      </w:pPr>
    </w:lvl>
    <w:lvl w:ilvl="7">
      <w:start w:val="118"/>
      <w:numFmt w:val="decimal"/>
      <w:lvlText w:val="(%8)"/>
      <w:lvlJc w:val="left"/>
      <w:pPr>
        <w:ind w:left="5760" w:hanging="360"/>
      </w:pPr>
    </w:lvl>
    <w:lvl w:ilvl="8">
      <w:start w:val="118"/>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425">
    <w:nsid w:val="A9943425"/>
    <w:multiLevelType w:val="multilevel"/>
    <w:lvl w:ilvl="0">
      <w:start w:val="425"/>
      <w:numFmt w:val="decimal"/>
      <w:lvlText w:val="(%1)"/>
      <w:lvlJc w:val="left"/>
      <w:pPr>
        <w:ind w:left="720" w:hanging="360"/>
      </w:pPr>
    </w:lvl>
    <w:lvl w:ilvl="1">
      <w:start w:val="425"/>
      <w:numFmt w:val="decimal"/>
      <w:lvlText w:val="(%2)"/>
      <w:lvlJc w:val="left"/>
      <w:pPr>
        <w:ind w:left="1440" w:hanging="360"/>
      </w:pPr>
    </w:lvl>
    <w:lvl w:ilvl="2">
      <w:start w:val="425"/>
      <w:numFmt w:val="decimal"/>
      <w:lvlText w:val="(%3)"/>
      <w:lvlJc w:val="left"/>
      <w:pPr>
        <w:ind w:left="2160" w:hanging="360"/>
      </w:pPr>
    </w:lvl>
    <w:lvl w:ilvl="3">
      <w:start w:val="425"/>
      <w:numFmt w:val="decimal"/>
      <w:lvlText w:val="(%4)"/>
      <w:lvlJc w:val="left"/>
      <w:pPr>
        <w:ind w:left="2880" w:hanging="360"/>
      </w:pPr>
    </w:lvl>
    <w:lvl w:ilvl="4">
      <w:start w:val="425"/>
      <w:numFmt w:val="decimal"/>
      <w:lvlText w:val="(%5)"/>
      <w:lvlJc w:val="left"/>
      <w:pPr>
        <w:ind w:left="3600" w:hanging="360"/>
      </w:pPr>
    </w:lvl>
    <w:lvl w:ilvl="5">
      <w:start w:val="425"/>
      <w:numFmt w:val="decimal"/>
      <w:lvlText w:val="(%6)"/>
      <w:lvlJc w:val="left"/>
      <w:pPr>
        <w:ind w:left="4320" w:hanging="360"/>
      </w:pPr>
    </w:lvl>
    <w:lvl w:ilvl="6">
      <w:start w:val="425"/>
      <w:numFmt w:val="decimal"/>
      <w:lvlText w:val="(%7)"/>
      <w:lvlJc w:val="left"/>
      <w:pPr>
        <w:ind w:left="5040" w:hanging="360"/>
      </w:pPr>
    </w:lvl>
    <w:lvl w:ilvl="7">
      <w:start w:val="425"/>
      <w:numFmt w:val="decimal"/>
      <w:lvlText w:val="(%8)"/>
      <w:lvlJc w:val="left"/>
      <w:pPr>
        <w:ind w:left="5760" w:hanging="360"/>
      </w:pPr>
    </w:lvl>
    <w:lvl w:ilvl="8">
      <w:start w:val="42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70">
    <w:nsid w:val="A9943170"/>
    <w:multiLevelType w:val="multilevel"/>
    <w:lvl w:ilvl="0">
      <w:start w:val="170"/>
      <w:numFmt w:val="decimal"/>
      <w:lvlText w:val="(%1)"/>
      <w:lvlJc w:val="left"/>
      <w:pPr>
        <w:ind w:left="720" w:hanging="360"/>
      </w:pPr>
    </w:lvl>
    <w:lvl w:ilvl="1">
      <w:start w:val="170"/>
      <w:numFmt w:val="decimal"/>
      <w:lvlText w:val="(%2)"/>
      <w:lvlJc w:val="left"/>
      <w:pPr>
        <w:ind w:left="1440" w:hanging="360"/>
      </w:pPr>
    </w:lvl>
    <w:lvl w:ilvl="2">
      <w:start w:val="170"/>
      <w:numFmt w:val="decimal"/>
      <w:lvlText w:val="(%3)"/>
      <w:lvlJc w:val="left"/>
      <w:pPr>
        <w:ind w:left="2160" w:hanging="360"/>
      </w:pPr>
    </w:lvl>
    <w:lvl w:ilvl="3">
      <w:start w:val="170"/>
      <w:numFmt w:val="decimal"/>
      <w:lvlText w:val="(%4)"/>
      <w:lvlJc w:val="left"/>
      <w:pPr>
        <w:ind w:left="2880" w:hanging="360"/>
      </w:pPr>
    </w:lvl>
    <w:lvl w:ilvl="4">
      <w:start w:val="170"/>
      <w:numFmt w:val="decimal"/>
      <w:lvlText w:val="(%5)"/>
      <w:lvlJc w:val="left"/>
      <w:pPr>
        <w:ind w:left="3600" w:hanging="360"/>
      </w:pPr>
    </w:lvl>
    <w:lvl w:ilvl="5">
      <w:start w:val="170"/>
      <w:numFmt w:val="decimal"/>
      <w:lvlText w:val="(%6)"/>
      <w:lvlJc w:val="left"/>
      <w:pPr>
        <w:ind w:left="4320" w:hanging="360"/>
      </w:pPr>
    </w:lvl>
    <w:lvl w:ilvl="6">
      <w:start w:val="170"/>
      <w:numFmt w:val="decimal"/>
      <w:lvlText w:val="(%7)"/>
      <w:lvlJc w:val="left"/>
      <w:pPr>
        <w:ind w:left="5040" w:hanging="360"/>
      </w:pPr>
    </w:lvl>
    <w:lvl w:ilvl="7">
      <w:start w:val="170"/>
      <w:numFmt w:val="decimal"/>
      <w:lvlText w:val="(%8)"/>
      <w:lvlJc w:val="left"/>
      <w:pPr>
        <w:ind w:left="5760" w:hanging="360"/>
      </w:pPr>
    </w:lvl>
    <w:lvl w:ilvl="8">
      <w:start w:val="170"/>
      <w:numFmt w:val="decimal"/>
      <w:lvlText w:val="(%9)"/>
      <w:lvlJc w:val="left"/>
      <w:pPr>
        <w:ind w:left="6480" w:hanging="360"/>
      </w:pPr>
    </w:lvl>
  </w:abstractNum>
  <w:abstractNum w:abstractNumId="9943234">
    <w:nsid w:val="A9943234"/>
    <w:multiLevelType w:val="multilevel"/>
    <w:lvl w:ilvl="0">
      <w:start w:val="234"/>
      <w:numFmt w:val="decimal"/>
      <w:lvlText w:val="(%1)"/>
      <w:lvlJc w:val="left"/>
      <w:pPr>
        <w:ind w:left="720" w:hanging="360"/>
      </w:pPr>
    </w:lvl>
    <w:lvl w:ilvl="1">
      <w:start w:val="234"/>
      <w:numFmt w:val="decimal"/>
      <w:lvlText w:val="(%2)"/>
      <w:lvlJc w:val="left"/>
      <w:pPr>
        <w:ind w:left="1440" w:hanging="360"/>
      </w:pPr>
    </w:lvl>
    <w:lvl w:ilvl="2">
      <w:start w:val="234"/>
      <w:numFmt w:val="decimal"/>
      <w:lvlText w:val="(%3)"/>
      <w:lvlJc w:val="left"/>
      <w:pPr>
        <w:ind w:left="2160" w:hanging="360"/>
      </w:pPr>
    </w:lvl>
    <w:lvl w:ilvl="3">
      <w:start w:val="234"/>
      <w:numFmt w:val="decimal"/>
      <w:lvlText w:val="(%4)"/>
      <w:lvlJc w:val="left"/>
      <w:pPr>
        <w:ind w:left="2880" w:hanging="360"/>
      </w:pPr>
    </w:lvl>
    <w:lvl w:ilvl="4">
      <w:start w:val="234"/>
      <w:numFmt w:val="decimal"/>
      <w:lvlText w:val="(%5)"/>
      <w:lvlJc w:val="left"/>
      <w:pPr>
        <w:ind w:left="3600" w:hanging="360"/>
      </w:pPr>
    </w:lvl>
    <w:lvl w:ilvl="5">
      <w:start w:val="234"/>
      <w:numFmt w:val="decimal"/>
      <w:lvlText w:val="(%6)"/>
      <w:lvlJc w:val="left"/>
      <w:pPr>
        <w:ind w:left="4320" w:hanging="360"/>
      </w:pPr>
    </w:lvl>
    <w:lvl w:ilvl="6">
      <w:start w:val="234"/>
      <w:numFmt w:val="decimal"/>
      <w:lvlText w:val="(%7)"/>
      <w:lvlJc w:val="left"/>
      <w:pPr>
        <w:ind w:left="5040" w:hanging="360"/>
      </w:pPr>
    </w:lvl>
    <w:lvl w:ilvl="7">
      <w:start w:val="234"/>
      <w:numFmt w:val="decimal"/>
      <w:lvlText w:val="(%8)"/>
      <w:lvlJc w:val="left"/>
      <w:pPr>
        <w:ind w:left="5760" w:hanging="360"/>
      </w:pPr>
    </w:lvl>
    <w:lvl w:ilvl="8">
      <w:start w:val="234"/>
      <w:numFmt w:val="decimal"/>
      <w:lvlText w:val="(%9)"/>
      <w:lvlJc w:val="left"/>
      <w:pPr>
        <w:ind w:left="6480" w:hanging="360"/>
      </w:pPr>
    </w:lvl>
  </w:abstractNum>
  <w:abstractNum w:abstractNumId="994373">
    <w:nsid w:val="0A994373"/>
    <w:multiLevelType w:val="multilevel"/>
    <w:lvl w:ilvl="0">
      <w:start w:val="73"/>
      <w:numFmt w:val="decimal"/>
      <w:lvlText w:val="(%1)"/>
      <w:lvlJc w:val="left"/>
      <w:pPr>
        <w:ind w:left="720" w:hanging="360"/>
      </w:pPr>
    </w:lvl>
    <w:lvl w:ilvl="1">
      <w:start w:val="73"/>
      <w:numFmt w:val="decimal"/>
      <w:lvlText w:val="(%2)"/>
      <w:lvlJc w:val="left"/>
      <w:pPr>
        <w:ind w:left="1440" w:hanging="360"/>
      </w:pPr>
    </w:lvl>
    <w:lvl w:ilvl="2">
      <w:start w:val="73"/>
      <w:numFmt w:val="decimal"/>
      <w:lvlText w:val="(%3)"/>
      <w:lvlJc w:val="left"/>
      <w:pPr>
        <w:ind w:left="2160" w:hanging="360"/>
      </w:pPr>
    </w:lvl>
    <w:lvl w:ilvl="3">
      <w:start w:val="73"/>
      <w:numFmt w:val="decimal"/>
      <w:lvlText w:val="(%4)"/>
      <w:lvlJc w:val="left"/>
      <w:pPr>
        <w:ind w:left="2880" w:hanging="360"/>
      </w:pPr>
    </w:lvl>
    <w:lvl w:ilvl="4">
      <w:start w:val="73"/>
      <w:numFmt w:val="decimal"/>
      <w:lvlText w:val="(%5)"/>
      <w:lvlJc w:val="left"/>
      <w:pPr>
        <w:ind w:left="3600" w:hanging="360"/>
      </w:pPr>
    </w:lvl>
    <w:lvl w:ilvl="5">
      <w:start w:val="73"/>
      <w:numFmt w:val="decimal"/>
      <w:lvlText w:val="(%6)"/>
      <w:lvlJc w:val="left"/>
      <w:pPr>
        <w:ind w:left="4320" w:hanging="360"/>
      </w:pPr>
    </w:lvl>
    <w:lvl w:ilvl="6">
      <w:start w:val="73"/>
      <w:numFmt w:val="decimal"/>
      <w:lvlText w:val="(%7)"/>
      <w:lvlJc w:val="left"/>
      <w:pPr>
        <w:ind w:left="5040" w:hanging="360"/>
      </w:pPr>
    </w:lvl>
    <w:lvl w:ilvl="7">
      <w:start w:val="73"/>
      <w:numFmt w:val="decimal"/>
      <w:lvlText w:val="(%8)"/>
      <w:lvlJc w:val="left"/>
      <w:pPr>
        <w:ind w:left="5760" w:hanging="360"/>
      </w:pPr>
    </w:lvl>
    <w:lvl w:ilvl="8">
      <w:start w:val="73"/>
      <w:numFmt w:val="decimal"/>
      <w:lvlText w:val="(%9)"/>
      <w:lvlJc w:val="left"/>
      <w:pPr>
        <w:ind w:left="6480" w:hanging="360"/>
      </w:pPr>
    </w:lvl>
  </w:abstractNum>
  <w:abstractNum w:abstractNumId="9943194">
    <w:nsid w:val="A9943194"/>
    <w:multiLevelType w:val="multilevel"/>
    <w:lvl w:ilvl="0">
      <w:start w:val="194"/>
      <w:numFmt w:val="decimal"/>
      <w:lvlText w:val="(%1)"/>
      <w:lvlJc w:val="left"/>
      <w:pPr>
        <w:ind w:left="720" w:hanging="360"/>
      </w:pPr>
    </w:lvl>
    <w:lvl w:ilvl="1">
      <w:start w:val="194"/>
      <w:numFmt w:val="decimal"/>
      <w:lvlText w:val="(%2)"/>
      <w:lvlJc w:val="left"/>
      <w:pPr>
        <w:ind w:left="1440" w:hanging="360"/>
      </w:pPr>
    </w:lvl>
    <w:lvl w:ilvl="2">
      <w:start w:val="194"/>
      <w:numFmt w:val="decimal"/>
      <w:lvlText w:val="(%3)"/>
      <w:lvlJc w:val="left"/>
      <w:pPr>
        <w:ind w:left="2160" w:hanging="360"/>
      </w:pPr>
    </w:lvl>
    <w:lvl w:ilvl="3">
      <w:start w:val="194"/>
      <w:numFmt w:val="decimal"/>
      <w:lvlText w:val="(%4)"/>
      <w:lvlJc w:val="left"/>
      <w:pPr>
        <w:ind w:left="2880" w:hanging="360"/>
      </w:pPr>
    </w:lvl>
    <w:lvl w:ilvl="4">
      <w:start w:val="194"/>
      <w:numFmt w:val="decimal"/>
      <w:lvlText w:val="(%5)"/>
      <w:lvlJc w:val="left"/>
      <w:pPr>
        <w:ind w:left="3600" w:hanging="360"/>
      </w:pPr>
    </w:lvl>
    <w:lvl w:ilvl="5">
      <w:start w:val="194"/>
      <w:numFmt w:val="decimal"/>
      <w:lvlText w:val="(%6)"/>
      <w:lvlJc w:val="left"/>
      <w:pPr>
        <w:ind w:left="4320" w:hanging="360"/>
      </w:pPr>
    </w:lvl>
    <w:lvl w:ilvl="6">
      <w:start w:val="194"/>
      <w:numFmt w:val="decimal"/>
      <w:lvlText w:val="(%7)"/>
      <w:lvlJc w:val="left"/>
      <w:pPr>
        <w:ind w:left="5040" w:hanging="360"/>
      </w:pPr>
    </w:lvl>
    <w:lvl w:ilvl="7">
      <w:start w:val="194"/>
      <w:numFmt w:val="decimal"/>
      <w:lvlText w:val="(%8)"/>
      <w:lvlJc w:val="left"/>
      <w:pPr>
        <w:ind w:left="5760" w:hanging="360"/>
      </w:pPr>
    </w:lvl>
    <w:lvl w:ilvl="8">
      <w:start w:val="194"/>
      <w:numFmt w:val="decimal"/>
      <w:lvlText w:val="(%9)"/>
      <w:lvlJc w:val="left"/>
      <w:pPr>
        <w:ind w:left="6480" w:hanging="360"/>
      </w:pPr>
    </w:lvl>
  </w:abstractNum>
  <w:abstractNum w:abstractNumId="9943250">
    <w:nsid w:val="A9943250"/>
    <w:multiLevelType w:val="multilevel"/>
    <w:lvl w:ilvl="0">
      <w:start w:val="250"/>
      <w:numFmt w:val="decimal"/>
      <w:lvlText w:val="(%1)"/>
      <w:lvlJc w:val="left"/>
      <w:pPr>
        <w:ind w:left="720" w:hanging="360"/>
      </w:pPr>
    </w:lvl>
    <w:lvl w:ilvl="1">
      <w:start w:val="250"/>
      <w:numFmt w:val="decimal"/>
      <w:lvlText w:val="(%2)"/>
      <w:lvlJc w:val="left"/>
      <w:pPr>
        <w:ind w:left="1440" w:hanging="360"/>
      </w:pPr>
    </w:lvl>
    <w:lvl w:ilvl="2">
      <w:start w:val="250"/>
      <w:numFmt w:val="decimal"/>
      <w:lvlText w:val="(%3)"/>
      <w:lvlJc w:val="left"/>
      <w:pPr>
        <w:ind w:left="2160" w:hanging="360"/>
      </w:pPr>
    </w:lvl>
    <w:lvl w:ilvl="3">
      <w:start w:val="250"/>
      <w:numFmt w:val="decimal"/>
      <w:lvlText w:val="(%4)"/>
      <w:lvlJc w:val="left"/>
      <w:pPr>
        <w:ind w:left="2880" w:hanging="360"/>
      </w:pPr>
    </w:lvl>
    <w:lvl w:ilvl="4">
      <w:start w:val="250"/>
      <w:numFmt w:val="decimal"/>
      <w:lvlText w:val="(%5)"/>
      <w:lvlJc w:val="left"/>
      <w:pPr>
        <w:ind w:left="3600" w:hanging="360"/>
      </w:pPr>
    </w:lvl>
    <w:lvl w:ilvl="5">
      <w:start w:val="250"/>
      <w:numFmt w:val="decimal"/>
      <w:lvlText w:val="(%6)"/>
      <w:lvlJc w:val="left"/>
      <w:pPr>
        <w:ind w:left="4320" w:hanging="360"/>
      </w:pPr>
    </w:lvl>
    <w:lvl w:ilvl="6">
      <w:start w:val="250"/>
      <w:numFmt w:val="decimal"/>
      <w:lvlText w:val="(%7)"/>
      <w:lvlJc w:val="left"/>
      <w:pPr>
        <w:ind w:left="5040" w:hanging="360"/>
      </w:pPr>
    </w:lvl>
    <w:lvl w:ilvl="7">
      <w:start w:val="250"/>
      <w:numFmt w:val="decimal"/>
      <w:lvlText w:val="(%8)"/>
      <w:lvlJc w:val="left"/>
      <w:pPr>
        <w:ind w:left="5760" w:hanging="360"/>
      </w:pPr>
    </w:lvl>
    <w:lvl w:ilvl="8">
      <w:start w:val="250"/>
      <w:numFmt w:val="decimal"/>
      <w:lvlText w:val="(%9)"/>
      <w:lvlJc w:val="left"/>
      <w:pPr>
        <w:ind w:left="6480" w:hanging="360"/>
      </w:pPr>
    </w:lvl>
  </w:abstractNum>
  <w:abstractNum w:abstractNumId="994336">
    <w:nsid w:val="0A9943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3960">
    <w:nsid w:val="A9943960"/>
    <w:multiLevelType w:val="multilevel"/>
    <w:lvl w:ilvl="0">
      <w:start w:val="960"/>
      <w:numFmt w:val="decimal"/>
      <w:lvlText w:val="(%1)"/>
      <w:lvlJc w:val="left"/>
      <w:pPr>
        <w:ind w:left="720" w:hanging="360"/>
      </w:pPr>
    </w:lvl>
    <w:lvl w:ilvl="1">
      <w:start w:val="960"/>
      <w:numFmt w:val="decimal"/>
      <w:lvlText w:val="(%2)"/>
      <w:lvlJc w:val="left"/>
      <w:pPr>
        <w:ind w:left="1440" w:hanging="360"/>
      </w:pPr>
    </w:lvl>
    <w:lvl w:ilvl="2">
      <w:start w:val="960"/>
      <w:numFmt w:val="decimal"/>
      <w:lvlText w:val="(%3)"/>
      <w:lvlJc w:val="left"/>
      <w:pPr>
        <w:ind w:left="2160" w:hanging="360"/>
      </w:pPr>
    </w:lvl>
    <w:lvl w:ilvl="3">
      <w:start w:val="960"/>
      <w:numFmt w:val="decimal"/>
      <w:lvlText w:val="(%4)"/>
      <w:lvlJc w:val="left"/>
      <w:pPr>
        <w:ind w:left="2880" w:hanging="360"/>
      </w:pPr>
    </w:lvl>
    <w:lvl w:ilvl="4">
      <w:start w:val="960"/>
      <w:numFmt w:val="decimal"/>
      <w:lvlText w:val="(%5)"/>
      <w:lvlJc w:val="left"/>
      <w:pPr>
        <w:ind w:left="3600" w:hanging="360"/>
      </w:pPr>
    </w:lvl>
    <w:lvl w:ilvl="5">
      <w:start w:val="960"/>
      <w:numFmt w:val="decimal"/>
      <w:lvlText w:val="(%6)"/>
      <w:lvlJc w:val="left"/>
      <w:pPr>
        <w:ind w:left="4320" w:hanging="360"/>
      </w:pPr>
    </w:lvl>
    <w:lvl w:ilvl="6">
      <w:start w:val="960"/>
      <w:numFmt w:val="decimal"/>
      <w:lvlText w:val="(%7)"/>
      <w:lvlJc w:val="left"/>
      <w:pPr>
        <w:ind w:left="5040" w:hanging="360"/>
      </w:pPr>
    </w:lvl>
    <w:lvl w:ilvl="7">
      <w:start w:val="960"/>
      <w:numFmt w:val="decimal"/>
      <w:lvlText w:val="(%8)"/>
      <w:lvlJc w:val="left"/>
      <w:pPr>
        <w:ind w:left="5760" w:hanging="360"/>
      </w:pPr>
    </w:lvl>
    <w:lvl w:ilvl="8">
      <w:start w:val="960"/>
      <w:numFmt w:val="decimal"/>
      <w:lvlText w:val="(%9)"/>
      <w:lvlJc w:val="left"/>
      <w:pPr>
        <w:ind w:left="6480" w:hanging="360"/>
      </w:pPr>
    </w:lvl>
  </w:abstractNum>
  <w:abstractNum w:abstractNumId="9943643">
    <w:nsid w:val="A9943643"/>
    <w:multiLevelType w:val="multilevel"/>
    <w:lvl w:ilvl="0">
      <w:start w:val="643"/>
      <w:numFmt w:val="decimal"/>
      <w:lvlText w:val="(%1)"/>
      <w:lvlJc w:val="left"/>
      <w:pPr>
        <w:ind w:left="720" w:hanging="360"/>
      </w:pPr>
    </w:lvl>
    <w:lvl w:ilvl="1">
      <w:start w:val="643"/>
      <w:numFmt w:val="decimal"/>
      <w:lvlText w:val="(%2)"/>
      <w:lvlJc w:val="left"/>
      <w:pPr>
        <w:ind w:left="1440" w:hanging="360"/>
      </w:pPr>
    </w:lvl>
    <w:lvl w:ilvl="2">
      <w:start w:val="643"/>
      <w:numFmt w:val="decimal"/>
      <w:lvlText w:val="(%3)"/>
      <w:lvlJc w:val="left"/>
      <w:pPr>
        <w:ind w:left="2160" w:hanging="360"/>
      </w:pPr>
    </w:lvl>
    <w:lvl w:ilvl="3">
      <w:start w:val="643"/>
      <w:numFmt w:val="decimal"/>
      <w:lvlText w:val="(%4)"/>
      <w:lvlJc w:val="left"/>
      <w:pPr>
        <w:ind w:left="2880" w:hanging="360"/>
      </w:pPr>
    </w:lvl>
    <w:lvl w:ilvl="4">
      <w:start w:val="643"/>
      <w:numFmt w:val="decimal"/>
      <w:lvlText w:val="(%5)"/>
      <w:lvlJc w:val="left"/>
      <w:pPr>
        <w:ind w:left="3600" w:hanging="360"/>
      </w:pPr>
    </w:lvl>
    <w:lvl w:ilvl="5">
      <w:start w:val="643"/>
      <w:numFmt w:val="decimal"/>
      <w:lvlText w:val="(%6)"/>
      <w:lvlJc w:val="left"/>
      <w:pPr>
        <w:ind w:left="4320" w:hanging="360"/>
      </w:pPr>
    </w:lvl>
    <w:lvl w:ilvl="6">
      <w:start w:val="643"/>
      <w:numFmt w:val="decimal"/>
      <w:lvlText w:val="(%7)"/>
      <w:lvlJc w:val="left"/>
      <w:pPr>
        <w:ind w:left="5040" w:hanging="360"/>
      </w:pPr>
    </w:lvl>
    <w:lvl w:ilvl="7">
      <w:start w:val="643"/>
      <w:numFmt w:val="decimal"/>
      <w:lvlText w:val="(%8)"/>
      <w:lvlJc w:val="left"/>
      <w:pPr>
        <w:ind w:left="5760" w:hanging="360"/>
      </w:pPr>
    </w:lvl>
    <w:lvl w:ilvl="8">
      <w:start w:val="643"/>
      <w:numFmt w:val="decimal"/>
      <w:lvlText w:val="(%9)"/>
      <w:lvlJc w:val="left"/>
      <w:pPr>
        <w:ind w:left="6480" w:hanging="360"/>
      </w:pPr>
    </w:lvl>
  </w:abstractNum>
  <w:abstractNum w:abstractNumId="9943482">
    <w:nsid w:val="A9943482"/>
    <w:multiLevelType w:val="multilevel"/>
    <w:lvl w:ilvl="0">
      <w:start w:val="482"/>
      <w:numFmt w:val="decimal"/>
      <w:lvlText w:val="(%1)"/>
      <w:lvlJc w:val="left"/>
      <w:pPr>
        <w:ind w:left="720" w:hanging="360"/>
      </w:pPr>
    </w:lvl>
    <w:lvl w:ilvl="1">
      <w:start w:val="482"/>
      <w:numFmt w:val="decimal"/>
      <w:lvlText w:val="(%2)"/>
      <w:lvlJc w:val="left"/>
      <w:pPr>
        <w:ind w:left="1440" w:hanging="360"/>
      </w:pPr>
    </w:lvl>
    <w:lvl w:ilvl="2">
      <w:start w:val="482"/>
      <w:numFmt w:val="decimal"/>
      <w:lvlText w:val="(%3)"/>
      <w:lvlJc w:val="left"/>
      <w:pPr>
        <w:ind w:left="2160" w:hanging="360"/>
      </w:pPr>
    </w:lvl>
    <w:lvl w:ilvl="3">
      <w:start w:val="482"/>
      <w:numFmt w:val="decimal"/>
      <w:lvlText w:val="(%4)"/>
      <w:lvlJc w:val="left"/>
      <w:pPr>
        <w:ind w:left="2880" w:hanging="360"/>
      </w:pPr>
    </w:lvl>
    <w:lvl w:ilvl="4">
      <w:start w:val="482"/>
      <w:numFmt w:val="decimal"/>
      <w:lvlText w:val="(%5)"/>
      <w:lvlJc w:val="left"/>
      <w:pPr>
        <w:ind w:left="3600" w:hanging="360"/>
      </w:pPr>
    </w:lvl>
    <w:lvl w:ilvl="5">
      <w:start w:val="482"/>
      <w:numFmt w:val="decimal"/>
      <w:lvlText w:val="(%6)"/>
      <w:lvlJc w:val="left"/>
      <w:pPr>
        <w:ind w:left="4320" w:hanging="360"/>
      </w:pPr>
    </w:lvl>
    <w:lvl w:ilvl="6">
      <w:start w:val="482"/>
      <w:numFmt w:val="decimal"/>
      <w:lvlText w:val="(%7)"/>
      <w:lvlJc w:val="left"/>
      <w:pPr>
        <w:ind w:left="5040" w:hanging="360"/>
      </w:pPr>
    </w:lvl>
    <w:lvl w:ilvl="7">
      <w:start w:val="482"/>
      <w:numFmt w:val="decimal"/>
      <w:lvlText w:val="(%8)"/>
      <w:lvlJc w:val="left"/>
      <w:pPr>
        <w:ind w:left="5760" w:hanging="360"/>
      </w:pPr>
    </w:lvl>
    <w:lvl w:ilvl="8">
      <w:start w:val="482"/>
      <w:numFmt w:val="decimal"/>
      <w:lvlText w:val="(%9)"/>
      <w:lvlJc w:val="left"/>
      <w:pPr>
        <w:ind w:left="6480" w:hanging="360"/>
      </w:pPr>
    </w:lvl>
  </w:abstractNum>
  <w:abstractNum w:abstractNumId="994368">
    <w:nsid w:val="0A994368"/>
    <w:multiLevelType w:val="multilevel"/>
    <w:lvl w:ilvl="0">
      <w:start w:val="68"/>
      <w:numFmt w:val="decimal"/>
      <w:lvlText w:val="(%1)"/>
      <w:lvlJc w:val="left"/>
      <w:pPr>
        <w:ind w:left="720" w:hanging="360"/>
      </w:pPr>
    </w:lvl>
    <w:lvl w:ilvl="1">
      <w:start w:val="68"/>
      <w:numFmt w:val="decimal"/>
      <w:lvlText w:val="(%2)"/>
      <w:lvlJc w:val="left"/>
      <w:pPr>
        <w:ind w:left="1440" w:hanging="360"/>
      </w:pPr>
    </w:lvl>
    <w:lvl w:ilvl="2">
      <w:start w:val="68"/>
      <w:numFmt w:val="decimal"/>
      <w:lvlText w:val="(%3)"/>
      <w:lvlJc w:val="left"/>
      <w:pPr>
        <w:ind w:left="2160" w:hanging="360"/>
      </w:pPr>
    </w:lvl>
    <w:lvl w:ilvl="3">
      <w:start w:val="68"/>
      <w:numFmt w:val="decimal"/>
      <w:lvlText w:val="(%4)"/>
      <w:lvlJc w:val="left"/>
      <w:pPr>
        <w:ind w:left="2880" w:hanging="360"/>
      </w:pPr>
    </w:lvl>
    <w:lvl w:ilvl="4">
      <w:start w:val="68"/>
      <w:numFmt w:val="decimal"/>
      <w:lvlText w:val="(%5)"/>
      <w:lvlJc w:val="left"/>
      <w:pPr>
        <w:ind w:left="3600" w:hanging="360"/>
      </w:pPr>
    </w:lvl>
    <w:lvl w:ilvl="5">
      <w:start w:val="68"/>
      <w:numFmt w:val="decimal"/>
      <w:lvlText w:val="(%6)"/>
      <w:lvlJc w:val="left"/>
      <w:pPr>
        <w:ind w:left="4320" w:hanging="360"/>
      </w:pPr>
    </w:lvl>
    <w:lvl w:ilvl="6">
      <w:start w:val="68"/>
      <w:numFmt w:val="decimal"/>
      <w:lvlText w:val="(%7)"/>
      <w:lvlJc w:val="left"/>
      <w:pPr>
        <w:ind w:left="5040" w:hanging="360"/>
      </w:pPr>
    </w:lvl>
    <w:lvl w:ilvl="7">
      <w:start w:val="68"/>
      <w:numFmt w:val="decimal"/>
      <w:lvlText w:val="(%8)"/>
      <w:lvlJc w:val="left"/>
      <w:pPr>
        <w:ind w:left="5760" w:hanging="360"/>
      </w:pPr>
    </w:lvl>
    <w:lvl w:ilvl="8">
      <w:start w:val="68"/>
      <w:numFmt w:val="decimal"/>
      <w:lvlText w:val="(%9)"/>
      <w:lvlJc w:val="left"/>
      <w:pPr>
        <w:ind w:left="6480" w:hanging="360"/>
      </w:pPr>
    </w:lvl>
  </w:abstractNum>
  <w:abstractNum w:abstractNumId="9943186">
    <w:nsid w:val="A9943186"/>
    <w:multiLevelType w:val="multilevel"/>
    <w:lvl w:ilvl="0">
      <w:start w:val="186"/>
      <w:numFmt w:val="decimal"/>
      <w:lvlText w:val="(%1)"/>
      <w:lvlJc w:val="left"/>
      <w:pPr>
        <w:ind w:left="720" w:hanging="360"/>
      </w:pPr>
    </w:lvl>
    <w:lvl w:ilvl="1">
      <w:start w:val="186"/>
      <w:numFmt w:val="decimal"/>
      <w:lvlText w:val="(%2)"/>
      <w:lvlJc w:val="left"/>
      <w:pPr>
        <w:ind w:left="1440" w:hanging="360"/>
      </w:pPr>
    </w:lvl>
    <w:lvl w:ilvl="2">
      <w:start w:val="186"/>
      <w:numFmt w:val="decimal"/>
      <w:lvlText w:val="(%3)"/>
      <w:lvlJc w:val="left"/>
      <w:pPr>
        <w:ind w:left="2160" w:hanging="360"/>
      </w:pPr>
    </w:lvl>
    <w:lvl w:ilvl="3">
      <w:start w:val="186"/>
      <w:numFmt w:val="decimal"/>
      <w:lvlText w:val="(%4)"/>
      <w:lvlJc w:val="left"/>
      <w:pPr>
        <w:ind w:left="2880" w:hanging="360"/>
      </w:pPr>
    </w:lvl>
    <w:lvl w:ilvl="4">
      <w:start w:val="186"/>
      <w:numFmt w:val="decimal"/>
      <w:lvlText w:val="(%5)"/>
      <w:lvlJc w:val="left"/>
      <w:pPr>
        <w:ind w:left="3600" w:hanging="360"/>
      </w:pPr>
    </w:lvl>
    <w:lvl w:ilvl="5">
      <w:start w:val="186"/>
      <w:numFmt w:val="decimal"/>
      <w:lvlText w:val="(%6)"/>
      <w:lvlJc w:val="left"/>
      <w:pPr>
        <w:ind w:left="4320" w:hanging="360"/>
      </w:pPr>
    </w:lvl>
    <w:lvl w:ilvl="6">
      <w:start w:val="186"/>
      <w:numFmt w:val="decimal"/>
      <w:lvlText w:val="(%7)"/>
      <w:lvlJc w:val="left"/>
      <w:pPr>
        <w:ind w:left="5040" w:hanging="360"/>
      </w:pPr>
    </w:lvl>
    <w:lvl w:ilvl="7">
      <w:start w:val="186"/>
      <w:numFmt w:val="decimal"/>
      <w:lvlText w:val="(%8)"/>
      <w:lvlJc w:val="left"/>
      <w:pPr>
        <w:ind w:left="5760" w:hanging="360"/>
      </w:pPr>
    </w:lvl>
    <w:lvl w:ilvl="8">
      <w:start w:val="186"/>
      <w:numFmt w:val="decimal"/>
      <w:lvlText w:val="(%9)"/>
      <w:lvlJc w:val="left"/>
      <w:pPr>
        <w:ind w:left="6480" w:hanging="360"/>
      </w:pPr>
    </w:lvl>
  </w:abstractNum>
  <w:abstractNum w:abstractNumId="9943293">
    <w:nsid w:val="A9943293"/>
    <w:multiLevelType w:val="multilevel"/>
    <w:lvl w:ilvl="0">
      <w:start w:val="293"/>
      <w:numFmt w:val="decimal"/>
      <w:lvlText w:val="(%1)"/>
      <w:lvlJc w:val="left"/>
      <w:pPr>
        <w:ind w:left="720" w:hanging="360"/>
      </w:pPr>
    </w:lvl>
    <w:lvl w:ilvl="1">
      <w:start w:val="293"/>
      <w:numFmt w:val="decimal"/>
      <w:lvlText w:val="(%2)"/>
      <w:lvlJc w:val="left"/>
      <w:pPr>
        <w:ind w:left="1440" w:hanging="360"/>
      </w:pPr>
    </w:lvl>
    <w:lvl w:ilvl="2">
      <w:start w:val="293"/>
      <w:numFmt w:val="decimal"/>
      <w:lvlText w:val="(%3)"/>
      <w:lvlJc w:val="left"/>
      <w:pPr>
        <w:ind w:left="2160" w:hanging="360"/>
      </w:pPr>
    </w:lvl>
    <w:lvl w:ilvl="3">
      <w:start w:val="293"/>
      <w:numFmt w:val="decimal"/>
      <w:lvlText w:val="(%4)"/>
      <w:lvlJc w:val="left"/>
      <w:pPr>
        <w:ind w:left="2880" w:hanging="360"/>
      </w:pPr>
    </w:lvl>
    <w:lvl w:ilvl="4">
      <w:start w:val="293"/>
      <w:numFmt w:val="decimal"/>
      <w:lvlText w:val="(%5)"/>
      <w:lvlJc w:val="left"/>
      <w:pPr>
        <w:ind w:left="3600" w:hanging="360"/>
      </w:pPr>
    </w:lvl>
    <w:lvl w:ilvl="5">
      <w:start w:val="293"/>
      <w:numFmt w:val="decimal"/>
      <w:lvlText w:val="(%6)"/>
      <w:lvlJc w:val="left"/>
      <w:pPr>
        <w:ind w:left="4320" w:hanging="360"/>
      </w:pPr>
    </w:lvl>
    <w:lvl w:ilvl="6">
      <w:start w:val="293"/>
      <w:numFmt w:val="decimal"/>
      <w:lvlText w:val="(%7)"/>
      <w:lvlJc w:val="left"/>
      <w:pPr>
        <w:ind w:left="5040" w:hanging="360"/>
      </w:pPr>
    </w:lvl>
    <w:lvl w:ilvl="7">
      <w:start w:val="293"/>
      <w:numFmt w:val="decimal"/>
      <w:lvlText w:val="(%8)"/>
      <w:lvlJc w:val="left"/>
      <w:pPr>
        <w:ind w:left="5760" w:hanging="360"/>
      </w:pPr>
    </w:lvl>
    <w:lvl w:ilvl="8">
      <w:start w:val="293"/>
      <w:numFmt w:val="decimal"/>
      <w:lvlText w:val="(%9)"/>
      <w:lvlJc w:val="left"/>
      <w:pPr>
        <w:ind w:left="6480" w:hanging="360"/>
      </w:pPr>
    </w:lvl>
  </w:abstractNum>
  <w:abstractNum w:abstractNumId="9943175">
    <w:nsid w:val="A9943175"/>
    <w:multiLevelType w:val="multilevel"/>
    <w:lvl w:ilvl="0">
      <w:start w:val="175"/>
      <w:numFmt w:val="decimal"/>
      <w:lvlText w:val="(%1)"/>
      <w:lvlJc w:val="left"/>
      <w:pPr>
        <w:ind w:left="720" w:hanging="360"/>
      </w:pPr>
    </w:lvl>
    <w:lvl w:ilvl="1">
      <w:start w:val="175"/>
      <w:numFmt w:val="decimal"/>
      <w:lvlText w:val="(%2)"/>
      <w:lvlJc w:val="left"/>
      <w:pPr>
        <w:ind w:left="1440" w:hanging="360"/>
      </w:pPr>
    </w:lvl>
    <w:lvl w:ilvl="2">
      <w:start w:val="175"/>
      <w:numFmt w:val="decimal"/>
      <w:lvlText w:val="(%3)"/>
      <w:lvlJc w:val="left"/>
      <w:pPr>
        <w:ind w:left="2160" w:hanging="360"/>
      </w:pPr>
    </w:lvl>
    <w:lvl w:ilvl="3">
      <w:start w:val="175"/>
      <w:numFmt w:val="decimal"/>
      <w:lvlText w:val="(%4)"/>
      <w:lvlJc w:val="left"/>
      <w:pPr>
        <w:ind w:left="2880" w:hanging="360"/>
      </w:pPr>
    </w:lvl>
    <w:lvl w:ilvl="4">
      <w:start w:val="175"/>
      <w:numFmt w:val="decimal"/>
      <w:lvlText w:val="(%5)"/>
      <w:lvlJc w:val="left"/>
      <w:pPr>
        <w:ind w:left="3600" w:hanging="360"/>
      </w:pPr>
    </w:lvl>
    <w:lvl w:ilvl="5">
      <w:start w:val="175"/>
      <w:numFmt w:val="decimal"/>
      <w:lvlText w:val="(%6)"/>
      <w:lvlJc w:val="left"/>
      <w:pPr>
        <w:ind w:left="4320" w:hanging="360"/>
      </w:pPr>
    </w:lvl>
    <w:lvl w:ilvl="6">
      <w:start w:val="175"/>
      <w:numFmt w:val="decimal"/>
      <w:lvlText w:val="(%7)"/>
      <w:lvlJc w:val="left"/>
      <w:pPr>
        <w:ind w:left="5040" w:hanging="360"/>
      </w:pPr>
    </w:lvl>
    <w:lvl w:ilvl="7">
      <w:start w:val="175"/>
      <w:numFmt w:val="decimal"/>
      <w:lvlText w:val="(%8)"/>
      <w:lvlJc w:val="left"/>
      <w:pPr>
        <w:ind w:left="5760" w:hanging="360"/>
      </w:pPr>
    </w:lvl>
    <w:lvl w:ilvl="8">
      <w:start w:val="175"/>
      <w:numFmt w:val="decimal"/>
      <w:lvlText w:val="(%9)"/>
      <w:lvlJc w:val="left"/>
      <w:pPr>
        <w:ind w:left="6480" w:hanging="360"/>
      </w:pPr>
    </w:lvl>
  </w:abstractNum>
  <w:abstractNum w:abstractNumId="994328">
    <w:nsid w:val="0A9943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3986">
    <w:nsid w:val="A9943986"/>
    <w:multiLevelType w:val="multilevel"/>
    <w:lvl w:ilvl="0">
      <w:start w:val="986"/>
      <w:numFmt w:val="decimal"/>
      <w:lvlText w:val="(%1)"/>
      <w:lvlJc w:val="left"/>
      <w:pPr>
        <w:ind w:left="720" w:hanging="360"/>
      </w:pPr>
    </w:lvl>
    <w:lvl w:ilvl="1">
      <w:start w:val="986"/>
      <w:numFmt w:val="decimal"/>
      <w:lvlText w:val="(%2)"/>
      <w:lvlJc w:val="left"/>
      <w:pPr>
        <w:ind w:left="1440" w:hanging="360"/>
      </w:pPr>
    </w:lvl>
    <w:lvl w:ilvl="2">
      <w:start w:val="986"/>
      <w:numFmt w:val="decimal"/>
      <w:lvlText w:val="(%3)"/>
      <w:lvlJc w:val="left"/>
      <w:pPr>
        <w:ind w:left="2160" w:hanging="360"/>
      </w:pPr>
    </w:lvl>
    <w:lvl w:ilvl="3">
      <w:start w:val="986"/>
      <w:numFmt w:val="decimal"/>
      <w:lvlText w:val="(%4)"/>
      <w:lvlJc w:val="left"/>
      <w:pPr>
        <w:ind w:left="2880" w:hanging="360"/>
      </w:pPr>
    </w:lvl>
    <w:lvl w:ilvl="4">
      <w:start w:val="986"/>
      <w:numFmt w:val="decimal"/>
      <w:lvlText w:val="(%5)"/>
      <w:lvlJc w:val="left"/>
      <w:pPr>
        <w:ind w:left="3600" w:hanging="360"/>
      </w:pPr>
    </w:lvl>
    <w:lvl w:ilvl="5">
      <w:start w:val="986"/>
      <w:numFmt w:val="decimal"/>
      <w:lvlText w:val="(%6)"/>
      <w:lvlJc w:val="left"/>
      <w:pPr>
        <w:ind w:left="4320" w:hanging="360"/>
      </w:pPr>
    </w:lvl>
    <w:lvl w:ilvl="6">
      <w:start w:val="986"/>
      <w:numFmt w:val="decimal"/>
      <w:lvlText w:val="(%7)"/>
      <w:lvlJc w:val="left"/>
      <w:pPr>
        <w:ind w:left="5040" w:hanging="360"/>
      </w:pPr>
    </w:lvl>
    <w:lvl w:ilvl="7">
      <w:start w:val="986"/>
      <w:numFmt w:val="decimal"/>
      <w:lvlText w:val="(%8)"/>
      <w:lvlJc w:val="left"/>
      <w:pPr>
        <w:ind w:left="5760" w:hanging="360"/>
      </w:pPr>
    </w:lvl>
    <w:lvl w:ilvl="8">
      <w:start w:val="986"/>
      <w:numFmt w:val="decimal"/>
      <w:lvlText w:val="(%9)"/>
      <w:lvlJc w:val="left"/>
      <w:pPr>
        <w:ind w:left="6480" w:hanging="360"/>
      </w:pPr>
    </w:lvl>
  </w:abstractNum>
  <w:abstractNum w:abstractNumId="9943295">
    <w:nsid w:val="A9943295"/>
    <w:multiLevelType w:val="multilevel"/>
    <w:lvl w:ilvl="0">
      <w:start w:val="295"/>
      <w:numFmt w:val="decimal"/>
      <w:lvlText w:val="(%1)"/>
      <w:lvlJc w:val="left"/>
      <w:pPr>
        <w:ind w:left="720" w:hanging="360"/>
      </w:pPr>
    </w:lvl>
    <w:lvl w:ilvl="1">
      <w:start w:val="295"/>
      <w:numFmt w:val="decimal"/>
      <w:lvlText w:val="(%2)"/>
      <w:lvlJc w:val="left"/>
      <w:pPr>
        <w:ind w:left="1440" w:hanging="360"/>
      </w:pPr>
    </w:lvl>
    <w:lvl w:ilvl="2">
      <w:start w:val="295"/>
      <w:numFmt w:val="decimal"/>
      <w:lvlText w:val="(%3)"/>
      <w:lvlJc w:val="left"/>
      <w:pPr>
        <w:ind w:left="2160" w:hanging="360"/>
      </w:pPr>
    </w:lvl>
    <w:lvl w:ilvl="3">
      <w:start w:val="295"/>
      <w:numFmt w:val="decimal"/>
      <w:lvlText w:val="(%4)"/>
      <w:lvlJc w:val="left"/>
      <w:pPr>
        <w:ind w:left="2880" w:hanging="360"/>
      </w:pPr>
    </w:lvl>
    <w:lvl w:ilvl="4">
      <w:start w:val="295"/>
      <w:numFmt w:val="decimal"/>
      <w:lvlText w:val="(%5)"/>
      <w:lvlJc w:val="left"/>
      <w:pPr>
        <w:ind w:left="3600" w:hanging="360"/>
      </w:pPr>
    </w:lvl>
    <w:lvl w:ilvl="5">
      <w:start w:val="295"/>
      <w:numFmt w:val="decimal"/>
      <w:lvlText w:val="(%6)"/>
      <w:lvlJc w:val="left"/>
      <w:pPr>
        <w:ind w:left="4320" w:hanging="360"/>
      </w:pPr>
    </w:lvl>
    <w:lvl w:ilvl="6">
      <w:start w:val="295"/>
      <w:numFmt w:val="decimal"/>
      <w:lvlText w:val="(%7)"/>
      <w:lvlJc w:val="left"/>
      <w:pPr>
        <w:ind w:left="5040" w:hanging="360"/>
      </w:pPr>
    </w:lvl>
    <w:lvl w:ilvl="7">
      <w:start w:val="295"/>
      <w:numFmt w:val="decimal"/>
      <w:lvlText w:val="(%8)"/>
      <w:lvlJc w:val="left"/>
      <w:pPr>
        <w:ind w:left="5760" w:hanging="360"/>
      </w:pPr>
    </w:lvl>
    <w:lvl w:ilvl="8">
      <w:start w:val="295"/>
      <w:numFmt w:val="decimal"/>
      <w:lvlText w:val="(%9)"/>
      <w:lvlJc w:val="left"/>
      <w:pPr>
        <w:ind w:left="6480" w:hanging="360"/>
      </w:pPr>
    </w:lvl>
  </w:abstractNum>
  <w:abstractNum w:abstractNumId="9943214">
    <w:nsid w:val="A9943214"/>
    <w:multiLevelType w:val="multilevel"/>
    <w:lvl w:ilvl="0">
      <w:start w:val="214"/>
      <w:numFmt w:val="decimal"/>
      <w:lvlText w:val="(%1)"/>
      <w:lvlJc w:val="left"/>
      <w:pPr>
        <w:ind w:left="720" w:hanging="360"/>
      </w:pPr>
    </w:lvl>
    <w:lvl w:ilvl="1">
      <w:start w:val="214"/>
      <w:numFmt w:val="decimal"/>
      <w:lvlText w:val="(%2)"/>
      <w:lvlJc w:val="left"/>
      <w:pPr>
        <w:ind w:left="1440" w:hanging="360"/>
      </w:pPr>
    </w:lvl>
    <w:lvl w:ilvl="2">
      <w:start w:val="214"/>
      <w:numFmt w:val="decimal"/>
      <w:lvlText w:val="(%3)"/>
      <w:lvlJc w:val="left"/>
      <w:pPr>
        <w:ind w:left="2160" w:hanging="360"/>
      </w:pPr>
    </w:lvl>
    <w:lvl w:ilvl="3">
      <w:start w:val="214"/>
      <w:numFmt w:val="decimal"/>
      <w:lvlText w:val="(%4)"/>
      <w:lvlJc w:val="left"/>
      <w:pPr>
        <w:ind w:left="2880" w:hanging="360"/>
      </w:pPr>
    </w:lvl>
    <w:lvl w:ilvl="4">
      <w:start w:val="214"/>
      <w:numFmt w:val="decimal"/>
      <w:lvlText w:val="(%5)"/>
      <w:lvlJc w:val="left"/>
      <w:pPr>
        <w:ind w:left="3600" w:hanging="360"/>
      </w:pPr>
    </w:lvl>
    <w:lvl w:ilvl="5">
      <w:start w:val="214"/>
      <w:numFmt w:val="decimal"/>
      <w:lvlText w:val="(%6)"/>
      <w:lvlJc w:val="left"/>
      <w:pPr>
        <w:ind w:left="4320" w:hanging="360"/>
      </w:pPr>
    </w:lvl>
    <w:lvl w:ilvl="6">
      <w:start w:val="214"/>
      <w:numFmt w:val="decimal"/>
      <w:lvlText w:val="(%7)"/>
      <w:lvlJc w:val="left"/>
      <w:pPr>
        <w:ind w:left="5040" w:hanging="360"/>
      </w:pPr>
    </w:lvl>
    <w:lvl w:ilvl="7">
      <w:start w:val="214"/>
      <w:numFmt w:val="decimal"/>
      <w:lvlText w:val="(%8)"/>
      <w:lvlJc w:val="left"/>
      <w:pPr>
        <w:ind w:left="5760" w:hanging="360"/>
      </w:pPr>
    </w:lvl>
    <w:lvl w:ilvl="8">
      <w:start w:val="21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292">
    <w:nsid w:val="A9943292"/>
    <w:multiLevelType w:val="multilevel"/>
    <w:lvl w:ilvl="0">
      <w:start w:val="292"/>
      <w:numFmt w:val="decimal"/>
      <w:lvlText w:val="(%1)"/>
      <w:lvlJc w:val="left"/>
      <w:pPr>
        <w:ind w:left="720" w:hanging="360"/>
      </w:pPr>
    </w:lvl>
    <w:lvl w:ilvl="1">
      <w:start w:val="292"/>
      <w:numFmt w:val="decimal"/>
      <w:lvlText w:val="(%2)"/>
      <w:lvlJc w:val="left"/>
      <w:pPr>
        <w:ind w:left="1440" w:hanging="360"/>
      </w:pPr>
    </w:lvl>
    <w:lvl w:ilvl="2">
      <w:start w:val="292"/>
      <w:numFmt w:val="decimal"/>
      <w:lvlText w:val="(%3)"/>
      <w:lvlJc w:val="left"/>
      <w:pPr>
        <w:ind w:left="2160" w:hanging="360"/>
      </w:pPr>
    </w:lvl>
    <w:lvl w:ilvl="3">
      <w:start w:val="292"/>
      <w:numFmt w:val="decimal"/>
      <w:lvlText w:val="(%4)"/>
      <w:lvlJc w:val="left"/>
      <w:pPr>
        <w:ind w:left="2880" w:hanging="360"/>
      </w:pPr>
    </w:lvl>
    <w:lvl w:ilvl="4">
      <w:start w:val="292"/>
      <w:numFmt w:val="decimal"/>
      <w:lvlText w:val="(%5)"/>
      <w:lvlJc w:val="left"/>
      <w:pPr>
        <w:ind w:left="3600" w:hanging="360"/>
      </w:pPr>
    </w:lvl>
    <w:lvl w:ilvl="5">
      <w:start w:val="292"/>
      <w:numFmt w:val="decimal"/>
      <w:lvlText w:val="(%6)"/>
      <w:lvlJc w:val="left"/>
      <w:pPr>
        <w:ind w:left="4320" w:hanging="360"/>
      </w:pPr>
    </w:lvl>
    <w:lvl w:ilvl="6">
      <w:start w:val="292"/>
      <w:numFmt w:val="decimal"/>
      <w:lvlText w:val="(%7)"/>
      <w:lvlJc w:val="left"/>
      <w:pPr>
        <w:ind w:left="5040" w:hanging="360"/>
      </w:pPr>
    </w:lvl>
    <w:lvl w:ilvl="7">
      <w:start w:val="292"/>
      <w:numFmt w:val="decimal"/>
      <w:lvlText w:val="(%8)"/>
      <w:lvlJc w:val="left"/>
      <w:pPr>
        <w:ind w:left="5760" w:hanging="360"/>
      </w:pPr>
    </w:lvl>
    <w:lvl w:ilvl="8">
      <w:start w:val="292"/>
      <w:numFmt w:val="decimal"/>
      <w:lvlText w:val="(%9)"/>
      <w:lvlJc w:val="left"/>
      <w:pPr>
        <w:ind w:left="6480" w:hanging="360"/>
      </w:pPr>
    </w:lvl>
  </w:abstractNum>
  <w:abstractNum w:abstractNumId="9943461">
    <w:nsid w:val="A9943461"/>
    <w:multiLevelType w:val="multilevel"/>
    <w:lvl w:ilvl="0">
      <w:start w:val="461"/>
      <w:numFmt w:val="decimal"/>
      <w:lvlText w:val="(%1)"/>
      <w:lvlJc w:val="left"/>
      <w:pPr>
        <w:ind w:left="720" w:hanging="360"/>
      </w:pPr>
    </w:lvl>
    <w:lvl w:ilvl="1">
      <w:start w:val="461"/>
      <w:numFmt w:val="decimal"/>
      <w:lvlText w:val="(%2)"/>
      <w:lvlJc w:val="left"/>
      <w:pPr>
        <w:ind w:left="1440" w:hanging="360"/>
      </w:pPr>
    </w:lvl>
    <w:lvl w:ilvl="2">
      <w:start w:val="461"/>
      <w:numFmt w:val="decimal"/>
      <w:lvlText w:val="(%3)"/>
      <w:lvlJc w:val="left"/>
      <w:pPr>
        <w:ind w:left="2160" w:hanging="360"/>
      </w:pPr>
    </w:lvl>
    <w:lvl w:ilvl="3">
      <w:start w:val="461"/>
      <w:numFmt w:val="decimal"/>
      <w:lvlText w:val="(%4)"/>
      <w:lvlJc w:val="left"/>
      <w:pPr>
        <w:ind w:left="2880" w:hanging="360"/>
      </w:pPr>
    </w:lvl>
    <w:lvl w:ilvl="4">
      <w:start w:val="461"/>
      <w:numFmt w:val="decimal"/>
      <w:lvlText w:val="(%5)"/>
      <w:lvlJc w:val="left"/>
      <w:pPr>
        <w:ind w:left="3600" w:hanging="360"/>
      </w:pPr>
    </w:lvl>
    <w:lvl w:ilvl="5">
      <w:start w:val="461"/>
      <w:numFmt w:val="decimal"/>
      <w:lvlText w:val="(%6)"/>
      <w:lvlJc w:val="left"/>
      <w:pPr>
        <w:ind w:left="4320" w:hanging="360"/>
      </w:pPr>
    </w:lvl>
    <w:lvl w:ilvl="6">
      <w:start w:val="461"/>
      <w:numFmt w:val="decimal"/>
      <w:lvlText w:val="(%7)"/>
      <w:lvlJc w:val="left"/>
      <w:pPr>
        <w:ind w:left="5040" w:hanging="360"/>
      </w:pPr>
    </w:lvl>
    <w:lvl w:ilvl="7">
      <w:start w:val="461"/>
      <w:numFmt w:val="decimal"/>
      <w:lvlText w:val="(%8)"/>
      <w:lvlJc w:val="left"/>
      <w:pPr>
        <w:ind w:left="5760" w:hanging="360"/>
      </w:pPr>
    </w:lvl>
    <w:lvl w:ilvl="8">
      <w:start w:val="46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55">
    <w:nsid w:val="0A994355"/>
    <w:multiLevelType w:val="multilevel"/>
    <w:lvl w:ilvl="0">
      <w:start w:val="55"/>
      <w:numFmt w:val="decimal"/>
      <w:lvlText w:val="(%1)"/>
      <w:lvlJc w:val="left"/>
      <w:pPr>
        <w:ind w:left="720" w:hanging="360"/>
      </w:pPr>
    </w:lvl>
    <w:lvl w:ilvl="1">
      <w:start w:val="55"/>
      <w:numFmt w:val="decimal"/>
      <w:lvlText w:val="(%2)"/>
      <w:lvlJc w:val="left"/>
      <w:pPr>
        <w:ind w:left="1440" w:hanging="360"/>
      </w:pPr>
    </w:lvl>
    <w:lvl w:ilvl="2">
      <w:start w:val="55"/>
      <w:numFmt w:val="decimal"/>
      <w:lvlText w:val="(%3)"/>
      <w:lvlJc w:val="left"/>
      <w:pPr>
        <w:ind w:left="2160" w:hanging="360"/>
      </w:pPr>
    </w:lvl>
    <w:lvl w:ilvl="3">
      <w:start w:val="55"/>
      <w:numFmt w:val="decimal"/>
      <w:lvlText w:val="(%4)"/>
      <w:lvlJc w:val="left"/>
      <w:pPr>
        <w:ind w:left="2880" w:hanging="360"/>
      </w:pPr>
    </w:lvl>
    <w:lvl w:ilvl="4">
      <w:start w:val="55"/>
      <w:numFmt w:val="decimal"/>
      <w:lvlText w:val="(%5)"/>
      <w:lvlJc w:val="left"/>
      <w:pPr>
        <w:ind w:left="3600" w:hanging="360"/>
      </w:pPr>
    </w:lvl>
    <w:lvl w:ilvl="5">
      <w:start w:val="55"/>
      <w:numFmt w:val="decimal"/>
      <w:lvlText w:val="(%6)"/>
      <w:lvlJc w:val="left"/>
      <w:pPr>
        <w:ind w:left="4320" w:hanging="360"/>
      </w:pPr>
    </w:lvl>
    <w:lvl w:ilvl="6">
      <w:start w:val="55"/>
      <w:numFmt w:val="decimal"/>
      <w:lvlText w:val="(%7)"/>
      <w:lvlJc w:val="left"/>
      <w:pPr>
        <w:ind w:left="5040" w:hanging="360"/>
      </w:pPr>
    </w:lvl>
    <w:lvl w:ilvl="7">
      <w:start w:val="55"/>
      <w:numFmt w:val="decimal"/>
      <w:lvlText w:val="(%8)"/>
      <w:lvlJc w:val="left"/>
      <w:pPr>
        <w:ind w:left="5760" w:hanging="360"/>
      </w:pPr>
    </w:lvl>
    <w:lvl w:ilvl="8">
      <w:start w:val="55"/>
      <w:numFmt w:val="decimal"/>
      <w:lvlText w:val="(%9)"/>
      <w:lvlJc w:val="left"/>
      <w:pPr>
        <w:ind w:left="6480" w:hanging="360"/>
      </w:pPr>
    </w:lvl>
  </w:abstractNum>
  <w:abstractNum w:abstractNumId="9943305">
    <w:nsid w:val="A9943305"/>
    <w:multiLevelType w:val="multilevel"/>
    <w:lvl w:ilvl="0">
      <w:start w:val="305"/>
      <w:numFmt w:val="decimal"/>
      <w:lvlText w:val="(%1)"/>
      <w:lvlJc w:val="left"/>
      <w:pPr>
        <w:ind w:left="720" w:hanging="360"/>
      </w:pPr>
    </w:lvl>
    <w:lvl w:ilvl="1">
      <w:start w:val="305"/>
      <w:numFmt w:val="decimal"/>
      <w:lvlText w:val="(%2)"/>
      <w:lvlJc w:val="left"/>
      <w:pPr>
        <w:ind w:left="1440" w:hanging="360"/>
      </w:pPr>
    </w:lvl>
    <w:lvl w:ilvl="2">
      <w:start w:val="305"/>
      <w:numFmt w:val="decimal"/>
      <w:lvlText w:val="(%3)"/>
      <w:lvlJc w:val="left"/>
      <w:pPr>
        <w:ind w:left="2160" w:hanging="360"/>
      </w:pPr>
    </w:lvl>
    <w:lvl w:ilvl="3">
      <w:start w:val="305"/>
      <w:numFmt w:val="decimal"/>
      <w:lvlText w:val="(%4)"/>
      <w:lvlJc w:val="left"/>
      <w:pPr>
        <w:ind w:left="2880" w:hanging="360"/>
      </w:pPr>
    </w:lvl>
    <w:lvl w:ilvl="4">
      <w:start w:val="305"/>
      <w:numFmt w:val="decimal"/>
      <w:lvlText w:val="(%5)"/>
      <w:lvlJc w:val="left"/>
      <w:pPr>
        <w:ind w:left="3600" w:hanging="360"/>
      </w:pPr>
    </w:lvl>
    <w:lvl w:ilvl="5">
      <w:start w:val="305"/>
      <w:numFmt w:val="decimal"/>
      <w:lvlText w:val="(%6)"/>
      <w:lvlJc w:val="left"/>
      <w:pPr>
        <w:ind w:left="4320" w:hanging="360"/>
      </w:pPr>
    </w:lvl>
    <w:lvl w:ilvl="6">
      <w:start w:val="305"/>
      <w:numFmt w:val="decimal"/>
      <w:lvlText w:val="(%7)"/>
      <w:lvlJc w:val="left"/>
      <w:pPr>
        <w:ind w:left="5040" w:hanging="360"/>
      </w:pPr>
    </w:lvl>
    <w:lvl w:ilvl="7">
      <w:start w:val="305"/>
      <w:numFmt w:val="decimal"/>
      <w:lvlText w:val="(%8)"/>
      <w:lvlJc w:val="left"/>
      <w:pPr>
        <w:ind w:left="5760" w:hanging="360"/>
      </w:pPr>
    </w:lvl>
    <w:lvl w:ilvl="8">
      <w:start w:val="305"/>
      <w:numFmt w:val="decimal"/>
      <w:lvlText w:val="(%9)"/>
      <w:lvlJc w:val="left"/>
      <w:pPr>
        <w:ind w:left="6480" w:hanging="360"/>
      </w:pPr>
    </w:lvl>
  </w:abstractNum>
  <w:abstractNum w:abstractNumId="994315">
    <w:nsid w:val="0A9943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203">
    <w:nsid w:val="A9943203"/>
    <w:multiLevelType w:val="multilevel"/>
    <w:lvl w:ilvl="0">
      <w:start w:val="203"/>
      <w:numFmt w:val="decimal"/>
      <w:lvlText w:val="(%1)"/>
      <w:lvlJc w:val="left"/>
      <w:pPr>
        <w:ind w:left="720" w:hanging="360"/>
      </w:pPr>
    </w:lvl>
    <w:lvl w:ilvl="1">
      <w:start w:val="203"/>
      <w:numFmt w:val="decimal"/>
      <w:lvlText w:val="(%2)"/>
      <w:lvlJc w:val="left"/>
      <w:pPr>
        <w:ind w:left="1440" w:hanging="360"/>
      </w:pPr>
    </w:lvl>
    <w:lvl w:ilvl="2">
      <w:start w:val="203"/>
      <w:numFmt w:val="decimal"/>
      <w:lvlText w:val="(%3)"/>
      <w:lvlJc w:val="left"/>
      <w:pPr>
        <w:ind w:left="2160" w:hanging="360"/>
      </w:pPr>
    </w:lvl>
    <w:lvl w:ilvl="3">
      <w:start w:val="203"/>
      <w:numFmt w:val="decimal"/>
      <w:lvlText w:val="(%4)"/>
      <w:lvlJc w:val="left"/>
      <w:pPr>
        <w:ind w:left="2880" w:hanging="360"/>
      </w:pPr>
    </w:lvl>
    <w:lvl w:ilvl="4">
      <w:start w:val="203"/>
      <w:numFmt w:val="decimal"/>
      <w:lvlText w:val="(%5)"/>
      <w:lvlJc w:val="left"/>
      <w:pPr>
        <w:ind w:left="3600" w:hanging="360"/>
      </w:pPr>
    </w:lvl>
    <w:lvl w:ilvl="5">
      <w:start w:val="203"/>
      <w:numFmt w:val="decimal"/>
      <w:lvlText w:val="(%6)"/>
      <w:lvlJc w:val="left"/>
      <w:pPr>
        <w:ind w:left="4320" w:hanging="360"/>
      </w:pPr>
    </w:lvl>
    <w:lvl w:ilvl="6">
      <w:start w:val="203"/>
      <w:numFmt w:val="decimal"/>
      <w:lvlText w:val="(%7)"/>
      <w:lvlJc w:val="left"/>
      <w:pPr>
        <w:ind w:left="5040" w:hanging="360"/>
      </w:pPr>
    </w:lvl>
    <w:lvl w:ilvl="7">
      <w:start w:val="203"/>
      <w:numFmt w:val="decimal"/>
      <w:lvlText w:val="(%8)"/>
      <w:lvlJc w:val="left"/>
      <w:pPr>
        <w:ind w:left="5760" w:hanging="360"/>
      </w:pPr>
    </w:lvl>
    <w:lvl w:ilvl="8">
      <w:start w:val="203"/>
      <w:numFmt w:val="decimal"/>
      <w:lvlText w:val="(%9)"/>
      <w:lvlJc w:val="left"/>
      <w:pPr>
        <w:ind w:left="6480" w:hanging="360"/>
      </w:pPr>
    </w:lvl>
  </w:abstractNum>
  <w:abstractNum w:abstractNumId="9943760">
    <w:nsid w:val="A9943760"/>
    <w:multiLevelType w:val="multilevel"/>
    <w:lvl w:ilvl="0">
      <w:start w:val="760"/>
      <w:numFmt w:val="decimal"/>
      <w:lvlText w:val="(%1)"/>
      <w:lvlJc w:val="left"/>
      <w:pPr>
        <w:ind w:left="720" w:hanging="360"/>
      </w:pPr>
    </w:lvl>
    <w:lvl w:ilvl="1">
      <w:start w:val="760"/>
      <w:numFmt w:val="decimal"/>
      <w:lvlText w:val="(%2)"/>
      <w:lvlJc w:val="left"/>
      <w:pPr>
        <w:ind w:left="1440" w:hanging="360"/>
      </w:pPr>
    </w:lvl>
    <w:lvl w:ilvl="2">
      <w:start w:val="760"/>
      <w:numFmt w:val="decimal"/>
      <w:lvlText w:val="(%3)"/>
      <w:lvlJc w:val="left"/>
      <w:pPr>
        <w:ind w:left="2160" w:hanging="360"/>
      </w:pPr>
    </w:lvl>
    <w:lvl w:ilvl="3">
      <w:start w:val="760"/>
      <w:numFmt w:val="decimal"/>
      <w:lvlText w:val="(%4)"/>
      <w:lvlJc w:val="left"/>
      <w:pPr>
        <w:ind w:left="2880" w:hanging="360"/>
      </w:pPr>
    </w:lvl>
    <w:lvl w:ilvl="4">
      <w:start w:val="760"/>
      <w:numFmt w:val="decimal"/>
      <w:lvlText w:val="(%5)"/>
      <w:lvlJc w:val="left"/>
      <w:pPr>
        <w:ind w:left="3600" w:hanging="360"/>
      </w:pPr>
    </w:lvl>
    <w:lvl w:ilvl="5">
      <w:start w:val="760"/>
      <w:numFmt w:val="decimal"/>
      <w:lvlText w:val="(%6)"/>
      <w:lvlJc w:val="left"/>
      <w:pPr>
        <w:ind w:left="4320" w:hanging="360"/>
      </w:pPr>
    </w:lvl>
    <w:lvl w:ilvl="6">
      <w:start w:val="760"/>
      <w:numFmt w:val="decimal"/>
      <w:lvlText w:val="(%7)"/>
      <w:lvlJc w:val="left"/>
      <w:pPr>
        <w:ind w:left="5040" w:hanging="360"/>
      </w:pPr>
    </w:lvl>
    <w:lvl w:ilvl="7">
      <w:start w:val="760"/>
      <w:numFmt w:val="decimal"/>
      <w:lvlText w:val="(%8)"/>
      <w:lvlJc w:val="left"/>
      <w:pPr>
        <w:ind w:left="5760" w:hanging="360"/>
      </w:pPr>
    </w:lvl>
    <w:lvl w:ilvl="8">
      <w:start w:val="760"/>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141">
    <w:nsid w:val="A9943141"/>
    <w:multiLevelType w:val="multilevel"/>
    <w:lvl w:ilvl="0">
      <w:start w:val="141"/>
      <w:numFmt w:val="decimal"/>
      <w:lvlText w:val="(%1)"/>
      <w:lvlJc w:val="left"/>
      <w:pPr>
        <w:ind w:left="720" w:hanging="360"/>
      </w:pPr>
    </w:lvl>
    <w:lvl w:ilvl="1">
      <w:start w:val="141"/>
      <w:numFmt w:val="decimal"/>
      <w:lvlText w:val="(%2)"/>
      <w:lvlJc w:val="left"/>
      <w:pPr>
        <w:ind w:left="1440" w:hanging="360"/>
      </w:pPr>
    </w:lvl>
    <w:lvl w:ilvl="2">
      <w:start w:val="141"/>
      <w:numFmt w:val="decimal"/>
      <w:lvlText w:val="(%3)"/>
      <w:lvlJc w:val="left"/>
      <w:pPr>
        <w:ind w:left="2160" w:hanging="360"/>
      </w:pPr>
    </w:lvl>
    <w:lvl w:ilvl="3">
      <w:start w:val="141"/>
      <w:numFmt w:val="decimal"/>
      <w:lvlText w:val="(%4)"/>
      <w:lvlJc w:val="left"/>
      <w:pPr>
        <w:ind w:left="2880" w:hanging="360"/>
      </w:pPr>
    </w:lvl>
    <w:lvl w:ilvl="4">
      <w:start w:val="141"/>
      <w:numFmt w:val="decimal"/>
      <w:lvlText w:val="(%5)"/>
      <w:lvlJc w:val="left"/>
      <w:pPr>
        <w:ind w:left="3600" w:hanging="360"/>
      </w:pPr>
    </w:lvl>
    <w:lvl w:ilvl="5">
      <w:start w:val="141"/>
      <w:numFmt w:val="decimal"/>
      <w:lvlText w:val="(%6)"/>
      <w:lvlJc w:val="left"/>
      <w:pPr>
        <w:ind w:left="4320" w:hanging="360"/>
      </w:pPr>
    </w:lvl>
    <w:lvl w:ilvl="6">
      <w:start w:val="141"/>
      <w:numFmt w:val="decimal"/>
      <w:lvlText w:val="(%7)"/>
      <w:lvlJc w:val="left"/>
      <w:pPr>
        <w:ind w:left="5040" w:hanging="360"/>
      </w:pPr>
    </w:lvl>
    <w:lvl w:ilvl="7">
      <w:start w:val="141"/>
      <w:numFmt w:val="decimal"/>
      <w:lvlText w:val="(%8)"/>
      <w:lvlJc w:val="left"/>
      <w:pPr>
        <w:ind w:left="5760" w:hanging="360"/>
      </w:pPr>
    </w:lvl>
    <w:lvl w:ilvl="8">
      <w:start w:val="141"/>
      <w:numFmt w:val="decimal"/>
      <w:lvlText w:val="(%9)"/>
      <w:lvlJc w:val="left"/>
      <w:pPr>
        <w:ind w:left="6480" w:hanging="360"/>
      </w:pPr>
    </w:lvl>
  </w:abstractNum>
  <w:abstractNum w:abstractNumId="994376">
    <w:nsid w:val="0A994376"/>
    <w:multiLevelType w:val="multilevel"/>
    <w:lvl w:ilvl="0">
      <w:start w:val="76"/>
      <w:numFmt w:val="decimal"/>
      <w:lvlText w:val="(%1)"/>
      <w:lvlJc w:val="left"/>
      <w:pPr>
        <w:ind w:left="720" w:hanging="360"/>
      </w:pPr>
    </w:lvl>
    <w:lvl w:ilvl="1">
      <w:start w:val="76"/>
      <w:numFmt w:val="decimal"/>
      <w:lvlText w:val="(%2)"/>
      <w:lvlJc w:val="left"/>
      <w:pPr>
        <w:ind w:left="1440" w:hanging="360"/>
      </w:pPr>
    </w:lvl>
    <w:lvl w:ilvl="2">
      <w:start w:val="76"/>
      <w:numFmt w:val="decimal"/>
      <w:lvlText w:val="(%3)"/>
      <w:lvlJc w:val="left"/>
      <w:pPr>
        <w:ind w:left="2160" w:hanging="360"/>
      </w:pPr>
    </w:lvl>
    <w:lvl w:ilvl="3">
      <w:start w:val="76"/>
      <w:numFmt w:val="decimal"/>
      <w:lvlText w:val="(%4)"/>
      <w:lvlJc w:val="left"/>
      <w:pPr>
        <w:ind w:left="2880" w:hanging="360"/>
      </w:pPr>
    </w:lvl>
    <w:lvl w:ilvl="4">
      <w:start w:val="76"/>
      <w:numFmt w:val="decimal"/>
      <w:lvlText w:val="(%5)"/>
      <w:lvlJc w:val="left"/>
      <w:pPr>
        <w:ind w:left="3600" w:hanging="360"/>
      </w:pPr>
    </w:lvl>
    <w:lvl w:ilvl="5">
      <w:start w:val="76"/>
      <w:numFmt w:val="decimal"/>
      <w:lvlText w:val="(%6)"/>
      <w:lvlJc w:val="left"/>
      <w:pPr>
        <w:ind w:left="4320" w:hanging="360"/>
      </w:pPr>
    </w:lvl>
    <w:lvl w:ilvl="6">
      <w:start w:val="76"/>
      <w:numFmt w:val="decimal"/>
      <w:lvlText w:val="(%7)"/>
      <w:lvlJc w:val="left"/>
      <w:pPr>
        <w:ind w:left="5040" w:hanging="360"/>
      </w:pPr>
    </w:lvl>
    <w:lvl w:ilvl="7">
      <w:start w:val="76"/>
      <w:numFmt w:val="decimal"/>
      <w:lvlText w:val="(%8)"/>
      <w:lvlJc w:val="left"/>
      <w:pPr>
        <w:ind w:left="5760" w:hanging="360"/>
      </w:pPr>
    </w:lvl>
    <w:lvl w:ilvl="8">
      <w:start w:val="76"/>
      <w:numFmt w:val="decimal"/>
      <w:lvlText w:val="(%9)"/>
      <w:lvlJc w:val="left"/>
      <w:pPr>
        <w:ind w:left="6480" w:hanging="360"/>
      </w:pPr>
    </w:lvl>
  </w:abstractNum>
  <w:abstractNum w:abstractNumId="9943152">
    <w:nsid w:val="A9943152"/>
    <w:multiLevelType w:val="multilevel"/>
    <w:lvl w:ilvl="0">
      <w:start w:val="152"/>
      <w:numFmt w:val="decimal"/>
      <w:lvlText w:val="(%1)"/>
      <w:lvlJc w:val="left"/>
      <w:pPr>
        <w:ind w:left="720" w:hanging="360"/>
      </w:pPr>
    </w:lvl>
    <w:lvl w:ilvl="1">
      <w:start w:val="152"/>
      <w:numFmt w:val="decimal"/>
      <w:lvlText w:val="(%2)"/>
      <w:lvlJc w:val="left"/>
      <w:pPr>
        <w:ind w:left="1440" w:hanging="360"/>
      </w:pPr>
    </w:lvl>
    <w:lvl w:ilvl="2">
      <w:start w:val="152"/>
      <w:numFmt w:val="decimal"/>
      <w:lvlText w:val="(%3)"/>
      <w:lvlJc w:val="left"/>
      <w:pPr>
        <w:ind w:left="2160" w:hanging="360"/>
      </w:pPr>
    </w:lvl>
    <w:lvl w:ilvl="3">
      <w:start w:val="152"/>
      <w:numFmt w:val="decimal"/>
      <w:lvlText w:val="(%4)"/>
      <w:lvlJc w:val="left"/>
      <w:pPr>
        <w:ind w:left="2880" w:hanging="360"/>
      </w:pPr>
    </w:lvl>
    <w:lvl w:ilvl="4">
      <w:start w:val="152"/>
      <w:numFmt w:val="decimal"/>
      <w:lvlText w:val="(%5)"/>
      <w:lvlJc w:val="left"/>
      <w:pPr>
        <w:ind w:left="3600" w:hanging="360"/>
      </w:pPr>
    </w:lvl>
    <w:lvl w:ilvl="5">
      <w:start w:val="152"/>
      <w:numFmt w:val="decimal"/>
      <w:lvlText w:val="(%6)"/>
      <w:lvlJc w:val="left"/>
      <w:pPr>
        <w:ind w:left="4320" w:hanging="360"/>
      </w:pPr>
    </w:lvl>
    <w:lvl w:ilvl="6">
      <w:start w:val="152"/>
      <w:numFmt w:val="decimal"/>
      <w:lvlText w:val="(%7)"/>
      <w:lvlJc w:val="left"/>
      <w:pPr>
        <w:ind w:left="5040" w:hanging="360"/>
      </w:pPr>
    </w:lvl>
    <w:lvl w:ilvl="7">
      <w:start w:val="152"/>
      <w:numFmt w:val="decimal"/>
      <w:lvlText w:val="(%8)"/>
      <w:lvlJc w:val="left"/>
      <w:pPr>
        <w:ind w:left="5760" w:hanging="360"/>
      </w:pPr>
    </w:lvl>
    <w:lvl w:ilvl="8">
      <w:start w:val="152"/>
      <w:numFmt w:val="decimal"/>
      <w:lvlText w:val="(%9)"/>
      <w:lvlJc w:val="left"/>
      <w:pPr>
        <w:ind w:left="6480" w:hanging="360"/>
      </w:pPr>
    </w:lvl>
  </w:abstractNum>
  <w:abstractNum w:abstractNumId="9943432">
    <w:nsid w:val="A9943432"/>
    <w:multiLevelType w:val="multilevel"/>
    <w:lvl w:ilvl="0">
      <w:start w:val="432"/>
      <w:numFmt w:val="decimal"/>
      <w:lvlText w:val="(%1)"/>
      <w:lvlJc w:val="left"/>
      <w:pPr>
        <w:ind w:left="720" w:hanging="360"/>
      </w:pPr>
    </w:lvl>
    <w:lvl w:ilvl="1">
      <w:start w:val="432"/>
      <w:numFmt w:val="decimal"/>
      <w:lvlText w:val="(%2)"/>
      <w:lvlJc w:val="left"/>
      <w:pPr>
        <w:ind w:left="1440" w:hanging="360"/>
      </w:pPr>
    </w:lvl>
    <w:lvl w:ilvl="2">
      <w:start w:val="432"/>
      <w:numFmt w:val="decimal"/>
      <w:lvlText w:val="(%3)"/>
      <w:lvlJc w:val="left"/>
      <w:pPr>
        <w:ind w:left="2160" w:hanging="360"/>
      </w:pPr>
    </w:lvl>
    <w:lvl w:ilvl="3">
      <w:start w:val="432"/>
      <w:numFmt w:val="decimal"/>
      <w:lvlText w:val="(%4)"/>
      <w:lvlJc w:val="left"/>
      <w:pPr>
        <w:ind w:left="2880" w:hanging="360"/>
      </w:pPr>
    </w:lvl>
    <w:lvl w:ilvl="4">
      <w:start w:val="432"/>
      <w:numFmt w:val="decimal"/>
      <w:lvlText w:val="(%5)"/>
      <w:lvlJc w:val="left"/>
      <w:pPr>
        <w:ind w:left="3600" w:hanging="360"/>
      </w:pPr>
    </w:lvl>
    <w:lvl w:ilvl="5">
      <w:start w:val="432"/>
      <w:numFmt w:val="decimal"/>
      <w:lvlText w:val="(%6)"/>
      <w:lvlJc w:val="left"/>
      <w:pPr>
        <w:ind w:left="4320" w:hanging="360"/>
      </w:pPr>
    </w:lvl>
    <w:lvl w:ilvl="6">
      <w:start w:val="432"/>
      <w:numFmt w:val="decimal"/>
      <w:lvlText w:val="(%7)"/>
      <w:lvlJc w:val="left"/>
      <w:pPr>
        <w:ind w:left="5040" w:hanging="360"/>
      </w:pPr>
    </w:lvl>
    <w:lvl w:ilvl="7">
      <w:start w:val="432"/>
      <w:numFmt w:val="decimal"/>
      <w:lvlText w:val="(%8)"/>
      <w:lvlJc w:val="left"/>
      <w:pPr>
        <w:ind w:left="5760" w:hanging="360"/>
      </w:pPr>
    </w:lvl>
    <w:lvl w:ilvl="8">
      <w:start w:val="432"/>
      <w:numFmt w:val="decimal"/>
      <w:lvlText w:val="(%9)"/>
      <w:lvlJc w:val="left"/>
      <w:pPr>
        <w:ind w:left="6480" w:hanging="360"/>
      </w:pPr>
    </w:lvl>
  </w:abstractNum>
  <w:abstractNum w:abstractNumId="9943128">
    <w:nsid w:val="A9943128"/>
    <w:multiLevelType w:val="multilevel"/>
    <w:lvl w:ilvl="0">
      <w:start w:val="128"/>
      <w:numFmt w:val="decimal"/>
      <w:lvlText w:val="(%1)"/>
      <w:lvlJc w:val="left"/>
      <w:pPr>
        <w:ind w:left="720" w:hanging="360"/>
      </w:pPr>
    </w:lvl>
    <w:lvl w:ilvl="1">
      <w:start w:val="128"/>
      <w:numFmt w:val="decimal"/>
      <w:lvlText w:val="(%2)"/>
      <w:lvlJc w:val="left"/>
      <w:pPr>
        <w:ind w:left="1440" w:hanging="360"/>
      </w:pPr>
    </w:lvl>
    <w:lvl w:ilvl="2">
      <w:start w:val="128"/>
      <w:numFmt w:val="decimal"/>
      <w:lvlText w:val="(%3)"/>
      <w:lvlJc w:val="left"/>
      <w:pPr>
        <w:ind w:left="2160" w:hanging="360"/>
      </w:pPr>
    </w:lvl>
    <w:lvl w:ilvl="3">
      <w:start w:val="128"/>
      <w:numFmt w:val="decimal"/>
      <w:lvlText w:val="(%4)"/>
      <w:lvlJc w:val="left"/>
      <w:pPr>
        <w:ind w:left="2880" w:hanging="360"/>
      </w:pPr>
    </w:lvl>
    <w:lvl w:ilvl="4">
      <w:start w:val="128"/>
      <w:numFmt w:val="decimal"/>
      <w:lvlText w:val="(%5)"/>
      <w:lvlJc w:val="left"/>
      <w:pPr>
        <w:ind w:left="3600" w:hanging="360"/>
      </w:pPr>
    </w:lvl>
    <w:lvl w:ilvl="5">
      <w:start w:val="128"/>
      <w:numFmt w:val="decimal"/>
      <w:lvlText w:val="(%6)"/>
      <w:lvlJc w:val="left"/>
      <w:pPr>
        <w:ind w:left="4320" w:hanging="360"/>
      </w:pPr>
    </w:lvl>
    <w:lvl w:ilvl="6">
      <w:start w:val="128"/>
      <w:numFmt w:val="decimal"/>
      <w:lvlText w:val="(%7)"/>
      <w:lvlJc w:val="left"/>
      <w:pPr>
        <w:ind w:left="5040" w:hanging="360"/>
      </w:pPr>
    </w:lvl>
    <w:lvl w:ilvl="7">
      <w:start w:val="128"/>
      <w:numFmt w:val="decimal"/>
      <w:lvlText w:val="(%8)"/>
      <w:lvlJc w:val="left"/>
      <w:pPr>
        <w:ind w:left="5760" w:hanging="360"/>
      </w:pPr>
    </w:lvl>
    <w:lvl w:ilvl="8">
      <w:start w:val="128"/>
      <w:numFmt w:val="decimal"/>
      <w:lvlText w:val="(%9)"/>
      <w:lvlJc w:val="left"/>
      <w:pPr>
        <w:ind w:left="6480" w:hanging="360"/>
      </w:pPr>
    </w:lvl>
  </w:abstractNum>
  <w:abstractNum w:abstractNumId="9943202">
    <w:nsid w:val="A9943202"/>
    <w:multiLevelType w:val="multilevel"/>
    <w:lvl w:ilvl="0">
      <w:start w:val="202"/>
      <w:numFmt w:val="decimal"/>
      <w:lvlText w:val="(%1)"/>
      <w:lvlJc w:val="left"/>
      <w:pPr>
        <w:ind w:left="720" w:hanging="360"/>
      </w:pPr>
    </w:lvl>
    <w:lvl w:ilvl="1">
      <w:start w:val="202"/>
      <w:numFmt w:val="decimal"/>
      <w:lvlText w:val="(%2)"/>
      <w:lvlJc w:val="left"/>
      <w:pPr>
        <w:ind w:left="1440" w:hanging="360"/>
      </w:pPr>
    </w:lvl>
    <w:lvl w:ilvl="2">
      <w:start w:val="202"/>
      <w:numFmt w:val="decimal"/>
      <w:lvlText w:val="(%3)"/>
      <w:lvlJc w:val="left"/>
      <w:pPr>
        <w:ind w:left="2160" w:hanging="360"/>
      </w:pPr>
    </w:lvl>
    <w:lvl w:ilvl="3">
      <w:start w:val="202"/>
      <w:numFmt w:val="decimal"/>
      <w:lvlText w:val="(%4)"/>
      <w:lvlJc w:val="left"/>
      <w:pPr>
        <w:ind w:left="2880" w:hanging="360"/>
      </w:pPr>
    </w:lvl>
    <w:lvl w:ilvl="4">
      <w:start w:val="202"/>
      <w:numFmt w:val="decimal"/>
      <w:lvlText w:val="(%5)"/>
      <w:lvlJc w:val="left"/>
      <w:pPr>
        <w:ind w:left="3600" w:hanging="360"/>
      </w:pPr>
    </w:lvl>
    <w:lvl w:ilvl="5">
      <w:start w:val="202"/>
      <w:numFmt w:val="decimal"/>
      <w:lvlText w:val="(%6)"/>
      <w:lvlJc w:val="left"/>
      <w:pPr>
        <w:ind w:left="4320" w:hanging="360"/>
      </w:pPr>
    </w:lvl>
    <w:lvl w:ilvl="6">
      <w:start w:val="202"/>
      <w:numFmt w:val="decimal"/>
      <w:lvlText w:val="(%7)"/>
      <w:lvlJc w:val="left"/>
      <w:pPr>
        <w:ind w:left="5040" w:hanging="360"/>
      </w:pPr>
    </w:lvl>
    <w:lvl w:ilvl="7">
      <w:start w:val="202"/>
      <w:numFmt w:val="decimal"/>
      <w:lvlText w:val="(%8)"/>
      <w:lvlJc w:val="left"/>
      <w:pPr>
        <w:ind w:left="5760" w:hanging="360"/>
      </w:pPr>
    </w:lvl>
    <w:lvl w:ilvl="8">
      <w:start w:val="202"/>
      <w:numFmt w:val="decimal"/>
      <w:lvlText w:val="(%9)"/>
      <w:lvlJc w:val="left"/>
      <w:pPr>
        <w:ind w:left="6480" w:hanging="360"/>
      </w:pPr>
    </w:lvl>
  </w:abstractNum>
  <w:abstractNum w:abstractNumId="9943929">
    <w:nsid w:val="A9943929"/>
    <w:multiLevelType w:val="multilevel"/>
    <w:lvl w:ilvl="0">
      <w:start w:val="929"/>
      <w:numFmt w:val="decimal"/>
      <w:lvlText w:val="(%1)"/>
      <w:lvlJc w:val="left"/>
      <w:pPr>
        <w:ind w:left="720" w:hanging="360"/>
      </w:pPr>
    </w:lvl>
    <w:lvl w:ilvl="1">
      <w:start w:val="929"/>
      <w:numFmt w:val="decimal"/>
      <w:lvlText w:val="(%2)"/>
      <w:lvlJc w:val="left"/>
      <w:pPr>
        <w:ind w:left="1440" w:hanging="360"/>
      </w:pPr>
    </w:lvl>
    <w:lvl w:ilvl="2">
      <w:start w:val="929"/>
      <w:numFmt w:val="decimal"/>
      <w:lvlText w:val="(%3)"/>
      <w:lvlJc w:val="left"/>
      <w:pPr>
        <w:ind w:left="2160" w:hanging="360"/>
      </w:pPr>
    </w:lvl>
    <w:lvl w:ilvl="3">
      <w:start w:val="929"/>
      <w:numFmt w:val="decimal"/>
      <w:lvlText w:val="(%4)"/>
      <w:lvlJc w:val="left"/>
      <w:pPr>
        <w:ind w:left="2880" w:hanging="360"/>
      </w:pPr>
    </w:lvl>
    <w:lvl w:ilvl="4">
      <w:start w:val="929"/>
      <w:numFmt w:val="decimal"/>
      <w:lvlText w:val="(%5)"/>
      <w:lvlJc w:val="left"/>
      <w:pPr>
        <w:ind w:left="3600" w:hanging="360"/>
      </w:pPr>
    </w:lvl>
    <w:lvl w:ilvl="5">
      <w:start w:val="929"/>
      <w:numFmt w:val="decimal"/>
      <w:lvlText w:val="(%6)"/>
      <w:lvlJc w:val="left"/>
      <w:pPr>
        <w:ind w:left="4320" w:hanging="360"/>
      </w:pPr>
    </w:lvl>
    <w:lvl w:ilvl="6">
      <w:start w:val="929"/>
      <w:numFmt w:val="decimal"/>
      <w:lvlText w:val="(%7)"/>
      <w:lvlJc w:val="left"/>
      <w:pPr>
        <w:ind w:left="5040" w:hanging="360"/>
      </w:pPr>
    </w:lvl>
    <w:lvl w:ilvl="7">
      <w:start w:val="929"/>
      <w:numFmt w:val="decimal"/>
      <w:lvlText w:val="(%8)"/>
      <w:lvlJc w:val="left"/>
      <w:pPr>
        <w:ind w:left="5760" w:hanging="360"/>
      </w:pPr>
    </w:lvl>
    <w:lvl w:ilvl="8">
      <w:start w:val="929"/>
      <w:numFmt w:val="decimal"/>
      <w:lvlText w:val="(%9)"/>
      <w:lvlJc w:val="left"/>
      <w:pPr>
        <w:ind w:left="6480" w:hanging="360"/>
      </w:pPr>
    </w:lvl>
  </w:abstractNum>
  <w:abstractNum w:abstractNumId="9943890">
    <w:nsid w:val="A9943890"/>
    <w:multiLevelType w:val="multilevel"/>
    <w:lvl w:ilvl="0">
      <w:start w:val="890"/>
      <w:numFmt w:val="decimal"/>
      <w:lvlText w:val="(%1)"/>
      <w:lvlJc w:val="left"/>
      <w:pPr>
        <w:ind w:left="720" w:hanging="360"/>
      </w:pPr>
    </w:lvl>
    <w:lvl w:ilvl="1">
      <w:start w:val="890"/>
      <w:numFmt w:val="decimal"/>
      <w:lvlText w:val="(%2)"/>
      <w:lvlJc w:val="left"/>
      <w:pPr>
        <w:ind w:left="1440" w:hanging="360"/>
      </w:pPr>
    </w:lvl>
    <w:lvl w:ilvl="2">
      <w:start w:val="890"/>
      <w:numFmt w:val="decimal"/>
      <w:lvlText w:val="(%3)"/>
      <w:lvlJc w:val="left"/>
      <w:pPr>
        <w:ind w:left="2160" w:hanging="360"/>
      </w:pPr>
    </w:lvl>
    <w:lvl w:ilvl="3">
      <w:start w:val="890"/>
      <w:numFmt w:val="decimal"/>
      <w:lvlText w:val="(%4)"/>
      <w:lvlJc w:val="left"/>
      <w:pPr>
        <w:ind w:left="2880" w:hanging="360"/>
      </w:pPr>
    </w:lvl>
    <w:lvl w:ilvl="4">
      <w:start w:val="890"/>
      <w:numFmt w:val="decimal"/>
      <w:lvlText w:val="(%5)"/>
      <w:lvlJc w:val="left"/>
      <w:pPr>
        <w:ind w:left="3600" w:hanging="360"/>
      </w:pPr>
    </w:lvl>
    <w:lvl w:ilvl="5">
      <w:start w:val="890"/>
      <w:numFmt w:val="decimal"/>
      <w:lvlText w:val="(%6)"/>
      <w:lvlJc w:val="left"/>
      <w:pPr>
        <w:ind w:left="4320" w:hanging="360"/>
      </w:pPr>
    </w:lvl>
    <w:lvl w:ilvl="6">
      <w:start w:val="890"/>
      <w:numFmt w:val="decimal"/>
      <w:lvlText w:val="(%7)"/>
      <w:lvlJc w:val="left"/>
      <w:pPr>
        <w:ind w:left="5040" w:hanging="360"/>
      </w:pPr>
    </w:lvl>
    <w:lvl w:ilvl="7">
      <w:start w:val="890"/>
      <w:numFmt w:val="decimal"/>
      <w:lvlText w:val="(%8)"/>
      <w:lvlJc w:val="left"/>
      <w:pPr>
        <w:ind w:left="5760" w:hanging="360"/>
      </w:pPr>
    </w:lvl>
    <w:lvl w:ilvl="8">
      <w:start w:val="890"/>
      <w:numFmt w:val="decimal"/>
      <w:lvlText w:val="(%9)"/>
      <w:lvlJc w:val="left"/>
      <w:pPr>
        <w:ind w:left="6480" w:hanging="360"/>
      </w:pPr>
    </w:lvl>
  </w:abstractNum>
  <w:abstractNum w:abstractNumId="9943181">
    <w:nsid w:val="A9943181"/>
    <w:multiLevelType w:val="multilevel"/>
    <w:lvl w:ilvl="0">
      <w:start w:val="181"/>
      <w:numFmt w:val="decimal"/>
      <w:lvlText w:val="(%1)"/>
      <w:lvlJc w:val="left"/>
      <w:pPr>
        <w:ind w:left="720" w:hanging="360"/>
      </w:pPr>
    </w:lvl>
    <w:lvl w:ilvl="1">
      <w:start w:val="181"/>
      <w:numFmt w:val="decimal"/>
      <w:lvlText w:val="(%2)"/>
      <w:lvlJc w:val="left"/>
      <w:pPr>
        <w:ind w:left="1440" w:hanging="360"/>
      </w:pPr>
    </w:lvl>
    <w:lvl w:ilvl="2">
      <w:start w:val="181"/>
      <w:numFmt w:val="decimal"/>
      <w:lvlText w:val="(%3)"/>
      <w:lvlJc w:val="left"/>
      <w:pPr>
        <w:ind w:left="2160" w:hanging="360"/>
      </w:pPr>
    </w:lvl>
    <w:lvl w:ilvl="3">
      <w:start w:val="181"/>
      <w:numFmt w:val="decimal"/>
      <w:lvlText w:val="(%4)"/>
      <w:lvlJc w:val="left"/>
      <w:pPr>
        <w:ind w:left="2880" w:hanging="360"/>
      </w:pPr>
    </w:lvl>
    <w:lvl w:ilvl="4">
      <w:start w:val="181"/>
      <w:numFmt w:val="decimal"/>
      <w:lvlText w:val="(%5)"/>
      <w:lvlJc w:val="left"/>
      <w:pPr>
        <w:ind w:left="3600" w:hanging="360"/>
      </w:pPr>
    </w:lvl>
    <w:lvl w:ilvl="5">
      <w:start w:val="181"/>
      <w:numFmt w:val="decimal"/>
      <w:lvlText w:val="(%6)"/>
      <w:lvlJc w:val="left"/>
      <w:pPr>
        <w:ind w:left="4320" w:hanging="360"/>
      </w:pPr>
    </w:lvl>
    <w:lvl w:ilvl="6">
      <w:start w:val="181"/>
      <w:numFmt w:val="decimal"/>
      <w:lvlText w:val="(%7)"/>
      <w:lvlJc w:val="left"/>
      <w:pPr>
        <w:ind w:left="5040" w:hanging="360"/>
      </w:pPr>
    </w:lvl>
    <w:lvl w:ilvl="7">
      <w:start w:val="181"/>
      <w:numFmt w:val="decimal"/>
      <w:lvlText w:val="(%8)"/>
      <w:lvlJc w:val="left"/>
      <w:pPr>
        <w:ind w:left="5760" w:hanging="360"/>
      </w:pPr>
    </w:lvl>
    <w:lvl w:ilvl="8">
      <w:start w:val="181"/>
      <w:numFmt w:val="decimal"/>
      <w:lvlText w:val="(%9)"/>
      <w:lvlJc w:val="left"/>
      <w:pPr>
        <w:ind w:left="6480" w:hanging="360"/>
      </w:pPr>
    </w:lvl>
  </w:abstractNum>
  <w:abstractNum w:abstractNumId="9943617">
    <w:nsid w:val="A9943617"/>
    <w:multiLevelType w:val="multilevel"/>
    <w:lvl w:ilvl="0">
      <w:start w:val="617"/>
      <w:numFmt w:val="decimal"/>
      <w:lvlText w:val="(%1)"/>
      <w:lvlJc w:val="left"/>
      <w:pPr>
        <w:ind w:left="720" w:hanging="360"/>
      </w:pPr>
    </w:lvl>
    <w:lvl w:ilvl="1">
      <w:start w:val="617"/>
      <w:numFmt w:val="decimal"/>
      <w:lvlText w:val="(%2)"/>
      <w:lvlJc w:val="left"/>
      <w:pPr>
        <w:ind w:left="1440" w:hanging="360"/>
      </w:pPr>
    </w:lvl>
    <w:lvl w:ilvl="2">
      <w:start w:val="617"/>
      <w:numFmt w:val="decimal"/>
      <w:lvlText w:val="(%3)"/>
      <w:lvlJc w:val="left"/>
      <w:pPr>
        <w:ind w:left="2160" w:hanging="360"/>
      </w:pPr>
    </w:lvl>
    <w:lvl w:ilvl="3">
      <w:start w:val="617"/>
      <w:numFmt w:val="decimal"/>
      <w:lvlText w:val="(%4)"/>
      <w:lvlJc w:val="left"/>
      <w:pPr>
        <w:ind w:left="2880" w:hanging="360"/>
      </w:pPr>
    </w:lvl>
    <w:lvl w:ilvl="4">
      <w:start w:val="617"/>
      <w:numFmt w:val="decimal"/>
      <w:lvlText w:val="(%5)"/>
      <w:lvlJc w:val="left"/>
      <w:pPr>
        <w:ind w:left="3600" w:hanging="360"/>
      </w:pPr>
    </w:lvl>
    <w:lvl w:ilvl="5">
      <w:start w:val="617"/>
      <w:numFmt w:val="decimal"/>
      <w:lvlText w:val="(%6)"/>
      <w:lvlJc w:val="left"/>
      <w:pPr>
        <w:ind w:left="4320" w:hanging="360"/>
      </w:pPr>
    </w:lvl>
    <w:lvl w:ilvl="6">
      <w:start w:val="617"/>
      <w:numFmt w:val="decimal"/>
      <w:lvlText w:val="(%7)"/>
      <w:lvlJc w:val="left"/>
      <w:pPr>
        <w:ind w:left="5040" w:hanging="360"/>
      </w:pPr>
    </w:lvl>
    <w:lvl w:ilvl="7">
      <w:start w:val="617"/>
      <w:numFmt w:val="decimal"/>
      <w:lvlText w:val="(%8)"/>
      <w:lvlJc w:val="left"/>
      <w:pPr>
        <w:ind w:left="5760" w:hanging="360"/>
      </w:pPr>
    </w:lvl>
    <w:lvl w:ilvl="8">
      <w:start w:val="617"/>
      <w:numFmt w:val="decimal"/>
      <w:lvlText w:val="(%9)"/>
      <w:lvlJc w:val="left"/>
      <w:pPr>
        <w:ind w:left="6480" w:hanging="360"/>
      </w:pPr>
    </w:lvl>
  </w:abstractNum>
  <w:abstractNum w:abstractNumId="994311">
    <w:nsid w:val="0A9943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886">
    <w:nsid w:val="A9943886"/>
    <w:multiLevelType w:val="multilevel"/>
    <w:lvl w:ilvl="0">
      <w:start w:val="886"/>
      <w:numFmt w:val="decimal"/>
      <w:lvlText w:val="(%1)"/>
      <w:lvlJc w:val="left"/>
      <w:pPr>
        <w:ind w:left="720" w:hanging="360"/>
      </w:pPr>
    </w:lvl>
    <w:lvl w:ilvl="1">
      <w:start w:val="886"/>
      <w:numFmt w:val="decimal"/>
      <w:lvlText w:val="(%2)"/>
      <w:lvlJc w:val="left"/>
      <w:pPr>
        <w:ind w:left="1440" w:hanging="360"/>
      </w:pPr>
    </w:lvl>
    <w:lvl w:ilvl="2">
      <w:start w:val="886"/>
      <w:numFmt w:val="decimal"/>
      <w:lvlText w:val="(%3)"/>
      <w:lvlJc w:val="left"/>
      <w:pPr>
        <w:ind w:left="2160" w:hanging="360"/>
      </w:pPr>
    </w:lvl>
    <w:lvl w:ilvl="3">
      <w:start w:val="886"/>
      <w:numFmt w:val="decimal"/>
      <w:lvlText w:val="(%4)"/>
      <w:lvlJc w:val="left"/>
      <w:pPr>
        <w:ind w:left="2880" w:hanging="360"/>
      </w:pPr>
    </w:lvl>
    <w:lvl w:ilvl="4">
      <w:start w:val="886"/>
      <w:numFmt w:val="decimal"/>
      <w:lvlText w:val="(%5)"/>
      <w:lvlJc w:val="left"/>
      <w:pPr>
        <w:ind w:left="3600" w:hanging="360"/>
      </w:pPr>
    </w:lvl>
    <w:lvl w:ilvl="5">
      <w:start w:val="886"/>
      <w:numFmt w:val="decimal"/>
      <w:lvlText w:val="(%6)"/>
      <w:lvlJc w:val="left"/>
      <w:pPr>
        <w:ind w:left="4320" w:hanging="360"/>
      </w:pPr>
    </w:lvl>
    <w:lvl w:ilvl="6">
      <w:start w:val="886"/>
      <w:numFmt w:val="decimal"/>
      <w:lvlText w:val="(%7)"/>
      <w:lvlJc w:val="left"/>
      <w:pPr>
        <w:ind w:left="5040" w:hanging="360"/>
      </w:pPr>
    </w:lvl>
    <w:lvl w:ilvl="7">
      <w:start w:val="886"/>
      <w:numFmt w:val="decimal"/>
      <w:lvlText w:val="(%8)"/>
      <w:lvlJc w:val="left"/>
      <w:pPr>
        <w:ind w:left="5760" w:hanging="360"/>
      </w:pPr>
    </w:lvl>
    <w:lvl w:ilvl="8">
      <w:start w:val="886"/>
      <w:numFmt w:val="decimal"/>
      <w:lvlText w:val="(%9)"/>
      <w:lvlJc w:val="left"/>
      <w:pPr>
        <w:ind w:left="6480" w:hanging="360"/>
      </w:pPr>
    </w:lvl>
  </w:abstractNum>
  <w:abstractNum w:abstractNumId="9943135">
    <w:nsid w:val="A9943135"/>
    <w:multiLevelType w:val="multilevel"/>
    <w:lvl w:ilvl="0">
      <w:start w:val="135"/>
      <w:numFmt w:val="decimal"/>
      <w:lvlText w:val="(%1)"/>
      <w:lvlJc w:val="left"/>
      <w:pPr>
        <w:ind w:left="720" w:hanging="360"/>
      </w:pPr>
    </w:lvl>
    <w:lvl w:ilvl="1">
      <w:start w:val="135"/>
      <w:numFmt w:val="decimal"/>
      <w:lvlText w:val="(%2)"/>
      <w:lvlJc w:val="left"/>
      <w:pPr>
        <w:ind w:left="1440" w:hanging="360"/>
      </w:pPr>
    </w:lvl>
    <w:lvl w:ilvl="2">
      <w:start w:val="135"/>
      <w:numFmt w:val="decimal"/>
      <w:lvlText w:val="(%3)"/>
      <w:lvlJc w:val="left"/>
      <w:pPr>
        <w:ind w:left="2160" w:hanging="360"/>
      </w:pPr>
    </w:lvl>
    <w:lvl w:ilvl="3">
      <w:start w:val="135"/>
      <w:numFmt w:val="decimal"/>
      <w:lvlText w:val="(%4)"/>
      <w:lvlJc w:val="left"/>
      <w:pPr>
        <w:ind w:left="2880" w:hanging="360"/>
      </w:pPr>
    </w:lvl>
    <w:lvl w:ilvl="4">
      <w:start w:val="135"/>
      <w:numFmt w:val="decimal"/>
      <w:lvlText w:val="(%5)"/>
      <w:lvlJc w:val="left"/>
      <w:pPr>
        <w:ind w:left="3600" w:hanging="360"/>
      </w:pPr>
    </w:lvl>
    <w:lvl w:ilvl="5">
      <w:start w:val="135"/>
      <w:numFmt w:val="decimal"/>
      <w:lvlText w:val="(%6)"/>
      <w:lvlJc w:val="left"/>
      <w:pPr>
        <w:ind w:left="4320" w:hanging="360"/>
      </w:pPr>
    </w:lvl>
    <w:lvl w:ilvl="6">
      <w:start w:val="135"/>
      <w:numFmt w:val="decimal"/>
      <w:lvlText w:val="(%7)"/>
      <w:lvlJc w:val="left"/>
      <w:pPr>
        <w:ind w:left="5040" w:hanging="360"/>
      </w:pPr>
    </w:lvl>
    <w:lvl w:ilvl="7">
      <w:start w:val="135"/>
      <w:numFmt w:val="decimal"/>
      <w:lvlText w:val="(%8)"/>
      <w:lvlJc w:val="left"/>
      <w:pPr>
        <w:ind w:left="5760" w:hanging="360"/>
      </w:pPr>
    </w:lvl>
    <w:lvl w:ilvl="8">
      <w:start w:val="135"/>
      <w:numFmt w:val="decimal"/>
      <w:lvlText w:val="(%9)"/>
      <w:lvlJc w:val="left"/>
      <w:pPr>
        <w:ind w:left="6480" w:hanging="360"/>
      </w:pPr>
    </w:lvl>
  </w:abstractNum>
  <w:abstractNum w:abstractNumId="994322">
    <w:nsid w:val="0A9943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27">
    <w:nsid w:val="0A9943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349">
    <w:nsid w:val="A9943349"/>
    <w:multiLevelType w:val="multilevel"/>
    <w:lvl w:ilvl="0">
      <w:start w:val="349"/>
      <w:numFmt w:val="decimal"/>
      <w:lvlText w:val="(%1)"/>
      <w:lvlJc w:val="left"/>
      <w:pPr>
        <w:ind w:left="720" w:hanging="360"/>
      </w:pPr>
    </w:lvl>
    <w:lvl w:ilvl="1">
      <w:start w:val="349"/>
      <w:numFmt w:val="decimal"/>
      <w:lvlText w:val="(%2)"/>
      <w:lvlJc w:val="left"/>
      <w:pPr>
        <w:ind w:left="1440" w:hanging="360"/>
      </w:pPr>
    </w:lvl>
    <w:lvl w:ilvl="2">
      <w:start w:val="349"/>
      <w:numFmt w:val="decimal"/>
      <w:lvlText w:val="(%3)"/>
      <w:lvlJc w:val="left"/>
      <w:pPr>
        <w:ind w:left="2160" w:hanging="360"/>
      </w:pPr>
    </w:lvl>
    <w:lvl w:ilvl="3">
      <w:start w:val="349"/>
      <w:numFmt w:val="decimal"/>
      <w:lvlText w:val="(%4)"/>
      <w:lvlJc w:val="left"/>
      <w:pPr>
        <w:ind w:left="2880" w:hanging="360"/>
      </w:pPr>
    </w:lvl>
    <w:lvl w:ilvl="4">
      <w:start w:val="349"/>
      <w:numFmt w:val="decimal"/>
      <w:lvlText w:val="(%5)"/>
      <w:lvlJc w:val="left"/>
      <w:pPr>
        <w:ind w:left="3600" w:hanging="360"/>
      </w:pPr>
    </w:lvl>
    <w:lvl w:ilvl="5">
      <w:start w:val="349"/>
      <w:numFmt w:val="decimal"/>
      <w:lvlText w:val="(%6)"/>
      <w:lvlJc w:val="left"/>
      <w:pPr>
        <w:ind w:left="4320" w:hanging="360"/>
      </w:pPr>
    </w:lvl>
    <w:lvl w:ilvl="6">
      <w:start w:val="349"/>
      <w:numFmt w:val="decimal"/>
      <w:lvlText w:val="(%7)"/>
      <w:lvlJc w:val="left"/>
      <w:pPr>
        <w:ind w:left="5040" w:hanging="360"/>
      </w:pPr>
    </w:lvl>
    <w:lvl w:ilvl="7">
      <w:start w:val="349"/>
      <w:numFmt w:val="decimal"/>
      <w:lvlText w:val="(%8)"/>
      <w:lvlJc w:val="left"/>
      <w:pPr>
        <w:ind w:left="5760" w:hanging="360"/>
      </w:pPr>
    </w:lvl>
    <w:lvl w:ilvl="8">
      <w:start w:val="349"/>
      <w:numFmt w:val="decimal"/>
      <w:lvlText w:val="(%9)"/>
      <w:lvlJc w:val="left"/>
      <w:pPr>
        <w:ind w:left="6480" w:hanging="360"/>
      </w:pPr>
    </w:lvl>
  </w:abstractNum>
  <w:abstractNum w:abstractNumId="9943139">
    <w:nsid w:val="A9943139"/>
    <w:multiLevelType w:val="multilevel"/>
    <w:lvl w:ilvl="0">
      <w:start w:val="139"/>
      <w:numFmt w:val="decimal"/>
      <w:lvlText w:val="(%1)"/>
      <w:lvlJc w:val="left"/>
      <w:pPr>
        <w:ind w:left="720" w:hanging="360"/>
      </w:pPr>
    </w:lvl>
    <w:lvl w:ilvl="1">
      <w:start w:val="139"/>
      <w:numFmt w:val="decimal"/>
      <w:lvlText w:val="(%2)"/>
      <w:lvlJc w:val="left"/>
      <w:pPr>
        <w:ind w:left="1440" w:hanging="360"/>
      </w:pPr>
    </w:lvl>
    <w:lvl w:ilvl="2">
      <w:start w:val="139"/>
      <w:numFmt w:val="decimal"/>
      <w:lvlText w:val="(%3)"/>
      <w:lvlJc w:val="left"/>
      <w:pPr>
        <w:ind w:left="2160" w:hanging="360"/>
      </w:pPr>
    </w:lvl>
    <w:lvl w:ilvl="3">
      <w:start w:val="139"/>
      <w:numFmt w:val="decimal"/>
      <w:lvlText w:val="(%4)"/>
      <w:lvlJc w:val="left"/>
      <w:pPr>
        <w:ind w:left="2880" w:hanging="360"/>
      </w:pPr>
    </w:lvl>
    <w:lvl w:ilvl="4">
      <w:start w:val="139"/>
      <w:numFmt w:val="decimal"/>
      <w:lvlText w:val="(%5)"/>
      <w:lvlJc w:val="left"/>
      <w:pPr>
        <w:ind w:left="3600" w:hanging="360"/>
      </w:pPr>
    </w:lvl>
    <w:lvl w:ilvl="5">
      <w:start w:val="139"/>
      <w:numFmt w:val="decimal"/>
      <w:lvlText w:val="(%6)"/>
      <w:lvlJc w:val="left"/>
      <w:pPr>
        <w:ind w:left="4320" w:hanging="360"/>
      </w:pPr>
    </w:lvl>
    <w:lvl w:ilvl="6">
      <w:start w:val="139"/>
      <w:numFmt w:val="decimal"/>
      <w:lvlText w:val="(%7)"/>
      <w:lvlJc w:val="left"/>
      <w:pPr>
        <w:ind w:left="5040" w:hanging="360"/>
      </w:pPr>
    </w:lvl>
    <w:lvl w:ilvl="7">
      <w:start w:val="139"/>
      <w:numFmt w:val="decimal"/>
      <w:lvlText w:val="(%8)"/>
      <w:lvlJc w:val="left"/>
      <w:pPr>
        <w:ind w:left="5760" w:hanging="360"/>
      </w:pPr>
    </w:lvl>
    <w:lvl w:ilvl="8">
      <w:start w:val="139"/>
      <w:numFmt w:val="decimal"/>
      <w:lvlText w:val="(%9)"/>
      <w:lvlJc w:val="left"/>
      <w:pPr>
        <w:ind w:left="6480" w:hanging="360"/>
      </w:pPr>
    </w:lvl>
  </w:abstractNum>
  <w:abstractNum w:abstractNumId="9943191">
    <w:nsid w:val="A9943191"/>
    <w:multiLevelType w:val="multilevel"/>
    <w:lvl w:ilvl="0">
      <w:start w:val="191"/>
      <w:numFmt w:val="decimal"/>
      <w:lvlText w:val="(%1)"/>
      <w:lvlJc w:val="left"/>
      <w:pPr>
        <w:ind w:left="720" w:hanging="360"/>
      </w:pPr>
    </w:lvl>
    <w:lvl w:ilvl="1">
      <w:start w:val="191"/>
      <w:numFmt w:val="decimal"/>
      <w:lvlText w:val="(%2)"/>
      <w:lvlJc w:val="left"/>
      <w:pPr>
        <w:ind w:left="1440" w:hanging="360"/>
      </w:pPr>
    </w:lvl>
    <w:lvl w:ilvl="2">
      <w:start w:val="191"/>
      <w:numFmt w:val="decimal"/>
      <w:lvlText w:val="(%3)"/>
      <w:lvlJc w:val="left"/>
      <w:pPr>
        <w:ind w:left="2160" w:hanging="360"/>
      </w:pPr>
    </w:lvl>
    <w:lvl w:ilvl="3">
      <w:start w:val="191"/>
      <w:numFmt w:val="decimal"/>
      <w:lvlText w:val="(%4)"/>
      <w:lvlJc w:val="left"/>
      <w:pPr>
        <w:ind w:left="2880" w:hanging="360"/>
      </w:pPr>
    </w:lvl>
    <w:lvl w:ilvl="4">
      <w:start w:val="191"/>
      <w:numFmt w:val="decimal"/>
      <w:lvlText w:val="(%5)"/>
      <w:lvlJc w:val="left"/>
      <w:pPr>
        <w:ind w:left="3600" w:hanging="360"/>
      </w:pPr>
    </w:lvl>
    <w:lvl w:ilvl="5">
      <w:start w:val="191"/>
      <w:numFmt w:val="decimal"/>
      <w:lvlText w:val="(%6)"/>
      <w:lvlJc w:val="left"/>
      <w:pPr>
        <w:ind w:left="4320" w:hanging="360"/>
      </w:pPr>
    </w:lvl>
    <w:lvl w:ilvl="6">
      <w:start w:val="191"/>
      <w:numFmt w:val="decimal"/>
      <w:lvlText w:val="(%7)"/>
      <w:lvlJc w:val="left"/>
      <w:pPr>
        <w:ind w:left="5040" w:hanging="360"/>
      </w:pPr>
    </w:lvl>
    <w:lvl w:ilvl="7">
      <w:start w:val="191"/>
      <w:numFmt w:val="decimal"/>
      <w:lvlText w:val="(%8)"/>
      <w:lvlJc w:val="left"/>
      <w:pPr>
        <w:ind w:left="5760" w:hanging="360"/>
      </w:pPr>
    </w:lvl>
    <w:lvl w:ilvl="8">
      <w:start w:val="191"/>
      <w:numFmt w:val="decimal"/>
      <w:lvlText w:val="(%9)"/>
      <w:lvlJc w:val="left"/>
      <w:pPr>
        <w:ind w:left="6480" w:hanging="360"/>
      </w:pPr>
    </w:lvl>
  </w:abstractNum>
  <w:abstractNum w:abstractNumId="9943492">
    <w:nsid w:val="A9943492"/>
    <w:multiLevelType w:val="multilevel"/>
    <w:lvl w:ilvl="0">
      <w:start w:val="492"/>
      <w:numFmt w:val="decimal"/>
      <w:lvlText w:val="(%1)"/>
      <w:lvlJc w:val="left"/>
      <w:pPr>
        <w:ind w:left="720" w:hanging="360"/>
      </w:pPr>
    </w:lvl>
    <w:lvl w:ilvl="1">
      <w:start w:val="492"/>
      <w:numFmt w:val="decimal"/>
      <w:lvlText w:val="(%2)"/>
      <w:lvlJc w:val="left"/>
      <w:pPr>
        <w:ind w:left="1440" w:hanging="360"/>
      </w:pPr>
    </w:lvl>
    <w:lvl w:ilvl="2">
      <w:start w:val="492"/>
      <w:numFmt w:val="decimal"/>
      <w:lvlText w:val="(%3)"/>
      <w:lvlJc w:val="left"/>
      <w:pPr>
        <w:ind w:left="2160" w:hanging="360"/>
      </w:pPr>
    </w:lvl>
    <w:lvl w:ilvl="3">
      <w:start w:val="492"/>
      <w:numFmt w:val="decimal"/>
      <w:lvlText w:val="(%4)"/>
      <w:lvlJc w:val="left"/>
      <w:pPr>
        <w:ind w:left="2880" w:hanging="360"/>
      </w:pPr>
    </w:lvl>
    <w:lvl w:ilvl="4">
      <w:start w:val="492"/>
      <w:numFmt w:val="decimal"/>
      <w:lvlText w:val="(%5)"/>
      <w:lvlJc w:val="left"/>
      <w:pPr>
        <w:ind w:left="3600" w:hanging="360"/>
      </w:pPr>
    </w:lvl>
    <w:lvl w:ilvl="5">
      <w:start w:val="492"/>
      <w:numFmt w:val="decimal"/>
      <w:lvlText w:val="(%6)"/>
      <w:lvlJc w:val="left"/>
      <w:pPr>
        <w:ind w:left="4320" w:hanging="360"/>
      </w:pPr>
    </w:lvl>
    <w:lvl w:ilvl="6">
      <w:start w:val="492"/>
      <w:numFmt w:val="decimal"/>
      <w:lvlText w:val="(%7)"/>
      <w:lvlJc w:val="left"/>
      <w:pPr>
        <w:ind w:left="5040" w:hanging="360"/>
      </w:pPr>
    </w:lvl>
    <w:lvl w:ilvl="7">
      <w:start w:val="492"/>
      <w:numFmt w:val="decimal"/>
      <w:lvlText w:val="(%8)"/>
      <w:lvlJc w:val="left"/>
      <w:pPr>
        <w:ind w:left="5760" w:hanging="360"/>
      </w:pPr>
    </w:lvl>
    <w:lvl w:ilvl="8">
      <w:start w:val="49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32">
    <w:nsid w:val="0A9943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3184">
    <w:nsid w:val="A9943184"/>
    <w:multiLevelType w:val="multilevel"/>
    <w:lvl w:ilvl="0">
      <w:start w:val="184"/>
      <w:numFmt w:val="decimal"/>
      <w:lvlText w:val="(%1)"/>
      <w:lvlJc w:val="left"/>
      <w:pPr>
        <w:ind w:left="720" w:hanging="360"/>
      </w:pPr>
    </w:lvl>
    <w:lvl w:ilvl="1">
      <w:start w:val="184"/>
      <w:numFmt w:val="decimal"/>
      <w:lvlText w:val="(%2)"/>
      <w:lvlJc w:val="left"/>
      <w:pPr>
        <w:ind w:left="1440" w:hanging="360"/>
      </w:pPr>
    </w:lvl>
    <w:lvl w:ilvl="2">
      <w:start w:val="184"/>
      <w:numFmt w:val="decimal"/>
      <w:lvlText w:val="(%3)"/>
      <w:lvlJc w:val="left"/>
      <w:pPr>
        <w:ind w:left="2160" w:hanging="360"/>
      </w:pPr>
    </w:lvl>
    <w:lvl w:ilvl="3">
      <w:start w:val="184"/>
      <w:numFmt w:val="decimal"/>
      <w:lvlText w:val="(%4)"/>
      <w:lvlJc w:val="left"/>
      <w:pPr>
        <w:ind w:left="2880" w:hanging="360"/>
      </w:pPr>
    </w:lvl>
    <w:lvl w:ilvl="4">
      <w:start w:val="184"/>
      <w:numFmt w:val="decimal"/>
      <w:lvlText w:val="(%5)"/>
      <w:lvlJc w:val="left"/>
      <w:pPr>
        <w:ind w:left="3600" w:hanging="360"/>
      </w:pPr>
    </w:lvl>
    <w:lvl w:ilvl="5">
      <w:start w:val="184"/>
      <w:numFmt w:val="decimal"/>
      <w:lvlText w:val="(%6)"/>
      <w:lvlJc w:val="left"/>
      <w:pPr>
        <w:ind w:left="4320" w:hanging="360"/>
      </w:pPr>
    </w:lvl>
    <w:lvl w:ilvl="6">
      <w:start w:val="184"/>
      <w:numFmt w:val="decimal"/>
      <w:lvlText w:val="(%7)"/>
      <w:lvlJc w:val="left"/>
      <w:pPr>
        <w:ind w:left="5040" w:hanging="360"/>
      </w:pPr>
    </w:lvl>
    <w:lvl w:ilvl="7">
      <w:start w:val="184"/>
      <w:numFmt w:val="decimal"/>
      <w:lvlText w:val="(%8)"/>
      <w:lvlJc w:val="left"/>
      <w:pPr>
        <w:ind w:left="5760" w:hanging="360"/>
      </w:pPr>
    </w:lvl>
    <w:lvl w:ilvl="8">
      <w:start w:val="184"/>
      <w:numFmt w:val="decimal"/>
      <w:lvlText w:val="(%9)"/>
      <w:lvlJc w:val="left"/>
      <w:pPr>
        <w:ind w:left="6480" w:hanging="360"/>
      </w:pPr>
    </w:lvl>
  </w:abstractNum>
  <w:abstractNum w:abstractNumId="9943143">
    <w:nsid w:val="A9943143"/>
    <w:multiLevelType w:val="multilevel"/>
    <w:lvl w:ilvl="0">
      <w:start w:val="143"/>
      <w:numFmt w:val="decimal"/>
      <w:lvlText w:val="(%1)"/>
      <w:lvlJc w:val="left"/>
      <w:pPr>
        <w:ind w:left="720" w:hanging="360"/>
      </w:pPr>
    </w:lvl>
    <w:lvl w:ilvl="1">
      <w:start w:val="143"/>
      <w:numFmt w:val="decimal"/>
      <w:lvlText w:val="(%2)"/>
      <w:lvlJc w:val="left"/>
      <w:pPr>
        <w:ind w:left="1440" w:hanging="360"/>
      </w:pPr>
    </w:lvl>
    <w:lvl w:ilvl="2">
      <w:start w:val="143"/>
      <w:numFmt w:val="decimal"/>
      <w:lvlText w:val="(%3)"/>
      <w:lvlJc w:val="left"/>
      <w:pPr>
        <w:ind w:left="2160" w:hanging="360"/>
      </w:pPr>
    </w:lvl>
    <w:lvl w:ilvl="3">
      <w:start w:val="143"/>
      <w:numFmt w:val="decimal"/>
      <w:lvlText w:val="(%4)"/>
      <w:lvlJc w:val="left"/>
      <w:pPr>
        <w:ind w:left="2880" w:hanging="360"/>
      </w:pPr>
    </w:lvl>
    <w:lvl w:ilvl="4">
      <w:start w:val="143"/>
      <w:numFmt w:val="decimal"/>
      <w:lvlText w:val="(%5)"/>
      <w:lvlJc w:val="left"/>
      <w:pPr>
        <w:ind w:left="3600" w:hanging="360"/>
      </w:pPr>
    </w:lvl>
    <w:lvl w:ilvl="5">
      <w:start w:val="143"/>
      <w:numFmt w:val="decimal"/>
      <w:lvlText w:val="(%6)"/>
      <w:lvlJc w:val="left"/>
      <w:pPr>
        <w:ind w:left="4320" w:hanging="360"/>
      </w:pPr>
    </w:lvl>
    <w:lvl w:ilvl="6">
      <w:start w:val="143"/>
      <w:numFmt w:val="decimal"/>
      <w:lvlText w:val="(%7)"/>
      <w:lvlJc w:val="left"/>
      <w:pPr>
        <w:ind w:left="5040" w:hanging="360"/>
      </w:pPr>
    </w:lvl>
    <w:lvl w:ilvl="7">
      <w:start w:val="143"/>
      <w:numFmt w:val="decimal"/>
      <w:lvlText w:val="(%8)"/>
      <w:lvlJc w:val="left"/>
      <w:pPr>
        <w:ind w:left="5760" w:hanging="360"/>
      </w:pPr>
    </w:lvl>
    <w:lvl w:ilvl="8">
      <w:start w:val="143"/>
      <w:numFmt w:val="decimal"/>
      <w:lvlText w:val="(%9)"/>
      <w:lvlJc w:val="left"/>
      <w:pPr>
        <w:ind w:left="6480" w:hanging="360"/>
      </w:pPr>
    </w:lvl>
  </w:abstractNum>
  <w:abstractNum w:abstractNumId="9943162">
    <w:nsid w:val="A9943162"/>
    <w:multiLevelType w:val="multilevel"/>
    <w:lvl w:ilvl="0">
      <w:start w:val="162"/>
      <w:numFmt w:val="decimal"/>
      <w:lvlText w:val="(%1)"/>
      <w:lvlJc w:val="left"/>
      <w:pPr>
        <w:ind w:left="720" w:hanging="360"/>
      </w:pPr>
    </w:lvl>
    <w:lvl w:ilvl="1">
      <w:start w:val="162"/>
      <w:numFmt w:val="decimal"/>
      <w:lvlText w:val="(%2)"/>
      <w:lvlJc w:val="left"/>
      <w:pPr>
        <w:ind w:left="1440" w:hanging="360"/>
      </w:pPr>
    </w:lvl>
    <w:lvl w:ilvl="2">
      <w:start w:val="162"/>
      <w:numFmt w:val="decimal"/>
      <w:lvlText w:val="(%3)"/>
      <w:lvlJc w:val="left"/>
      <w:pPr>
        <w:ind w:left="2160" w:hanging="360"/>
      </w:pPr>
    </w:lvl>
    <w:lvl w:ilvl="3">
      <w:start w:val="162"/>
      <w:numFmt w:val="decimal"/>
      <w:lvlText w:val="(%4)"/>
      <w:lvlJc w:val="left"/>
      <w:pPr>
        <w:ind w:left="2880" w:hanging="360"/>
      </w:pPr>
    </w:lvl>
    <w:lvl w:ilvl="4">
      <w:start w:val="162"/>
      <w:numFmt w:val="decimal"/>
      <w:lvlText w:val="(%5)"/>
      <w:lvlJc w:val="left"/>
      <w:pPr>
        <w:ind w:left="3600" w:hanging="360"/>
      </w:pPr>
    </w:lvl>
    <w:lvl w:ilvl="5">
      <w:start w:val="162"/>
      <w:numFmt w:val="decimal"/>
      <w:lvlText w:val="(%6)"/>
      <w:lvlJc w:val="left"/>
      <w:pPr>
        <w:ind w:left="4320" w:hanging="360"/>
      </w:pPr>
    </w:lvl>
    <w:lvl w:ilvl="6">
      <w:start w:val="162"/>
      <w:numFmt w:val="decimal"/>
      <w:lvlText w:val="(%7)"/>
      <w:lvlJc w:val="left"/>
      <w:pPr>
        <w:ind w:left="5040" w:hanging="360"/>
      </w:pPr>
    </w:lvl>
    <w:lvl w:ilvl="7">
      <w:start w:val="162"/>
      <w:numFmt w:val="decimal"/>
      <w:lvlText w:val="(%8)"/>
      <w:lvlJc w:val="left"/>
      <w:pPr>
        <w:ind w:left="5760" w:hanging="360"/>
      </w:pPr>
    </w:lvl>
    <w:lvl w:ilvl="8">
      <w:start w:val="162"/>
      <w:numFmt w:val="decimal"/>
      <w:lvlText w:val="(%9)"/>
      <w:lvlJc w:val="left"/>
      <w:pPr>
        <w:ind w:left="6480" w:hanging="360"/>
      </w:pPr>
    </w:lvl>
  </w:abstractNum>
  <w:abstractNum w:abstractNumId="9943308">
    <w:nsid w:val="A9943308"/>
    <w:multiLevelType w:val="multilevel"/>
    <w:lvl w:ilvl="0">
      <w:start w:val="308"/>
      <w:numFmt w:val="decimal"/>
      <w:lvlText w:val="(%1)"/>
      <w:lvlJc w:val="left"/>
      <w:pPr>
        <w:ind w:left="720" w:hanging="360"/>
      </w:pPr>
    </w:lvl>
    <w:lvl w:ilvl="1">
      <w:start w:val="308"/>
      <w:numFmt w:val="decimal"/>
      <w:lvlText w:val="(%2)"/>
      <w:lvlJc w:val="left"/>
      <w:pPr>
        <w:ind w:left="1440" w:hanging="360"/>
      </w:pPr>
    </w:lvl>
    <w:lvl w:ilvl="2">
      <w:start w:val="308"/>
      <w:numFmt w:val="decimal"/>
      <w:lvlText w:val="(%3)"/>
      <w:lvlJc w:val="left"/>
      <w:pPr>
        <w:ind w:left="2160" w:hanging="360"/>
      </w:pPr>
    </w:lvl>
    <w:lvl w:ilvl="3">
      <w:start w:val="308"/>
      <w:numFmt w:val="decimal"/>
      <w:lvlText w:val="(%4)"/>
      <w:lvlJc w:val="left"/>
      <w:pPr>
        <w:ind w:left="2880" w:hanging="360"/>
      </w:pPr>
    </w:lvl>
    <w:lvl w:ilvl="4">
      <w:start w:val="308"/>
      <w:numFmt w:val="decimal"/>
      <w:lvlText w:val="(%5)"/>
      <w:lvlJc w:val="left"/>
      <w:pPr>
        <w:ind w:left="3600" w:hanging="360"/>
      </w:pPr>
    </w:lvl>
    <w:lvl w:ilvl="5">
      <w:start w:val="308"/>
      <w:numFmt w:val="decimal"/>
      <w:lvlText w:val="(%6)"/>
      <w:lvlJc w:val="left"/>
      <w:pPr>
        <w:ind w:left="4320" w:hanging="360"/>
      </w:pPr>
    </w:lvl>
    <w:lvl w:ilvl="6">
      <w:start w:val="308"/>
      <w:numFmt w:val="decimal"/>
      <w:lvlText w:val="(%7)"/>
      <w:lvlJc w:val="left"/>
      <w:pPr>
        <w:ind w:left="5040" w:hanging="360"/>
      </w:pPr>
    </w:lvl>
    <w:lvl w:ilvl="7">
      <w:start w:val="308"/>
      <w:numFmt w:val="decimal"/>
      <w:lvlText w:val="(%8)"/>
      <w:lvlJc w:val="left"/>
      <w:pPr>
        <w:ind w:left="5760" w:hanging="360"/>
      </w:pPr>
    </w:lvl>
    <w:lvl w:ilvl="8">
      <w:start w:val="308"/>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53">
    <w:nsid w:val="0A994353"/>
    <w:multiLevelType w:val="multilevel"/>
    <w:lvl w:ilvl="0">
      <w:start w:val="53"/>
      <w:numFmt w:val="decimal"/>
      <w:lvlText w:val="(%1)"/>
      <w:lvlJc w:val="left"/>
      <w:pPr>
        <w:ind w:left="720" w:hanging="360"/>
      </w:pPr>
    </w:lvl>
    <w:lvl w:ilvl="1">
      <w:start w:val="53"/>
      <w:numFmt w:val="decimal"/>
      <w:lvlText w:val="(%2)"/>
      <w:lvlJc w:val="left"/>
      <w:pPr>
        <w:ind w:left="1440" w:hanging="360"/>
      </w:pPr>
    </w:lvl>
    <w:lvl w:ilvl="2">
      <w:start w:val="53"/>
      <w:numFmt w:val="decimal"/>
      <w:lvlText w:val="(%3)"/>
      <w:lvlJc w:val="left"/>
      <w:pPr>
        <w:ind w:left="2160" w:hanging="360"/>
      </w:pPr>
    </w:lvl>
    <w:lvl w:ilvl="3">
      <w:start w:val="53"/>
      <w:numFmt w:val="decimal"/>
      <w:lvlText w:val="(%4)"/>
      <w:lvlJc w:val="left"/>
      <w:pPr>
        <w:ind w:left="2880" w:hanging="360"/>
      </w:pPr>
    </w:lvl>
    <w:lvl w:ilvl="4">
      <w:start w:val="53"/>
      <w:numFmt w:val="decimal"/>
      <w:lvlText w:val="(%5)"/>
      <w:lvlJc w:val="left"/>
      <w:pPr>
        <w:ind w:left="3600" w:hanging="360"/>
      </w:pPr>
    </w:lvl>
    <w:lvl w:ilvl="5">
      <w:start w:val="53"/>
      <w:numFmt w:val="decimal"/>
      <w:lvlText w:val="(%6)"/>
      <w:lvlJc w:val="left"/>
      <w:pPr>
        <w:ind w:left="4320" w:hanging="360"/>
      </w:pPr>
    </w:lvl>
    <w:lvl w:ilvl="6">
      <w:start w:val="53"/>
      <w:numFmt w:val="decimal"/>
      <w:lvlText w:val="(%7)"/>
      <w:lvlJc w:val="left"/>
      <w:pPr>
        <w:ind w:left="5040" w:hanging="360"/>
      </w:pPr>
    </w:lvl>
    <w:lvl w:ilvl="7">
      <w:start w:val="53"/>
      <w:numFmt w:val="decimal"/>
      <w:lvlText w:val="(%8)"/>
      <w:lvlJc w:val="left"/>
      <w:pPr>
        <w:ind w:left="5760" w:hanging="360"/>
      </w:pPr>
    </w:lvl>
    <w:lvl w:ilvl="8">
      <w:start w:val="53"/>
      <w:numFmt w:val="decimal"/>
      <w:lvlText w:val="(%9)"/>
      <w:lvlJc w:val="left"/>
      <w:pPr>
        <w:ind w:left="6480" w:hanging="360"/>
      </w:pPr>
    </w:lvl>
  </w:abstractNum>
  <w:abstractNum w:abstractNumId="994364">
    <w:nsid w:val="0A994364"/>
    <w:multiLevelType w:val="multilevel"/>
    <w:lvl w:ilvl="0">
      <w:start w:val="64"/>
      <w:numFmt w:val="decimal"/>
      <w:lvlText w:val="(%1)"/>
      <w:lvlJc w:val="left"/>
      <w:pPr>
        <w:ind w:left="720" w:hanging="360"/>
      </w:pPr>
    </w:lvl>
    <w:lvl w:ilvl="1">
      <w:start w:val="64"/>
      <w:numFmt w:val="decimal"/>
      <w:lvlText w:val="(%2)"/>
      <w:lvlJc w:val="left"/>
      <w:pPr>
        <w:ind w:left="1440" w:hanging="360"/>
      </w:pPr>
    </w:lvl>
    <w:lvl w:ilvl="2">
      <w:start w:val="64"/>
      <w:numFmt w:val="decimal"/>
      <w:lvlText w:val="(%3)"/>
      <w:lvlJc w:val="left"/>
      <w:pPr>
        <w:ind w:left="2160" w:hanging="360"/>
      </w:pPr>
    </w:lvl>
    <w:lvl w:ilvl="3">
      <w:start w:val="64"/>
      <w:numFmt w:val="decimal"/>
      <w:lvlText w:val="(%4)"/>
      <w:lvlJc w:val="left"/>
      <w:pPr>
        <w:ind w:left="2880" w:hanging="360"/>
      </w:pPr>
    </w:lvl>
    <w:lvl w:ilvl="4">
      <w:start w:val="64"/>
      <w:numFmt w:val="decimal"/>
      <w:lvlText w:val="(%5)"/>
      <w:lvlJc w:val="left"/>
      <w:pPr>
        <w:ind w:left="3600" w:hanging="360"/>
      </w:pPr>
    </w:lvl>
    <w:lvl w:ilvl="5">
      <w:start w:val="64"/>
      <w:numFmt w:val="decimal"/>
      <w:lvlText w:val="(%6)"/>
      <w:lvlJc w:val="left"/>
      <w:pPr>
        <w:ind w:left="4320" w:hanging="360"/>
      </w:pPr>
    </w:lvl>
    <w:lvl w:ilvl="6">
      <w:start w:val="64"/>
      <w:numFmt w:val="decimal"/>
      <w:lvlText w:val="(%7)"/>
      <w:lvlJc w:val="left"/>
      <w:pPr>
        <w:ind w:left="5040" w:hanging="360"/>
      </w:pPr>
    </w:lvl>
    <w:lvl w:ilvl="7">
      <w:start w:val="64"/>
      <w:numFmt w:val="decimal"/>
      <w:lvlText w:val="(%8)"/>
      <w:lvlJc w:val="left"/>
      <w:pPr>
        <w:ind w:left="5760" w:hanging="360"/>
      </w:pPr>
    </w:lvl>
    <w:lvl w:ilvl="8">
      <w:start w:val="64"/>
      <w:numFmt w:val="decimal"/>
      <w:lvlText w:val="(%9)"/>
      <w:lvlJc w:val="left"/>
      <w:pPr>
        <w:ind w:left="6480" w:hanging="360"/>
      </w:pPr>
    </w:lvl>
  </w:abstractNum>
  <w:abstractNum w:abstractNumId="9943470">
    <w:nsid w:val="A9943470"/>
    <w:multiLevelType w:val="multilevel"/>
    <w:lvl w:ilvl="0">
      <w:start w:val="470"/>
      <w:numFmt w:val="decimal"/>
      <w:lvlText w:val="(%1)"/>
      <w:lvlJc w:val="left"/>
      <w:pPr>
        <w:ind w:left="720" w:hanging="360"/>
      </w:pPr>
    </w:lvl>
    <w:lvl w:ilvl="1">
      <w:start w:val="470"/>
      <w:numFmt w:val="decimal"/>
      <w:lvlText w:val="(%2)"/>
      <w:lvlJc w:val="left"/>
      <w:pPr>
        <w:ind w:left="1440" w:hanging="360"/>
      </w:pPr>
    </w:lvl>
    <w:lvl w:ilvl="2">
      <w:start w:val="470"/>
      <w:numFmt w:val="decimal"/>
      <w:lvlText w:val="(%3)"/>
      <w:lvlJc w:val="left"/>
      <w:pPr>
        <w:ind w:left="2160" w:hanging="360"/>
      </w:pPr>
    </w:lvl>
    <w:lvl w:ilvl="3">
      <w:start w:val="470"/>
      <w:numFmt w:val="decimal"/>
      <w:lvlText w:val="(%4)"/>
      <w:lvlJc w:val="left"/>
      <w:pPr>
        <w:ind w:left="2880" w:hanging="360"/>
      </w:pPr>
    </w:lvl>
    <w:lvl w:ilvl="4">
      <w:start w:val="470"/>
      <w:numFmt w:val="decimal"/>
      <w:lvlText w:val="(%5)"/>
      <w:lvlJc w:val="left"/>
      <w:pPr>
        <w:ind w:left="3600" w:hanging="360"/>
      </w:pPr>
    </w:lvl>
    <w:lvl w:ilvl="5">
      <w:start w:val="470"/>
      <w:numFmt w:val="decimal"/>
      <w:lvlText w:val="(%6)"/>
      <w:lvlJc w:val="left"/>
      <w:pPr>
        <w:ind w:left="4320" w:hanging="360"/>
      </w:pPr>
    </w:lvl>
    <w:lvl w:ilvl="6">
      <w:start w:val="470"/>
      <w:numFmt w:val="decimal"/>
      <w:lvlText w:val="(%7)"/>
      <w:lvlJc w:val="left"/>
      <w:pPr>
        <w:ind w:left="5040" w:hanging="360"/>
      </w:pPr>
    </w:lvl>
    <w:lvl w:ilvl="7">
      <w:start w:val="470"/>
      <w:numFmt w:val="decimal"/>
      <w:lvlText w:val="(%8)"/>
      <w:lvlJc w:val="left"/>
      <w:pPr>
        <w:ind w:left="5760" w:hanging="360"/>
      </w:pPr>
    </w:lvl>
    <w:lvl w:ilvl="8">
      <w:start w:val="470"/>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327">
    <w:nsid w:val="A9943327"/>
    <w:multiLevelType w:val="multilevel"/>
    <w:lvl w:ilvl="0">
      <w:start w:val="327"/>
      <w:numFmt w:val="decimal"/>
      <w:lvlText w:val="(%1)"/>
      <w:lvlJc w:val="left"/>
      <w:pPr>
        <w:ind w:left="720" w:hanging="360"/>
      </w:pPr>
    </w:lvl>
    <w:lvl w:ilvl="1">
      <w:start w:val="327"/>
      <w:numFmt w:val="decimal"/>
      <w:lvlText w:val="(%2)"/>
      <w:lvlJc w:val="left"/>
      <w:pPr>
        <w:ind w:left="1440" w:hanging="360"/>
      </w:pPr>
    </w:lvl>
    <w:lvl w:ilvl="2">
      <w:start w:val="327"/>
      <w:numFmt w:val="decimal"/>
      <w:lvlText w:val="(%3)"/>
      <w:lvlJc w:val="left"/>
      <w:pPr>
        <w:ind w:left="2160" w:hanging="360"/>
      </w:pPr>
    </w:lvl>
    <w:lvl w:ilvl="3">
      <w:start w:val="327"/>
      <w:numFmt w:val="decimal"/>
      <w:lvlText w:val="(%4)"/>
      <w:lvlJc w:val="left"/>
      <w:pPr>
        <w:ind w:left="2880" w:hanging="360"/>
      </w:pPr>
    </w:lvl>
    <w:lvl w:ilvl="4">
      <w:start w:val="327"/>
      <w:numFmt w:val="decimal"/>
      <w:lvlText w:val="(%5)"/>
      <w:lvlJc w:val="left"/>
      <w:pPr>
        <w:ind w:left="3600" w:hanging="360"/>
      </w:pPr>
    </w:lvl>
    <w:lvl w:ilvl="5">
      <w:start w:val="327"/>
      <w:numFmt w:val="decimal"/>
      <w:lvlText w:val="(%6)"/>
      <w:lvlJc w:val="left"/>
      <w:pPr>
        <w:ind w:left="4320" w:hanging="360"/>
      </w:pPr>
    </w:lvl>
    <w:lvl w:ilvl="6">
      <w:start w:val="327"/>
      <w:numFmt w:val="decimal"/>
      <w:lvlText w:val="(%7)"/>
      <w:lvlJc w:val="left"/>
      <w:pPr>
        <w:ind w:left="5040" w:hanging="360"/>
      </w:pPr>
    </w:lvl>
    <w:lvl w:ilvl="7">
      <w:start w:val="327"/>
      <w:numFmt w:val="decimal"/>
      <w:lvlText w:val="(%8)"/>
      <w:lvlJc w:val="left"/>
      <w:pPr>
        <w:ind w:left="5760" w:hanging="360"/>
      </w:pPr>
    </w:lvl>
    <w:lvl w:ilvl="8">
      <w:start w:val="327"/>
      <w:numFmt w:val="decimal"/>
      <w:lvlText w:val="(%9)"/>
      <w:lvlJc w:val="left"/>
      <w:pPr>
        <w:ind w:left="6480" w:hanging="360"/>
      </w:pPr>
    </w:lvl>
  </w:abstractNum>
  <w:abstractNum w:abstractNumId="9943321">
    <w:nsid w:val="A9943321"/>
    <w:multiLevelType w:val="multilevel"/>
    <w:lvl w:ilvl="0">
      <w:start w:val="321"/>
      <w:numFmt w:val="decimal"/>
      <w:lvlText w:val="(%1)"/>
      <w:lvlJc w:val="left"/>
      <w:pPr>
        <w:ind w:left="720" w:hanging="360"/>
      </w:pPr>
    </w:lvl>
    <w:lvl w:ilvl="1">
      <w:start w:val="321"/>
      <w:numFmt w:val="decimal"/>
      <w:lvlText w:val="(%2)"/>
      <w:lvlJc w:val="left"/>
      <w:pPr>
        <w:ind w:left="1440" w:hanging="360"/>
      </w:pPr>
    </w:lvl>
    <w:lvl w:ilvl="2">
      <w:start w:val="321"/>
      <w:numFmt w:val="decimal"/>
      <w:lvlText w:val="(%3)"/>
      <w:lvlJc w:val="left"/>
      <w:pPr>
        <w:ind w:left="2160" w:hanging="360"/>
      </w:pPr>
    </w:lvl>
    <w:lvl w:ilvl="3">
      <w:start w:val="321"/>
      <w:numFmt w:val="decimal"/>
      <w:lvlText w:val="(%4)"/>
      <w:lvlJc w:val="left"/>
      <w:pPr>
        <w:ind w:left="2880" w:hanging="360"/>
      </w:pPr>
    </w:lvl>
    <w:lvl w:ilvl="4">
      <w:start w:val="321"/>
      <w:numFmt w:val="decimal"/>
      <w:lvlText w:val="(%5)"/>
      <w:lvlJc w:val="left"/>
      <w:pPr>
        <w:ind w:left="3600" w:hanging="360"/>
      </w:pPr>
    </w:lvl>
    <w:lvl w:ilvl="5">
      <w:start w:val="321"/>
      <w:numFmt w:val="decimal"/>
      <w:lvlText w:val="(%6)"/>
      <w:lvlJc w:val="left"/>
      <w:pPr>
        <w:ind w:left="4320" w:hanging="360"/>
      </w:pPr>
    </w:lvl>
    <w:lvl w:ilvl="6">
      <w:start w:val="321"/>
      <w:numFmt w:val="decimal"/>
      <w:lvlText w:val="(%7)"/>
      <w:lvlJc w:val="left"/>
      <w:pPr>
        <w:ind w:left="5040" w:hanging="360"/>
      </w:pPr>
    </w:lvl>
    <w:lvl w:ilvl="7">
      <w:start w:val="321"/>
      <w:numFmt w:val="decimal"/>
      <w:lvlText w:val="(%8)"/>
      <w:lvlJc w:val="left"/>
      <w:pPr>
        <w:ind w:left="5760" w:hanging="360"/>
      </w:pPr>
    </w:lvl>
    <w:lvl w:ilvl="8">
      <w:start w:val="321"/>
      <w:numFmt w:val="decimal"/>
      <w:lvlText w:val="(%9)"/>
      <w:lvlJc w:val="left"/>
      <w:pPr>
        <w:ind w:left="6480" w:hanging="360"/>
      </w:pPr>
    </w:lvl>
  </w:abstractNum>
  <w:abstractNum w:abstractNumId="994326">
    <w:nsid w:val="0A9943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100">
    <w:nsid w:val="A9943100"/>
    <w:multiLevelType w:val="multilevel"/>
    <w:lvl w:ilvl="0">
      <w:start w:val="100"/>
      <w:numFmt w:val="decimal"/>
      <w:lvlText w:val="(%1)"/>
      <w:lvlJc w:val="left"/>
      <w:pPr>
        <w:ind w:left="720" w:hanging="360"/>
      </w:pPr>
    </w:lvl>
    <w:lvl w:ilvl="1">
      <w:start w:val="100"/>
      <w:numFmt w:val="decimal"/>
      <w:lvlText w:val="(%2)"/>
      <w:lvlJc w:val="left"/>
      <w:pPr>
        <w:ind w:left="1440" w:hanging="360"/>
      </w:pPr>
    </w:lvl>
    <w:lvl w:ilvl="2">
      <w:start w:val="100"/>
      <w:numFmt w:val="decimal"/>
      <w:lvlText w:val="(%3)"/>
      <w:lvlJc w:val="left"/>
      <w:pPr>
        <w:ind w:left="2160" w:hanging="360"/>
      </w:pPr>
    </w:lvl>
    <w:lvl w:ilvl="3">
      <w:start w:val="100"/>
      <w:numFmt w:val="decimal"/>
      <w:lvlText w:val="(%4)"/>
      <w:lvlJc w:val="left"/>
      <w:pPr>
        <w:ind w:left="2880" w:hanging="360"/>
      </w:pPr>
    </w:lvl>
    <w:lvl w:ilvl="4">
      <w:start w:val="100"/>
      <w:numFmt w:val="decimal"/>
      <w:lvlText w:val="(%5)"/>
      <w:lvlJc w:val="left"/>
      <w:pPr>
        <w:ind w:left="3600" w:hanging="360"/>
      </w:pPr>
    </w:lvl>
    <w:lvl w:ilvl="5">
      <w:start w:val="100"/>
      <w:numFmt w:val="decimal"/>
      <w:lvlText w:val="(%6)"/>
      <w:lvlJc w:val="left"/>
      <w:pPr>
        <w:ind w:left="4320" w:hanging="360"/>
      </w:pPr>
    </w:lvl>
    <w:lvl w:ilvl="6">
      <w:start w:val="100"/>
      <w:numFmt w:val="decimal"/>
      <w:lvlText w:val="(%7)"/>
      <w:lvlJc w:val="left"/>
      <w:pPr>
        <w:ind w:left="5040" w:hanging="360"/>
      </w:pPr>
    </w:lvl>
    <w:lvl w:ilvl="7">
      <w:start w:val="100"/>
      <w:numFmt w:val="decimal"/>
      <w:lvlText w:val="(%8)"/>
      <w:lvlJc w:val="left"/>
      <w:pPr>
        <w:ind w:left="5760" w:hanging="360"/>
      </w:pPr>
    </w:lvl>
    <w:lvl w:ilvl="8">
      <w:start w:val="100"/>
      <w:numFmt w:val="decimal"/>
      <w:lvlText w:val="(%9)"/>
      <w:lvlJc w:val="left"/>
      <w:pPr>
        <w:ind w:left="6480" w:hanging="360"/>
      </w:pPr>
    </w:lvl>
  </w:abstractNum>
  <w:abstractNum w:abstractNumId="994398">
    <w:nsid w:val="0A994398"/>
    <w:multiLevelType w:val="multilevel"/>
    <w:lvl w:ilvl="0">
      <w:start w:val="98"/>
      <w:numFmt w:val="decimal"/>
      <w:lvlText w:val="(%1)"/>
      <w:lvlJc w:val="left"/>
      <w:pPr>
        <w:ind w:left="720" w:hanging="360"/>
      </w:pPr>
    </w:lvl>
    <w:lvl w:ilvl="1">
      <w:start w:val="98"/>
      <w:numFmt w:val="decimal"/>
      <w:lvlText w:val="(%2)"/>
      <w:lvlJc w:val="left"/>
      <w:pPr>
        <w:ind w:left="1440" w:hanging="360"/>
      </w:pPr>
    </w:lvl>
    <w:lvl w:ilvl="2">
      <w:start w:val="98"/>
      <w:numFmt w:val="decimal"/>
      <w:lvlText w:val="(%3)"/>
      <w:lvlJc w:val="left"/>
      <w:pPr>
        <w:ind w:left="2160" w:hanging="360"/>
      </w:pPr>
    </w:lvl>
    <w:lvl w:ilvl="3">
      <w:start w:val="98"/>
      <w:numFmt w:val="decimal"/>
      <w:lvlText w:val="(%4)"/>
      <w:lvlJc w:val="left"/>
      <w:pPr>
        <w:ind w:left="2880" w:hanging="360"/>
      </w:pPr>
    </w:lvl>
    <w:lvl w:ilvl="4">
      <w:start w:val="98"/>
      <w:numFmt w:val="decimal"/>
      <w:lvlText w:val="(%5)"/>
      <w:lvlJc w:val="left"/>
      <w:pPr>
        <w:ind w:left="3600" w:hanging="360"/>
      </w:pPr>
    </w:lvl>
    <w:lvl w:ilvl="5">
      <w:start w:val="98"/>
      <w:numFmt w:val="decimal"/>
      <w:lvlText w:val="(%6)"/>
      <w:lvlJc w:val="left"/>
      <w:pPr>
        <w:ind w:left="4320" w:hanging="360"/>
      </w:pPr>
    </w:lvl>
    <w:lvl w:ilvl="6">
      <w:start w:val="98"/>
      <w:numFmt w:val="decimal"/>
      <w:lvlText w:val="(%7)"/>
      <w:lvlJc w:val="left"/>
      <w:pPr>
        <w:ind w:left="5040" w:hanging="360"/>
      </w:pPr>
    </w:lvl>
    <w:lvl w:ilvl="7">
      <w:start w:val="98"/>
      <w:numFmt w:val="decimal"/>
      <w:lvlText w:val="(%8)"/>
      <w:lvlJc w:val="left"/>
      <w:pPr>
        <w:ind w:left="5760" w:hanging="360"/>
      </w:pPr>
    </w:lvl>
    <w:lvl w:ilvl="8">
      <w:start w:val="98"/>
      <w:numFmt w:val="decimal"/>
      <w:lvlText w:val="(%9)"/>
      <w:lvlJc w:val="left"/>
      <w:pPr>
        <w:ind w:left="6480" w:hanging="360"/>
      </w:pPr>
    </w:lvl>
  </w:abstractNum>
  <w:abstractNum w:abstractNumId="9943158">
    <w:nsid w:val="A9943158"/>
    <w:multiLevelType w:val="multilevel"/>
    <w:lvl w:ilvl="0">
      <w:start w:val="158"/>
      <w:numFmt w:val="decimal"/>
      <w:lvlText w:val="(%1)"/>
      <w:lvlJc w:val="left"/>
      <w:pPr>
        <w:ind w:left="720" w:hanging="360"/>
      </w:pPr>
    </w:lvl>
    <w:lvl w:ilvl="1">
      <w:start w:val="158"/>
      <w:numFmt w:val="decimal"/>
      <w:lvlText w:val="(%2)"/>
      <w:lvlJc w:val="left"/>
      <w:pPr>
        <w:ind w:left="1440" w:hanging="360"/>
      </w:pPr>
    </w:lvl>
    <w:lvl w:ilvl="2">
      <w:start w:val="158"/>
      <w:numFmt w:val="decimal"/>
      <w:lvlText w:val="(%3)"/>
      <w:lvlJc w:val="left"/>
      <w:pPr>
        <w:ind w:left="2160" w:hanging="360"/>
      </w:pPr>
    </w:lvl>
    <w:lvl w:ilvl="3">
      <w:start w:val="158"/>
      <w:numFmt w:val="decimal"/>
      <w:lvlText w:val="(%4)"/>
      <w:lvlJc w:val="left"/>
      <w:pPr>
        <w:ind w:left="2880" w:hanging="360"/>
      </w:pPr>
    </w:lvl>
    <w:lvl w:ilvl="4">
      <w:start w:val="158"/>
      <w:numFmt w:val="decimal"/>
      <w:lvlText w:val="(%5)"/>
      <w:lvlJc w:val="left"/>
      <w:pPr>
        <w:ind w:left="3600" w:hanging="360"/>
      </w:pPr>
    </w:lvl>
    <w:lvl w:ilvl="5">
      <w:start w:val="158"/>
      <w:numFmt w:val="decimal"/>
      <w:lvlText w:val="(%6)"/>
      <w:lvlJc w:val="left"/>
      <w:pPr>
        <w:ind w:left="4320" w:hanging="360"/>
      </w:pPr>
    </w:lvl>
    <w:lvl w:ilvl="6">
      <w:start w:val="158"/>
      <w:numFmt w:val="decimal"/>
      <w:lvlText w:val="(%7)"/>
      <w:lvlJc w:val="left"/>
      <w:pPr>
        <w:ind w:left="5040" w:hanging="360"/>
      </w:pPr>
    </w:lvl>
    <w:lvl w:ilvl="7">
      <w:start w:val="158"/>
      <w:numFmt w:val="decimal"/>
      <w:lvlText w:val="(%8)"/>
      <w:lvlJc w:val="left"/>
      <w:pPr>
        <w:ind w:left="5760" w:hanging="360"/>
      </w:pPr>
    </w:lvl>
    <w:lvl w:ilvl="8">
      <w:start w:val="158"/>
      <w:numFmt w:val="decimal"/>
      <w:lvlText w:val="(%9)"/>
      <w:lvlJc w:val="left"/>
      <w:pPr>
        <w:ind w:left="6480" w:hanging="360"/>
      </w:pPr>
    </w:lvl>
  </w:abstractNum>
  <w:abstractNum w:abstractNumId="9943204">
    <w:nsid w:val="A9943204"/>
    <w:multiLevelType w:val="multilevel"/>
    <w:lvl w:ilvl="0">
      <w:start w:val="204"/>
      <w:numFmt w:val="decimal"/>
      <w:lvlText w:val="(%1)"/>
      <w:lvlJc w:val="left"/>
      <w:pPr>
        <w:ind w:left="720" w:hanging="360"/>
      </w:pPr>
    </w:lvl>
    <w:lvl w:ilvl="1">
      <w:start w:val="204"/>
      <w:numFmt w:val="decimal"/>
      <w:lvlText w:val="(%2)"/>
      <w:lvlJc w:val="left"/>
      <w:pPr>
        <w:ind w:left="1440" w:hanging="360"/>
      </w:pPr>
    </w:lvl>
    <w:lvl w:ilvl="2">
      <w:start w:val="204"/>
      <w:numFmt w:val="decimal"/>
      <w:lvlText w:val="(%3)"/>
      <w:lvlJc w:val="left"/>
      <w:pPr>
        <w:ind w:left="2160" w:hanging="360"/>
      </w:pPr>
    </w:lvl>
    <w:lvl w:ilvl="3">
      <w:start w:val="204"/>
      <w:numFmt w:val="decimal"/>
      <w:lvlText w:val="(%4)"/>
      <w:lvlJc w:val="left"/>
      <w:pPr>
        <w:ind w:left="2880" w:hanging="360"/>
      </w:pPr>
    </w:lvl>
    <w:lvl w:ilvl="4">
      <w:start w:val="204"/>
      <w:numFmt w:val="decimal"/>
      <w:lvlText w:val="(%5)"/>
      <w:lvlJc w:val="left"/>
      <w:pPr>
        <w:ind w:left="3600" w:hanging="360"/>
      </w:pPr>
    </w:lvl>
    <w:lvl w:ilvl="5">
      <w:start w:val="204"/>
      <w:numFmt w:val="decimal"/>
      <w:lvlText w:val="(%6)"/>
      <w:lvlJc w:val="left"/>
      <w:pPr>
        <w:ind w:left="4320" w:hanging="360"/>
      </w:pPr>
    </w:lvl>
    <w:lvl w:ilvl="6">
      <w:start w:val="204"/>
      <w:numFmt w:val="decimal"/>
      <w:lvlText w:val="(%7)"/>
      <w:lvlJc w:val="left"/>
      <w:pPr>
        <w:ind w:left="5040" w:hanging="360"/>
      </w:pPr>
    </w:lvl>
    <w:lvl w:ilvl="7">
      <w:start w:val="204"/>
      <w:numFmt w:val="decimal"/>
      <w:lvlText w:val="(%8)"/>
      <w:lvlJc w:val="left"/>
      <w:pPr>
        <w:ind w:left="5760" w:hanging="360"/>
      </w:pPr>
    </w:lvl>
    <w:lvl w:ilvl="8">
      <w:start w:val="204"/>
      <w:numFmt w:val="decimal"/>
      <w:lvlText w:val="(%9)"/>
      <w:lvlJc w:val="left"/>
      <w:pPr>
        <w:ind w:left="6480" w:hanging="360"/>
      </w:pPr>
    </w:lvl>
  </w:abstractNum>
  <w:abstractNum w:abstractNumId="9943412">
    <w:nsid w:val="A9943412"/>
    <w:multiLevelType w:val="multilevel"/>
    <w:lvl w:ilvl="0">
      <w:start w:val="412"/>
      <w:numFmt w:val="decimal"/>
      <w:lvlText w:val="(%1)"/>
      <w:lvlJc w:val="left"/>
      <w:pPr>
        <w:ind w:left="720" w:hanging="360"/>
      </w:pPr>
    </w:lvl>
    <w:lvl w:ilvl="1">
      <w:start w:val="412"/>
      <w:numFmt w:val="decimal"/>
      <w:lvlText w:val="(%2)"/>
      <w:lvlJc w:val="left"/>
      <w:pPr>
        <w:ind w:left="1440" w:hanging="360"/>
      </w:pPr>
    </w:lvl>
    <w:lvl w:ilvl="2">
      <w:start w:val="412"/>
      <w:numFmt w:val="decimal"/>
      <w:lvlText w:val="(%3)"/>
      <w:lvlJc w:val="left"/>
      <w:pPr>
        <w:ind w:left="2160" w:hanging="360"/>
      </w:pPr>
    </w:lvl>
    <w:lvl w:ilvl="3">
      <w:start w:val="412"/>
      <w:numFmt w:val="decimal"/>
      <w:lvlText w:val="(%4)"/>
      <w:lvlJc w:val="left"/>
      <w:pPr>
        <w:ind w:left="2880" w:hanging="360"/>
      </w:pPr>
    </w:lvl>
    <w:lvl w:ilvl="4">
      <w:start w:val="412"/>
      <w:numFmt w:val="decimal"/>
      <w:lvlText w:val="(%5)"/>
      <w:lvlJc w:val="left"/>
      <w:pPr>
        <w:ind w:left="3600" w:hanging="360"/>
      </w:pPr>
    </w:lvl>
    <w:lvl w:ilvl="5">
      <w:start w:val="412"/>
      <w:numFmt w:val="decimal"/>
      <w:lvlText w:val="(%6)"/>
      <w:lvlJc w:val="left"/>
      <w:pPr>
        <w:ind w:left="4320" w:hanging="360"/>
      </w:pPr>
    </w:lvl>
    <w:lvl w:ilvl="6">
      <w:start w:val="412"/>
      <w:numFmt w:val="decimal"/>
      <w:lvlText w:val="(%7)"/>
      <w:lvlJc w:val="left"/>
      <w:pPr>
        <w:ind w:left="5040" w:hanging="360"/>
      </w:pPr>
    </w:lvl>
    <w:lvl w:ilvl="7">
      <w:start w:val="412"/>
      <w:numFmt w:val="decimal"/>
      <w:lvlText w:val="(%8)"/>
      <w:lvlJc w:val="left"/>
      <w:pPr>
        <w:ind w:left="5760" w:hanging="360"/>
      </w:pPr>
    </w:lvl>
    <w:lvl w:ilvl="8">
      <w:start w:val="41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313">
    <w:nsid w:val="A9943313"/>
    <w:multiLevelType w:val="multilevel"/>
    <w:lvl w:ilvl="0">
      <w:start w:val="313"/>
      <w:numFmt w:val="decimal"/>
      <w:lvlText w:val="(%1)"/>
      <w:lvlJc w:val="left"/>
      <w:pPr>
        <w:ind w:left="720" w:hanging="360"/>
      </w:pPr>
    </w:lvl>
    <w:lvl w:ilvl="1">
      <w:start w:val="313"/>
      <w:numFmt w:val="decimal"/>
      <w:lvlText w:val="(%2)"/>
      <w:lvlJc w:val="left"/>
      <w:pPr>
        <w:ind w:left="1440" w:hanging="360"/>
      </w:pPr>
    </w:lvl>
    <w:lvl w:ilvl="2">
      <w:start w:val="313"/>
      <w:numFmt w:val="decimal"/>
      <w:lvlText w:val="(%3)"/>
      <w:lvlJc w:val="left"/>
      <w:pPr>
        <w:ind w:left="2160" w:hanging="360"/>
      </w:pPr>
    </w:lvl>
    <w:lvl w:ilvl="3">
      <w:start w:val="313"/>
      <w:numFmt w:val="decimal"/>
      <w:lvlText w:val="(%4)"/>
      <w:lvlJc w:val="left"/>
      <w:pPr>
        <w:ind w:left="2880" w:hanging="360"/>
      </w:pPr>
    </w:lvl>
    <w:lvl w:ilvl="4">
      <w:start w:val="313"/>
      <w:numFmt w:val="decimal"/>
      <w:lvlText w:val="(%5)"/>
      <w:lvlJc w:val="left"/>
      <w:pPr>
        <w:ind w:left="3600" w:hanging="360"/>
      </w:pPr>
    </w:lvl>
    <w:lvl w:ilvl="5">
      <w:start w:val="313"/>
      <w:numFmt w:val="decimal"/>
      <w:lvlText w:val="(%6)"/>
      <w:lvlJc w:val="left"/>
      <w:pPr>
        <w:ind w:left="4320" w:hanging="360"/>
      </w:pPr>
    </w:lvl>
    <w:lvl w:ilvl="6">
      <w:start w:val="313"/>
      <w:numFmt w:val="decimal"/>
      <w:lvlText w:val="(%7)"/>
      <w:lvlJc w:val="left"/>
      <w:pPr>
        <w:ind w:left="5040" w:hanging="360"/>
      </w:pPr>
    </w:lvl>
    <w:lvl w:ilvl="7">
      <w:start w:val="313"/>
      <w:numFmt w:val="decimal"/>
      <w:lvlText w:val="(%8)"/>
      <w:lvlJc w:val="left"/>
      <w:pPr>
        <w:ind w:left="5760" w:hanging="360"/>
      </w:pPr>
    </w:lvl>
    <w:lvl w:ilvl="8">
      <w:start w:val="313"/>
      <w:numFmt w:val="decimal"/>
      <w:lvlText w:val="(%9)"/>
      <w:lvlJc w:val="left"/>
      <w:pPr>
        <w:ind w:left="6480" w:hanging="360"/>
      </w:pPr>
    </w:lvl>
  </w:abstractNum>
  <w:abstractNum w:abstractNumId="9943635">
    <w:nsid w:val="A9943635"/>
    <w:multiLevelType w:val="multilevel"/>
    <w:lvl w:ilvl="0">
      <w:start w:val="635"/>
      <w:numFmt w:val="decimal"/>
      <w:lvlText w:val="(%1)"/>
      <w:lvlJc w:val="left"/>
      <w:pPr>
        <w:ind w:left="720" w:hanging="360"/>
      </w:pPr>
    </w:lvl>
    <w:lvl w:ilvl="1">
      <w:start w:val="635"/>
      <w:numFmt w:val="decimal"/>
      <w:lvlText w:val="(%2)"/>
      <w:lvlJc w:val="left"/>
      <w:pPr>
        <w:ind w:left="1440" w:hanging="360"/>
      </w:pPr>
    </w:lvl>
    <w:lvl w:ilvl="2">
      <w:start w:val="635"/>
      <w:numFmt w:val="decimal"/>
      <w:lvlText w:val="(%3)"/>
      <w:lvlJc w:val="left"/>
      <w:pPr>
        <w:ind w:left="2160" w:hanging="360"/>
      </w:pPr>
    </w:lvl>
    <w:lvl w:ilvl="3">
      <w:start w:val="635"/>
      <w:numFmt w:val="decimal"/>
      <w:lvlText w:val="(%4)"/>
      <w:lvlJc w:val="left"/>
      <w:pPr>
        <w:ind w:left="2880" w:hanging="360"/>
      </w:pPr>
    </w:lvl>
    <w:lvl w:ilvl="4">
      <w:start w:val="635"/>
      <w:numFmt w:val="decimal"/>
      <w:lvlText w:val="(%5)"/>
      <w:lvlJc w:val="left"/>
      <w:pPr>
        <w:ind w:left="3600" w:hanging="360"/>
      </w:pPr>
    </w:lvl>
    <w:lvl w:ilvl="5">
      <w:start w:val="635"/>
      <w:numFmt w:val="decimal"/>
      <w:lvlText w:val="(%6)"/>
      <w:lvlJc w:val="left"/>
      <w:pPr>
        <w:ind w:left="4320" w:hanging="360"/>
      </w:pPr>
    </w:lvl>
    <w:lvl w:ilvl="6">
      <w:start w:val="635"/>
      <w:numFmt w:val="decimal"/>
      <w:lvlText w:val="(%7)"/>
      <w:lvlJc w:val="left"/>
      <w:pPr>
        <w:ind w:left="5040" w:hanging="360"/>
      </w:pPr>
    </w:lvl>
    <w:lvl w:ilvl="7">
      <w:start w:val="635"/>
      <w:numFmt w:val="decimal"/>
      <w:lvlText w:val="(%8)"/>
      <w:lvlJc w:val="left"/>
      <w:pPr>
        <w:ind w:left="5760" w:hanging="360"/>
      </w:pPr>
    </w:lvl>
    <w:lvl w:ilvl="8">
      <w:start w:val="635"/>
      <w:numFmt w:val="decimal"/>
      <w:lvlText w:val="(%9)"/>
      <w:lvlJc w:val="left"/>
      <w:pPr>
        <w:ind w:left="6480" w:hanging="360"/>
      </w:pPr>
    </w:lvl>
  </w:abstractNum>
  <w:abstractNum w:abstractNumId="994335">
    <w:nsid w:val="0A9943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333">
    <w:nsid w:val="0A9943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3480">
    <w:nsid w:val="A9943480"/>
    <w:multiLevelType w:val="multilevel"/>
    <w:lvl w:ilvl="0">
      <w:start w:val="480"/>
      <w:numFmt w:val="decimal"/>
      <w:lvlText w:val="(%1)"/>
      <w:lvlJc w:val="left"/>
      <w:pPr>
        <w:ind w:left="720" w:hanging="360"/>
      </w:pPr>
    </w:lvl>
    <w:lvl w:ilvl="1">
      <w:start w:val="480"/>
      <w:numFmt w:val="decimal"/>
      <w:lvlText w:val="(%2)"/>
      <w:lvlJc w:val="left"/>
      <w:pPr>
        <w:ind w:left="1440" w:hanging="360"/>
      </w:pPr>
    </w:lvl>
    <w:lvl w:ilvl="2">
      <w:start w:val="480"/>
      <w:numFmt w:val="decimal"/>
      <w:lvlText w:val="(%3)"/>
      <w:lvlJc w:val="left"/>
      <w:pPr>
        <w:ind w:left="2160" w:hanging="360"/>
      </w:pPr>
    </w:lvl>
    <w:lvl w:ilvl="3">
      <w:start w:val="480"/>
      <w:numFmt w:val="decimal"/>
      <w:lvlText w:val="(%4)"/>
      <w:lvlJc w:val="left"/>
      <w:pPr>
        <w:ind w:left="2880" w:hanging="360"/>
      </w:pPr>
    </w:lvl>
    <w:lvl w:ilvl="4">
      <w:start w:val="480"/>
      <w:numFmt w:val="decimal"/>
      <w:lvlText w:val="(%5)"/>
      <w:lvlJc w:val="left"/>
      <w:pPr>
        <w:ind w:left="3600" w:hanging="360"/>
      </w:pPr>
    </w:lvl>
    <w:lvl w:ilvl="5">
      <w:start w:val="480"/>
      <w:numFmt w:val="decimal"/>
      <w:lvlText w:val="(%6)"/>
      <w:lvlJc w:val="left"/>
      <w:pPr>
        <w:ind w:left="4320" w:hanging="360"/>
      </w:pPr>
    </w:lvl>
    <w:lvl w:ilvl="6">
      <w:start w:val="480"/>
      <w:numFmt w:val="decimal"/>
      <w:lvlText w:val="(%7)"/>
      <w:lvlJc w:val="left"/>
      <w:pPr>
        <w:ind w:left="5040" w:hanging="360"/>
      </w:pPr>
    </w:lvl>
    <w:lvl w:ilvl="7">
      <w:start w:val="480"/>
      <w:numFmt w:val="decimal"/>
      <w:lvlText w:val="(%8)"/>
      <w:lvlJc w:val="left"/>
      <w:pPr>
        <w:ind w:left="5760" w:hanging="360"/>
      </w:pPr>
    </w:lvl>
    <w:lvl w:ilvl="8">
      <w:start w:val="480"/>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287">
    <w:nsid w:val="A9943287"/>
    <w:multiLevelType w:val="multilevel"/>
    <w:lvl w:ilvl="0">
      <w:start w:val="287"/>
      <w:numFmt w:val="decimal"/>
      <w:lvlText w:val="(%1)"/>
      <w:lvlJc w:val="left"/>
      <w:pPr>
        <w:ind w:left="720" w:hanging="360"/>
      </w:pPr>
    </w:lvl>
    <w:lvl w:ilvl="1">
      <w:start w:val="287"/>
      <w:numFmt w:val="decimal"/>
      <w:lvlText w:val="(%2)"/>
      <w:lvlJc w:val="left"/>
      <w:pPr>
        <w:ind w:left="1440" w:hanging="360"/>
      </w:pPr>
    </w:lvl>
    <w:lvl w:ilvl="2">
      <w:start w:val="287"/>
      <w:numFmt w:val="decimal"/>
      <w:lvlText w:val="(%3)"/>
      <w:lvlJc w:val="left"/>
      <w:pPr>
        <w:ind w:left="2160" w:hanging="360"/>
      </w:pPr>
    </w:lvl>
    <w:lvl w:ilvl="3">
      <w:start w:val="287"/>
      <w:numFmt w:val="decimal"/>
      <w:lvlText w:val="(%4)"/>
      <w:lvlJc w:val="left"/>
      <w:pPr>
        <w:ind w:left="2880" w:hanging="360"/>
      </w:pPr>
    </w:lvl>
    <w:lvl w:ilvl="4">
      <w:start w:val="287"/>
      <w:numFmt w:val="decimal"/>
      <w:lvlText w:val="(%5)"/>
      <w:lvlJc w:val="left"/>
      <w:pPr>
        <w:ind w:left="3600" w:hanging="360"/>
      </w:pPr>
    </w:lvl>
    <w:lvl w:ilvl="5">
      <w:start w:val="287"/>
      <w:numFmt w:val="decimal"/>
      <w:lvlText w:val="(%6)"/>
      <w:lvlJc w:val="left"/>
      <w:pPr>
        <w:ind w:left="4320" w:hanging="360"/>
      </w:pPr>
    </w:lvl>
    <w:lvl w:ilvl="6">
      <w:start w:val="287"/>
      <w:numFmt w:val="decimal"/>
      <w:lvlText w:val="(%7)"/>
      <w:lvlJc w:val="left"/>
      <w:pPr>
        <w:ind w:left="5040" w:hanging="360"/>
      </w:pPr>
    </w:lvl>
    <w:lvl w:ilvl="7">
      <w:start w:val="287"/>
      <w:numFmt w:val="decimal"/>
      <w:lvlText w:val="(%8)"/>
      <w:lvlJc w:val="left"/>
      <w:pPr>
        <w:ind w:left="5760" w:hanging="360"/>
      </w:pPr>
    </w:lvl>
    <w:lvl w:ilvl="8">
      <w:start w:val="287"/>
      <w:numFmt w:val="decimal"/>
      <w:lvlText w:val="(%9)"/>
      <w:lvlJc w:val="left"/>
      <w:pPr>
        <w:ind w:left="6480" w:hanging="360"/>
      </w:pPr>
    </w:lvl>
  </w:abstractNum>
  <w:abstractNum w:abstractNumId="9943285">
    <w:nsid w:val="A9943285"/>
    <w:multiLevelType w:val="multilevel"/>
    <w:lvl w:ilvl="0">
      <w:start w:val="285"/>
      <w:numFmt w:val="decimal"/>
      <w:lvlText w:val="(%1)"/>
      <w:lvlJc w:val="left"/>
      <w:pPr>
        <w:ind w:left="720" w:hanging="360"/>
      </w:pPr>
    </w:lvl>
    <w:lvl w:ilvl="1">
      <w:start w:val="285"/>
      <w:numFmt w:val="decimal"/>
      <w:lvlText w:val="(%2)"/>
      <w:lvlJc w:val="left"/>
      <w:pPr>
        <w:ind w:left="1440" w:hanging="360"/>
      </w:pPr>
    </w:lvl>
    <w:lvl w:ilvl="2">
      <w:start w:val="285"/>
      <w:numFmt w:val="decimal"/>
      <w:lvlText w:val="(%3)"/>
      <w:lvlJc w:val="left"/>
      <w:pPr>
        <w:ind w:left="2160" w:hanging="360"/>
      </w:pPr>
    </w:lvl>
    <w:lvl w:ilvl="3">
      <w:start w:val="285"/>
      <w:numFmt w:val="decimal"/>
      <w:lvlText w:val="(%4)"/>
      <w:lvlJc w:val="left"/>
      <w:pPr>
        <w:ind w:left="2880" w:hanging="360"/>
      </w:pPr>
    </w:lvl>
    <w:lvl w:ilvl="4">
      <w:start w:val="285"/>
      <w:numFmt w:val="decimal"/>
      <w:lvlText w:val="(%5)"/>
      <w:lvlJc w:val="left"/>
      <w:pPr>
        <w:ind w:left="3600" w:hanging="360"/>
      </w:pPr>
    </w:lvl>
    <w:lvl w:ilvl="5">
      <w:start w:val="285"/>
      <w:numFmt w:val="decimal"/>
      <w:lvlText w:val="(%6)"/>
      <w:lvlJc w:val="left"/>
      <w:pPr>
        <w:ind w:left="4320" w:hanging="360"/>
      </w:pPr>
    </w:lvl>
    <w:lvl w:ilvl="6">
      <w:start w:val="285"/>
      <w:numFmt w:val="decimal"/>
      <w:lvlText w:val="(%7)"/>
      <w:lvlJc w:val="left"/>
      <w:pPr>
        <w:ind w:left="5040" w:hanging="360"/>
      </w:pPr>
    </w:lvl>
    <w:lvl w:ilvl="7">
      <w:start w:val="285"/>
      <w:numFmt w:val="decimal"/>
      <w:lvlText w:val="(%8)"/>
      <w:lvlJc w:val="left"/>
      <w:pPr>
        <w:ind w:left="5760" w:hanging="360"/>
      </w:pPr>
    </w:lvl>
    <w:lvl w:ilvl="8">
      <w:start w:val="285"/>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388">
    <w:nsid w:val="0A994388"/>
    <w:multiLevelType w:val="multilevel"/>
    <w:lvl w:ilvl="0">
      <w:start w:val="88"/>
      <w:numFmt w:val="decimal"/>
      <w:lvlText w:val="(%1)"/>
      <w:lvlJc w:val="left"/>
      <w:pPr>
        <w:ind w:left="720" w:hanging="360"/>
      </w:pPr>
    </w:lvl>
    <w:lvl w:ilvl="1">
      <w:start w:val="88"/>
      <w:numFmt w:val="decimal"/>
      <w:lvlText w:val="(%2)"/>
      <w:lvlJc w:val="left"/>
      <w:pPr>
        <w:ind w:left="1440" w:hanging="360"/>
      </w:pPr>
    </w:lvl>
    <w:lvl w:ilvl="2">
      <w:start w:val="88"/>
      <w:numFmt w:val="decimal"/>
      <w:lvlText w:val="(%3)"/>
      <w:lvlJc w:val="left"/>
      <w:pPr>
        <w:ind w:left="2160" w:hanging="360"/>
      </w:pPr>
    </w:lvl>
    <w:lvl w:ilvl="3">
      <w:start w:val="88"/>
      <w:numFmt w:val="decimal"/>
      <w:lvlText w:val="(%4)"/>
      <w:lvlJc w:val="left"/>
      <w:pPr>
        <w:ind w:left="2880" w:hanging="360"/>
      </w:pPr>
    </w:lvl>
    <w:lvl w:ilvl="4">
      <w:start w:val="88"/>
      <w:numFmt w:val="decimal"/>
      <w:lvlText w:val="(%5)"/>
      <w:lvlJc w:val="left"/>
      <w:pPr>
        <w:ind w:left="3600" w:hanging="360"/>
      </w:pPr>
    </w:lvl>
    <w:lvl w:ilvl="5">
      <w:start w:val="88"/>
      <w:numFmt w:val="decimal"/>
      <w:lvlText w:val="(%6)"/>
      <w:lvlJc w:val="left"/>
      <w:pPr>
        <w:ind w:left="4320" w:hanging="360"/>
      </w:pPr>
    </w:lvl>
    <w:lvl w:ilvl="6">
      <w:start w:val="88"/>
      <w:numFmt w:val="decimal"/>
      <w:lvlText w:val="(%7)"/>
      <w:lvlJc w:val="left"/>
      <w:pPr>
        <w:ind w:left="5040" w:hanging="360"/>
      </w:pPr>
    </w:lvl>
    <w:lvl w:ilvl="7">
      <w:start w:val="88"/>
      <w:numFmt w:val="decimal"/>
      <w:lvlText w:val="(%8)"/>
      <w:lvlJc w:val="left"/>
      <w:pPr>
        <w:ind w:left="5760" w:hanging="360"/>
      </w:pPr>
    </w:lvl>
    <w:lvl w:ilvl="8">
      <w:start w:val="88"/>
      <w:numFmt w:val="decimal"/>
      <w:lvlText w:val="(%9)"/>
      <w:lvlJc w:val="left"/>
      <w:pPr>
        <w:ind w:left="6480" w:hanging="360"/>
      </w:pPr>
    </w:lvl>
  </w:abstractNum>
  <w:abstractNum w:abstractNumId="994393">
    <w:nsid w:val="0A994393"/>
    <w:multiLevelType w:val="multilevel"/>
    <w:lvl w:ilvl="0">
      <w:start w:val="93"/>
      <w:numFmt w:val="decimal"/>
      <w:lvlText w:val="(%1)"/>
      <w:lvlJc w:val="left"/>
      <w:pPr>
        <w:ind w:left="720" w:hanging="360"/>
      </w:pPr>
    </w:lvl>
    <w:lvl w:ilvl="1">
      <w:start w:val="93"/>
      <w:numFmt w:val="decimal"/>
      <w:lvlText w:val="(%2)"/>
      <w:lvlJc w:val="left"/>
      <w:pPr>
        <w:ind w:left="1440" w:hanging="360"/>
      </w:pPr>
    </w:lvl>
    <w:lvl w:ilvl="2">
      <w:start w:val="93"/>
      <w:numFmt w:val="decimal"/>
      <w:lvlText w:val="(%3)"/>
      <w:lvlJc w:val="left"/>
      <w:pPr>
        <w:ind w:left="2160" w:hanging="360"/>
      </w:pPr>
    </w:lvl>
    <w:lvl w:ilvl="3">
      <w:start w:val="93"/>
      <w:numFmt w:val="decimal"/>
      <w:lvlText w:val="(%4)"/>
      <w:lvlJc w:val="left"/>
      <w:pPr>
        <w:ind w:left="2880" w:hanging="360"/>
      </w:pPr>
    </w:lvl>
    <w:lvl w:ilvl="4">
      <w:start w:val="93"/>
      <w:numFmt w:val="decimal"/>
      <w:lvlText w:val="(%5)"/>
      <w:lvlJc w:val="left"/>
      <w:pPr>
        <w:ind w:left="3600" w:hanging="360"/>
      </w:pPr>
    </w:lvl>
    <w:lvl w:ilvl="5">
      <w:start w:val="93"/>
      <w:numFmt w:val="decimal"/>
      <w:lvlText w:val="(%6)"/>
      <w:lvlJc w:val="left"/>
      <w:pPr>
        <w:ind w:left="4320" w:hanging="360"/>
      </w:pPr>
    </w:lvl>
    <w:lvl w:ilvl="6">
      <w:start w:val="93"/>
      <w:numFmt w:val="decimal"/>
      <w:lvlText w:val="(%7)"/>
      <w:lvlJc w:val="left"/>
      <w:pPr>
        <w:ind w:left="5040" w:hanging="360"/>
      </w:pPr>
    </w:lvl>
    <w:lvl w:ilvl="7">
      <w:start w:val="93"/>
      <w:numFmt w:val="decimal"/>
      <w:lvlText w:val="(%8)"/>
      <w:lvlJc w:val="left"/>
      <w:pPr>
        <w:ind w:left="5760" w:hanging="360"/>
      </w:pPr>
    </w:lvl>
    <w:lvl w:ilvl="8">
      <w:start w:val="93"/>
      <w:numFmt w:val="decimal"/>
      <w:lvlText w:val="(%9)"/>
      <w:lvlJc w:val="left"/>
      <w:pPr>
        <w:ind w:left="6480" w:hanging="360"/>
      </w:pPr>
    </w:lvl>
  </w:abstractNum>
  <w:abstractNum w:abstractNumId="9943603">
    <w:nsid w:val="A9943603"/>
    <w:multiLevelType w:val="multilevel"/>
    <w:lvl w:ilvl="0">
      <w:start w:val="603"/>
      <w:numFmt w:val="decimal"/>
      <w:lvlText w:val="(%1)"/>
      <w:lvlJc w:val="left"/>
      <w:pPr>
        <w:ind w:left="720" w:hanging="360"/>
      </w:pPr>
    </w:lvl>
    <w:lvl w:ilvl="1">
      <w:start w:val="603"/>
      <w:numFmt w:val="decimal"/>
      <w:lvlText w:val="(%2)"/>
      <w:lvlJc w:val="left"/>
      <w:pPr>
        <w:ind w:left="1440" w:hanging="360"/>
      </w:pPr>
    </w:lvl>
    <w:lvl w:ilvl="2">
      <w:start w:val="603"/>
      <w:numFmt w:val="decimal"/>
      <w:lvlText w:val="(%3)"/>
      <w:lvlJc w:val="left"/>
      <w:pPr>
        <w:ind w:left="2160" w:hanging="360"/>
      </w:pPr>
    </w:lvl>
    <w:lvl w:ilvl="3">
      <w:start w:val="603"/>
      <w:numFmt w:val="decimal"/>
      <w:lvlText w:val="(%4)"/>
      <w:lvlJc w:val="left"/>
      <w:pPr>
        <w:ind w:left="2880" w:hanging="360"/>
      </w:pPr>
    </w:lvl>
    <w:lvl w:ilvl="4">
      <w:start w:val="603"/>
      <w:numFmt w:val="decimal"/>
      <w:lvlText w:val="(%5)"/>
      <w:lvlJc w:val="left"/>
      <w:pPr>
        <w:ind w:left="3600" w:hanging="360"/>
      </w:pPr>
    </w:lvl>
    <w:lvl w:ilvl="5">
      <w:start w:val="603"/>
      <w:numFmt w:val="decimal"/>
      <w:lvlText w:val="(%6)"/>
      <w:lvlJc w:val="left"/>
      <w:pPr>
        <w:ind w:left="4320" w:hanging="360"/>
      </w:pPr>
    </w:lvl>
    <w:lvl w:ilvl="6">
      <w:start w:val="603"/>
      <w:numFmt w:val="decimal"/>
      <w:lvlText w:val="(%7)"/>
      <w:lvlJc w:val="left"/>
      <w:pPr>
        <w:ind w:left="5040" w:hanging="360"/>
      </w:pPr>
    </w:lvl>
    <w:lvl w:ilvl="7">
      <w:start w:val="603"/>
      <w:numFmt w:val="decimal"/>
      <w:lvlText w:val="(%8)"/>
      <w:lvlJc w:val="left"/>
      <w:pPr>
        <w:ind w:left="5760" w:hanging="360"/>
      </w:pPr>
    </w:lvl>
    <w:lvl w:ilvl="8">
      <w:start w:val="603"/>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3581">
    <w:nsid w:val="A9943581"/>
    <w:multiLevelType w:val="multilevel"/>
    <w:lvl w:ilvl="0">
      <w:start w:val="581"/>
      <w:numFmt w:val="decimal"/>
      <w:lvlText w:val="(%1)"/>
      <w:lvlJc w:val="left"/>
      <w:pPr>
        <w:ind w:left="720" w:hanging="360"/>
      </w:pPr>
    </w:lvl>
    <w:lvl w:ilvl="1">
      <w:start w:val="581"/>
      <w:numFmt w:val="decimal"/>
      <w:lvlText w:val="(%2)"/>
      <w:lvlJc w:val="left"/>
      <w:pPr>
        <w:ind w:left="1440" w:hanging="360"/>
      </w:pPr>
    </w:lvl>
    <w:lvl w:ilvl="2">
      <w:start w:val="581"/>
      <w:numFmt w:val="decimal"/>
      <w:lvlText w:val="(%3)"/>
      <w:lvlJc w:val="left"/>
      <w:pPr>
        <w:ind w:left="2160" w:hanging="360"/>
      </w:pPr>
    </w:lvl>
    <w:lvl w:ilvl="3">
      <w:start w:val="581"/>
      <w:numFmt w:val="decimal"/>
      <w:lvlText w:val="(%4)"/>
      <w:lvlJc w:val="left"/>
      <w:pPr>
        <w:ind w:left="2880" w:hanging="360"/>
      </w:pPr>
    </w:lvl>
    <w:lvl w:ilvl="4">
      <w:start w:val="581"/>
      <w:numFmt w:val="decimal"/>
      <w:lvlText w:val="(%5)"/>
      <w:lvlJc w:val="left"/>
      <w:pPr>
        <w:ind w:left="3600" w:hanging="360"/>
      </w:pPr>
    </w:lvl>
    <w:lvl w:ilvl="5">
      <w:start w:val="581"/>
      <w:numFmt w:val="decimal"/>
      <w:lvlText w:val="(%6)"/>
      <w:lvlJc w:val="left"/>
      <w:pPr>
        <w:ind w:left="4320" w:hanging="360"/>
      </w:pPr>
    </w:lvl>
    <w:lvl w:ilvl="6">
      <w:start w:val="581"/>
      <w:numFmt w:val="decimal"/>
      <w:lvlText w:val="(%7)"/>
      <w:lvlJc w:val="left"/>
      <w:pPr>
        <w:ind w:left="5040" w:hanging="360"/>
      </w:pPr>
    </w:lvl>
    <w:lvl w:ilvl="7">
      <w:start w:val="581"/>
      <w:numFmt w:val="decimal"/>
      <w:lvlText w:val="(%8)"/>
      <w:lvlJc w:val="left"/>
      <w:pPr>
        <w:ind w:left="5760" w:hanging="360"/>
      </w:pPr>
    </w:lvl>
    <w:lvl w:ilvl="8">
      <w:start w:val="581"/>
      <w:numFmt w:val="decimal"/>
      <w:lvlText w:val="(%9)"/>
      <w:lvlJc w:val="left"/>
      <w:pPr>
        <w:ind w:left="6480" w:hanging="360"/>
      </w:pPr>
    </w:lvl>
  </w:abstractNum>
  <w:abstractNum w:abstractNumId="9943696">
    <w:nsid w:val="A9943696"/>
    <w:multiLevelType w:val="multilevel"/>
    <w:lvl w:ilvl="0">
      <w:start w:val="696"/>
      <w:numFmt w:val="decimal"/>
      <w:lvlText w:val="(%1)"/>
      <w:lvlJc w:val="left"/>
      <w:pPr>
        <w:ind w:left="720" w:hanging="360"/>
      </w:pPr>
    </w:lvl>
    <w:lvl w:ilvl="1">
      <w:start w:val="696"/>
      <w:numFmt w:val="decimal"/>
      <w:lvlText w:val="(%2)"/>
      <w:lvlJc w:val="left"/>
      <w:pPr>
        <w:ind w:left="1440" w:hanging="360"/>
      </w:pPr>
    </w:lvl>
    <w:lvl w:ilvl="2">
      <w:start w:val="696"/>
      <w:numFmt w:val="decimal"/>
      <w:lvlText w:val="(%3)"/>
      <w:lvlJc w:val="left"/>
      <w:pPr>
        <w:ind w:left="2160" w:hanging="360"/>
      </w:pPr>
    </w:lvl>
    <w:lvl w:ilvl="3">
      <w:start w:val="696"/>
      <w:numFmt w:val="decimal"/>
      <w:lvlText w:val="(%4)"/>
      <w:lvlJc w:val="left"/>
      <w:pPr>
        <w:ind w:left="2880" w:hanging="360"/>
      </w:pPr>
    </w:lvl>
    <w:lvl w:ilvl="4">
      <w:start w:val="696"/>
      <w:numFmt w:val="decimal"/>
      <w:lvlText w:val="(%5)"/>
      <w:lvlJc w:val="left"/>
      <w:pPr>
        <w:ind w:left="3600" w:hanging="360"/>
      </w:pPr>
    </w:lvl>
    <w:lvl w:ilvl="5">
      <w:start w:val="696"/>
      <w:numFmt w:val="decimal"/>
      <w:lvlText w:val="(%6)"/>
      <w:lvlJc w:val="left"/>
      <w:pPr>
        <w:ind w:left="4320" w:hanging="360"/>
      </w:pPr>
    </w:lvl>
    <w:lvl w:ilvl="6">
      <w:start w:val="696"/>
      <w:numFmt w:val="decimal"/>
      <w:lvlText w:val="(%7)"/>
      <w:lvlJc w:val="left"/>
      <w:pPr>
        <w:ind w:left="5040" w:hanging="360"/>
      </w:pPr>
    </w:lvl>
    <w:lvl w:ilvl="7">
      <w:start w:val="696"/>
      <w:numFmt w:val="decimal"/>
      <w:lvlText w:val="(%8)"/>
      <w:lvlJc w:val="left"/>
      <w:pPr>
        <w:ind w:left="5760" w:hanging="360"/>
      </w:pPr>
    </w:lvl>
    <w:lvl w:ilvl="8">
      <w:start w:val="696"/>
      <w:numFmt w:val="decimal"/>
      <w:lvlText w:val="(%9)"/>
      <w:lvlJc w:val="left"/>
      <w:pPr>
        <w:ind w:left="6480" w:hanging="360"/>
      </w:pPr>
    </w:lvl>
  </w:abstractNum>
  <w:abstractNum w:abstractNumId="994386">
    <w:nsid w:val="0A994386"/>
    <w:multiLevelType w:val="multilevel"/>
    <w:lvl w:ilvl="0">
      <w:start w:val="86"/>
      <w:numFmt w:val="decimal"/>
      <w:lvlText w:val="(%1)"/>
      <w:lvlJc w:val="left"/>
      <w:pPr>
        <w:ind w:left="720" w:hanging="360"/>
      </w:pPr>
    </w:lvl>
    <w:lvl w:ilvl="1">
      <w:start w:val="86"/>
      <w:numFmt w:val="decimal"/>
      <w:lvlText w:val="(%2)"/>
      <w:lvlJc w:val="left"/>
      <w:pPr>
        <w:ind w:left="1440" w:hanging="360"/>
      </w:pPr>
    </w:lvl>
    <w:lvl w:ilvl="2">
      <w:start w:val="86"/>
      <w:numFmt w:val="decimal"/>
      <w:lvlText w:val="(%3)"/>
      <w:lvlJc w:val="left"/>
      <w:pPr>
        <w:ind w:left="2160" w:hanging="360"/>
      </w:pPr>
    </w:lvl>
    <w:lvl w:ilvl="3">
      <w:start w:val="86"/>
      <w:numFmt w:val="decimal"/>
      <w:lvlText w:val="(%4)"/>
      <w:lvlJc w:val="left"/>
      <w:pPr>
        <w:ind w:left="2880" w:hanging="360"/>
      </w:pPr>
    </w:lvl>
    <w:lvl w:ilvl="4">
      <w:start w:val="86"/>
      <w:numFmt w:val="decimal"/>
      <w:lvlText w:val="(%5)"/>
      <w:lvlJc w:val="left"/>
      <w:pPr>
        <w:ind w:left="3600" w:hanging="360"/>
      </w:pPr>
    </w:lvl>
    <w:lvl w:ilvl="5">
      <w:start w:val="86"/>
      <w:numFmt w:val="decimal"/>
      <w:lvlText w:val="(%6)"/>
      <w:lvlJc w:val="left"/>
      <w:pPr>
        <w:ind w:left="4320" w:hanging="360"/>
      </w:pPr>
    </w:lvl>
    <w:lvl w:ilvl="6">
      <w:start w:val="86"/>
      <w:numFmt w:val="decimal"/>
      <w:lvlText w:val="(%7)"/>
      <w:lvlJc w:val="left"/>
      <w:pPr>
        <w:ind w:left="5040" w:hanging="360"/>
      </w:pPr>
    </w:lvl>
    <w:lvl w:ilvl="7">
      <w:start w:val="86"/>
      <w:numFmt w:val="decimal"/>
      <w:lvlText w:val="(%8)"/>
      <w:lvlJc w:val="left"/>
      <w:pPr>
        <w:ind w:left="5760" w:hanging="360"/>
      </w:pPr>
    </w:lvl>
    <w:lvl w:ilvl="8">
      <w:start w:val="86"/>
      <w:numFmt w:val="decimal"/>
      <w:lvlText w:val="(%9)"/>
      <w:lvlJc w:val="left"/>
      <w:pPr>
        <w:ind w:left="6480" w:hanging="360"/>
      </w:pPr>
    </w:lvl>
  </w:abstractNum>
  <w:abstractNum w:abstractNumId="9943266">
    <w:nsid w:val="A9943266"/>
    <w:multiLevelType w:val="multilevel"/>
    <w:lvl w:ilvl="0">
      <w:start w:val="266"/>
      <w:numFmt w:val="decimal"/>
      <w:lvlText w:val="(%1)"/>
      <w:lvlJc w:val="left"/>
      <w:pPr>
        <w:ind w:left="720" w:hanging="360"/>
      </w:pPr>
    </w:lvl>
    <w:lvl w:ilvl="1">
      <w:start w:val="266"/>
      <w:numFmt w:val="decimal"/>
      <w:lvlText w:val="(%2)"/>
      <w:lvlJc w:val="left"/>
      <w:pPr>
        <w:ind w:left="1440" w:hanging="360"/>
      </w:pPr>
    </w:lvl>
    <w:lvl w:ilvl="2">
      <w:start w:val="266"/>
      <w:numFmt w:val="decimal"/>
      <w:lvlText w:val="(%3)"/>
      <w:lvlJc w:val="left"/>
      <w:pPr>
        <w:ind w:left="2160" w:hanging="360"/>
      </w:pPr>
    </w:lvl>
    <w:lvl w:ilvl="3">
      <w:start w:val="266"/>
      <w:numFmt w:val="decimal"/>
      <w:lvlText w:val="(%4)"/>
      <w:lvlJc w:val="left"/>
      <w:pPr>
        <w:ind w:left="2880" w:hanging="360"/>
      </w:pPr>
    </w:lvl>
    <w:lvl w:ilvl="4">
      <w:start w:val="266"/>
      <w:numFmt w:val="decimal"/>
      <w:lvlText w:val="(%5)"/>
      <w:lvlJc w:val="left"/>
      <w:pPr>
        <w:ind w:left="3600" w:hanging="360"/>
      </w:pPr>
    </w:lvl>
    <w:lvl w:ilvl="5">
      <w:start w:val="266"/>
      <w:numFmt w:val="decimal"/>
      <w:lvlText w:val="(%6)"/>
      <w:lvlJc w:val="left"/>
      <w:pPr>
        <w:ind w:left="4320" w:hanging="360"/>
      </w:pPr>
    </w:lvl>
    <w:lvl w:ilvl="6">
      <w:start w:val="266"/>
      <w:numFmt w:val="decimal"/>
      <w:lvlText w:val="(%7)"/>
      <w:lvlJc w:val="left"/>
      <w:pPr>
        <w:ind w:left="5040" w:hanging="360"/>
      </w:pPr>
    </w:lvl>
    <w:lvl w:ilvl="7">
      <w:start w:val="266"/>
      <w:numFmt w:val="decimal"/>
      <w:lvlText w:val="(%8)"/>
      <w:lvlJc w:val="left"/>
      <w:pPr>
        <w:ind w:left="5760" w:hanging="360"/>
      </w:pPr>
    </w:lvl>
    <w:lvl w:ilvl="8">
      <w:start w:val="266"/>
      <w:numFmt w:val="decimal"/>
      <w:lvlText w:val="(%9)"/>
      <w:lvlJc w:val="left"/>
      <w:pPr>
        <w:ind w:left="6480" w:hanging="360"/>
      </w:pPr>
    </w:lvl>
  </w:abstractNum>
  <w:abstractNum w:abstractNumId="994337">
    <w:nsid w:val="0A9943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550">
    <w:nsid w:val="A9943550"/>
    <w:multiLevelType w:val="multilevel"/>
    <w:lvl w:ilvl="0">
      <w:start w:val="550"/>
      <w:numFmt w:val="decimal"/>
      <w:lvlText w:val="(%1)"/>
      <w:lvlJc w:val="left"/>
      <w:pPr>
        <w:ind w:left="720" w:hanging="360"/>
      </w:pPr>
    </w:lvl>
    <w:lvl w:ilvl="1">
      <w:start w:val="550"/>
      <w:numFmt w:val="decimal"/>
      <w:lvlText w:val="(%2)"/>
      <w:lvlJc w:val="left"/>
      <w:pPr>
        <w:ind w:left="1440" w:hanging="360"/>
      </w:pPr>
    </w:lvl>
    <w:lvl w:ilvl="2">
      <w:start w:val="550"/>
      <w:numFmt w:val="decimal"/>
      <w:lvlText w:val="(%3)"/>
      <w:lvlJc w:val="left"/>
      <w:pPr>
        <w:ind w:left="2160" w:hanging="360"/>
      </w:pPr>
    </w:lvl>
    <w:lvl w:ilvl="3">
      <w:start w:val="550"/>
      <w:numFmt w:val="decimal"/>
      <w:lvlText w:val="(%4)"/>
      <w:lvlJc w:val="left"/>
      <w:pPr>
        <w:ind w:left="2880" w:hanging="360"/>
      </w:pPr>
    </w:lvl>
    <w:lvl w:ilvl="4">
      <w:start w:val="550"/>
      <w:numFmt w:val="decimal"/>
      <w:lvlText w:val="(%5)"/>
      <w:lvlJc w:val="left"/>
      <w:pPr>
        <w:ind w:left="3600" w:hanging="360"/>
      </w:pPr>
    </w:lvl>
    <w:lvl w:ilvl="5">
      <w:start w:val="550"/>
      <w:numFmt w:val="decimal"/>
      <w:lvlText w:val="(%6)"/>
      <w:lvlJc w:val="left"/>
      <w:pPr>
        <w:ind w:left="4320" w:hanging="360"/>
      </w:pPr>
    </w:lvl>
    <w:lvl w:ilvl="6">
      <w:start w:val="550"/>
      <w:numFmt w:val="decimal"/>
      <w:lvlText w:val="(%7)"/>
      <w:lvlJc w:val="left"/>
      <w:pPr>
        <w:ind w:left="5040" w:hanging="360"/>
      </w:pPr>
    </w:lvl>
    <w:lvl w:ilvl="7">
      <w:start w:val="550"/>
      <w:numFmt w:val="decimal"/>
      <w:lvlText w:val="(%8)"/>
      <w:lvlJc w:val="left"/>
      <w:pPr>
        <w:ind w:left="5760" w:hanging="360"/>
      </w:pPr>
    </w:lvl>
    <w:lvl w:ilvl="8">
      <w:start w:val="550"/>
      <w:numFmt w:val="decimal"/>
      <w:lvlText w:val="(%9)"/>
      <w:lvlJc w:val="left"/>
      <w:pPr>
        <w:ind w:left="6480" w:hanging="360"/>
      </w:pPr>
    </w:lvl>
  </w:abstractNum>
  <w:abstractNum w:abstractNumId="9943289">
    <w:nsid w:val="A9943289"/>
    <w:multiLevelType w:val="multilevel"/>
    <w:lvl w:ilvl="0">
      <w:start w:val="289"/>
      <w:numFmt w:val="decimal"/>
      <w:lvlText w:val="(%1)"/>
      <w:lvlJc w:val="left"/>
      <w:pPr>
        <w:ind w:left="720" w:hanging="360"/>
      </w:pPr>
    </w:lvl>
    <w:lvl w:ilvl="1">
      <w:start w:val="289"/>
      <w:numFmt w:val="decimal"/>
      <w:lvlText w:val="(%2)"/>
      <w:lvlJc w:val="left"/>
      <w:pPr>
        <w:ind w:left="1440" w:hanging="360"/>
      </w:pPr>
    </w:lvl>
    <w:lvl w:ilvl="2">
      <w:start w:val="289"/>
      <w:numFmt w:val="decimal"/>
      <w:lvlText w:val="(%3)"/>
      <w:lvlJc w:val="left"/>
      <w:pPr>
        <w:ind w:left="2160" w:hanging="360"/>
      </w:pPr>
    </w:lvl>
    <w:lvl w:ilvl="3">
      <w:start w:val="289"/>
      <w:numFmt w:val="decimal"/>
      <w:lvlText w:val="(%4)"/>
      <w:lvlJc w:val="left"/>
      <w:pPr>
        <w:ind w:left="2880" w:hanging="360"/>
      </w:pPr>
    </w:lvl>
    <w:lvl w:ilvl="4">
      <w:start w:val="289"/>
      <w:numFmt w:val="decimal"/>
      <w:lvlText w:val="(%5)"/>
      <w:lvlJc w:val="left"/>
      <w:pPr>
        <w:ind w:left="3600" w:hanging="360"/>
      </w:pPr>
    </w:lvl>
    <w:lvl w:ilvl="5">
      <w:start w:val="289"/>
      <w:numFmt w:val="decimal"/>
      <w:lvlText w:val="(%6)"/>
      <w:lvlJc w:val="left"/>
      <w:pPr>
        <w:ind w:left="4320" w:hanging="360"/>
      </w:pPr>
    </w:lvl>
    <w:lvl w:ilvl="6">
      <w:start w:val="289"/>
      <w:numFmt w:val="decimal"/>
      <w:lvlText w:val="(%7)"/>
      <w:lvlJc w:val="left"/>
      <w:pPr>
        <w:ind w:left="5040" w:hanging="360"/>
      </w:pPr>
    </w:lvl>
    <w:lvl w:ilvl="7">
      <w:start w:val="289"/>
      <w:numFmt w:val="decimal"/>
      <w:lvlText w:val="(%8)"/>
      <w:lvlJc w:val="left"/>
      <w:pPr>
        <w:ind w:left="5760" w:hanging="360"/>
      </w:pPr>
    </w:lvl>
    <w:lvl w:ilvl="8">
      <w:start w:val="289"/>
      <w:numFmt w:val="decimal"/>
      <w:lvlText w:val="(%9)"/>
      <w:lvlJc w:val="left"/>
      <w:pPr>
        <w:ind w:left="6480" w:hanging="360"/>
      </w:pPr>
    </w:lvl>
  </w:abstractNum>
  <w:abstractNum w:abstractNumId="9943405">
    <w:nsid w:val="A9943405"/>
    <w:multiLevelType w:val="multilevel"/>
    <w:lvl w:ilvl="0">
      <w:start w:val="405"/>
      <w:numFmt w:val="decimal"/>
      <w:lvlText w:val="(%1)"/>
      <w:lvlJc w:val="left"/>
      <w:pPr>
        <w:ind w:left="720" w:hanging="360"/>
      </w:pPr>
    </w:lvl>
    <w:lvl w:ilvl="1">
      <w:start w:val="405"/>
      <w:numFmt w:val="decimal"/>
      <w:lvlText w:val="(%2)"/>
      <w:lvlJc w:val="left"/>
      <w:pPr>
        <w:ind w:left="1440" w:hanging="360"/>
      </w:pPr>
    </w:lvl>
    <w:lvl w:ilvl="2">
      <w:start w:val="405"/>
      <w:numFmt w:val="decimal"/>
      <w:lvlText w:val="(%3)"/>
      <w:lvlJc w:val="left"/>
      <w:pPr>
        <w:ind w:left="2160" w:hanging="360"/>
      </w:pPr>
    </w:lvl>
    <w:lvl w:ilvl="3">
      <w:start w:val="405"/>
      <w:numFmt w:val="decimal"/>
      <w:lvlText w:val="(%4)"/>
      <w:lvlJc w:val="left"/>
      <w:pPr>
        <w:ind w:left="2880" w:hanging="360"/>
      </w:pPr>
    </w:lvl>
    <w:lvl w:ilvl="4">
      <w:start w:val="405"/>
      <w:numFmt w:val="decimal"/>
      <w:lvlText w:val="(%5)"/>
      <w:lvlJc w:val="left"/>
      <w:pPr>
        <w:ind w:left="3600" w:hanging="360"/>
      </w:pPr>
    </w:lvl>
    <w:lvl w:ilvl="5">
      <w:start w:val="405"/>
      <w:numFmt w:val="decimal"/>
      <w:lvlText w:val="(%6)"/>
      <w:lvlJc w:val="left"/>
      <w:pPr>
        <w:ind w:left="4320" w:hanging="360"/>
      </w:pPr>
    </w:lvl>
    <w:lvl w:ilvl="6">
      <w:start w:val="405"/>
      <w:numFmt w:val="decimal"/>
      <w:lvlText w:val="(%7)"/>
      <w:lvlJc w:val="left"/>
      <w:pPr>
        <w:ind w:left="5040" w:hanging="360"/>
      </w:pPr>
    </w:lvl>
    <w:lvl w:ilvl="7">
      <w:start w:val="405"/>
      <w:numFmt w:val="decimal"/>
      <w:lvlText w:val="(%8)"/>
      <w:lvlJc w:val="left"/>
      <w:pPr>
        <w:ind w:left="5760" w:hanging="360"/>
      </w:pPr>
    </w:lvl>
    <w:lvl w:ilvl="8">
      <w:start w:val="405"/>
      <w:numFmt w:val="decimal"/>
      <w:lvlText w:val="(%9)"/>
      <w:lvlJc w:val="left"/>
      <w:pPr>
        <w:ind w:left="6480" w:hanging="360"/>
      </w:pPr>
    </w:lvl>
  </w:abstractNum>
  <w:abstractNum w:abstractNumId="9943286">
    <w:nsid w:val="A9943286"/>
    <w:multiLevelType w:val="multilevel"/>
    <w:lvl w:ilvl="0">
      <w:start w:val="286"/>
      <w:numFmt w:val="decimal"/>
      <w:lvlText w:val="(%1)"/>
      <w:lvlJc w:val="left"/>
      <w:pPr>
        <w:ind w:left="720" w:hanging="360"/>
      </w:pPr>
    </w:lvl>
    <w:lvl w:ilvl="1">
      <w:start w:val="286"/>
      <w:numFmt w:val="decimal"/>
      <w:lvlText w:val="(%2)"/>
      <w:lvlJc w:val="left"/>
      <w:pPr>
        <w:ind w:left="1440" w:hanging="360"/>
      </w:pPr>
    </w:lvl>
    <w:lvl w:ilvl="2">
      <w:start w:val="286"/>
      <w:numFmt w:val="decimal"/>
      <w:lvlText w:val="(%3)"/>
      <w:lvlJc w:val="left"/>
      <w:pPr>
        <w:ind w:left="2160" w:hanging="360"/>
      </w:pPr>
    </w:lvl>
    <w:lvl w:ilvl="3">
      <w:start w:val="286"/>
      <w:numFmt w:val="decimal"/>
      <w:lvlText w:val="(%4)"/>
      <w:lvlJc w:val="left"/>
      <w:pPr>
        <w:ind w:left="2880" w:hanging="360"/>
      </w:pPr>
    </w:lvl>
    <w:lvl w:ilvl="4">
      <w:start w:val="286"/>
      <w:numFmt w:val="decimal"/>
      <w:lvlText w:val="(%5)"/>
      <w:lvlJc w:val="left"/>
      <w:pPr>
        <w:ind w:left="3600" w:hanging="360"/>
      </w:pPr>
    </w:lvl>
    <w:lvl w:ilvl="5">
      <w:start w:val="286"/>
      <w:numFmt w:val="decimal"/>
      <w:lvlText w:val="(%6)"/>
      <w:lvlJc w:val="left"/>
      <w:pPr>
        <w:ind w:left="4320" w:hanging="360"/>
      </w:pPr>
    </w:lvl>
    <w:lvl w:ilvl="6">
      <w:start w:val="286"/>
      <w:numFmt w:val="decimal"/>
      <w:lvlText w:val="(%7)"/>
      <w:lvlJc w:val="left"/>
      <w:pPr>
        <w:ind w:left="5040" w:hanging="360"/>
      </w:pPr>
    </w:lvl>
    <w:lvl w:ilvl="7">
      <w:start w:val="286"/>
      <w:numFmt w:val="decimal"/>
      <w:lvlText w:val="(%8)"/>
      <w:lvlJc w:val="left"/>
      <w:pPr>
        <w:ind w:left="5760" w:hanging="360"/>
      </w:pPr>
    </w:lvl>
    <w:lvl w:ilvl="8">
      <w:start w:val="286"/>
      <w:numFmt w:val="decimal"/>
      <w:lvlText w:val="(%9)"/>
      <w:lvlJc w:val="left"/>
      <w:pPr>
        <w:ind w:left="6480" w:hanging="360"/>
      </w:pPr>
    </w:lvl>
  </w:abstractNum>
  <w:abstractNum w:abstractNumId="994345">
    <w:nsid w:val="0A9943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334">
    <w:nsid w:val="0A9943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3123">
    <w:nsid w:val="A9943123"/>
    <w:multiLevelType w:val="multilevel"/>
    <w:lvl w:ilvl="0">
      <w:start w:val="123"/>
      <w:numFmt w:val="decimal"/>
      <w:lvlText w:val="(%1)"/>
      <w:lvlJc w:val="left"/>
      <w:pPr>
        <w:ind w:left="720" w:hanging="360"/>
      </w:pPr>
    </w:lvl>
    <w:lvl w:ilvl="1">
      <w:start w:val="123"/>
      <w:numFmt w:val="decimal"/>
      <w:lvlText w:val="(%2)"/>
      <w:lvlJc w:val="left"/>
      <w:pPr>
        <w:ind w:left="1440" w:hanging="360"/>
      </w:pPr>
    </w:lvl>
    <w:lvl w:ilvl="2">
      <w:start w:val="123"/>
      <w:numFmt w:val="decimal"/>
      <w:lvlText w:val="(%3)"/>
      <w:lvlJc w:val="left"/>
      <w:pPr>
        <w:ind w:left="2160" w:hanging="360"/>
      </w:pPr>
    </w:lvl>
    <w:lvl w:ilvl="3">
      <w:start w:val="123"/>
      <w:numFmt w:val="decimal"/>
      <w:lvlText w:val="(%4)"/>
      <w:lvlJc w:val="left"/>
      <w:pPr>
        <w:ind w:left="2880" w:hanging="360"/>
      </w:pPr>
    </w:lvl>
    <w:lvl w:ilvl="4">
      <w:start w:val="123"/>
      <w:numFmt w:val="decimal"/>
      <w:lvlText w:val="(%5)"/>
      <w:lvlJc w:val="left"/>
      <w:pPr>
        <w:ind w:left="3600" w:hanging="360"/>
      </w:pPr>
    </w:lvl>
    <w:lvl w:ilvl="5">
      <w:start w:val="123"/>
      <w:numFmt w:val="decimal"/>
      <w:lvlText w:val="(%6)"/>
      <w:lvlJc w:val="left"/>
      <w:pPr>
        <w:ind w:left="4320" w:hanging="360"/>
      </w:pPr>
    </w:lvl>
    <w:lvl w:ilvl="6">
      <w:start w:val="123"/>
      <w:numFmt w:val="decimal"/>
      <w:lvlText w:val="(%7)"/>
      <w:lvlJc w:val="left"/>
      <w:pPr>
        <w:ind w:left="5040" w:hanging="360"/>
      </w:pPr>
    </w:lvl>
    <w:lvl w:ilvl="7">
      <w:start w:val="123"/>
      <w:numFmt w:val="decimal"/>
      <w:lvlText w:val="(%8)"/>
      <w:lvlJc w:val="left"/>
      <w:pPr>
        <w:ind w:left="5760" w:hanging="360"/>
      </w:pPr>
    </w:lvl>
    <w:lvl w:ilvl="8">
      <w:start w:val="123"/>
      <w:numFmt w:val="decimal"/>
      <w:lvlText w:val="(%9)"/>
      <w:lvlJc w:val="left"/>
      <w:pPr>
        <w:ind w:left="6480" w:hanging="360"/>
      </w:pPr>
    </w:lvl>
  </w:abstractNum>
  <w:abstractNum w:abstractNumId="9943629">
    <w:nsid w:val="A9943629"/>
    <w:multiLevelType w:val="multilevel"/>
    <w:lvl w:ilvl="0">
      <w:start w:val="629"/>
      <w:numFmt w:val="decimal"/>
      <w:lvlText w:val="(%1)"/>
      <w:lvlJc w:val="left"/>
      <w:pPr>
        <w:ind w:left="720" w:hanging="360"/>
      </w:pPr>
    </w:lvl>
    <w:lvl w:ilvl="1">
      <w:start w:val="629"/>
      <w:numFmt w:val="decimal"/>
      <w:lvlText w:val="(%2)"/>
      <w:lvlJc w:val="left"/>
      <w:pPr>
        <w:ind w:left="1440" w:hanging="360"/>
      </w:pPr>
    </w:lvl>
    <w:lvl w:ilvl="2">
      <w:start w:val="629"/>
      <w:numFmt w:val="decimal"/>
      <w:lvlText w:val="(%3)"/>
      <w:lvlJc w:val="left"/>
      <w:pPr>
        <w:ind w:left="2160" w:hanging="360"/>
      </w:pPr>
    </w:lvl>
    <w:lvl w:ilvl="3">
      <w:start w:val="629"/>
      <w:numFmt w:val="decimal"/>
      <w:lvlText w:val="(%4)"/>
      <w:lvlJc w:val="left"/>
      <w:pPr>
        <w:ind w:left="2880" w:hanging="360"/>
      </w:pPr>
    </w:lvl>
    <w:lvl w:ilvl="4">
      <w:start w:val="629"/>
      <w:numFmt w:val="decimal"/>
      <w:lvlText w:val="(%5)"/>
      <w:lvlJc w:val="left"/>
      <w:pPr>
        <w:ind w:left="3600" w:hanging="360"/>
      </w:pPr>
    </w:lvl>
    <w:lvl w:ilvl="5">
      <w:start w:val="629"/>
      <w:numFmt w:val="decimal"/>
      <w:lvlText w:val="(%6)"/>
      <w:lvlJc w:val="left"/>
      <w:pPr>
        <w:ind w:left="4320" w:hanging="360"/>
      </w:pPr>
    </w:lvl>
    <w:lvl w:ilvl="6">
      <w:start w:val="629"/>
      <w:numFmt w:val="decimal"/>
      <w:lvlText w:val="(%7)"/>
      <w:lvlJc w:val="left"/>
      <w:pPr>
        <w:ind w:left="5040" w:hanging="360"/>
      </w:pPr>
    </w:lvl>
    <w:lvl w:ilvl="7">
      <w:start w:val="629"/>
      <w:numFmt w:val="decimal"/>
      <w:lvlText w:val="(%8)"/>
      <w:lvlJc w:val="left"/>
      <w:pPr>
        <w:ind w:left="5760" w:hanging="360"/>
      </w:pPr>
    </w:lvl>
    <w:lvl w:ilvl="8">
      <w:start w:val="629"/>
      <w:numFmt w:val="decimal"/>
      <w:lvlText w:val="(%9)"/>
      <w:lvlJc w:val="left"/>
      <w:pPr>
        <w:ind w:left="6480" w:hanging="360"/>
      </w:pPr>
    </w:lvl>
  </w:abstractNum>
  <w:abstractNum w:abstractNumId="9943180">
    <w:nsid w:val="A9943180"/>
    <w:multiLevelType w:val="multilevel"/>
    <w:lvl w:ilvl="0">
      <w:start w:val="180"/>
      <w:numFmt w:val="decimal"/>
      <w:lvlText w:val="(%1)"/>
      <w:lvlJc w:val="left"/>
      <w:pPr>
        <w:ind w:left="720" w:hanging="360"/>
      </w:pPr>
    </w:lvl>
    <w:lvl w:ilvl="1">
      <w:start w:val="180"/>
      <w:numFmt w:val="decimal"/>
      <w:lvlText w:val="(%2)"/>
      <w:lvlJc w:val="left"/>
      <w:pPr>
        <w:ind w:left="1440" w:hanging="360"/>
      </w:pPr>
    </w:lvl>
    <w:lvl w:ilvl="2">
      <w:start w:val="180"/>
      <w:numFmt w:val="decimal"/>
      <w:lvlText w:val="(%3)"/>
      <w:lvlJc w:val="left"/>
      <w:pPr>
        <w:ind w:left="2160" w:hanging="360"/>
      </w:pPr>
    </w:lvl>
    <w:lvl w:ilvl="3">
      <w:start w:val="180"/>
      <w:numFmt w:val="decimal"/>
      <w:lvlText w:val="(%4)"/>
      <w:lvlJc w:val="left"/>
      <w:pPr>
        <w:ind w:left="2880" w:hanging="360"/>
      </w:pPr>
    </w:lvl>
    <w:lvl w:ilvl="4">
      <w:start w:val="180"/>
      <w:numFmt w:val="decimal"/>
      <w:lvlText w:val="(%5)"/>
      <w:lvlJc w:val="left"/>
      <w:pPr>
        <w:ind w:left="3600" w:hanging="360"/>
      </w:pPr>
    </w:lvl>
    <w:lvl w:ilvl="5">
      <w:start w:val="180"/>
      <w:numFmt w:val="decimal"/>
      <w:lvlText w:val="(%6)"/>
      <w:lvlJc w:val="left"/>
      <w:pPr>
        <w:ind w:left="4320" w:hanging="360"/>
      </w:pPr>
    </w:lvl>
    <w:lvl w:ilvl="6">
      <w:start w:val="180"/>
      <w:numFmt w:val="decimal"/>
      <w:lvlText w:val="(%7)"/>
      <w:lvlJc w:val="left"/>
      <w:pPr>
        <w:ind w:left="5040" w:hanging="360"/>
      </w:pPr>
    </w:lvl>
    <w:lvl w:ilvl="7">
      <w:start w:val="180"/>
      <w:numFmt w:val="decimal"/>
      <w:lvlText w:val="(%8)"/>
      <w:lvlJc w:val="left"/>
      <w:pPr>
        <w:ind w:left="5760" w:hanging="360"/>
      </w:pPr>
    </w:lvl>
    <w:lvl w:ilvl="8">
      <w:start w:val="180"/>
      <w:numFmt w:val="decimal"/>
      <w:lvlText w:val="(%9)"/>
      <w:lvlJc w:val="left"/>
      <w:pPr>
        <w:ind w:left="6480" w:hanging="360"/>
      </w:pPr>
    </w:lvl>
  </w:abstractNum>
  <w:abstractNum w:abstractNumId="9943195">
    <w:nsid w:val="A9943195"/>
    <w:multiLevelType w:val="multilevel"/>
    <w:lvl w:ilvl="0">
      <w:start w:val="195"/>
      <w:numFmt w:val="decimal"/>
      <w:lvlText w:val="(%1)"/>
      <w:lvlJc w:val="left"/>
      <w:pPr>
        <w:ind w:left="720" w:hanging="360"/>
      </w:pPr>
    </w:lvl>
    <w:lvl w:ilvl="1">
      <w:start w:val="195"/>
      <w:numFmt w:val="decimal"/>
      <w:lvlText w:val="(%2)"/>
      <w:lvlJc w:val="left"/>
      <w:pPr>
        <w:ind w:left="1440" w:hanging="360"/>
      </w:pPr>
    </w:lvl>
    <w:lvl w:ilvl="2">
      <w:start w:val="195"/>
      <w:numFmt w:val="decimal"/>
      <w:lvlText w:val="(%3)"/>
      <w:lvlJc w:val="left"/>
      <w:pPr>
        <w:ind w:left="2160" w:hanging="360"/>
      </w:pPr>
    </w:lvl>
    <w:lvl w:ilvl="3">
      <w:start w:val="195"/>
      <w:numFmt w:val="decimal"/>
      <w:lvlText w:val="(%4)"/>
      <w:lvlJc w:val="left"/>
      <w:pPr>
        <w:ind w:left="2880" w:hanging="360"/>
      </w:pPr>
    </w:lvl>
    <w:lvl w:ilvl="4">
      <w:start w:val="195"/>
      <w:numFmt w:val="decimal"/>
      <w:lvlText w:val="(%5)"/>
      <w:lvlJc w:val="left"/>
      <w:pPr>
        <w:ind w:left="3600" w:hanging="360"/>
      </w:pPr>
    </w:lvl>
    <w:lvl w:ilvl="5">
      <w:start w:val="195"/>
      <w:numFmt w:val="decimal"/>
      <w:lvlText w:val="(%6)"/>
      <w:lvlJc w:val="left"/>
      <w:pPr>
        <w:ind w:left="4320" w:hanging="360"/>
      </w:pPr>
    </w:lvl>
    <w:lvl w:ilvl="6">
      <w:start w:val="195"/>
      <w:numFmt w:val="decimal"/>
      <w:lvlText w:val="(%7)"/>
      <w:lvlJc w:val="left"/>
      <w:pPr>
        <w:ind w:left="5040" w:hanging="360"/>
      </w:pPr>
    </w:lvl>
    <w:lvl w:ilvl="7">
      <w:start w:val="195"/>
      <w:numFmt w:val="decimal"/>
      <w:lvlText w:val="(%8)"/>
      <w:lvlJc w:val="left"/>
      <w:pPr>
        <w:ind w:left="5760" w:hanging="360"/>
      </w:pPr>
    </w:lvl>
    <w:lvl w:ilvl="8">
      <w:start w:val="195"/>
      <w:numFmt w:val="decimal"/>
      <w:lvlText w:val="(%9)"/>
      <w:lvlJc w:val="left"/>
      <w:pPr>
        <w:ind w:left="6480" w:hanging="360"/>
      </w:pPr>
    </w:lvl>
  </w:abstractNum>
  <w:abstractNum w:abstractNumId="9943522">
    <w:nsid w:val="A9943522"/>
    <w:multiLevelType w:val="multilevel"/>
    <w:lvl w:ilvl="0">
      <w:start w:val="522"/>
      <w:numFmt w:val="decimal"/>
      <w:lvlText w:val="(%1)"/>
      <w:lvlJc w:val="left"/>
      <w:pPr>
        <w:ind w:left="720" w:hanging="360"/>
      </w:pPr>
    </w:lvl>
    <w:lvl w:ilvl="1">
      <w:start w:val="522"/>
      <w:numFmt w:val="decimal"/>
      <w:lvlText w:val="(%2)"/>
      <w:lvlJc w:val="left"/>
      <w:pPr>
        <w:ind w:left="1440" w:hanging="360"/>
      </w:pPr>
    </w:lvl>
    <w:lvl w:ilvl="2">
      <w:start w:val="522"/>
      <w:numFmt w:val="decimal"/>
      <w:lvlText w:val="(%3)"/>
      <w:lvlJc w:val="left"/>
      <w:pPr>
        <w:ind w:left="2160" w:hanging="360"/>
      </w:pPr>
    </w:lvl>
    <w:lvl w:ilvl="3">
      <w:start w:val="522"/>
      <w:numFmt w:val="decimal"/>
      <w:lvlText w:val="(%4)"/>
      <w:lvlJc w:val="left"/>
      <w:pPr>
        <w:ind w:left="2880" w:hanging="360"/>
      </w:pPr>
    </w:lvl>
    <w:lvl w:ilvl="4">
      <w:start w:val="522"/>
      <w:numFmt w:val="decimal"/>
      <w:lvlText w:val="(%5)"/>
      <w:lvlJc w:val="left"/>
      <w:pPr>
        <w:ind w:left="3600" w:hanging="360"/>
      </w:pPr>
    </w:lvl>
    <w:lvl w:ilvl="5">
      <w:start w:val="522"/>
      <w:numFmt w:val="decimal"/>
      <w:lvlText w:val="(%6)"/>
      <w:lvlJc w:val="left"/>
      <w:pPr>
        <w:ind w:left="4320" w:hanging="360"/>
      </w:pPr>
    </w:lvl>
    <w:lvl w:ilvl="6">
      <w:start w:val="522"/>
      <w:numFmt w:val="decimal"/>
      <w:lvlText w:val="(%7)"/>
      <w:lvlJc w:val="left"/>
      <w:pPr>
        <w:ind w:left="5040" w:hanging="360"/>
      </w:pPr>
    </w:lvl>
    <w:lvl w:ilvl="7">
      <w:start w:val="522"/>
      <w:numFmt w:val="decimal"/>
      <w:lvlText w:val="(%8)"/>
      <w:lvlJc w:val="left"/>
      <w:pPr>
        <w:ind w:left="5760" w:hanging="360"/>
      </w:pPr>
    </w:lvl>
    <w:lvl w:ilvl="8">
      <w:start w:val="522"/>
      <w:numFmt w:val="decimal"/>
      <w:lvlText w:val="(%9)"/>
      <w:lvlJc w:val="left"/>
      <w:pPr>
        <w:ind w:left="6480" w:hanging="360"/>
      </w:pPr>
    </w:lvl>
  </w:abstractNum>
  <w:abstractNum w:abstractNumId="994338">
    <w:nsid w:val="0A9943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119">
    <w:nsid w:val="A9943119"/>
    <w:multiLevelType w:val="multilevel"/>
    <w:lvl w:ilvl="0">
      <w:start w:val="119"/>
      <w:numFmt w:val="decimal"/>
      <w:lvlText w:val="(%1)"/>
      <w:lvlJc w:val="left"/>
      <w:pPr>
        <w:ind w:left="720" w:hanging="360"/>
      </w:pPr>
    </w:lvl>
    <w:lvl w:ilvl="1">
      <w:start w:val="119"/>
      <w:numFmt w:val="decimal"/>
      <w:lvlText w:val="(%2)"/>
      <w:lvlJc w:val="left"/>
      <w:pPr>
        <w:ind w:left="1440" w:hanging="360"/>
      </w:pPr>
    </w:lvl>
    <w:lvl w:ilvl="2">
      <w:start w:val="119"/>
      <w:numFmt w:val="decimal"/>
      <w:lvlText w:val="(%3)"/>
      <w:lvlJc w:val="left"/>
      <w:pPr>
        <w:ind w:left="2160" w:hanging="360"/>
      </w:pPr>
    </w:lvl>
    <w:lvl w:ilvl="3">
      <w:start w:val="119"/>
      <w:numFmt w:val="decimal"/>
      <w:lvlText w:val="(%4)"/>
      <w:lvlJc w:val="left"/>
      <w:pPr>
        <w:ind w:left="2880" w:hanging="360"/>
      </w:pPr>
    </w:lvl>
    <w:lvl w:ilvl="4">
      <w:start w:val="119"/>
      <w:numFmt w:val="decimal"/>
      <w:lvlText w:val="(%5)"/>
      <w:lvlJc w:val="left"/>
      <w:pPr>
        <w:ind w:left="3600" w:hanging="360"/>
      </w:pPr>
    </w:lvl>
    <w:lvl w:ilvl="5">
      <w:start w:val="119"/>
      <w:numFmt w:val="decimal"/>
      <w:lvlText w:val="(%6)"/>
      <w:lvlJc w:val="left"/>
      <w:pPr>
        <w:ind w:left="4320" w:hanging="360"/>
      </w:pPr>
    </w:lvl>
    <w:lvl w:ilvl="6">
      <w:start w:val="119"/>
      <w:numFmt w:val="decimal"/>
      <w:lvlText w:val="(%7)"/>
      <w:lvlJc w:val="left"/>
      <w:pPr>
        <w:ind w:left="5040" w:hanging="360"/>
      </w:pPr>
    </w:lvl>
    <w:lvl w:ilvl="7">
      <w:start w:val="119"/>
      <w:numFmt w:val="decimal"/>
      <w:lvlText w:val="(%8)"/>
      <w:lvlJc w:val="left"/>
      <w:pPr>
        <w:ind w:left="5760" w:hanging="360"/>
      </w:pPr>
    </w:lvl>
    <w:lvl w:ilvl="8">
      <w:start w:val="119"/>
      <w:numFmt w:val="decimal"/>
      <w:lvlText w:val="(%9)"/>
      <w:lvlJc w:val="left"/>
      <w:pPr>
        <w:ind w:left="6480" w:hanging="360"/>
      </w:pPr>
    </w:lvl>
  </w:abstractNum>
  <w:abstractNum w:abstractNumId="9943225">
    <w:nsid w:val="A9943225"/>
    <w:multiLevelType w:val="multilevel"/>
    <w:lvl w:ilvl="0">
      <w:start w:val="225"/>
      <w:numFmt w:val="decimal"/>
      <w:lvlText w:val="(%1)"/>
      <w:lvlJc w:val="left"/>
      <w:pPr>
        <w:ind w:left="720" w:hanging="360"/>
      </w:pPr>
    </w:lvl>
    <w:lvl w:ilvl="1">
      <w:start w:val="225"/>
      <w:numFmt w:val="decimal"/>
      <w:lvlText w:val="(%2)"/>
      <w:lvlJc w:val="left"/>
      <w:pPr>
        <w:ind w:left="1440" w:hanging="360"/>
      </w:pPr>
    </w:lvl>
    <w:lvl w:ilvl="2">
      <w:start w:val="225"/>
      <w:numFmt w:val="decimal"/>
      <w:lvlText w:val="(%3)"/>
      <w:lvlJc w:val="left"/>
      <w:pPr>
        <w:ind w:left="2160" w:hanging="360"/>
      </w:pPr>
    </w:lvl>
    <w:lvl w:ilvl="3">
      <w:start w:val="225"/>
      <w:numFmt w:val="decimal"/>
      <w:lvlText w:val="(%4)"/>
      <w:lvlJc w:val="left"/>
      <w:pPr>
        <w:ind w:left="2880" w:hanging="360"/>
      </w:pPr>
    </w:lvl>
    <w:lvl w:ilvl="4">
      <w:start w:val="225"/>
      <w:numFmt w:val="decimal"/>
      <w:lvlText w:val="(%5)"/>
      <w:lvlJc w:val="left"/>
      <w:pPr>
        <w:ind w:left="3600" w:hanging="360"/>
      </w:pPr>
    </w:lvl>
    <w:lvl w:ilvl="5">
      <w:start w:val="225"/>
      <w:numFmt w:val="decimal"/>
      <w:lvlText w:val="(%6)"/>
      <w:lvlJc w:val="left"/>
      <w:pPr>
        <w:ind w:left="4320" w:hanging="360"/>
      </w:pPr>
    </w:lvl>
    <w:lvl w:ilvl="6">
      <w:start w:val="225"/>
      <w:numFmt w:val="decimal"/>
      <w:lvlText w:val="(%7)"/>
      <w:lvlJc w:val="left"/>
      <w:pPr>
        <w:ind w:left="5040" w:hanging="360"/>
      </w:pPr>
    </w:lvl>
    <w:lvl w:ilvl="7">
      <w:start w:val="225"/>
      <w:numFmt w:val="decimal"/>
      <w:lvlText w:val="(%8)"/>
      <w:lvlJc w:val="left"/>
      <w:pPr>
        <w:ind w:left="5760" w:hanging="360"/>
      </w:pPr>
    </w:lvl>
    <w:lvl w:ilvl="8">
      <w:start w:val="225"/>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7">
    <w:nsid w:val="0A9941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9943108">
    <w:nsid w:val="A9943108"/>
    <w:multiLevelType w:val="multilevel"/>
    <w:lvl w:ilvl="0">
      <w:start w:val="108"/>
      <w:numFmt w:val="decimal"/>
      <w:lvlText w:val="(%1)"/>
      <w:lvlJc w:val="left"/>
      <w:pPr>
        <w:ind w:left="720" w:hanging="360"/>
      </w:pPr>
    </w:lvl>
    <w:lvl w:ilvl="1">
      <w:start w:val="108"/>
      <w:numFmt w:val="decimal"/>
      <w:lvlText w:val="(%2)"/>
      <w:lvlJc w:val="left"/>
      <w:pPr>
        <w:ind w:left="1440" w:hanging="360"/>
      </w:pPr>
    </w:lvl>
    <w:lvl w:ilvl="2">
      <w:start w:val="108"/>
      <w:numFmt w:val="decimal"/>
      <w:lvlText w:val="(%3)"/>
      <w:lvlJc w:val="left"/>
      <w:pPr>
        <w:ind w:left="2160" w:hanging="360"/>
      </w:pPr>
    </w:lvl>
    <w:lvl w:ilvl="3">
      <w:start w:val="108"/>
      <w:numFmt w:val="decimal"/>
      <w:lvlText w:val="(%4)"/>
      <w:lvlJc w:val="left"/>
      <w:pPr>
        <w:ind w:left="2880" w:hanging="360"/>
      </w:pPr>
    </w:lvl>
    <w:lvl w:ilvl="4">
      <w:start w:val="108"/>
      <w:numFmt w:val="decimal"/>
      <w:lvlText w:val="(%5)"/>
      <w:lvlJc w:val="left"/>
      <w:pPr>
        <w:ind w:left="3600" w:hanging="360"/>
      </w:pPr>
    </w:lvl>
    <w:lvl w:ilvl="5">
      <w:start w:val="108"/>
      <w:numFmt w:val="decimal"/>
      <w:lvlText w:val="(%6)"/>
      <w:lvlJc w:val="left"/>
      <w:pPr>
        <w:ind w:left="4320" w:hanging="360"/>
      </w:pPr>
    </w:lvl>
    <w:lvl w:ilvl="6">
      <w:start w:val="108"/>
      <w:numFmt w:val="decimal"/>
      <w:lvlText w:val="(%7)"/>
      <w:lvlJc w:val="left"/>
      <w:pPr>
        <w:ind w:left="5040" w:hanging="360"/>
      </w:pPr>
    </w:lvl>
    <w:lvl w:ilvl="7">
      <w:start w:val="108"/>
      <w:numFmt w:val="decimal"/>
      <w:lvlText w:val="(%8)"/>
      <w:lvlJc w:val="left"/>
      <w:pPr>
        <w:ind w:left="5760" w:hanging="360"/>
      </w:pPr>
    </w:lvl>
    <w:lvl w:ilvl="8">
      <w:start w:val="108"/>
      <w:numFmt w:val="decimal"/>
      <w:lvlText w:val="(%9)"/>
      <w:lvlJc w:val="left"/>
      <w:pPr>
        <w:ind w:left="6480" w:hanging="360"/>
      </w:pPr>
    </w:lvl>
  </w:abstractNum>
  <w:abstractNum w:abstractNumId="994379">
    <w:nsid w:val="0A994379"/>
    <w:multiLevelType w:val="multilevel"/>
    <w:lvl w:ilvl="0">
      <w:start w:val="79"/>
      <w:numFmt w:val="decimal"/>
      <w:lvlText w:val="(%1)"/>
      <w:lvlJc w:val="left"/>
      <w:pPr>
        <w:ind w:left="720" w:hanging="360"/>
      </w:pPr>
    </w:lvl>
    <w:lvl w:ilvl="1">
      <w:start w:val="79"/>
      <w:numFmt w:val="decimal"/>
      <w:lvlText w:val="(%2)"/>
      <w:lvlJc w:val="left"/>
      <w:pPr>
        <w:ind w:left="1440" w:hanging="360"/>
      </w:pPr>
    </w:lvl>
    <w:lvl w:ilvl="2">
      <w:start w:val="79"/>
      <w:numFmt w:val="decimal"/>
      <w:lvlText w:val="(%3)"/>
      <w:lvlJc w:val="left"/>
      <w:pPr>
        <w:ind w:left="2160" w:hanging="360"/>
      </w:pPr>
    </w:lvl>
    <w:lvl w:ilvl="3">
      <w:start w:val="79"/>
      <w:numFmt w:val="decimal"/>
      <w:lvlText w:val="(%4)"/>
      <w:lvlJc w:val="left"/>
      <w:pPr>
        <w:ind w:left="2880" w:hanging="360"/>
      </w:pPr>
    </w:lvl>
    <w:lvl w:ilvl="4">
      <w:start w:val="79"/>
      <w:numFmt w:val="decimal"/>
      <w:lvlText w:val="(%5)"/>
      <w:lvlJc w:val="left"/>
      <w:pPr>
        <w:ind w:left="3600" w:hanging="360"/>
      </w:pPr>
    </w:lvl>
    <w:lvl w:ilvl="5">
      <w:start w:val="79"/>
      <w:numFmt w:val="decimal"/>
      <w:lvlText w:val="(%6)"/>
      <w:lvlJc w:val="left"/>
      <w:pPr>
        <w:ind w:left="4320" w:hanging="360"/>
      </w:pPr>
    </w:lvl>
    <w:lvl w:ilvl="6">
      <w:start w:val="79"/>
      <w:numFmt w:val="decimal"/>
      <w:lvlText w:val="(%7)"/>
      <w:lvlJc w:val="left"/>
      <w:pPr>
        <w:ind w:left="5040" w:hanging="360"/>
      </w:pPr>
    </w:lvl>
    <w:lvl w:ilvl="7">
      <w:start w:val="79"/>
      <w:numFmt w:val="decimal"/>
      <w:lvlText w:val="(%8)"/>
      <w:lvlJc w:val="left"/>
      <w:pPr>
        <w:ind w:left="5760" w:hanging="360"/>
      </w:pPr>
    </w:lvl>
    <w:lvl w:ilvl="8">
      <w:start w:val="79"/>
      <w:numFmt w:val="decimal"/>
      <w:lvlText w:val="(%9)"/>
      <w:lvlJc w:val="left"/>
      <w:pPr>
        <w:ind w:left="6480" w:hanging="360"/>
      </w:pPr>
    </w:lvl>
  </w:abstractNum>
  <w:abstractNum w:abstractNumId="994148">
    <w:nsid w:val="0A994148"/>
    <w:multiLevelType w:val="multilevel"/>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9943668">
    <w:nsid w:val="A9943668"/>
    <w:multiLevelType w:val="multilevel"/>
    <w:lvl w:ilvl="0">
      <w:start w:val="668"/>
      <w:numFmt w:val="decimal"/>
      <w:lvlText w:val="(%1)"/>
      <w:lvlJc w:val="left"/>
      <w:pPr>
        <w:ind w:left="720" w:hanging="360"/>
      </w:pPr>
    </w:lvl>
    <w:lvl w:ilvl="1">
      <w:start w:val="668"/>
      <w:numFmt w:val="decimal"/>
      <w:lvlText w:val="(%2)"/>
      <w:lvlJc w:val="left"/>
      <w:pPr>
        <w:ind w:left="1440" w:hanging="360"/>
      </w:pPr>
    </w:lvl>
    <w:lvl w:ilvl="2">
      <w:start w:val="668"/>
      <w:numFmt w:val="decimal"/>
      <w:lvlText w:val="(%3)"/>
      <w:lvlJc w:val="left"/>
      <w:pPr>
        <w:ind w:left="2160" w:hanging="360"/>
      </w:pPr>
    </w:lvl>
    <w:lvl w:ilvl="3">
      <w:start w:val="668"/>
      <w:numFmt w:val="decimal"/>
      <w:lvlText w:val="(%4)"/>
      <w:lvlJc w:val="left"/>
      <w:pPr>
        <w:ind w:left="2880" w:hanging="360"/>
      </w:pPr>
    </w:lvl>
    <w:lvl w:ilvl="4">
      <w:start w:val="668"/>
      <w:numFmt w:val="decimal"/>
      <w:lvlText w:val="(%5)"/>
      <w:lvlJc w:val="left"/>
      <w:pPr>
        <w:ind w:left="3600" w:hanging="360"/>
      </w:pPr>
    </w:lvl>
    <w:lvl w:ilvl="5">
      <w:start w:val="668"/>
      <w:numFmt w:val="decimal"/>
      <w:lvlText w:val="(%6)"/>
      <w:lvlJc w:val="left"/>
      <w:pPr>
        <w:ind w:left="4320" w:hanging="360"/>
      </w:pPr>
    </w:lvl>
    <w:lvl w:ilvl="6">
      <w:start w:val="668"/>
      <w:numFmt w:val="decimal"/>
      <w:lvlText w:val="(%7)"/>
      <w:lvlJc w:val="left"/>
      <w:pPr>
        <w:ind w:left="5040" w:hanging="360"/>
      </w:pPr>
    </w:lvl>
    <w:lvl w:ilvl="7">
      <w:start w:val="668"/>
      <w:numFmt w:val="decimal"/>
      <w:lvlText w:val="(%8)"/>
      <w:lvlJc w:val="left"/>
      <w:pPr>
        <w:ind w:left="5760" w:hanging="360"/>
      </w:pPr>
    </w:lvl>
    <w:lvl w:ilvl="8">
      <w:start w:val="668"/>
      <w:numFmt w:val="decimal"/>
      <w:lvlText w:val="(%9)"/>
      <w:lvlJc w:val="left"/>
      <w:pPr>
        <w:ind w:left="6480" w:hanging="360"/>
      </w:pPr>
    </w:lvl>
  </w:abstractNum>
  <w:abstractNum w:abstractNumId="9943669">
    <w:nsid w:val="A9943669"/>
    <w:multiLevelType w:val="multilevel"/>
    <w:lvl w:ilvl="0">
      <w:start w:val="669"/>
      <w:numFmt w:val="decimal"/>
      <w:lvlText w:val="(%1)"/>
      <w:lvlJc w:val="left"/>
      <w:pPr>
        <w:ind w:left="720" w:hanging="360"/>
      </w:pPr>
    </w:lvl>
    <w:lvl w:ilvl="1">
      <w:start w:val="669"/>
      <w:numFmt w:val="decimal"/>
      <w:lvlText w:val="(%2)"/>
      <w:lvlJc w:val="left"/>
      <w:pPr>
        <w:ind w:left="1440" w:hanging="360"/>
      </w:pPr>
    </w:lvl>
    <w:lvl w:ilvl="2">
      <w:start w:val="669"/>
      <w:numFmt w:val="decimal"/>
      <w:lvlText w:val="(%3)"/>
      <w:lvlJc w:val="left"/>
      <w:pPr>
        <w:ind w:left="2160" w:hanging="360"/>
      </w:pPr>
    </w:lvl>
    <w:lvl w:ilvl="3">
      <w:start w:val="669"/>
      <w:numFmt w:val="decimal"/>
      <w:lvlText w:val="(%4)"/>
      <w:lvlJc w:val="left"/>
      <w:pPr>
        <w:ind w:left="2880" w:hanging="360"/>
      </w:pPr>
    </w:lvl>
    <w:lvl w:ilvl="4">
      <w:start w:val="669"/>
      <w:numFmt w:val="decimal"/>
      <w:lvlText w:val="(%5)"/>
      <w:lvlJc w:val="left"/>
      <w:pPr>
        <w:ind w:left="3600" w:hanging="360"/>
      </w:pPr>
    </w:lvl>
    <w:lvl w:ilvl="5">
      <w:start w:val="669"/>
      <w:numFmt w:val="decimal"/>
      <w:lvlText w:val="(%6)"/>
      <w:lvlJc w:val="left"/>
      <w:pPr>
        <w:ind w:left="4320" w:hanging="360"/>
      </w:pPr>
    </w:lvl>
    <w:lvl w:ilvl="6">
      <w:start w:val="669"/>
      <w:numFmt w:val="decimal"/>
      <w:lvlText w:val="(%7)"/>
      <w:lvlJc w:val="left"/>
      <w:pPr>
        <w:ind w:left="5040" w:hanging="360"/>
      </w:pPr>
    </w:lvl>
    <w:lvl w:ilvl="7">
      <w:start w:val="669"/>
      <w:numFmt w:val="decimal"/>
      <w:lvlText w:val="(%8)"/>
      <w:lvlJc w:val="left"/>
      <w:pPr>
        <w:ind w:left="5760" w:hanging="360"/>
      </w:pPr>
    </w:lvl>
    <w:lvl w:ilvl="8">
      <w:start w:val="669"/>
      <w:numFmt w:val="decimal"/>
      <w:lvlText w:val="(%9)"/>
      <w:lvlJc w:val="left"/>
      <w:pPr>
        <w:ind w:left="6480" w:hanging="360"/>
      </w:pPr>
    </w:lvl>
  </w:abstractNum>
  <w:abstractNum w:abstractNumId="994347">
    <w:nsid w:val="0A9943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994323">
    <w:nsid w:val="0A9943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957">
    <w:nsid w:val="A9943957"/>
    <w:multiLevelType w:val="multilevel"/>
    <w:lvl w:ilvl="0">
      <w:start w:val="957"/>
      <w:numFmt w:val="decimal"/>
      <w:lvlText w:val="(%1)"/>
      <w:lvlJc w:val="left"/>
      <w:pPr>
        <w:ind w:left="720" w:hanging="360"/>
      </w:pPr>
    </w:lvl>
    <w:lvl w:ilvl="1">
      <w:start w:val="957"/>
      <w:numFmt w:val="decimal"/>
      <w:lvlText w:val="(%2)"/>
      <w:lvlJc w:val="left"/>
      <w:pPr>
        <w:ind w:left="1440" w:hanging="360"/>
      </w:pPr>
    </w:lvl>
    <w:lvl w:ilvl="2">
      <w:start w:val="957"/>
      <w:numFmt w:val="decimal"/>
      <w:lvlText w:val="(%3)"/>
      <w:lvlJc w:val="left"/>
      <w:pPr>
        <w:ind w:left="2160" w:hanging="360"/>
      </w:pPr>
    </w:lvl>
    <w:lvl w:ilvl="3">
      <w:start w:val="957"/>
      <w:numFmt w:val="decimal"/>
      <w:lvlText w:val="(%4)"/>
      <w:lvlJc w:val="left"/>
      <w:pPr>
        <w:ind w:left="2880" w:hanging="360"/>
      </w:pPr>
    </w:lvl>
    <w:lvl w:ilvl="4">
      <w:start w:val="957"/>
      <w:numFmt w:val="decimal"/>
      <w:lvlText w:val="(%5)"/>
      <w:lvlJc w:val="left"/>
      <w:pPr>
        <w:ind w:left="3600" w:hanging="360"/>
      </w:pPr>
    </w:lvl>
    <w:lvl w:ilvl="5">
      <w:start w:val="957"/>
      <w:numFmt w:val="decimal"/>
      <w:lvlText w:val="(%6)"/>
      <w:lvlJc w:val="left"/>
      <w:pPr>
        <w:ind w:left="4320" w:hanging="360"/>
      </w:pPr>
    </w:lvl>
    <w:lvl w:ilvl="6">
      <w:start w:val="957"/>
      <w:numFmt w:val="decimal"/>
      <w:lvlText w:val="(%7)"/>
      <w:lvlJc w:val="left"/>
      <w:pPr>
        <w:ind w:left="5040" w:hanging="360"/>
      </w:pPr>
    </w:lvl>
    <w:lvl w:ilvl="7">
      <w:start w:val="957"/>
      <w:numFmt w:val="decimal"/>
      <w:lvlText w:val="(%8)"/>
      <w:lvlJc w:val="left"/>
      <w:pPr>
        <w:ind w:left="5760" w:hanging="360"/>
      </w:pPr>
    </w:lvl>
    <w:lvl w:ilvl="8">
      <w:start w:val="957"/>
      <w:numFmt w:val="decimal"/>
      <w:lvlText w:val="(%9)"/>
      <w:lvlJc w:val="left"/>
      <w:pPr>
        <w:ind w:left="6480" w:hanging="360"/>
      </w:pPr>
    </w:lvl>
  </w:abstractNum>
  <w:abstractNum w:abstractNumId="994351">
    <w:nsid w:val="0A9943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352">
    <w:nsid w:val="0A994352"/>
    <w:multiLevelType w:val="multilevel"/>
    <w:lvl w:ilvl="0">
      <w:start w:val="52"/>
      <w:numFmt w:val="decimal"/>
      <w:lvlText w:val="(%1)"/>
      <w:lvlJc w:val="left"/>
      <w:pPr>
        <w:ind w:left="720" w:hanging="360"/>
      </w:pPr>
    </w:lvl>
    <w:lvl w:ilvl="1">
      <w:start w:val="52"/>
      <w:numFmt w:val="decimal"/>
      <w:lvlText w:val="(%2)"/>
      <w:lvlJc w:val="left"/>
      <w:pPr>
        <w:ind w:left="1440" w:hanging="360"/>
      </w:pPr>
    </w:lvl>
    <w:lvl w:ilvl="2">
      <w:start w:val="52"/>
      <w:numFmt w:val="decimal"/>
      <w:lvlText w:val="(%3)"/>
      <w:lvlJc w:val="left"/>
      <w:pPr>
        <w:ind w:left="2160" w:hanging="360"/>
      </w:pPr>
    </w:lvl>
    <w:lvl w:ilvl="3">
      <w:start w:val="52"/>
      <w:numFmt w:val="decimal"/>
      <w:lvlText w:val="(%4)"/>
      <w:lvlJc w:val="left"/>
      <w:pPr>
        <w:ind w:left="2880" w:hanging="360"/>
      </w:pPr>
    </w:lvl>
    <w:lvl w:ilvl="4">
      <w:start w:val="52"/>
      <w:numFmt w:val="decimal"/>
      <w:lvlText w:val="(%5)"/>
      <w:lvlJc w:val="left"/>
      <w:pPr>
        <w:ind w:left="3600" w:hanging="360"/>
      </w:pPr>
    </w:lvl>
    <w:lvl w:ilvl="5">
      <w:start w:val="52"/>
      <w:numFmt w:val="decimal"/>
      <w:lvlText w:val="(%6)"/>
      <w:lvlJc w:val="left"/>
      <w:pPr>
        <w:ind w:left="4320" w:hanging="360"/>
      </w:pPr>
    </w:lvl>
    <w:lvl w:ilvl="6">
      <w:start w:val="52"/>
      <w:numFmt w:val="decimal"/>
      <w:lvlText w:val="(%7)"/>
      <w:lvlJc w:val="left"/>
      <w:pPr>
        <w:ind w:left="5040" w:hanging="360"/>
      </w:pPr>
    </w:lvl>
    <w:lvl w:ilvl="7">
      <w:start w:val="52"/>
      <w:numFmt w:val="decimal"/>
      <w:lvlText w:val="(%8)"/>
      <w:lvlJc w:val="left"/>
      <w:pPr>
        <w:ind w:left="5760" w:hanging="360"/>
      </w:pPr>
    </w:lvl>
    <w:lvl w:ilvl="8">
      <w:start w:val="52"/>
      <w:numFmt w:val="decimal"/>
      <w:lvlText w:val="(%9)"/>
      <w:lvlJc w:val="left"/>
      <w:pPr>
        <w:ind w:left="6480" w:hanging="360"/>
      </w:pPr>
    </w:lvl>
  </w:abstractNum>
  <w:abstractNum w:abstractNumId="9943632">
    <w:nsid w:val="A9943632"/>
    <w:multiLevelType w:val="multilevel"/>
    <w:lvl w:ilvl="0">
      <w:start w:val="632"/>
      <w:numFmt w:val="decimal"/>
      <w:lvlText w:val="(%1)"/>
      <w:lvlJc w:val="left"/>
      <w:pPr>
        <w:ind w:left="720" w:hanging="360"/>
      </w:pPr>
    </w:lvl>
    <w:lvl w:ilvl="1">
      <w:start w:val="632"/>
      <w:numFmt w:val="decimal"/>
      <w:lvlText w:val="(%2)"/>
      <w:lvlJc w:val="left"/>
      <w:pPr>
        <w:ind w:left="1440" w:hanging="360"/>
      </w:pPr>
    </w:lvl>
    <w:lvl w:ilvl="2">
      <w:start w:val="632"/>
      <w:numFmt w:val="decimal"/>
      <w:lvlText w:val="(%3)"/>
      <w:lvlJc w:val="left"/>
      <w:pPr>
        <w:ind w:left="2160" w:hanging="360"/>
      </w:pPr>
    </w:lvl>
    <w:lvl w:ilvl="3">
      <w:start w:val="632"/>
      <w:numFmt w:val="decimal"/>
      <w:lvlText w:val="(%4)"/>
      <w:lvlJc w:val="left"/>
      <w:pPr>
        <w:ind w:left="2880" w:hanging="360"/>
      </w:pPr>
    </w:lvl>
    <w:lvl w:ilvl="4">
      <w:start w:val="632"/>
      <w:numFmt w:val="decimal"/>
      <w:lvlText w:val="(%5)"/>
      <w:lvlJc w:val="left"/>
      <w:pPr>
        <w:ind w:left="3600" w:hanging="360"/>
      </w:pPr>
    </w:lvl>
    <w:lvl w:ilvl="5">
      <w:start w:val="632"/>
      <w:numFmt w:val="decimal"/>
      <w:lvlText w:val="(%6)"/>
      <w:lvlJc w:val="left"/>
      <w:pPr>
        <w:ind w:left="4320" w:hanging="360"/>
      </w:pPr>
    </w:lvl>
    <w:lvl w:ilvl="6">
      <w:start w:val="632"/>
      <w:numFmt w:val="decimal"/>
      <w:lvlText w:val="(%7)"/>
      <w:lvlJc w:val="left"/>
      <w:pPr>
        <w:ind w:left="5040" w:hanging="360"/>
      </w:pPr>
    </w:lvl>
    <w:lvl w:ilvl="7">
      <w:start w:val="632"/>
      <w:numFmt w:val="decimal"/>
      <w:lvlText w:val="(%8)"/>
      <w:lvlJc w:val="left"/>
      <w:pPr>
        <w:ind w:left="5760" w:hanging="360"/>
      </w:pPr>
    </w:lvl>
    <w:lvl w:ilvl="8">
      <w:start w:val="632"/>
      <w:numFmt w:val="decimal"/>
      <w:lvlText w:val="(%9)"/>
      <w:lvlJc w:val="left"/>
      <w:pPr>
        <w:ind w:left="6480" w:hanging="360"/>
      </w:pPr>
    </w:lvl>
  </w:abstractNum>
  <w:abstractNum w:abstractNumId="9943347">
    <w:nsid w:val="A9943347"/>
    <w:multiLevelType w:val="multilevel"/>
    <w:lvl w:ilvl="0">
      <w:start w:val="347"/>
      <w:numFmt w:val="decimal"/>
      <w:lvlText w:val="(%1)"/>
      <w:lvlJc w:val="left"/>
      <w:pPr>
        <w:ind w:left="720" w:hanging="360"/>
      </w:pPr>
    </w:lvl>
    <w:lvl w:ilvl="1">
      <w:start w:val="347"/>
      <w:numFmt w:val="decimal"/>
      <w:lvlText w:val="(%2)"/>
      <w:lvlJc w:val="left"/>
      <w:pPr>
        <w:ind w:left="1440" w:hanging="360"/>
      </w:pPr>
    </w:lvl>
    <w:lvl w:ilvl="2">
      <w:start w:val="347"/>
      <w:numFmt w:val="decimal"/>
      <w:lvlText w:val="(%3)"/>
      <w:lvlJc w:val="left"/>
      <w:pPr>
        <w:ind w:left="2160" w:hanging="360"/>
      </w:pPr>
    </w:lvl>
    <w:lvl w:ilvl="3">
      <w:start w:val="347"/>
      <w:numFmt w:val="decimal"/>
      <w:lvlText w:val="(%4)"/>
      <w:lvlJc w:val="left"/>
      <w:pPr>
        <w:ind w:left="2880" w:hanging="360"/>
      </w:pPr>
    </w:lvl>
    <w:lvl w:ilvl="4">
      <w:start w:val="347"/>
      <w:numFmt w:val="decimal"/>
      <w:lvlText w:val="(%5)"/>
      <w:lvlJc w:val="left"/>
      <w:pPr>
        <w:ind w:left="3600" w:hanging="360"/>
      </w:pPr>
    </w:lvl>
    <w:lvl w:ilvl="5">
      <w:start w:val="347"/>
      <w:numFmt w:val="decimal"/>
      <w:lvlText w:val="(%6)"/>
      <w:lvlJc w:val="left"/>
      <w:pPr>
        <w:ind w:left="4320" w:hanging="360"/>
      </w:pPr>
    </w:lvl>
    <w:lvl w:ilvl="6">
      <w:start w:val="347"/>
      <w:numFmt w:val="decimal"/>
      <w:lvlText w:val="(%7)"/>
      <w:lvlJc w:val="left"/>
      <w:pPr>
        <w:ind w:left="5040" w:hanging="360"/>
      </w:pPr>
    </w:lvl>
    <w:lvl w:ilvl="7">
      <w:start w:val="347"/>
      <w:numFmt w:val="decimal"/>
      <w:lvlText w:val="(%8)"/>
      <w:lvlJc w:val="left"/>
      <w:pPr>
        <w:ind w:left="5760" w:hanging="360"/>
      </w:pPr>
    </w:lvl>
    <w:lvl w:ilvl="8">
      <w:start w:val="347"/>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508">
    <w:nsid w:val="A9943508"/>
    <w:multiLevelType w:val="multilevel"/>
    <w:lvl w:ilvl="0">
      <w:start w:val="508"/>
      <w:numFmt w:val="decimal"/>
      <w:lvlText w:val="(%1)"/>
      <w:lvlJc w:val="left"/>
      <w:pPr>
        <w:ind w:left="720" w:hanging="360"/>
      </w:pPr>
    </w:lvl>
    <w:lvl w:ilvl="1">
      <w:start w:val="508"/>
      <w:numFmt w:val="decimal"/>
      <w:lvlText w:val="(%2)"/>
      <w:lvlJc w:val="left"/>
      <w:pPr>
        <w:ind w:left="1440" w:hanging="360"/>
      </w:pPr>
    </w:lvl>
    <w:lvl w:ilvl="2">
      <w:start w:val="508"/>
      <w:numFmt w:val="decimal"/>
      <w:lvlText w:val="(%3)"/>
      <w:lvlJc w:val="left"/>
      <w:pPr>
        <w:ind w:left="2160" w:hanging="360"/>
      </w:pPr>
    </w:lvl>
    <w:lvl w:ilvl="3">
      <w:start w:val="508"/>
      <w:numFmt w:val="decimal"/>
      <w:lvlText w:val="(%4)"/>
      <w:lvlJc w:val="left"/>
      <w:pPr>
        <w:ind w:left="2880" w:hanging="360"/>
      </w:pPr>
    </w:lvl>
    <w:lvl w:ilvl="4">
      <w:start w:val="508"/>
      <w:numFmt w:val="decimal"/>
      <w:lvlText w:val="(%5)"/>
      <w:lvlJc w:val="left"/>
      <w:pPr>
        <w:ind w:left="3600" w:hanging="360"/>
      </w:pPr>
    </w:lvl>
    <w:lvl w:ilvl="5">
      <w:start w:val="508"/>
      <w:numFmt w:val="decimal"/>
      <w:lvlText w:val="(%6)"/>
      <w:lvlJc w:val="left"/>
      <w:pPr>
        <w:ind w:left="4320" w:hanging="360"/>
      </w:pPr>
    </w:lvl>
    <w:lvl w:ilvl="6">
      <w:start w:val="508"/>
      <w:numFmt w:val="decimal"/>
      <w:lvlText w:val="(%7)"/>
      <w:lvlJc w:val="left"/>
      <w:pPr>
        <w:ind w:left="5040" w:hanging="360"/>
      </w:pPr>
    </w:lvl>
    <w:lvl w:ilvl="7">
      <w:start w:val="508"/>
      <w:numFmt w:val="decimal"/>
      <w:lvlText w:val="(%8)"/>
      <w:lvlJc w:val="left"/>
      <w:pPr>
        <w:ind w:left="5760" w:hanging="360"/>
      </w:pPr>
    </w:lvl>
    <w:lvl w:ilvl="8">
      <w:start w:val="508"/>
      <w:numFmt w:val="decimal"/>
      <w:lvlText w:val="(%9)"/>
      <w:lvlJc w:val="left"/>
      <w:pPr>
        <w:ind w:left="6480" w:hanging="360"/>
      </w:pPr>
    </w:lvl>
  </w:abstractNum>
  <w:abstractNum w:abstractNumId="9943358">
    <w:nsid w:val="A9943358"/>
    <w:multiLevelType w:val="multilevel"/>
    <w:lvl w:ilvl="0">
      <w:start w:val="358"/>
      <w:numFmt w:val="decimal"/>
      <w:lvlText w:val="(%1)"/>
      <w:lvlJc w:val="left"/>
      <w:pPr>
        <w:ind w:left="720" w:hanging="360"/>
      </w:pPr>
    </w:lvl>
    <w:lvl w:ilvl="1">
      <w:start w:val="358"/>
      <w:numFmt w:val="decimal"/>
      <w:lvlText w:val="(%2)"/>
      <w:lvlJc w:val="left"/>
      <w:pPr>
        <w:ind w:left="1440" w:hanging="360"/>
      </w:pPr>
    </w:lvl>
    <w:lvl w:ilvl="2">
      <w:start w:val="358"/>
      <w:numFmt w:val="decimal"/>
      <w:lvlText w:val="(%3)"/>
      <w:lvlJc w:val="left"/>
      <w:pPr>
        <w:ind w:left="2160" w:hanging="360"/>
      </w:pPr>
    </w:lvl>
    <w:lvl w:ilvl="3">
      <w:start w:val="358"/>
      <w:numFmt w:val="decimal"/>
      <w:lvlText w:val="(%4)"/>
      <w:lvlJc w:val="left"/>
      <w:pPr>
        <w:ind w:left="2880" w:hanging="360"/>
      </w:pPr>
    </w:lvl>
    <w:lvl w:ilvl="4">
      <w:start w:val="358"/>
      <w:numFmt w:val="decimal"/>
      <w:lvlText w:val="(%5)"/>
      <w:lvlJc w:val="left"/>
      <w:pPr>
        <w:ind w:left="3600" w:hanging="360"/>
      </w:pPr>
    </w:lvl>
    <w:lvl w:ilvl="5">
      <w:start w:val="358"/>
      <w:numFmt w:val="decimal"/>
      <w:lvlText w:val="(%6)"/>
      <w:lvlJc w:val="left"/>
      <w:pPr>
        <w:ind w:left="4320" w:hanging="360"/>
      </w:pPr>
    </w:lvl>
    <w:lvl w:ilvl="6">
      <w:start w:val="358"/>
      <w:numFmt w:val="decimal"/>
      <w:lvlText w:val="(%7)"/>
      <w:lvlJc w:val="left"/>
      <w:pPr>
        <w:ind w:left="5040" w:hanging="360"/>
      </w:pPr>
    </w:lvl>
    <w:lvl w:ilvl="7">
      <w:start w:val="358"/>
      <w:numFmt w:val="decimal"/>
      <w:lvlText w:val="(%8)"/>
      <w:lvlJc w:val="left"/>
      <w:pPr>
        <w:ind w:left="5760" w:hanging="360"/>
      </w:pPr>
    </w:lvl>
    <w:lvl w:ilvl="8">
      <w:start w:val="358"/>
      <w:numFmt w:val="decimal"/>
      <w:lvlText w:val="(%9)"/>
      <w:lvlJc w:val="left"/>
      <w:pPr>
        <w:ind w:left="6480" w:hanging="360"/>
      </w:pPr>
    </w:lvl>
  </w:abstractNum>
  <w:abstractNum w:abstractNumId="9943164">
    <w:nsid w:val="A9943164"/>
    <w:multiLevelType w:val="multilevel"/>
    <w:lvl w:ilvl="0">
      <w:start w:val="164"/>
      <w:numFmt w:val="decimal"/>
      <w:lvlText w:val="(%1)"/>
      <w:lvlJc w:val="left"/>
      <w:pPr>
        <w:ind w:left="720" w:hanging="360"/>
      </w:pPr>
    </w:lvl>
    <w:lvl w:ilvl="1">
      <w:start w:val="164"/>
      <w:numFmt w:val="decimal"/>
      <w:lvlText w:val="(%2)"/>
      <w:lvlJc w:val="left"/>
      <w:pPr>
        <w:ind w:left="1440" w:hanging="360"/>
      </w:pPr>
    </w:lvl>
    <w:lvl w:ilvl="2">
      <w:start w:val="164"/>
      <w:numFmt w:val="decimal"/>
      <w:lvlText w:val="(%3)"/>
      <w:lvlJc w:val="left"/>
      <w:pPr>
        <w:ind w:left="2160" w:hanging="360"/>
      </w:pPr>
    </w:lvl>
    <w:lvl w:ilvl="3">
      <w:start w:val="164"/>
      <w:numFmt w:val="decimal"/>
      <w:lvlText w:val="(%4)"/>
      <w:lvlJc w:val="left"/>
      <w:pPr>
        <w:ind w:left="2880" w:hanging="360"/>
      </w:pPr>
    </w:lvl>
    <w:lvl w:ilvl="4">
      <w:start w:val="164"/>
      <w:numFmt w:val="decimal"/>
      <w:lvlText w:val="(%5)"/>
      <w:lvlJc w:val="left"/>
      <w:pPr>
        <w:ind w:left="3600" w:hanging="360"/>
      </w:pPr>
    </w:lvl>
    <w:lvl w:ilvl="5">
      <w:start w:val="164"/>
      <w:numFmt w:val="decimal"/>
      <w:lvlText w:val="(%6)"/>
      <w:lvlJc w:val="left"/>
      <w:pPr>
        <w:ind w:left="4320" w:hanging="360"/>
      </w:pPr>
    </w:lvl>
    <w:lvl w:ilvl="6">
      <w:start w:val="164"/>
      <w:numFmt w:val="decimal"/>
      <w:lvlText w:val="(%7)"/>
      <w:lvlJc w:val="left"/>
      <w:pPr>
        <w:ind w:left="5040" w:hanging="360"/>
      </w:pPr>
    </w:lvl>
    <w:lvl w:ilvl="7">
      <w:start w:val="164"/>
      <w:numFmt w:val="decimal"/>
      <w:lvlText w:val="(%8)"/>
      <w:lvlJc w:val="left"/>
      <w:pPr>
        <w:ind w:left="5760" w:hanging="360"/>
      </w:pPr>
    </w:lvl>
    <w:lvl w:ilvl="8">
      <w:start w:val="164"/>
      <w:numFmt w:val="decimal"/>
      <w:lvlText w:val="(%9)"/>
      <w:lvlJc w:val="left"/>
      <w:pPr>
        <w:ind w:left="6480" w:hanging="360"/>
      </w:pPr>
    </w:lvl>
  </w:abstractNum>
  <w:abstractNum w:abstractNumId="9943156">
    <w:nsid w:val="A9943156"/>
    <w:multiLevelType w:val="multilevel"/>
    <w:lvl w:ilvl="0">
      <w:start w:val="156"/>
      <w:numFmt w:val="decimal"/>
      <w:lvlText w:val="(%1)"/>
      <w:lvlJc w:val="left"/>
      <w:pPr>
        <w:ind w:left="720" w:hanging="360"/>
      </w:pPr>
    </w:lvl>
    <w:lvl w:ilvl="1">
      <w:start w:val="156"/>
      <w:numFmt w:val="decimal"/>
      <w:lvlText w:val="(%2)"/>
      <w:lvlJc w:val="left"/>
      <w:pPr>
        <w:ind w:left="1440" w:hanging="360"/>
      </w:pPr>
    </w:lvl>
    <w:lvl w:ilvl="2">
      <w:start w:val="156"/>
      <w:numFmt w:val="decimal"/>
      <w:lvlText w:val="(%3)"/>
      <w:lvlJc w:val="left"/>
      <w:pPr>
        <w:ind w:left="2160" w:hanging="360"/>
      </w:pPr>
    </w:lvl>
    <w:lvl w:ilvl="3">
      <w:start w:val="156"/>
      <w:numFmt w:val="decimal"/>
      <w:lvlText w:val="(%4)"/>
      <w:lvlJc w:val="left"/>
      <w:pPr>
        <w:ind w:left="2880" w:hanging="360"/>
      </w:pPr>
    </w:lvl>
    <w:lvl w:ilvl="4">
      <w:start w:val="156"/>
      <w:numFmt w:val="decimal"/>
      <w:lvlText w:val="(%5)"/>
      <w:lvlJc w:val="left"/>
      <w:pPr>
        <w:ind w:left="3600" w:hanging="360"/>
      </w:pPr>
    </w:lvl>
    <w:lvl w:ilvl="5">
      <w:start w:val="156"/>
      <w:numFmt w:val="decimal"/>
      <w:lvlText w:val="(%6)"/>
      <w:lvlJc w:val="left"/>
      <w:pPr>
        <w:ind w:left="4320" w:hanging="360"/>
      </w:pPr>
    </w:lvl>
    <w:lvl w:ilvl="6">
      <w:start w:val="156"/>
      <w:numFmt w:val="decimal"/>
      <w:lvlText w:val="(%7)"/>
      <w:lvlJc w:val="left"/>
      <w:pPr>
        <w:ind w:left="5040" w:hanging="360"/>
      </w:pPr>
    </w:lvl>
    <w:lvl w:ilvl="7">
      <w:start w:val="156"/>
      <w:numFmt w:val="decimal"/>
      <w:lvlText w:val="(%8)"/>
      <w:lvlJc w:val="left"/>
      <w:pPr>
        <w:ind w:left="5760" w:hanging="360"/>
      </w:pPr>
    </w:lvl>
    <w:lvl w:ilvl="8">
      <w:start w:val="156"/>
      <w:numFmt w:val="decimal"/>
      <w:lvlText w:val="(%9)"/>
      <w:lvlJc w:val="left"/>
      <w:pPr>
        <w:ind w:left="6480" w:hanging="360"/>
      </w:pPr>
    </w:lvl>
  </w:abstractNum>
  <w:abstractNum w:abstractNumId="9943514">
    <w:nsid w:val="A9943514"/>
    <w:multiLevelType w:val="multilevel"/>
    <w:lvl w:ilvl="0">
      <w:start w:val="514"/>
      <w:numFmt w:val="decimal"/>
      <w:lvlText w:val="(%1)"/>
      <w:lvlJc w:val="left"/>
      <w:pPr>
        <w:ind w:left="720" w:hanging="360"/>
      </w:pPr>
    </w:lvl>
    <w:lvl w:ilvl="1">
      <w:start w:val="514"/>
      <w:numFmt w:val="decimal"/>
      <w:lvlText w:val="(%2)"/>
      <w:lvlJc w:val="left"/>
      <w:pPr>
        <w:ind w:left="1440" w:hanging="360"/>
      </w:pPr>
    </w:lvl>
    <w:lvl w:ilvl="2">
      <w:start w:val="514"/>
      <w:numFmt w:val="decimal"/>
      <w:lvlText w:val="(%3)"/>
      <w:lvlJc w:val="left"/>
      <w:pPr>
        <w:ind w:left="2160" w:hanging="360"/>
      </w:pPr>
    </w:lvl>
    <w:lvl w:ilvl="3">
      <w:start w:val="514"/>
      <w:numFmt w:val="decimal"/>
      <w:lvlText w:val="(%4)"/>
      <w:lvlJc w:val="left"/>
      <w:pPr>
        <w:ind w:left="2880" w:hanging="360"/>
      </w:pPr>
    </w:lvl>
    <w:lvl w:ilvl="4">
      <w:start w:val="514"/>
      <w:numFmt w:val="decimal"/>
      <w:lvlText w:val="(%5)"/>
      <w:lvlJc w:val="left"/>
      <w:pPr>
        <w:ind w:left="3600" w:hanging="360"/>
      </w:pPr>
    </w:lvl>
    <w:lvl w:ilvl="5">
      <w:start w:val="514"/>
      <w:numFmt w:val="decimal"/>
      <w:lvlText w:val="(%6)"/>
      <w:lvlJc w:val="left"/>
      <w:pPr>
        <w:ind w:left="4320" w:hanging="360"/>
      </w:pPr>
    </w:lvl>
    <w:lvl w:ilvl="6">
      <w:start w:val="514"/>
      <w:numFmt w:val="decimal"/>
      <w:lvlText w:val="(%7)"/>
      <w:lvlJc w:val="left"/>
      <w:pPr>
        <w:ind w:left="5040" w:hanging="360"/>
      </w:pPr>
    </w:lvl>
    <w:lvl w:ilvl="7">
      <w:start w:val="514"/>
      <w:numFmt w:val="decimal"/>
      <w:lvlText w:val="(%8)"/>
      <w:lvlJc w:val="left"/>
      <w:pPr>
        <w:ind w:left="5760" w:hanging="360"/>
      </w:pPr>
    </w:lvl>
    <w:lvl w:ilvl="8">
      <w:start w:val="514"/>
      <w:numFmt w:val="decimal"/>
      <w:lvlText w:val="(%9)"/>
      <w:lvlJc w:val="left"/>
      <w:pPr>
        <w:ind w:left="6480" w:hanging="360"/>
      </w:pPr>
    </w:lvl>
  </w:abstractNum>
  <w:abstractNum w:abstractNumId="9943937">
    <w:nsid w:val="A9943937"/>
    <w:multiLevelType w:val="multilevel"/>
    <w:lvl w:ilvl="0">
      <w:start w:val="937"/>
      <w:numFmt w:val="decimal"/>
      <w:lvlText w:val="(%1)"/>
      <w:lvlJc w:val="left"/>
      <w:pPr>
        <w:ind w:left="720" w:hanging="360"/>
      </w:pPr>
    </w:lvl>
    <w:lvl w:ilvl="1">
      <w:start w:val="937"/>
      <w:numFmt w:val="decimal"/>
      <w:lvlText w:val="(%2)"/>
      <w:lvlJc w:val="left"/>
      <w:pPr>
        <w:ind w:left="1440" w:hanging="360"/>
      </w:pPr>
    </w:lvl>
    <w:lvl w:ilvl="2">
      <w:start w:val="937"/>
      <w:numFmt w:val="decimal"/>
      <w:lvlText w:val="(%3)"/>
      <w:lvlJc w:val="left"/>
      <w:pPr>
        <w:ind w:left="2160" w:hanging="360"/>
      </w:pPr>
    </w:lvl>
    <w:lvl w:ilvl="3">
      <w:start w:val="937"/>
      <w:numFmt w:val="decimal"/>
      <w:lvlText w:val="(%4)"/>
      <w:lvlJc w:val="left"/>
      <w:pPr>
        <w:ind w:left="2880" w:hanging="360"/>
      </w:pPr>
    </w:lvl>
    <w:lvl w:ilvl="4">
      <w:start w:val="937"/>
      <w:numFmt w:val="decimal"/>
      <w:lvlText w:val="(%5)"/>
      <w:lvlJc w:val="left"/>
      <w:pPr>
        <w:ind w:left="3600" w:hanging="360"/>
      </w:pPr>
    </w:lvl>
    <w:lvl w:ilvl="5">
      <w:start w:val="937"/>
      <w:numFmt w:val="decimal"/>
      <w:lvlText w:val="(%6)"/>
      <w:lvlJc w:val="left"/>
      <w:pPr>
        <w:ind w:left="4320" w:hanging="360"/>
      </w:pPr>
    </w:lvl>
    <w:lvl w:ilvl="6">
      <w:start w:val="937"/>
      <w:numFmt w:val="decimal"/>
      <w:lvlText w:val="(%7)"/>
      <w:lvlJc w:val="left"/>
      <w:pPr>
        <w:ind w:left="5040" w:hanging="360"/>
      </w:pPr>
    </w:lvl>
    <w:lvl w:ilvl="7">
      <w:start w:val="937"/>
      <w:numFmt w:val="decimal"/>
      <w:lvlText w:val="(%8)"/>
      <w:lvlJc w:val="left"/>
      <w:pPr>
        <w:ind w:left="5760" w:hanging="360"/>
      </w:pPr>
    </w:lvl>
    <w:lvl w:ilvl="8">
      <w:start w:val="937"/>
      <w:numFmt w:val="decimal"/>
      <w:lvlText w:val="(%9)"/>
      <w:lvlJc w:val="left"/>
      <w:pPr>
        <w:ind w:left="6480" w:hanging="360"/>
      </w:pPr>
    </w:lvl>
  </w:abstractNum>
  <w:abstractNum w:abstractNumId="994325">
    <w:nsid w:val="0A9943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3154">
    <w:nsid w:val="A9943154"/>
    <w:multiLevelType w:val="multilevel"/>
    <w:lvl w:ilvl="0">
      <w:start w:val="154"/>
      <w:numFmt w:val="decimal"/>
      <w:lvlText w:val="(%1)"/>
      <w:lvlJc w:val="left"/>
      <w:pPr>
        <w:ind w:left="720" w:hanging="360"/>
      </w:pPr>
    </w:lvl>
    <w:lvl w:ilvl="1">
      <w:start w:val="154"/>
      <w:numFmt w:val="decimal"/>
      <w:lvlText w:val="(%2)"/>
      <w:lvlJc w:val="left"/>
      <w:pPr>
        <w:ind w:left="1440" w:hanging="360"/>
      </w:pPr>
    </w:lvl>
    <w:lvl w:ilvl="2">
      <w:start w:val="154"/>
      <w:numFmt w:val="decimal"/>
      <w:lvlText w:val="(%3)"/>
      <w:lvlJc w:val="left"/>
      <w:pPr>
        <w:ind w:left="2160" w:hanging="360"/>
      </w:pPr>
    </w:lvl>
    <w:lvl w:ilvl="3">
      <w:start w:val="154"/>
      <w:numFmt w:val="decimal"/>
      <w:lvlText w:val="(%4)"/>
      <w:lvlJc w:val="left"/>
      <w:pPr>
        <w:ind w:left="2880" w:hanging="360"/>
      </w:pPr>
    </w:lvl>
    <w:lvl w:ilvl="4">
      <w:start w:val="154"/>
      <w:numFmt w:val="decimal"/>
      <w:lvlText w:val="(%5)"/>
      <w:lvlJc w:val="left"/>
      <w:pPr>
        <w:ind w:left="3600" w:hanging="360"/>
      </w:pPr>
    </w:lvl>
    <w:lvl w:ilvl="5">
      <w:start w:val="154"/>
      <w:numFmt w:val="decimal"/>
      <w:lvlText w:val="(%6)"/>
      <w:lvlJc w:val="left"/>
      <w:pPr>
        <w:ind w:left="4320" w:hanging="360"/>
      </w:pPr>
    </w:lvl>
    <w:lvl w:ilvl="6">
      <w:start w:val="154"/>
      <w:numFmt w:val="decimal"/>
      <w:lvlText w:val="(%7)"/>
      <w:lvlJc w:val="left"/>
      <w:pPr>
        <w:ind w:left="5040" w:hanging="360"/>
      </w:pPr>
    </w:lvl>
    <w:lvl w:ilvl="7">
      <w:start w:val="154"/>
      <w:numFmt w:val="decimal"/>
      <w:lvlText w:val="(%8)"/>
      <w:lvlJc w:val="left"/>
      <w:pPr>
        <w:ind w:left="5760" w:hanging="360"/>
      </w:pPr>
    </w:lvl>
    <w:lvl w:ilvl="8">
      <w:start w:val="154"/>
      <w:numFmt w:val="decimal"/>
      <w:lvlText w:val="(%9)"/>
      <w:lvlJc w:val="left"/>
      <w:pPr>
        <w:ind w:left="6480" w:hanging="360"/>
      </w:pPr>
    </w:lvl>
  </w:abstractNum>
  <w:abstractNum w:abstractNumId="994387">
    <w:nsid w:val="0A994387"/>
    <w:multiLevelType w:val="multilevel"/>
    <w:lvl w:ilvl="0">
      <w:start w:val="87"/>
      <w:numFmt w:val="decimal"/>
      <w:lvlText w:val="(%1)"/>
      <w:lvlJc w:val="left"/>
      <w:pPr>
        <w:ind w:left="720" w:hanging="360"/>
      </w:pPr>
    </w:lvl>
    <w:lvl w:ilvl="1">
      <w:start w:val="87"/>
      <w:numFmt w:val="decimal"/>
      <w:lvlText w:val="(%2)"/>
      <w:lvlJc w:val="left"/>
      <w:pPr>
        <w:ind w:left="1440" w:hanging="360"/>
      </w:pPr>
    </w:lvl>
    <w:lvl w:ilvl="2">
      <w:start w:val="87"/>
      <w:numFmt w:val="decimal"/>
      <w:lvlText w:val="(%3)"/>
      <w:lvlJc w:val="left"/>
      <w:pPr>
        <w:ind w:left="2160" w:hanging="360"/>
      </w:pPr>
    </w:lvl>
    <w:lvl w:ilvl="3">
      <w:start w:val="87"/>
      <w:numFmt w:val="decimal"/>
      <w:lvlText w:val="(%4)"/>
      <w:lvlJc w:val="left"/>
      <w:pPr>
        <w:ind w:left="2880" w:hanging="360"/>
      </w:pPr>
    </w:lvl>
    <w:lvl w:ilvl="4">
      <w:start w:val="87"/>
      <w:numFmt w:val="decimal"/>
      <w:lvlText w:val="(%5)"/>
      <w:lvlJc w:val="left"/>
      <w:pPr>
        <w:ind w:left="3600" w:hanging="360"/>
      </w:pPr>
    </w:lvl>
    <w:lvl w:ilvl="5">
      <w:start w:val="87"/>
      <w:numFmt w:val="decimal"/>
      <w:lvlText w:val="(%6)"/>
      <w:lvlJc w:val="left"/>
      <w:pPr>
        <w:ind w:left="4320" w:hanging="360"/>
      </w:pPr>
    </w:lvl>
    <w:lvl w:ilvl="6">
      <w:start w:val="87"/>
      <w:numFmt w:val="decimal"/>
      <w:lvlText w:val="(%7)"/>
      <w:lvlJc w:val="left"/>
      <w:pPr>
        <w:ind w:left="5040" w:hanging="360"/>
      </w:pPr>
    </w:lvl>
    <w:lvl w:ilvl="7">
      <w:start w:val="87"/>
      <w:numFmt w:val="decimal"/>
      <w:lvlText w:val="(%8)"/>
      <w:lvlJc w:val="left"/>
      <w:pPr>
        <w:ind w:left="5760" w:hanging="360"/>
      </w:pPr>
    </w:lvl>
    <w:lvl w:ilvl="8">
      <w:start w:val="87"/>
      <w:numFmt w:val="decimal"/>
      <w:lvlText w:val="(%9)"/>
      <w:lvlJc w:val="left"/>
      <w:pPr>
        <w:ind w:left="6480" w:hanging="360"/>
      </w:pPr>
    </w:lvl>
  </w:abstractNum>
  <w:abstractNum w:abstractNumId="9943102">
    <w:nsid w:val="A9943102"/>
    <w:multiLevelType w:val="multilevel"/>
    <w:lvl w:ilvl="0">
      <w:start w:val="102"/>
      <w:numFmt w:val="decimal"/>
      <w:lvlText w:val="(%1)"/>
      <w:lvlJc w:val="left"/>
      <w:pPr>
        <w:ind w:left="720" w:hanging="360"/>
      </w:pPr>
    </w:lvl>
    <w:lvl w:ilvl="1">
      <w:start w:val="102"/>
      <w:numFmt w:val="decimal"/>
      <w:lvlText w:val="(%2)"/>
      <w:lvlJc w:val="left"/>
      <w:pPr>
        <w:ind w:left="1440" w:hanging="360"/>
      </w:pPr>
    </w:lvl>
    <w:lvl w:ilvl="2">
      <w:start w:val="102"/>
      <w:numFmt w:val="decimal"/>
      <w:lvlText w:val="(%3)"/>
      <w:lvlJc w:val="left"/>
      <w:pPr>
        <w:ind w:left="2160" w:hanging="360"/>
      </w:pPr>
    </w:lvl>
    <w:lvl w:ilvl="3">
      <w:start w:val="102"/>
      <w:numFmt w:val="decimal"/>
      <w:lvlText w:val="(%4)"/>
      <w:lvlJc w:val="left"/>
      <w:pPr>
        <w:ind w:left="2880" w:hanging="360"/>
      </w:pPr>
    </w:lvl>
    <w:lvl w:ilvl="4">
      <w:start w:val="102"/>
      <w:numFmt w:val="decimal"/>
      <w:lvlText w:val="(%5)"/>
      <w:lvlJc w:val="left"/>
      <w:pPr>
        <w:ind w:left="3600" w:hanging="360"/>
      </w:pPr>
    </w:lvl>
    <w:lvl w:ilvl="5">
      <w:start w:val="102"/>
      <w:numFmt w:val="decimal"/>
      <w:lvlText w:val="(%6)"/>
      <w:lvlJc w:val="left"/>
      <w:pPr>
        <w:ind w:left="4320" w:hanging="360"/>
      </w:pPr>
    </w:lvl>
    <w:lvl w:ilvl="6">
      <w:start w:val="102"/>
      <w:numFmt w:val="decimal"/>
      <w:lvlText w:val="(%7)"/>
      <w:lvlJc w:val="left"/>
      <w:pPr>
        <w:ind w:left="5040" w:hanging="360"/>
      </w:pPr>
    </w:lvl>
    <w:lvl w:ilvl="7">
      <w:start w:val="102"/>
      <w:numFmt w:val="decimal"/>
      <w:lvlText w:val="(%8)"/>
      <w:lvlJc w:val="left"/>
      <w:pPr>
        <w:ind w:left="5760" w:hanging="360"/>
      </w:pPr>
    </w:lvl>
    <w:lvl w:ilvl="8">
      <w:start w:val="102"/>
      <w:numFmt w:val="decimal"/>
      <w:lvlText w:val="(%9)"/>
      <w:lvlJc w:val="left"/>
      <w:pPr>
        <w:ind w:left="6480" w:hanging="360"/>
      </w:pPr>
    </w:lvl>
  </w:abstractNum>
  <w:abstractNum w:abstractNumId="9943166">
    <w:nsid w:val="A9943166"/>
    <w:multiLevelType w:val="multilevel"/>
    <w:lvl w:ilvl="0">
      <w:start w:val="166"/>
      <w:numFmt w:val="decimal"/>
      <w:lvlText w:val="(%1)"/>
      <w:lvlJc w:val="left"/>
      <w:pPr>
        <w:ind w:left="720" w:hanging="360"/>
      </w:pPr>
    </w:lvl>
    <w:lvl w:ilvl="1">
      <w:start w:val="166"/>
      <w:numFmt w:val="decimal"/>
      <w:lvlText w:val="(%2)"/>
      <w:lvlJc w:val="left"/>
      <w:pPr>
        <w:ind w:left="1440" w:hanging="360"/>
      </w:pPr>
    </w:lvl>
    <w:lvl w:ilvl="2">
      <w:start w:val="166"/>
      <w:numFmt w:val="decimal"/>
      <w:lvlText w:val="(%3)"/>
      <w:lvlJc w:val="left"/>
      <w:pPr>
        <w:ind w:left="2160" w:hanging="360"/>
      </w:pPr>
    </w:lvl>
    <w:lvl w:ilvl="3">
      <w:start w:val="166"/>
      <w:numFmt w:val="decimal"/>
      <w:lvlText w:val="(%4)"/>
      <w:lvlJc w:val="left"/>
      <w:pPr>
        <w:ind w:left="2880" w:hanging="360"/>
      </w:pPr>
    </w:lvl>
    <w:lvl w:ilvl="4">
      <w:start w:val="166"/>
      <w:numFmt w:val="decimal"/>
      <w:lvlText w:val="(%5)"/>
      <w:lvlJc w:val="left"/>
      <w:pPr>
        <w:ind w:left="3600" w:hanging="360"/>
      </w:pPr>
    </w:lvl>
    <w:lvl w:ilvl="5">
      <w:start w:val="166"/>
      <w:numFmt w:val="decimal"/>
      <w:lvlText w:val="(%6)"/>
      <w:lvlJc w:val="left"/>
      <w:pPr>
        <w:ind w:left="4320" w:hanging="360"/>
      </w:pPr>
    </w:lvl>
    <w:lvl w:ilvl="6">
      <w:start w:val="166"/>
      <w:numFmt w:val="decimal"/>
      <w:lvlText w:val="(%7)"/>
      <w:lvlJc w:val="left"/>
      <w:pPr>
        <w:ind w:left="5040" w:hanging="360"/>
      </w:pPr>
    </w:lvl>
    <w:lvl w:ilvl="7">
      <w:start w:val="166"/>
      <w:numFmt w:val="decimal"/>
      <w:lvlText w:val="(%8)"/>
      <w:lvlJc w:val="left"/>
      <w:pPr>
        <w:ind w:left="5760" w:hanging="360"/>
      </w:pPr>
    </w:lvl>
    <w:lvl w:ilvl="8">
      <w:start w:val="166"/>
      <w:numFmt w:val="decimal"/>
      <w:lvlText w:val="(%9)"/>
      <w:lvlJc w:val="left"/>
      <w:pPr>
        <w:ind w:left="6480" w:hanging="360"/>
      </w:pPr>
    </w:lvl>
  </w:abstractNum>
  <w:abstractNum w:abstractNumId="994372">
    <w:nsid w:val="0A994372"/>
    <w:multiLevelType w:val="multilevel"/>
    <w:lvl w:ilvl="0">
      <w:start w:val="72"/>
      <w:numFmt w:val="decimal"/>
      <w:lvlText w:val="(%1)"/>
      <w:lvlJc w:val="left"/>
      <w:pPr>
        <w:ind w:left="720" w:hanging="360"/>
      </w:pPr>
    </w:lvl>
    <w:lvl w:ilvl="1">
      <w:start w:val="72"/>
      <w:numFmt w:val="decimal"/>
      <w:lvlText w:val="(%2)"/>
      <w:lvlJc w:val="left"/>
      <w:pPr>
        <w:ind w:left="1440" w:hanging="360"/>
      </w:pPr>
    </w:lvl>
    <w:lvl w:ilvl="2">
      <w:start w:val="72"/>
      <w:numFmt w:val="decimal"/>
      <w:lvlText w:val="(%3)"/>
      <w:lvlJc w:val="left"/>
      <w:pPr>
        <w:ind w:left="2160" w:hanging="360"/>
      </w:pPr>
    </w:lvl>
    <w:lvl w:ilvl="3">
      <w:start w:val="72"/>
      <w:numFmt w:val="decimal"/>
      <w:lvlText w:val="(%4)"/>
      <w:lvlJc w:val="left"/>
      <w:pPr>
        <w:ind w:left="2880" w:hanging="360"/>
      </w:pPr>
    </w:lvl>
    <w:lvl w:ilvl="4">
      <w:start w:val="72"/>
      <w:numFmt w:val="decimal"/>
      <w:lvlText w:val="(%5)"/>
      <w:lvlJc w:val="left"/>
      <w:pPr>
        <w:ind w:left="3600" w:hanging="360"/>
      </w:pPr>
    </w:lvl>
    <w:lvl w:ilvl="5">
      <w:start w:val="72"/>
      <w:numFmt w:val="decimal"/>
      <w:lvlText w:val="(%6)"/>
      <w:lvlJc w:val="left"/>
      <w:pPr>
        <w:ind w:left="4320" w:hanging="360"/>
      </w:pPr>
    </w:lvl>
    <w:lvl w:ilvl="6">
      <w:start w:val="72"/>
      <w:numFmt w:val="decimal"/>
      <w:lvlText w:val="(%7)"/>
      <w:lvlJc w:val="left"/>
      <w:pPr>
        <w:ind w:left="5040" w:hanging="360"/>
      </w:pPr>
    </w:lvl>
    <w:lvl w:ilvl="7">
      <w:start w:val="72"/>
      <w:numFmt w:val="decimal"/>
      <w:lvlText w:val="(%8)"/>
      <w:lvlJc w:val="left"/>
      <w:pPr>
        <w:ind w:left="5760" w:hanging="360"/>
      </w:pPr>
    </w:lvl>
    <w:lvl w:ilvl="8">
      <w:start w:val="72"/>
      <w:numFmt w:val="decimal"/>
      <w:lvlText w:val="(%9)"/>
      <w:lvlJc w:val="left"/>
      <w:pPr>
        <w:ind w:left="6480" w:hanging="360"/>
      </w:pPr>
    </w:lvl>
  </w:abstractNum>
  <w:abstractNum w:abstractNumId="9943891">
    <w:nsid w:val="A9943891"/>
    <w:multiLevelType w:val="multilevel"/>
    <w:lvl w:ilvl="0">
      <w:start w:val="891"/>
      <w:numFmt w:val="decimal"/>
      <w:lvlText w:val="(%1)"/>
      <w:lvlJc w:val="left"/>
      <w:pPr>
        <w:ind w:left="720" w:hanging="360"/>
      </w:pPr>
    </w:lvl>
    <w:lvl w:ilvl="1">
      <w:start w:val="891"/>
      <w:numFmt w:val="decimal"/>
      <w:lvlText w:val="(%2)"/>
      <w:lvlJc w:val="left"/>
      <w:pPr>
        <w:ind w:left="1440" w:hanging="360"/>
      </w:pPr>
    </w:lvl>
    <w:lvl w:ilvl="2">
      <w:start w:val="891"/>
      <w:numFmt w:val="decimal"/>
      <w:lvlText w:val="(%3)"/>
      <w:lvlJc w:val="left"/>
      <w:pPr>
        <w:ind w:left="2160" w:hanging="360"/>
      </w:pPr>
    </w:lvl>
    <w:lvl w:ilvl="3">
      <w:start w:val="891"/>
      <w:numFmt w:val="decimal"/>
      <w:lvlText w:val="(%4)"/>
      <w:lvlJc w:val="left"/>
      <w:pPr>
        <w:ind w:left="2880" w:hanging="360"/>
      </w:pPr>
    </w:lvl>
    <w:lvl w:ilvl="4">
      <w:start w:val="891"/>
      <w:numFmt w:val="decimal"/>
      <w:lvlText w:val="(%5)"/>
      <w:lvlJc w:val="left"/>
      <w:pPr>
        <w:ind w:left="3600" w:hanging="360"/>
      </w:pPr>
    </w:lvl>
    <w:lvl w:ilvl="5">
      <w:start w:val="891"/>
      <w:numFmt w:val="decimal"/>
      <w:lvlText w:val="(%6)"/>
      <w:lvlJc w:val="left"/>
      <w:pPr>
        <w:ind w:left="4320" w:hanging="360"/>
      </w:pPr>
    </w:lvl>
    <w:lvl w:ilvl="6">
      <w:start w:val="891"/>
      <w:numFmt w:val="decimal"/>
      <w:lvlText w:val="(%7)"/>
      <w:lvlJc w:val="left"/>
      <w:pPr>
        <w:ind w:left="5040" w:hanging="360"/>
      </w:pPr>
    </w:lvl>
    <w:lvl w:ilvl="7">
      <w:start w:val="891"/>
      <w:numFmt w:val="decimal"/>
      <w:lvlText w:val="(%8)"/>
      <w:lvlJc w:val="left"/>
      <w:pPr>
        <w:ind w:left="5760" w:hanging="360"/>
      </w:pPr>
    </w:lvl>
    <w:lvl w:ilvl="8">
      <w:start w:val="891"/>
      <w:numFmt w:val="decimal"/>
      <w:lvlText w:val="(%9)"/>
      <w:lvlJc w:val="left"/>
      <w:pPr>
        <w:ind w:left="6480" w:hanging="360"/>
      </w:pPr>
    </w:lvl>
  </w:abstractNum>
  <w:abstractNum w:abstractNumId="9943999">
    <w:nsid w:val="A9943999"/>
    <w:multiLevelType w:val="multilevel"/>
    <w:lvl w:ilvl="0">
      <w:start w:val="999"/>
      <w:numFmt w:val="decimal"/>
      <w:lvlText w:val="(%1)"/>
      <w:lvlJc w:val="left"/>
      <w:pPr>
        <w:ind w:left="720" w:hanging="360"/>
      </w:pPr>
    </w:lvl>
    <w:lvl w:ilvl="1">
      <w:start w:val="999"/>
      <w:numFmt w:val="decimal"/>
      <w:lvlText w:val="(%2)"/>
      <w:lvlJc w:val="left"/>
      <w:pPr>
        <w:ind w:left="1440" w:hanging="360"/>
      </w:pPr>
    </w:lvl>
    <w:lvl w:ilvl="2">
      <w:start w:val="999"/>
      <w:numFmt w:val="decimal"/>
      <w:lvlText w:val="(%3)"/>
      <w:lvlJc w:val="left"/>
      <w:pPr>
        <w:ind w:left="2160" w:hanging="360"/>
      </w:pPr>
    </w:lvl>
    <w:lvl w:ilvl="3">
      <w:start w:val="999"/>
      <w:numFmt w:val="decimal"/>
      <w:lvlText w:val="(%4)"/>
      <w:lvlJc w:val="left"/>
      <w:pPr>
        <w:ind w:left="2880" w:hanging="360"/>
      </w:pPr>
    </w:lvl>
    <w:lvl w:ilvl="4">
      <w:start w:val="999"/>
      <w:numFmt w:val="decimal"/>
      <w:lvlText w:val="(%5)"/>
      <w:lvlJc w:val="left"/>
      <w:pPr>
        <w:ind w:left="3600" w:hanging="360"/>
      </w:pPr>
    </w:lvl>
    <w:lvl w:ilvl="5">
      <w:start w:val="999"/>
      <w:numFmt w:val="decimal"/>
      <w:lvlText w:val="(%6)"/>
      <w:lvlJc w:val="left"/>
      <w:pPr>
        <w:ind w:left="4320" w:hanging="360"/>
      </w:pPr>
    </w:lvl>
    <w:lvl w:ilvl="6">
      <w:start w:val="999"/>
      <w:numFmt w:val="decimal"/>
      <w:lvlText w:val="(%7)"/>
      <w:lvlJc w:val="left"/>
      <w:pPr>
        <w:ind w:left="5040" w:hanging="360"/>
      </w:pPr>
    </w:lvl>
    <w:lvl w:ilvl="7">
      <w:start w:val="999"/>
      <w:numFmt w:val="decimal"/>
      <w:lvlText w:val="(%8)"/>
      <w:lvlJc w:val="left"/>
      <w:pPr>
        <w:ind w:left="5760" w:hanging="360"/>
      </w:pPr>
    </w:lvl>
    <w:lvl w:ilvl="8">
      <w:start w:val="999"/>
      <w:numFmt w:val="decimal"/>
      <w:lvlText w:val="(%9)"/>
      <w:lvlJc w:val="left"/>
      <w:pPr>
        <w:ind w:left="6480" w:hanging="360"/>
      </w:pPr>
    </w:lvl>
  </w:abstractNum>
  <w:abstractNum w:abstractNumId="9943655">
    <w:nsid w:val="A9943655"/>
    <w:multiLevelType w:val="multilevel"/>
    <w:lvl w:ilvl="0">
      <w:start w:val="655"/>
      <w:numFmt w:val="decimal"/>
      <w:lvlText w:val="(%1)"/>
      <w:lvlJc w:val="left"/>
      <w:pPr>
        <w:ind w:left="720" w:hanging="360"/>
      </w:pPr>
    </w:lvl>
    <w:lvl w:ilvl="1">
      <w:start w:val="655"/>
      <w:numFmt w:val="decimal"/>
      <w:lvlText w:val="(%2)"/>
      <w:lvlJc w:val="left"/>
      <w:pPr>
        <w:ind w:left="1440" w:hanging="360"/>
      </w:pPr>
    </w:lvl>
    <w:lvl w:ilvl="2">
      <w:start w:val="655"/>
      <w:numFmt w:val="decimal"/>
      <w:lvlText w:val="(%3)"/>
      <w:lvlJc w:val="left"/>
      <w:pPr>
        <w:ind w:left="2160" w:hanging="360"/>
      </w:pPr>
    </w:lvl>
    <w:lvl w:ilvl="3">
      <w:start w:val="655"/>
      <w:numFmt w:val="decimal"/>
      <w:lvlText w:val="(%4)"/>
      <w:lvlJc w:val="left"/>
      <w:pPr>
        <w:ind w:left="2880" w:hanging="360"/>
      </w:pPr>
    </w:lvl>
    <w:lvl w:ilvl="4">
      <w:start w:val="655"/>
      <w:numFmt w:val="decimal"/>
      <w:lvlText w:val="(%5)"/>
      <w:lvlJc w:val="left"/>
      <w:pPr>
        <w:ind w:left="3600" w:hanging="360"/>
      </w:pPr>
    </w:lvl>
    <w:lvl w:ilvl="5">
      <w:start w:val="655"/>
      <w:numFmt w:val="decimal"/>
      <w:lvlText w:val="(%6)"/>
      <w:lvlJc w:val="left"/>
      <w:pPr>
        <w:ind w:left="4320" w:hanging="360"/>
      </w:pPr>
    </w:lvl>
    <w:lvl w:ilvl="6">
      <w:start w:val="655"/>
      <w:numFmt w:val="decimal"/>
      <w:lvlText w:val="(%7)"/>
      <w:lvlJc w:val="left"/>
      <w:pPr>
        <w:ind w:left="5040" w:hanging="360"/>
      </w:pPr>
    </w:lvl>
    <w:lvl w:ilvl="7">
      <w:start w:val="655"/>
      <w:numFmt w:val="decimal"/>
      <w:lvlText w:val="(%8)"/>
      <w:lvlJc w:val="left"/>
      <w:pPr>
        <w:ind w:left="5760" w:hanging="360"/>
      </w:pPr>
    </w:lvl>
    <w:lvl w:ilvl="8">
      <w:start w:val="655"/>
      <w:numFmt w:val="decimal"/>
      <w:lvlText w:val="(%9)"/>
      <w:lvlJc w:val="left"/>
      <w:pPr>
        <w:ind w:left="6480" w:hanging="360"/>
      </w:pPr>
    </w:lvl>
  </w:abstractNum>
  <w:abstractNum w:abstractNumId="9943176">
    <w:nsid w:val="A9943176"/>
    <w:multiLevelType w:val="multilevel"/>
    <w:lvl w:ilvl="0">
      <w:start w:val="176"/>
      <w:numFmt w:val="decimal"/>
      <w:lvlText w:val="(%1)"/>
      <w:lvlJc w:val="left"/>
      <w:pPr>
        <w:ind w:left="720" w:hanging="360"/>
      </w:pPr>
    </w:lvl>
    <w:lvl w:ilvl="1">
      <w:start w:val="176"/>
      <w:numFmt w:val="decimal"/>
      <w:lvlText w:val="(%2)"/>
      <w:lvlJc w:val="left"/>
      <w:pPr>
        <w:ind w:left="1440" w:hanging="360"/>
      </w:pPr>
    </w:lvl>
    <w:lvl w:ilvl="2">
      <w:start w:val="176"/>
      <w:numFmt w:val="decimal"/>
      <w:lvlText w:val="(%3)"/>
      <w:lvlJc w:val="left"/>
      <w:pPr>
        <w:ind w:left="2160" w:hanging="360"/>
      </w:pPr>
    </w:lvl>
    <w:lvl w:ilvl="3">
      <w:start w:val="176"/>
      <w:numFmt w:val="decimal"/>
      <w:lvlText w:val="(%4)"/>
      <w:lvlJc w:val="left"/>
      <w:pPr>
        <w:ind w:left="2880" w:hanging="360"/>
      </w:pPr>
    </w:lvl>
    <w:lvl w:ilvl="4">
      <w:start w:val="176"/>
      <w:numFmt w:val="decimal"/>
      <w:lvlText w:val="(%5)"/>
      <w:lvlJc w:val="left"/>
      <w:pPr>
        <w:ind w:left="3600" w:hanging="360"/>
      </w:pPr>
    </w:lvl>
    <w:lvl w:ilvl="5">
      <w:start w:val="176"/>
      <w:numFmt w:val="decimal"/>
      <w:lvlText w:val="(%6)"/>
      <w:lvlJc w:val="left"/>
      <w:pPr>
        <w:ind w:left="4320" w:hanging="360"/>
      </w:pPr>
    </w:lvl>
    <w:lvl w:ilvl="6">
      <w:start w:val="176"/>
      <w:numFmt w:val="decimal"/>
      <w:lvlText w:val="(%7)"/>
      <w:lvlJc w:val="left"/>
      <w:pPr>
        <w:ind w:left="5040" w:hanging="360"/>
      </w:pPr>
    </w:lvl>
    <w:lvl w:ilvl="7">
      <w:start w:val="176"/>
      <w:numFmt w:val="decimal"/>
      <w:lvlText w:val="(%8)"/>
      <w:lvlJc w:val="left"/>
      <w:pPr>
        <w:ind w:left="5760" w:hanging="360"/>
      </w:pPr>
    </w:lvl>
    <w:lvl w:ilvl="8">
      <w:start w:val="176"/>
      <w:numFmt w:val="decimal"/>
      <w:lvlText w:val="(%9)"/>
      <w:lvlJc w:val="left"/>
      <w:pPr>
        <w:ind w:left="6480" w:hanging="360"/>
      </w:pPr>
    </w:lvl>
  </w:abstractNum>
  <w:abstractNum w:abstractNumId="9943357">
    <w:nsid w:val="A9943357"/>
    <w:multiLevelType w:val="multilevel"/>
    <w:lvl w:ilvl="0">
      <w:start w:val="357"/>
      <w:numFmt w:val="decimal"/>
      <w:lvlText w:val="(%1)"/>
      <w:lvlJc w:val="left"/>
      <w:pPr>
        <w:ind w:left="720" w:hanging="360"/>
      </w:pPr>
    </w:lvl>
    <w:lvl w:ilvl="1">
      <w:start w:val="357"/>
      <w:numFmt w:val="decimal"/>
      <w:lvlText w:val="(%2)"/>
      <w:lvlJc w:val="left"/>
      <w:pPr>
        <w:ind w:left="1440" w:hanging="360"/>
      </w:pPr>
    </w:lvl>
    <w:lvl w:ilvl="2">
      <w:start w:val="357"/>
      <w:numFmt w:val="decimal"/>
      <w:lvlText w:val="(%3)"/>
      <w:lvlJc w:val="left"/>
      <w:pPr>
        <w:ind w:left="2160" w:hanging="360"/>
      </w:pPr>
    </w:lvl>
    <w:lvl w:ilvl="3">
      <w:start w:val="357"/>
      <w:numFmt w:val="decimal"/>
      <w:lvlText w:val="(%4)"/>
      <w:lvlJc w:val="left"/>
      <w:pPr>
        <w:ind w:left="2880" w:hanging="360"/>
      </w:pPr>
    </w:lvl>
    <w:lvl w:ilvl="4">
      <w:start w:val="357"/>
      <w:numFmt w:val="decimal"/>
      <w:lvlText w:val="(%5)"/>
      <w:lvlJc w:val="left"/>
      <w:pPr>
        <w:ind w:left="3600" w:hanging="360"/>
      </w:pPr>
    </w:lvl>
    <w:lvl w:ilvl="5">
      <w:start w:val="357"/>
      <w:numFmt w:val="decimal"/>
      <w:lvlText w:val="(%6)"/>
      <w:lvlJc w:val="left"/>
      <w:pPr>
        <w:ind w:left="4320" w:hanging="360"/>
      </w:pPr>
    </w:lvl>
    <w:lvl w:ilvl="6">
      <w:start w:val="357"/>
      <w:numFmt w:val="decimal"/>
      <w:lvlText w:val="(%7)"/>
      <w:lvlJc w:val="left"/>
      <w:pPr>
        <w:ind w:left="5040" w:hanging="360"/>
      </w:pPr>
    </w:lvl>
    <w:lvl w:ilvl="7">
      <w:start w:val="357"/>
      <w:numFmt w:val="decimal"/>
      <w:lvlText w:val="(%8)"/>
      <w:lvlJc w:val="left"/>
      <w:pPr>
        <w:ind w:left="5760" w:hanging="360"/>
      </w:pPr>
    </w:lvl>
    <w:lvl w:ilvl="8">
      <w:start w:val="357"/>
      <w:numFmt w:val="decimal"/>
      <w:lvlText w:val="(%9)"/>
      <w:lvlJc w:val="left"/>
      <w:pPr>
        <w:ind w:left="6480" w:hanging="360"/>
      </w:pPr>
    </w:lvl>
  </w:abstractNum>
  <w:abstractNum w:abstractNumId="9943956">
    <w:nsid w:val="A9943956"/>
    <w:multiLevelType w:val="multilevel"/>
    <w:lvl w:ilvl="0">
      <w:start w:val="956"/>
      <w:numFmt w:val="decimal"/>
      <w:lvlText w:val="(%1)"/>
      <w:lvlJc w:val="left"/>
      <w:pPr>
        <w:ind w:left="720" w:hanging="360"/>
      </w:pPr>
    </w:lvl>
    <w:lvl w:ilvl="1">
      <w:start w:val="956"/>
      <w:numFmt w:val="decimal"/>
      <w:lvlText w:val="(%2)"/>
      <w:lvlJc w:val="left"/>
      <w:pPr>
        <w:ind w:left="1440" w:hanging="360"/>
      </w:pPr>
    </w:lvl>
    <w:lvl w:ilvl="2">
      <w:start w:val="956"/>
      <w:numFmt w:val="decimal"/>
      <w:lvlText w:val="(%3)"/>
      <w:lvlJc w:val="left"/>
      <w:pPr>
        <w:ind w:left="2160" w:hanging="360"/>
      </w:pPr>
    </w:lvl>
    <w:lvl w:ilvl="3">
      <w:start w:val="956"/>
      <w:numFmt w:val="decimal"/>
      <w:lvlText w:val="(%4)"/>
      <w:lvlJc w:val="left"/>
      <w:pPr>
        <w:ind w:left="2880" w:hanging="360"/>
      </w:pPr>
    </w:lvl>
    <w:lvl w:ilvl="4">
      <w:start w:val="956"/>
      <w:numFmt w:val="decimal"/>
      <w:lvlText w:val="(%5)"/>
      <w:lvlJc w:val="left"/>
      <w:pPr>
        <w:ind w:left="3600" w:hanging="360"/>
      </w:pPr>
    </w:lvl>
    <w:lvl w:ilvl="5">
      <w:start w:val="956"/>
      <w:numFmt w:val="decimal"/>
      <w:lvlText w:val="(%6)"/>
      <w:lvlJc w:val="left"/>
      <w:pPr>
        <w:ind w:left="4320" w:hanging="360"/>
      </w:pPr>
    </w:lvl>
    <w:lvl w:ilvl="6">
      <w:start w:val="956"/>
      <w:numFmt w:val="decimal"/>
      <w:lvlText w:val="(%7)"/>
      <w:lvlJc w:val="left"/>
      <w:pPr>
        <w:ind w:left="5040" w:hanging="360"/>
      </w:pPr>
    </w:lvl>
    <w:lvl w:ilvl="7">
      <w:start w:val="956"/>
      <w:numFmt w:val="decimal"/>
      <w:lvlText w:val="(%8)"/>
      <w:lvlJc w:val="left"/>
      <w:pPr>
        <w:ind w:left="5760" w:hanging="360"/>
      </w:pPr>
    </w:lvl>
    <w:lvl w:ilvl="8">
      <w:start w:val="956"/>
      <w:numFmt w:val="decimal"/>
      <w:lvlText w:val="(%9)"/>
      <w:lvlJc w:val="left"/>
      <w:pPr>
        <w:ind w:left="6480" w:hanging="360"/>
      </w:pPr>
    </w:lvl>
  </w:abstractNum>
  <w:abstractNum w:abstractNumId="9943209">
    <w:nsid w:val="A9943209"/>
    <w:multiLevelType w:val="multilevel"/>
    <w:lvl w:ilvl="0">
      <w:start w:val="209"/>
      <w:numFmt w:val="decimal"/>
      <w:lvlText w:val="(%1)"/>
      <w:lvlJc w:val="left"/>
      <w:pPr>
        <w:ind w:left="720" w:hanging="360"/>
      </w:pPr>
    </w:lvl>
    <w:lvl w:ilvl="1">
      <w:start w:val="209"/>
      <w:numFmt w:val="decimal"/>
      <w:lvlText w:val="(%2)"/>
      <w:lvlJc w:val="left"/>
      <w:pPr>
        <w:ind w:left="1440" w:hanging="360"/>
      </w:pPr>
    </w:lvl>
    <w:lvl w:ilvl="2">
      <w:start w:val="209"/>
      <w:numFmt w:val="decimal"/>
      <w:lvlText w:val="(%3)"/>
      <w:lvlJc w:val="left"/>
      <w:pPr>
        <w:ind w:left="2160" w:hanging="360"/>
      </w:pPr>
    </w:lvl>
    <w:lvl w:ilvl="3">
      <w:start w:val="209"/>
      <w:numFmt w:val="decimal"/>
      <w:lvlText w:val="(%4)"/>
      <w:lvlJc w:val="left"/>
      <w:pPr>
        <w:ind w:left="2880" w:hanging="360"/>
      </w:pPr>
    </w:lvl>
    <w:lvl w:ilvl="4">
      <w:start w:val="209"/>
      <w:numFmt w:val="decimal"/>
      <w:lvlText w:val="(%5)"/>
      <w:lvlJc w:val="left"/>
      <w:pPr>
        <w:ind w:left="3600" w:hanging="360"/>
      </w:pPr>
    </w:lvl>
    <w:lvl w:ilvl="5">
      <w:start w:val="209"/>
      <w:numFmt w:val="decimal"/>
      <w:lvlText w:val="(%6)"/>
      <w:lvlJc w:val="left"/>
      <w:pPr>
        <w:ind w:left="4320" w:hanging="360"/>
      </w:pPr>
    </w:lvl>
    <w:lvl w:ilvl="6">
      <w:start w:val="209"/>
      <w:numFmt w:val="decimal"/>
      <w:lvlText w:val="(%7)"/>
      <w:lvlJc w:val="left"/>
      <w:pPr>
        <w:ind w:left="5040" w:hanging="360"/>
      </w:pPr>
    </w:lvl>
    <w:lvl w:ilvl="7">
      <w:start w:val="209"/>
      <w:numFmt w:val="decimal"/>
      <w:lvlText w:val="(%8)"/>
      <w:lvlJc w:val="left"/>
      <w:pPr>
        <w:ind w:left="5760" w:hanging="360"/>
      </w:pPr>
    </w:lvl>
    <w:lvl w:ilvl="8">
      <w:start w:val="209"/>
      <w:numFmt w:val="decimal"/>
      <w:lvlText w:val="(%9)"/>
      <w:lvlJc w:val="left"/>
      <w:pPr>
        <w:ind w:left="6480" w:hanging="360"/>
      </w:pPr>
    </w:lvl>
  </w:abstractNum>
  <w:abstractNum w:abstractNumId="9943362">
    <w:nsid w:val="A9943362"/>
    <w:multiLevelType w:val="multilevel"/>
    <w:lvl w:ilvl="0">
      <w:start w:val="362"/>
      <w:numFmt w:val="decimal"/>
      <w:lvlText w:val="(%1)"/>
      <w:lvlJc w:val="left"/>
      <w:pPr>
        <w:ind w:left="720" w:hanging="360"/>
      </w:pPr>
    </w:lvl>
    <w:lvl w:ilvl="1">
      <w:start w:val="362"/>
      <w:numFmt w:val="decimal"/>
      <w:lvlText w:val="(%2)"/>
      <w:lvlJc w:val="left"/>
      <w:pPr>
        <w:ind w:left="1440" w:hanging="360"/>
      </w:pPr>
    </w:lvl>
    <w:lvl w:ilvl="2">
      <w:start w:val="362"/>
      <w:numFmt w:val="decimal"/>
      <w:lvlText w:val="(%3)"/>
      <w:lvlJc w:val="left"/>
      <w:pPr>
        <w:ind w:left="2160" w:hanging="360"/>
      </w:pPr>
    </w:lvl>
    <w:lvl w:ilvl="3">
      <w:start w:val="362"/>
      <w:numFmt w:val="decimal"/>
      <w:lvlText w:val="(%4)"/>
      <w:lvlJc w:val="left"/>
      <w:pPr>
        <w:ind w:left="2880" w:hanging="360"/>
      </w:pPr>
    </w:lvl>
    <w:lvl w:ilvl="4">
      <w:start w:val="362"/>
      <w:numFmt w:val="decimal"/>
      <w:lvlText w:val="(%5)"/>
      <w:lvlJc w:val="left"/>
      <w:pPr>
        <w:ind w:left="3600" w:hanging="360"/>
      </w:pPr>
    </w:lvl>
    <w:lvl w:ilvl="5">
      <w:start w:val="362"/>
      <w:numFmt w:val="decimal"/>
      <w:lvlText w:val="(%6)"/>
      <w:lvlJc w:val="left"/>
      <w:pPr>
        <w:ind w:left="4320" w:hanging="360"/>
      </w:pPr>
    </w:lvl>
    <w:lvl w:ilvl="6">
      <w:start w:val="362"/>
      <w:numFmt w:val="decimal"/>
      <w:lvlText w:val="(%7)"/>
      <w:lvlJc w:val="left"/>
      <w:pPr>
        <w:ind w:left="5040" w:hanging="360"/>
      </w:pPr>
    </w:lvl>
    <w:lvl w:ilvl="7">
      <w:start w:val="362"/>
      <w:numFmt w:val="decimal"/>
      <w:lvlText w:val="(%8)"/>
      <w:lvlJc w:val="left"/>
      <w:pPr>
        <w:ind w:left="5760" w:hanging="360"/>
      </w:pPr>
    </w:lvl>
    <w:lvl w:ilvl="8">
      <w:start w:val="36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3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07">
    <w:abstractNumId w:val="9943161"/>
    <w:lvlOverride w:ilvl="0">
      <w:startOverride w:val="161"/>
    </w:lvlOverride>
    <w:lvlOverride w:ilvl="1">
      <w:startOverride w:val="161"/>
    </w:lvlOverride>
    <w:lvlOverride w:ilvl="2">
      <w:startOverride w:val="161"/>
    </w:lvlOverride>
    <w:lvlOverride w:ilvl="3">
      <w:startOverride w:val="161"/>
    </w:lvlOverride>
    <w:lvlOverride w:ilvl="4">
      <w:startOverride w:val="161"/>
    </w:lvlOverride>
    <w:lvlOverride w:ilvl="5">
      <w:startOverride w:val="161"/>
    </w:lvlOverride>
    <w:lvlOverride w:ilvl="6">
      <w:startOverride w:val="161"/>
    </w:lvlOverride>
    <w:lvlOverride w:ilvl="7">
      <w:startOverride w:val="161"/>
    </w:lvlOverride>
    <w:lvlOverride w:ilvl="8">
      <w:startOverride w:val="161"/>
    </w:lvlOverride>
  </w:num>
  <w:num w:numId="1008">
    <w:abstractNumId w:val="994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3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2">
    <w:abstractNumId w:val="9943664"/>
    <w:lvlOverride w:ilvl="0">
      <w:startOverride w:val="664"/>
    </w:lvlOverride>
    <w:lvlOverride w:ilvl="1">
      <w:startOverride w:val="664"/>
    </w:lvlOverride>
    <w:lvlOverride w:ilvl="2">
      <w:startOverride w:val="664"/>
    </w:lvlOverride>
    <w:lvlOverride w:ilvl="3">
      <w:startOverride w:val="664"/>
    </w:lvlOverride>
    <w:lvlOverride w:ilvl="4">
      <w:startOverride w:val="664"/>
    </w:lvlOverride>
    <w:lvlOverride w:ilvl="5">
      <w:startOverride w:val="664"/>
    </w:lvlOverride>
    <w:lvlOverride w:ilvl="6">
      <w:startOverride w:val="664"/>
    </w:lvlOverride>
    <w:lvlOverride w:ilvl="7">
      <w:startOverride w:val="664"/>
    </w:lvlOverride>
    <w:lvlOverride w:ilvl="8">
      <w:startOverride w:val="664"/>
    </w:lvlOverride>
  </w:num>
  <w:num w:numId="1013">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4">
    <w:abstractNumId w:val="9943942"/>
    <w:lvlOverride w:ilvl="0">
      <w:startOverride w:val="942"/>
    </w:lvlOverride>
    <w:lvlOverride w:ilvl="1">
      <w:startOverride w:val="942"/>
    </w:lvlOverride>
    <w:lvlOverride w:ilvl="2">
      <w:startOverride w:val="942"/>
    </w:lvlOverride>
    <w:lvlOverride w:ilvl="3">
      <w:startOverride w:val="942"/>
    </w:lvlOverride>
    <w:lvlOverride w:ilvl="4">
      <w:startOverride w:val="942"/>
    </w:lvlOverride>
    <w:lvlOverride w:ilvl="5">
      <w:startOverride w:val="942"/>
    </w:lvlOverride>
    <w:lvlOverride w:ilvl="6">
      <w:startOverride w:val="942"/>
    </w:lvlOverride>
    <w:lvlOverride w:ilvl="7">
      <w:startOverride w:val="942"/>
    </w:lvlOverride>
    <w:lvlOverride w:ilvl="8">
      <w:startOverride w:val="942"/>
    </w:lvlOverride>
  </w:num>
  <w:num w:numId="1015">
    <w:abstractNumId w:val="9943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1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3490"/>
    <w:lvlOverride w:ilvl="0">
      <w:startOverride w:val="490"/>
    </w:lvlOverride>
    <w:lvlOverride w:ilvl="1">
      <w:startOverride w:val="490"/>
    </w:lvlOverride>
    <w:lvlOverride w:ilvl="2">
      <w:startOverride w:val="490"/>
    </w:lvlOverride>
    <w:lvlOverride w:ilvl="3">
      <w:startOverride w:val="490"/>
    </w:lvlOverride>
    <w:lvlOverride w:ilvl="4">
      <w:startOverride w:val="490"/>
    </w:lvlOverride>
    <w:lvlOverride w:ilvl="5">
      <w:startOverride w:val="490"/>
    </w:lvlOverride>
    <w:lvlOverride w:ilvl="6">
      <w:startOverride w:val="490"/>
    </w:lvlOverride>
    <w:lvlOverride w:ilvl="7">
      <w:startOverride w:val="490"/>
    </w:lvlOverride>
    <w:lvlOverride w:ilvl="8">
      <w:startOverride w:val="490"/>
    </w:lvlOverride>
  </w:num>
  <w:num w:numId="1018">
    <w:abstractNumId w:val="9943967"/>
    <w:lvlOverride w:ilvl="0">
      <w:startOverride w:val="967"/>
    </w:lvlOverride>
    <w:lvlOverride w:ilvl="1">
      <w:startOverride w:val="967"/>
    </w:lvlOverride>
    <w:lvlOverride w:ilvl="2">
      <w:startOverride w:val="967"/>
    </w:lvlOverride>
    <w:lvlOverride w:ilvl="3">
      <w:startOverride w:val="967"/>
    </w:lvlOverride>
    <w:lvlOverride w:ilvl="4">
      <w:startOverride w:val="967"/>
    </w:lvlOverride>
    <w:lvlOverride w:ilvl="5">
      <w:startOverride w:val="967"/>
    </w:lvlOverride>
    <w:lvlOverride w:ilvl="6">
      <w:startOverride w:val="967"/>
    </w:lvlOverride>
    <w:lvlOverride w:ilvl="7">
      <w:startOverride w:val="967"/>
    </w:lvlOverride>
    <w:lvlOverride w:ilvl="8">
      <w:startOverride w:val="967"/>
    </w:lvlOverride>
  </w:num>
  <w:num w:numId="1019">
    <w:abstractNumId w:val="9943319"/>
    <w:lvlOverride w:ilvl="0">
      <w:startOverride w:val="319"/>
    </w:lvlOverride>
    <w:lvlOverride w:ilvl="1">
      <w:startOverride w:val="319"/>
    </w:lvlOverride>
    <w:lvlOverride w:ilvl="2">
      <w:startOverride w:val="319"/>
    </w:lvlOverride>
    <w:lvlOverride w:ilvl="3">
      <w:startOverride w:val="319"/>
    </w:lvlOverride>
    <w:lvlOverride w:ilvl="4">
      <w:startOverride w:val="319"/>
    </w:lvlOverride>
    <w:lvlOverride w:ilvl="5">
      <w:startOverride w:val="319"/>
    </w:lvlOverride>
    <w:lvlOverride w:ilvl="6">
      <w:startOverride w:val="319"/>
    </w:lvlOverride>
    <w:lvlOverride w:ilvl="7">
      <w:startOverride w:val="319"/>
    </w:lvlOverride>
    <w:lvlOverride w:ilvl="8">
      <w:startOverride w:val="319"/>
    </w:lvlOverride>
  </w:num>
  <w:num w:numId="1020">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1">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2">
    <w:abstractNumId w:val="9943247"/>
    <w:lvlOverride w:ilvl="0">
      <w:startOverride w:val="247"/>
    </w:lvlOverride>
    <w:lvlOverride w:ilvl="1">
      <w:startOverride w:val="247"/>
    </w:lvlOverride>
    <w:lvlOverride w:ilvl="2">
      <w:startOverride w:val="247"/>
    </w:lvlOverride>
    <w:lvlOverride w:ilvl="3">
      <w:startOverride w:val="247"/>
    </w:lvlOverride>
    <w:lvlOverride w:ilvl="4">
      <w:startOverride w:val="247"/>
    </w:lvlOverride>
    <w:lvlOverride w:ilvl="5">
      <w:startOverride w:val="247"/>
    </w:lvlOverride>
    <w:lvlOverride w:ilvl="6">
      <w:startOverride w:val="247"/>
    </w:lvlOverride>
    <w:lvlOverride w:ilvl="7">
      <w:startOverride w:val="247"/>
    </w:lvlOverride>
    <w:lvlOverride w:ilvl="8">
      <w:startOverride w:val="247"/>
    </w:lvlOverride>
  </w:num>
  <w:num w:numId="1023">
    <w:abstractNumId w:val="9943330"/>
    <w:lvlOverride w:ilvl="0">
      <w:startOverride w:val="330"/>
    </w:lvlOverride>
    <w:lvlOverride w:ilvl="1">
      <w:startOverride w:val="330"/>
    </w:lvlOverride>
    <w:lvlOverride w:ilvl="2">
      <w:startOverride w:val="330"/>
    </w:lvlOverride>
    <w:lvlOverride w:ilvl="3">
      <w:startOverride w:val="330"/>
    </w:lvlOverride>
    <w:lvlOverride w:ilvl="4">
      <w:startOverride w:val="330"/>
    </w:lvlOverride>
    <w:lvlOverride w:ilvl="5">
      <w:startOverride w:val="330"/>
    </w:lvlOverride>
    <w:lvlOverride w:ilvl="6">
      <w:startOverride w:val="330"/>
    </w:lvlOverride>
    <w:lvlOverride w:ilvl="7">
      <w:startOverride w:val="330"/>
    </w:lvlOverride>
    <w:lvlOverride w:ilvl="8">
      <w:startOverride w:val="330"/>
    </w:lvlOverride>
  </w:num>
  <w:num w:numId="1024">
    <w:abstractNumId w:val="9943247"/>
    <w:lvlOverride w:ilvl="0">
      <w:startOverride w:val="247"/>
    </w:lvlOverride>
    <w:lvlOverride w:ilvl="1">
      <w:startOverride w:val="247"/>
    </w:lvlOverride>
    <w:lvlOverride w:ilvl="2">
      <w:startOverride w:val="247"/>
    </w:lvlOverride>
    <w:lvlOverride w:ilvl="3">
      <w:startOverride w:val="247"/>
    </w:lvlOverride>
    <w:lvlOverride w:ilvl="4">
      <w:startOverride w:val="247"/>
    </w:lvlOverride>
    <w:lvlOverride w:ilvl="5">
      <w:startOverride w:val="247"/>
    </w:lvlOverride>
    <w:lvlOverride w:ilvl="6">
      <w:startOverride w:val="247"/>
    </w:lvlOverride>
    <w:lvlOverride w:ilvl="7">
      <w:startOverride w:val="247"/>
    </w:lvlOverride>
    <w:lvlOverride w:ilvl="8">
      <w:startOverride w:val="247"/>
    </w:lvlOverride>
  </w:num>
  <w:num w:numId="1025">
    <w:abstractNumId w:val="9943208"/>
    <w:lvlOverride w:ilvl="0">
      <w:startOverride w:val="208"/>
    </w:lvlOverride>
    <w:lvlOverride w:ilvl="1">
      <w:startOverride w:val="208"/>
    </w:lvlOverride>
    <w:lvlOverride w:ilvl="2">
      <w:startOverride w:val="208"/>
    </w:lvlOverride>
    <w:lvlOverride w:ilvl="3">
      <w:startOverride w:val="208"/>
    </w:lvlOverride>
    <w:lvlOverride w:ilvl="4">
      <w:startOverride w:val="208"/>
    </w:lvlOverride>
    <w:lvlOverride w:ilvl="5">
      <w:startOverride w:val="208"/>
    </w:lvlOverride>
    <w:lvlOverride w:ilvl="6">
      <w:startOverride w:val="208"/>
    </w:lvlOverride>
    <w:lvlOverride w:ilvl="7">
      <w:startOverride w:val="208"/>
    </w:lvlOverride>
    <w:lvlOverride w:ilvl="8">
      <w:startOverride w:val="208"/>
    </w:lvlOverride>
  </w:num>
  <w:num w:numId="1026">
    <w:abstractNumId w:val="9943254"/>
    <w:lvlOverride w:ilvl="0">
      <w:startOverride w:val="254"/>
    </w:lvlOverride>
    <w:lvlOverride w:ilvl="1">
      <w:startOverride w:val="254"/>
    </w:lvlOverride>
    <w:lvlOverride w:ilvl="2">
      <w:startOverride w:val="254"/>
    </w:lvlOverride>
    <w:lvlOverride w:ilvl="3">
      <w:startOverride w:val="254"/>
    </w:lvlOverride>
    <w:lvlOverride w:ilvl="4">
      <w:startOverride w:val="254"/>
    </w:lvlOverride>
    <w:lvlOverride w:ilvl="5">
      <w:startOverride w:val="254"/>
    </w:lvlOverride>
    <w:lvlOverride w:ilvl="6">
      <w:startOverride w:val="254"/>
    </w:lvlOverride>
    <w:lvlOverride w:ilvl="7">
      <w:startOverride w:val="254"/>
    </w:lvlOverride>
    <w:lvlOverride w:ilvl="8">
      <w:startOverride w:val="254"/>
    </w:lvlOverride>
  </w:num>
  <w:num w:numId="1027">
    <w:abstractNumId w:val="9943298"/>
    <w:lvlOverride w:ilvl="0">
      <w:startOverride w:val="298"/>
    </w:lvlOverride>
    <w:lvlOverride w:ilvl="1">
      <w:startOverride w:val="298"/>
    </w:lvlOverride>
    <w:lvlOverride w:ilvl="2">
      <w:startOverride w:val="298"/>
    </w:lvlOverride>
    <w:lvlOverride w:ilvl="3">
      <w:startOverride w:val="298"/>
    </w:lvlOverride>
    <w:lvlOverride w:ilvl="4">
      <w:startOverride w:val="298"/>
    </w:lvlOverride>
    <w:lvlOverride w:ilvl="5">
      <w:startOverride w:val="298"/>
    </w:lvlOverride>
    <w:lvlOverride w:ilvl="6">
      <w:startOverride w:val="298"/>
    </w:lvlOverride>
    <w:lvlOverride w:ilvl="7">
      <w:startOverride w:val="298"/>
    </w:lvlOverride>
    <w:lvlOverride w:ilvl="8">
      <w:startOverride w:val="298"/>
    </w:lvlOverride>
  </w:num>
  <w:num w:numId="1028">
    <w:abstractNumId w:val="9943967"/>
    <w:lvlOverride w:ilvl="0">
      <w:startOverride w:val="967"/>
    </w:lvlOverride>
    <w:lvlOverride w:ilvl="1">
      <w:startOverride w:val="967"/>
    </w:lvlOverride>
    <w:lvlOverride w:ilvl="2">
      <w:startOverride w:val="967"/>
    </w:lvlOverride>
    <w:lvlOverride w:ilvl="3">
      <w:startOverride w:val="967"/>
    </w:lvlOverride>
    <w:lvlOverride w:ilvl="4">
      <w:startOverride w:val="967"/>
    </w:lvlOverride>
    <w:lvlOverride w:ilvl="5">
      <w:startOverride w:val="967"/>
    </w:lvlOverride>
    <w:lvlOverride w:ilvl="6">
      <w:startOverride w:val="967"/>
    </w:lvlOverride>
    <w:lvlOverride w:ilvl="7">
      <w:startOverride w:val="967"/>
    </w:lvlOverride>
    <w:lvlOverride w:ilvl="8">
      <w:startOverride w:val="967"/>
    </w:lvlOverride>
  </w:num>
  <w:num w:numId="1029">
    <w:abstractNumId w:val="9943797"/>
    <w:lvlOverride w:ilvl="0">
      <w:startOverride w:val="797"/>
    </w:lvlOverride>
    <w:lvlOverride w:ilvl="1">
      <w:startOverride w:val="797"/>
    </w:lvlOverride>
    <w:lvlOverride w:ilvl="2">
      <w:startOverride w:val="797"/>
    </w:lvlOverride>
    <w:lvlOverride w:ilvl="3">
      <w:startOverride w:val="797"/>
    </w:lvlOverride>
    <w:lvlOverride w:ilvl="4">
      <w:startOverride w:val="797"/>
    </w:lvlOverride>
    <w:lvlOverride w:ilvl="5">
      <w:startOverride w:val="797"/>
    </w:lvlOverride>
    <w:lvlOverride w:ilvl="6">
      <w:startOverride w:val="797"/>
    </w:lvlOverride>
    <w:lvlOverride w:ilvl="7">
      <w:startOverride w:val="797"/>
    </w:lvlOverride>
    <w:lvlOverride w:ilvl="8">
      <w:startOverride w:val="797"/>
    </w:lvlOverride>
  </w:num>
  <w:num w:numId="1030">
    <w:abstractNumId w:val="9943207"/>
    <w:lvlOverride w:ilvl="0">
      <w:startOverride w:val="207"/>
    </w:lvlOverride>
    <w:lvlOverride w:ilvl="1">
      <w:startOverride w:val="207"/>
    </w:lvlOverride>
    <w:lvlOverride w:ilvl="2">
      <w:startOverride w:val="207"/>
    </w:lvlOverride>
    <w:lvlOverride w:ilvl="3">
      <w:startOverride w:val="207"/>
    </w:lvlOverride>
    <w:lvlOverride w:ilvl="4">
      <w:startOverride w:val="207"/>
    </w:lvlOverride>
    <w:lvlOverride w:ilvl="5">
      <w:startOverride w:val="207"/>
    </w:lvlOverride>
    <w:lvlOverride w:ilvl="6">
      <w:startOverride w:val="207"/>
    </w:lvlOverride>
    <w:lvlOverride w:ilvl="7">
      <w:startOverride w:val="207"/>
    </w:lvlOverride>
    <w:lvlOverride w:ilvl="8">
      <w:startOverride w:val="207"/>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406"/>
    <w:lvlOverride w:ilvl="0">
      <w:startOverride w:val="406"/>
    </w:lvlOverride>
    <w:lvlOverride w:ilvl="1">
      <w:startOverride w:val="406"/>
    </w:lvlOverride>
    <w:lvlOverride w:ilvl="2">
      <w:startOverride w:val="406"/>
    </w:lvlOverride>
    <w:lvlOverride w:ilvl="3">
      <w:startOverride w:val="406"/>
    </w:lvlOverride>
    <w:lvlOverride w:ilvl="4">
      <w:startOverride w:val="406"/>
    </w:lvlOverride>
    <w:lvlOverride w:ilvl="5">
      <w:startOverride w:val="406"/>
    </w:lvlOverride>
    <w:lvlOverride w:ilvl="6">
      <w:startOverride w:val="406"/>
    </w:lvlOverride>
    <w:lvlOverride w:ilvl="7">
      <w:startOverride w:val="406"/>
    </w:lvlOverride>
    <w:lvlOverride w:ilvl="8">
      <w:startOverride w:val="406"/>
    </w:lvlOverride>
  </w:num>
  <w:num w:numId="1034">
    <w:abstractNumId w:val="9943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5">
    <w:abstractNumId w:val="9943153"/>
    <w:lvlOverride w:ilvl="0">
      <w:startOverride w:val="153"/>
    </w:lvlOverride>
    <w:lvlOverride w:ilvl="1">
      <w:startOverride w:val="153"/>
    </w:lvlOverride>
    <w:lvlOverride w:ilvl="2">
      <w:startOverride w:val="153"/>
    </w:lvlOverride>
    <w:lvlOverride w:ilvl="3">
      <w:startOverride w:val="153"/>
    </w:lvlOverride>
    <w:lvlOverride w:ilvl="4">
      <w:startOverride w:val="153"/>
    </w:lvlOverride>
    <w:lvlOverride w:ilvl="5">
      <w:startOverride w:val="153"/>
    </w:lvlOverride>
    <w:lvlOverride w:ilvl="6">
      <w:startOverride w:val="153"/>
    </w:lvlOverride>
    <w:lvlOverride w:ilvl="7">
      <w:startOverride w:val="153"/>
    </w:lvlOverride>
    <w:lvlOverride w:ilvl="8">
      <w:startOverride w:val="153"/>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8">
    <w:abstractNumId w:val="9943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9">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43">
    <w:abstractNumId w:val="9943173"/>
    <w:lvlOverride w:ilvl="0">
      <w:startOverride w:val="173"/>
    </w:lvlOverride>
    <w:lvlOverride w:ilvl="1">
      <w:startOverride w:val="173"/>
    </w:lvlOverride>
    <w:lvlOverride w:ilvl="2">
      <w:startOverride w:val="173"/>
    </w:lvlOverride>
    <w:lvlOverride w:ilvl="3">
      <w:startOverride w:val="173"/>
    </w:lvlOverride>
    <w:lvlOverride w:ilvl="4">
      <w:startOverride w:val="173"/>
    </w:lvlOverride>
    <w:lvlOverride w:ilvl="5">
      <w:startOverride w:val="173"/>
    </w:lvlOverride>
    <w:lvlOverride w:ilvl="6">
      <w:startOverride w:val="173"/>
    </w:lvlOverride>
    <w:lvlOverride w:ilvl="7">
      <w:startOverride w:val="173"/>
    </w:lvlOverride>
    <w:lvlOverride w:ilvl="8">
      <w:startOverride w:val="173"/>
    </w:lvlOverride>
  </w:num>
  <w:num w:numId="1044">
    <w:abstractNumId w:val="9943192"/>
    <w:lvlOverride w:ilvl="0">
      <w:startOverride w:val="192"/>
    </w:lvlOverride>
    <w:lvlOverride w:ilvl="1">
      <w:startOverride w:val="192"/>
    </w:lvlOverride>
    <w:lvlOverride w:ilvl="2">
      <w:startOverride w:val="192"/>
    </w:lvlOverride>
    <w:lvlOverride w:ilvl="3">
      <w:startOverride w:val="192"/>
    </w:lvlOverride>
    <w:lvlOverride w:ilvl="4">
      <w:startOverride w:val="192"/>
    </w:lvlOverride>
    <w:lvlOverride w:ilvl="5">
      <w:startOverride w:val="192"/>
    </w:lvlOverride>
    <w:lvlOverride w:ilvl="6">
      <w:startOverride w:val="192"/>
    </w:lvlOverride>
    <w:lvlOverride w:ilvl="7">
      <w:startOverride w:val="192"/>
    </w:lvlOverride>
    <w:lvlOverride w:ilvl="8">
      <w:startOverride w:val="192"/>
    </w:lvlOverride>
  </w:num>
  <w:num w:numId="1045">
    <w:abstractNumId w:val="9943588"/>
    <w:lvlOverride w:ilvl="0">
      <w:startOverride w:val="588"/>
    </w:lvlOverride>
    <w:lvlOverride w:ilvl="1">
      <w:startOverride w:val="588"/>
    </w:lvlOverride>
    <w:lvlOverride w:ilvl="2">
      <w:startOverride w:val="588"/>
    </w:lvlOverride>
    <w:lvlOverride w:ilvl="3">
      <w:startOverride w:val="588"/>
    </w:lvlOverride>
    <w:lvlOverride w:ilvl="4">
      <w:startOverride w:val="588"/>
    </w:lvlOverride>
    <w:lvlOverride w:ilvl="5">
      <w:startOverride w:val="588"/>
    </w:lvlOverride>
    <w:lvlOverride w:ilvl="6">
      <w:startOverride w:val="588"/>
    </w:lvlOverride>
    <w:lvlOverride w:ilvl="7">
      <w:startOverride w:val="588"/>
    </w:lvlOverride>
    <w:lvlOverride w:ilvl="8">
      <w:startOverride w:val="588"/>
    </w:lvlOverride>
  </w:num>
  <w:num w:numId="1046">
    <w:abstractNumId w:val="9943839"/>
    <w:lvlOverride w:ilvl="0">
      <w:startOverride w:val="839"/>
    </w:lvlOverride>
    <w:lvlOverride w:ilvl="1">
      <w:startOverride w:val="839"/>
    </w:lvlOverride>
    <w:lvlOverride w:ilvl="2">
      <w:startOverride w:val="839"/>
    </w:lvlOverride>
    <w:lvlOverride w:ilvl="3">
      <w:startOverride w:val="839"/>
    </w:lvlOverride>
    <w:lvlOverride w:ilvl="4">
      <w:startOverride w:val="839"/>
    </w:lvlOverride>
    <w:lvlOverride w:ilvl="5">
      <w:startOverride w:val="839"/>
    </w:lvlOverride>
    <w:lvlOverride w:ilvl="6">
      <w:startOverride w:val="839"/>
    </w:lvlOverride>
    <w:lvlOverride w:ilvl="7">
      <w:startOverride w:val="839"/>
    </w:lvlOverride>
    <w:lvlOverride w:ilvl="8">
      <w:startOverride w:val="839"/>
    </w:lvlOverride>
  </w:num>
  <w:num w:numId="1047">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3344"/>
    <w:lvlOverride w:ilvl="0">
      <w:startOverride w:val="344"/>
    </w:lvlOverride>
    <w:lvlOverride w:ilvl="1">
      <w:startOverride w:val="344"/>
    </w:lvlOverride>
    <w:lvlOverride w:ilvl="2">
      <w:startOverride w:val="344"/>
    </w:lvlOverride>
    <w:lvlOverride w:ilvl="3">
      <w:startOverride w:val="344"/>
    </w:lvlOverride>
    <w:lvlOverride w:ilvl="4">
      <w:startOverride w:val="344"/>
    </w:lvlOverride>
    <w:lvlOverride w:ilvl="5">
      <w:startOverride w:val="344"/>
    </w:lvlOverride>
    <w:lvlOverride w:ilvl="6">
      <w:startOverride w:val="344"/>
    </w:lvlOverride>
    <w:lvlOverride w:ilvl="7">
      <w:startOverride w:val="344"/>
    </w:lvlOverride>
    <w:lvlOverride w:ilvl="8">
      <w:startOverride w:val="344"/>
    </w:lvlOverride>
  </w:num>
  <w:num w:numId="1050">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45"/>
    <w:lvlOverride w:ilvl="0">
      <w:startOverride w:val="245"/>
    </w:lvlOverride>
    <w:lvlOverride w:ilvl="1">
      <w:startOverride w:val="245"/>
    </w:lvlOverride>
    <w:lvlOverride w:ilvl="2">
      <w:startOverride w:val="245"/>
    </w:lvlOverride>
    <w:lvlOverride w:ilvl="3">
      <w:startOverride w:val="245"/>
    </w:lvlOverride>
    <w:lvlOverride w:ilvl="4">
      <w:startOverride w:val="245"/>
    </w:lvlOverride>
    <w:lvlOverride w:ilvl="5">
      <w:startOverride w:val="245"/>
    </w:lvlOverride>
    <w:lvlOverride w:ilvl="6">
      <w:startOverride w:val="245"/>
    </w:lvlOverride>
    <w:lvlOverride w:ilvl="7">
      <w:startOverride w:val="245"/>
    </w:lvlOverride>
    <w:lvlOverride w:ilvl="8">
      <w:startOverride w:val="245"/>
    </w:lvlOverride>
  </w:num>
  <w:num w:numId="1053">
    <w:abstractNumId w:val="9943228"/>
    <w:lvlOverride w:ilvl="0">
      <w:startOverride w:val="228"/>
    </w:lvlOverride>
    <w:lvlOverride w:ilvl="1">
      <w:startOverride w:val="228"/>
    </w:lvlOverride>
    <w:lvlOverride w:ilvl="2">
      <w:startOverride w:val="228"/>
    </w:lvlOverride>
    <w:lvlOverride w:ilvl="3">
      <w:startOverride w:val="228"/>
    </w:lvlOverride>
    <w:lvlOverride w:ilvl="4">
      <w:startOverride w:val="228"/>
    </w:lvlOverride>
    <w:lvlOverride w:ilvl="5">
      <w:startOverride w:val="228"/>
    </w:lvlOverride>
    <w:lvlOverride w:ilvl="6">
      <w:startOverride w:val="228"/>
    </w:lvlOverride>
    <w:lvlOverride w:ilvl="7">
      <w:startOverride w:val="228"/>
    </w:lvlOverride>
    <w:lvlOverride w:ilvl="8">
      <w:startOverride w:val="228"/>
    </w:lvlOverride>
  </w:num>
  <w:num w:numId="1054">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43949"/>
    <w:lvlOverride w:ilvl="0">
      <w:startOverride w:val="949"/>
    </w:lvlOverride>
    <w:lvlOverride w:ilvl="1">
      <w:startOverride w:val="949"/>
    </w:lvlOverride>
    <w:lvlOverride w:ilvl="2">
      <w:startOverride w:val="949"/>
    </w:lvlOverride>
    <w:lvlOverride w:ilvl="3">
      <w:startOverride w:val="949"/>
    </w:lvlOverride>
    <w:lvlOverride w:ilvl="4">
      <w:startOverride w:val="949"/>
    </w:lvlOverride>
    <w:lvlOverride w:ilvl="5">
      <w:startOverride w:val="949"/>
    </w:lvlOverride>
    <w:lvlOverride w:ilvl="6">
      <w:startOverride w:val="949"/>
    </w:lvlOverride>
    <w:lvlOverride w:ilvl="7">
      <w:startOverride w:val="949"/>
    </w:lvlOverride>
    <w:lvlOverride w:ilvl="8">
      <w:startOverride w:val="949"/>
    </w:lvlOverride>
  </w:num>
  <w:num w:numId="1059">
    <w:abstractNumId w:val="9943672"/>
    <w:lvlOverride w:ilvl="0">
      <w:startOverride w:val="672"/>
    </w:lvlOverride>
    <w:lvlOverride w:ilvl="1">
      <w:startOverride w:val="672"/>
    </w:lvlOverride>
    <w:lvlOverride w:ilvl="2">
      <w:startOverride w:val="672"/>
    </w:lvlOverride>
    <w:lvlOverride w:ilvl="3">
      <w:startOverride w:val="672"/>
    </w:lvlOverride>
    <w:lvlOverride w:ilvl="4">
      <w:startOverride w:val="672"/>
    </w:lvlOverride>
    <w:lvlOverride w:ilvl="5">
      <w:startOverride w:val="672"/>
    </w:lvlOverride>
    <w:lvlOverride w:ilvl="6">
      <w:startOverride w:val="672"/>
    </w:lvlOverride>
    <w:lvlOverride w:ilvl="7">
      <w:startOverride w:val="672"/>
    </w:lvlOverride>
    <w:lvlOverride w:ilvl="8">
      <w:startOverride w:val="672"/>
    </w:lvlOverride>
  </w:num>
  <w:num w:numId="1060">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1">
    <w:abstractNumId w:val="9943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62">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1"/>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91">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4">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95">
    <w:abstractNumId w:val="994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03">
    <w:abstractNumId w:val="9943171"/>
    <w:lvlOverride w:ilvl="0">
      <w:startOverride w:val="171"/>
    </w:lvlOverride>
    <w:lvlOverride w:ilvl="1">
      <w:startOverride w:val="171"/>
    </w:lvlOverride>
    <w:lvlOverride w:ilvl="2">
      <w:startOverride w:val="171"/>
    </w:lvlOverride>
    <w:lvlOverride w:ilvl="3">
      <w:startOverride w:val="171"/>
    </w:lvlOverride>
    <w:lvlOverride w:ilvl="4">
      <w:startOverride w:val="171"/>
    </w:lvlOverride>
    <w:lvlOverride w:ilvl="5">
      <w:startOverride w:val="171"/>
    </w:lvlOverride>
    <w:lvlOverride w:ilvl="6">
      <w:startOverride w:val="171"/>
    </w:lvlOverride>
    <w:lvlOverride w:ilvl="7">
      <w:startOverride w:val="171"/>
    </w:lvlOverride>
    <w:lvlOverride w:ilvl="8">
      <w:startOverride w:val="171"/>
    </w:lvlOverride>
  </w:num>
  <w:num w:numId="1104">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05">
    <w:abstractNumId w:val="9943179"/>
    <w:lvlOverride w:ilvl="0">
      <w:startOverride w:val="179"/>
    </w:lvlOverride>
    <w:lvlOverride w:ilvl="1">
      <w:startOverride w:val="179"/>
    </w:lvlOverride>
    <w:lvlOverride w:ilvl="2">
      <w:startOverride w:val="179"/>
    </w:lvlOverride>
    <w:lvlOverride w:ilvl="3">
      <w:startOverride w:val="179"/>
    </w:lvlOverride>
    <w:lvlOverride w:ilvl="4">
      <w:startOverride w:val="179"/>
    </w:lvlOverride>
    <w:lvlOverride w:ilvl="5">
      <w:startOverride w:val="179"/>
    </w:lvlOverride>
    <w:lvlOverride w:ilvl="6">
      <w:startOverride w:val="179"/>
    </w:lvlOverride>
    <w:lvlOverride w:ilvl="7">
      <w:startOverride w:val="179"/>
    </w:lvlOverride>
    <w:lvlOverride w:ilvl="8">
      <w:startOverride w:val="179"/>
    </w:lvlOverride>
  </w:num>
  <w:num w:numId="1106">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109">
    <w:abstractNumId w:val="994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55"/>
    <w:lvlOverride w:ilvl="0">
      <w:startOverride w:val="155"/>
    </w:lvlOverride>
    <w:lvlOverride w:ilvl="1">
      <w:startOverride w:val="155"/>
    </w:lvlOverride>
    <w:lvlOverride w:ilvl="2">
      <w:startOverride w:val="155"/>
    </w:lvlOverride>
    <w:lvlOverride w:ilvl="3">
      <w:startOverride w:val="155"/>
    </w:lvlOverride>
    <w:lvlOverride w:ilvl="4">
      <w:startOverride w:val="155"/>
    </w:lvlOverride>
    <w:lvlOverride w:ilvl="5">
      <w:startOverride w:val="155"/>
    </w:lvlOverride>
    <w:lvlOverride w:ilvl="6">
      <w:startOverride w:val="155"/>
    </w:lvlOverride>
    <w:lvlOverride w:ilvl="7">
      <w:startOverride w:val="155"/>
    </w:lvlOverride>
    <w:lvlOverride w:ilvl="8">
      <w:startOverride w:val="155"/>
    </w:lvlOverride>
  </w:num>
  <w:num w:numId="1112">
    <w:abstractNumId w:val="9943220"/>
    <w:lvlOverride w:ilvl="0">
      <w:startOverride w:val="220"/>
    </w:lvlOverride>
    <w:lvlOverride w:ilvl="1">
      <w:startOverride w:val="220"/>
    </w:lvlOverride>
    <w:lvlOverride w:ilvl="2">
      <w:startOverride w:val="220"/>
    </w:lvlOverride>
    <w:lvlOverride w:ilvl="3">
      <w:startOverride w:val="220"/>
    </w:lvlOverride>
    <w:lvlOverride w:ilvl="4">
      <w:startOverride w:val="220"/>
    </w:lvlOverride>
    <w:lvlOverride w:ilvl="5">
      <w:startOverride w:val="220"/>
    </w:lvlOverride>
    <w:lvlOverride w:ilvl="6">
      <w:startOverride w:val="220"/>
    </w:lvlOverride>
    <w:lvlOverride w:ilvl="7">
      <w:startOverride w:val="220"/>
    </w:lvlOverride>
    <w:lvlOverride w:ilvl="8">
      <w:startOverride w:val="220"/>
    </w:lvlOverride>
  </w:num>
  <w:num w:numId="1113">
    <w:abstractNumId w:val="9943258"/>
    <w:lvlOverride w:ilvl="0">
      <w:startOverride w:val="258"/>
    </w:lvlOverride>
    <w:lvlOverride w:ilvl="1">
      <w:startOverride w:val="258"/>
    </w:lvlOverride>
    <w:lvlOverride w:ilvl="2">
      <w:startOverride w:val="258"/>
    </w:lvlOverride>
    <w:lvlOverride w:ilvl="3">
      <w:startOverride w:val="258"/>
    </w:lvlOverride>
    <w:lvlOverride w:ilvl="4">
      <w:startOverride w:val="258"/>
    </w:lvlOverride>
    <w:lvlOverride w:ilvl="5">
      <w:startOverride w:val="258"/>
    </w:lvlOverride>
    <w:lvlOverride w:ilvl="6">
      <w:startOverride w:val="258"/>
    </w:lvlOverride>
    <w:lvlOverride w:ilvl="7">
      <w:startOverride w:val="258"/>
    </w:lvlOverride>
    <w:lvlOverride w:ilvl="8">
      <w:startOverride w:val="258"/>
    </w:lvlOverride>
  </w:num>
  <w:num w:numId="1114">
    <w:abstractNumId w:val="9943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115">
    <w:abstractNumId w:val="9943698"/>
    <w:lvlOverride w:ilvl="0">
      <w:startOverride w:val="698"/>
    </w:lvlOverride>
    <w:lvlOverride w:ilvl="1">
      <w:startOverride w:val="698"/>
    </w:lvlOverride>
    <w:lvlOverride w:ilvl="2">
      <w:startOverride w:val="698"/>
    </w:lvlOverride>
    <w:lvlOverride w:ilvl="3">
      <w:startOverride w:val="698"/>
    </w:lvlOverride>
    <w:lvlOverride w:ilvl="4">
      <w:startOverride w:val="698"/>
    </w:lvlOverride>
    <w:lvlOverride w:ilvl="5">
      <w:startOverride w:val="698"/>
    </w:lvlOverride>
    <w:lvlOverride w:ilvl="6">
      <w:startOverride w:val="698"/>
    </w:lvlOverride>
    <w:lvlOverride w:ilvl="7">
      <w:startOverride w:val="698"/>
    </w:lvlOverride>
    <w:lvlOverride w:ilvl="8">
      <w:startOverride w:val="698"/>
    </w:lvlOverride>
  </w:num>
  <w:num w:numId="1116">
    <w:abstractNumId w:val="9943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117">
    <w:abstractNumId w:val="994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118">
    <w:abstractNumId w:val="9943220"/>
    <w:lvlOverride w:ilvl="0">
      <w:startOverride w:val="220"/>
    </w:lvlOverride>
    <w:lvlOverride w:ilvl="1">
      <w:startOverride w:val="220"/>
    </w:lvlOverride>
    <w:lvlOverride w:ilvl="2">
      <w:startOverride w:val="220"/>
    </w:lvlOverride>
    <w:lvlOverride w:ilvl="3">
      <w:startOverride w:val="220"/>
    </w:lvlOverride>
    <w:lvlOverride w:ilvl="4">
      <w:startOverride w:val="220"/>
    </w:lvlOverride>
    <w:lvlOverride w:ilvl="5">
      <w:startOverride w:val="220"/>
    </w:lvlOverride>
    <w:lvlOverride w:ilvl="6">
      <w:startOverride w:val="220"/>
    </w:lvlOverride>
    <w:lvlOverride w:ilvl="7">
      <w:startOverride w:val="220"/>
    </w:lvlOverride>
    <w:lvlOverride w:ilvl="8">
      <w:startOverride w:val="220"/>
    </w:lvlOverride>
  </w:num>
  <w:num w:numId="1119">
    <w:abstractNumId w:val="9943698"/>
    <w:lvlOverride w:ilvl="0">
      <w:startOverride w:val="698"/>
    </w:lvlOverride>
    <w:lvlOverride w:ilvl="1">
      <w:startOverride w:val="698"/>
    </w:lvlOverride>
    <w:lvlOverride w:ilvl="2">
      <w:startOverride w:val="698"/>
    </w:lvlOverride>
    <w:lvlOverride w:ilvl="3">
      <w:startOverride w:val="698"/>
    </w:lvlOverride>
    <w:lvlOverride w:ilvl="4">
      <w:startOverride w:val="698"/>
    </w:lvlOverride>
    <w:lvlOverride w:ilvl="5">
      <w:startOverride w:val="698"/>
    </w:lvlOverride>
    <w:lvlOverride w:ilvl="6">
      <w:startOverride w:val="698"/>
    </w:lvlOverride>
    <w:lvlOverride w:ilvl="7">
      <w:startOverride w:val="698"/>
    </w:lvlOverride>
    <w:lvlOverride w:ilvl="8">
      <w:startOverride w:val="698"/>
    </w:lvlOverride>
  </w:num>
  <w:num w:numId="1120">
    <w:abstractNumId w:val="9943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121">
    <w:abstractNumId w:val="9943220"/>
    <w:lvlOverride w:ilvl="0">
      <w:startOverride w:val="220"/>
    </w:lvlOverride>
    <w:lvlOverride w:ilvl="1">
      <w:startOverride w:val="220"/>
    </w:lvlOverride>
    <w:lvlOverride w:ilvl="2">
      <w:startOverride w:val="220"/>
    </w:lvlOverride>
    <w:lvlOverride w:ilvl="3">
      <w:startOverride w:val="220"/>
    </w:lvlOverride>
    <w:lvlOverride w:ilvl="4">
      <w:startOverride w:val="220"/>
    </w:lvlOverride>
    <w:lvlOverride w:ilvl="5">
      <w:startOverride w:val="220"/>
    </w:lvlOverride>
    <w:lvlOverride w:ilvl="6">
      <w:startOverride w:val="220"/>
    </w:lvlOverride>
    <w:lvlOverride w:ilvl="7">
      <w:startOverride w:val="220"/>
    </w:lvlOverride>
    <w:lvlOverride w:ilvl="8">
      <w:startOverride w:val="220"/>
    </w:lvlOverride>
  </w:num>
  <w:num w:numId="1122">
    <w:abstractNumId w:val="9943698"/>
    <w:lvlOverride w:ilvl="0">
      <w:startOverride w:val="698"/>
    </w:lvlOverride>
    <w:lvlOverride w:ilvl="1">
      <w:startOverride w:val="698"/>
    </w:lvlOverride>
    <w:lvlOverride w:ilvl="2">
      <w:startOverride w:val="698"/>
    </w:lvlOverride>
    <w:lvlOverride w:ilvl="3">
      <w:startOverride w:val="698"/>
    </w:lvlOverride>
    <w:lvlOverride w:ilvl="4">
      <w:startOverride w:val="698"/>
    </w:lvlOverride>
    <w:lvlOverride w:ilvl="5">
      <w:startOverride w:val="698"/>
    </w:lvlOverride>
    <w:lvlOverride w:ilvl="6">
      <w:startOverride w:val="698"/>
    </w:lvlOverride>
    <w:lvlOverride w:ilvl="7">
      <w:startOverride w:val="698"/>
    </w:lvlOverride>
    <w:lvlOverride w:ilvl="8">
      <w:startOverride w:val="698"/>
    </w:lvlOverride>
  </w:num>
  <w:num w:numId="1123">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5">
    <w:abstractNumId w:val="9943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1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7">
    <w:abstractNumId w:val="9943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128">
    <w:abstractNumId w:val="9943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129">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30">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31">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35">
    <w:abstractNumId w:val="9943155"/>
    <w:lvlOverride w:ilvl="0">
      <w:startOverride w:val="155"/>
    </w:lvlOverride>
    <w:lvlOverride w:ilvl="1">
      <w:startOverride w:val="155"/>
    </w:lvlOverride>
    <w:lvlOverride w:ilvl="2">
      <w:startOverride w:val="155"/>
    </w:lvlOverride>
    <w:lvlOverride w:ilvl="3">
      <w:startOverride w:val="155"/>
    </w:lvlOverride>
    <w:lvlOverride w:ilvl="4">
      <w:startOverride w:val="155"/>
    </w:lvlOverride>
    <w:lvlOverride w:ilvl="5">
      <w:startOverride w:val="155"/>
    </w:lvlOverride>
    <w:lvlOverride w:ilvl="6">
      <w:startOverride w:val="155"/>
    </w:lvlOverride>
    <w:lvlOverride w:ilvl="7">
      <w:startOverride w:val="155"/>
    </w:lvlOverride>
    <w:lvlOverride w:ilvl="8">
      <w:startOverride w:val="155"/>
    </w:lvlOverride>
  </w:num>
  <w:num w:numId="1136">
    <w:abstractNumId w:val="9943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258"/>
    <w:lvlOverride w:ilvl="0">
      <w:startOverride w:val="258"/>
    </w:lvlOverride>
    <w:lvlOverride w:ilvl="1">
      <w:startOverride w:val="258"/>
    </w:lvlOverride>
    <w:lvlOverride w:ilvl="2">
      <w:startOverride w:val="258"/>
    </w:lvlOverride>
    <w:lvlOverride w:ilvl="3">
      <w:startOverride w:val="258"/>
    </w:lvlOverride>
    <w:lvlOverride w:ilvl="4">
      <w:startOverride w:val="258"/>
    </w:lvlOverride>
    <w:lvlOverride w:ilvl="5">
      <w:startOverride w:val="258"/>
    </w:lvlOverride>
    <w:lvlOverride w:ilvl="6">
      <w:startOverride w:val="258"/>
    </w:lvlOverride>
    <w:lvlOverride w:ilvl="7">
      <w:startOverride w:val="258"/>
    </w:lvlOverride>
    <w:lvlOverride w:ilvl="8">
      <w:startOverride w:val="258"/>
    </w:lvlOverride>
  </w:num>
  <w:num w:numId="1139">
    <w:abstractNumId w:val="9943258"/>
    <w:lvlOverride w:ilvl="0">
      <w:startOverride w:val="258"/>
    </w:lvlOverride>
    <w:lvlOverride w:ilvl="1">
      <w:startOverride w:val="258"/>
    </w:lvlOverride>
    <w:lvlOverride w:ilvl="2">
      <w:startOverride w:val="258"/>
    </w:lvlOverride>
    <w:lvlOverride w:ilvl="3">
      <w:startOverride w:val="258"/>
    </w:lvlOverride>
    <w:lvlOverride w:ilvl="4">
      <w:startOverride w:val="258"/>
    </w:lvlOverride>
    <w:lvlOverride w:ilvl="5">
      <w:startOverride w:val="258"/>
    </w:lvlOverride>
    <w:lvlOverride w:ilvl="6">
      <w:startOverride w:val="258"/>
    </w:lvlOverride>
    <w:lvlOverride w:ilvl="7">
      <w:startOverride w:val="258"/>
    </w:lvlOverride>
    <w:lvlOverride w:ilvl="8">
      <w:startOverride w:val="258"/>
    </w:lvlOverride>
  </w:num>
  <w:num w:numId="1140">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4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2">
    <w:abstractNumId w:val="9943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43">
    <w:abstractNumId w:val="9943545"/>
    <w:lvlOverride w:ilvl="0">
      <w:startOverride w:val="545"/>
    </w:lvlOverride>
    <w:lvlOverride w:ilvl="1">
      <w:startOverride w:val="545"/>
    </w:lvlOverride>
    <w:lvlOverride w:ilvl="2">
      <w:startOverride w:val="545"/>
    </w:lvlOverride>
    <w:lvlOverride w:ilvl="3">
      <w:startOverride w:val="545"/>
    </w:lvlOverride>
    <w:lvlOverride w:ilvl="4">
      <w:startOverride w:val="545"/>
    </w:lvlOverride>
    <w:lvlOverride w:ilvl="5">
      <w:startOverride w:val="545"/>
    </w:lvlOverride>
    <w:lvlOverride w:ilvl="6">
      <w:startOverride w:val="545"/>
    </w:lvlOverride>
    <w:lvlOverride w:ilvl="7">
      <w:startOverride w:val="545"/>
    </w:lvlOverride>
    <w:lvlOverride w:ilvl="8">
      <w:startOverride w:val="545"/>
    </w:lvlOverride>
  </w:num>
  <w:num w:numId="1144">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45">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46">
    <w:abstractNumId w:val="994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47">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3545"/>
    <w:lvlOverride w:ilvl="0">
      <w:startOverride w:val="545"/>
    </w:lvlOverride>
    <w:lvlOverride w:ilvl="1">
      <w:startOverride w:val="545"/>
    </w:lvlOverride>
    <w:lvlOverride w:ilvl="2">
      <w:startOverride w:val="545"/>
    </w:lvlOverride>
    <w:lvlOverride w:ilvl="3">
      <w:startOverride w:val="545"/>
    </w:lvlOverride>
    <w:lvlOverride w:ilvl="4">
      <w:startOverride w:val="545"/>
    </w:lvlOverride>
    <w:lvlOverride w:ilvl="5">
      <w:startOverride w:val="545"/>
    </w:lvlOverride>
    <w:lvlOverride w:ilvl="6">
      <w:startOverride w:val="545"/>
    </w:lvlOverride>
    <w:lvlOverride w:ilvl="7">
      <w:startOverride w:val="545"/>
    </w:lvlOverride>
    <w:lvlOverride w:ilvl="8">
      <w:startOverride w:val="545"/>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52">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3">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54">
    <w:abstractNumId w:val="9943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155">
    <w:abstractNumId w:val="994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56">
    <w:abstractNumId w:val="9943220"/>
    <w:lvlOverride w:ilvl="0">
      <w:startOverride w:val="220"/>
    </w:lvlOverride>
    <w:lvlOverride w:ilvl="1">
      <w:startOverride w:val="220"/>
    </w:lvlOverride>
    <w:lvlOverride w:ilvl="2">
      <w:startOverride w:val="220"/>
    </w:lvlOverride>
    <w:lvlOverride w:ilvl="3">
      <w:startOverride w:val="220"/>
    </w:lvlOverride>
    <w:lvlOverride w:ilvl="4">
      <w:startOverride w:val="220"/>
    </w:lvlOverride>
    <w:lvlOverride w:ilvl="5">
      <w:startOverride w:val="220"/>
    </w:lvlOverride>
    <w:lvlOverride w:ilvl="6">
      <w:startOverride w:val="220"/>
    </w:lvlOverride>
    <w:lvlOverride w:ilvl="7">
      <w:startOverride w:val="220"/>
    </w:lvlOverride>
    <w:lvlOverride w:ilvl="8">
      <w:startOverride w:val="220"/>
    </w:lvlOverride>
  </w:num>
  <w:num w:numId="1157">
    <w:abstractNumId w:val="9943698"/>
    <w:lvlOverride w:ilvl="0">
      <w:startOverride w:val="698"/>
    </w:lvlOverride>
    <w:lvlOverride w:ilvl="1">
      <w:startOverride w:val="698"/>
    </w:lvlOverride>
    <w:lvlOverride w:ilvl="2">
      <w:startOverride w:val="698"/>
    </w:lvlOverride>
    <w:lvlOverride w:ilvl="3">
      <w:startOverride w:val="698"/>
    </w:lvlOverride>
    <w:lvlOverride w:ilvl="4">
      <w:startOverride w:val="698"/>
    </w:lvlOverride>
    <w:lvlOverride w:ilvl="5">
      <w:startOverride w:val="698"/>
    </w:lvlOverride>
    <w:lvlOverride w:ilvl="6">
      <w:startOverride w:val="698"/>
    </w:lvlOverride>
    <w:lvlOverride w:ilvl="7">
      <w:startOverride w:val="698"/>
    </w:lvlOverride>
    <w:lvlOverride w:ilvl="8">
      <w:startOverride w:val="698"/>
    </w:lvlOverride>
  </w:num>
  <w:num w:numId="1158">
    <w:abstractNumId w:val="9943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1">
    <w:abstractNumId w:val="9943280"/>
    <w:lvlOverride w:ilvl="0">
      <w:startOverride w:val="280"/>
    </w:lvlOverride>
    <w:lvlOverride w:ilvl="1">
      <w:startOverride w:val="280"/>
    </w:lvlOverride>
    <w:lvlOverride w:ilvl="2">
      <w:startOverride w:val="280"/>
    </w:lvlOverride>
    <w:lvlOverride w:ilvl="3">
      <w:startOverride w:val="280"/>
    </w:lvlOverride>
    <w:lvlOverride w:ilvl="4">
      <w:startOverride w:val="280"/>
    </w:lvlOverride>
    <w:lvlOverride w:ilvl="5">
      <w:startOverride w:val="280"/>
    </w:lvlOverride>
    <w:lvlOverride w:ilvl="6">
      <w:startOverride w:val="280"/>
    </w:lvlOverride>
    <w:lvlOverride w:ilvl="7">
      <w:startOverride w:val="280"/>
    </w:lvlOverride>
    <w:lvlOverride w:ilvl="8">
      <w:startOverride w:val="280"/>
    </w:lvlOverride>
  </w:num>
  <w:num w:numId="1162">
    <w:abstractNumId w:val="9943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163">
    <w:abstractNumId w:val="9943254"/>
    <w:lvlOverride w:ilvl="0">
      <w:startOverride w:val="254"/>
    </w:lvlOverride>
    <w:lvlOverride w:ilvl="1">
      <w:startOverride w:val="254"/>
    </w:lvlOverride>
    <w:lvlOverride w:ilvl="2">
      <w:startOverride w:val="254"/>
    </w:lvlOverride>
    <w:lvlOverride w:ilvl="3">
      <w:startOverride w:val="254"/>
    </w:lvlOverride>
    <w:lvlOverride w:ilvl="4">
      <w:startOverride w:val="254"/>
    </w:lvlOverride>
    <w:lvlOverride w:ilvl="5">
      <w:startOverride w:val="254"/>
    </w:lvlOverride>
    <w:lvlOverride w:ilvl="6">
      <w:startOverride w:val="254"/>
    </w:lvlOverride>
    <w:lvlOverride w:ilvl="7">
      <w:startOverride w:val="254"/>
    </w:lvlOverride>
    <w:lvlOverride w:ilvl="8">
      <w:startOverride w:val="254"/>
    </w:lvlOverride>
  </w:num>
  <w:num w:numId="1164">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65">
    <w:abstractNumId w:val="9943120"/>
    <w:lvlOverride w:ilvl="0">
      <w:startOverride w:val="120"/>
    </w:lvlOverride>
    <w:lvlOverride w:ilvl="1">
      <w:startOverride w:val="120"/>
    </w:lvlOverride>
    <w:lvlOverride w:ilvl="2">
      <w:startOverride w:val="120"/>
    </w:lvlOverride>
    <w:lvlOverride w:ilvl="3">
      <w:startOverride w:val="120"/>
    </w:lvlOverride>
    <w:lvlOverride w:ilvl="4">
      <w:startOverride w:val="120"/>
    </w:lvlOverride>
    <w:lvlOverride w:ilvl="5">
      <w:startOverride w:val="120"/>
    </w:lvlOverride>
    <w:lvlOverride w:ilvl="6">
      <w:startOverride w:val="120"/>
    </w:lvlOverride>
    <w:lvlOverride w:ilvl="7">
      <w:startOverride w:val="120"/>
    </w:lvlOverride>
    <w:lvlOverride w:ilvl="8">
      <w:startOverride w:val="120"/>
    </w:lvlOverride>
  </w:num>
  <w:num w:numId="1166">
    <w:abstractNumId w:val="9943934"/>
    <w:lvlOverride w:ilvl="0">
      <w:startOverride w:val="934"/>
    </w:lvlOverride>
    <w:lvlOverride w:ilvl="1">
      <w:startOverride w:val="934"/>
    </w:lvlOverride>
    <w:lvlOverride w:ilvl="2">
      <w:startOverride w:val="934"/>
    </w:lvlOverride>
    <w:lvlOverride w:ilvl="3">
      <w:startOverride w:val="934"/>
    </w:lvlOverride>
    <w:lvlOverride w:ilvl="4">
      <w:startOverride w:val="934"/>
    </w:lvlOverride>
    <w:lvlOverride w:ilvl="5">
      <w:startOverride w:val="934"/>
    </w:lvlOverride>
    <w:lvlOverride w:ilvl="6">
      <w:startOverride w:val="934"/>
    </w:lvlOverride>
    <w:lvlOverride w:ilvl="7">
      <w:startOverride w:val="934"/>
    </w:lvlOverride>
    <w:lvlOverride w:ilvl="8">
      <w:startOverride w:val="934"/>
    </w:lvlOverride>
  </w:num>
  <w:num w:numId="1167">
    <w:abstractNumId w:val="9943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168">
    <w:abstractNumId w:val="9943169"/>
    <w:lvlOverride w:ilvl="0">
      <w:startOverride w:val="169"/>
    </w:lvlOverride>
    <w:lvlOverride w:ilvl="1">
      <w:startOverride w:val="169"/>
    </w:lvlOverride>
    <w:lvlOverride w:ilvl="2">
      <w:startOverride w:val="169"/>
    </w:lvlOverride>
    <w:lvlOverride w:ilvl="3">
      <w:startOverride w:val="169"/>
    </w:lvlOverride>
    <w:lvlOverride w:ilvl="4">
      <w:startOverride w:val="169"/>
    </w:lvlOverride>
    <w:lvlOverride w:ilvl="5">
      <w:startOverride w:val="169"/>
    </w:lvlOverride>
    <w:lvlOverride w:ilvl="6">
      <w:startOverride w:val="169"/>
    </w:lvlOverride>
    <w:lvlOverride w:ilvl="7">
      <w:startOverride w:val="169"/>
    </w:lvlOverride>
    <w:lvlOverride w:ilvl="8">
      <w:startOverride w:val="169"/>
    </w:lvlOverride>
  </w:num>
  <w:num w:numId="1169">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70">
    <w:abstractNumId w:val="9943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171">
    <w:abstractNumId w:val="9943500"/>
    <w:lvlOverride w:ilvl="0">
      <w:startOverride w:val="500"/>
    </w:lvlOverride>
    <w:lvlOverride w:ilvl="1">
      <w:startOverride w:val="500"/>
    </w:lvlOverride>
    <w:lvlOverride w:ilvl="2">
      <w:startOverride w:val="500"/>
    </w:lvlOverride>
    <w:lvlOverride w:ilvl="3">
      <w:startOverride w:val="500"/>
    </w:lvlOverride>
    <w:lvlOverride w:ilvl="4">
      <w:startOverride w:val="500"/>
    </w:lvlOverride>
    <w:lvlOverride w:ilvl="5">
      <w:startOverride w:val="500"/>
    </w:lvlOverride>
    <w:lvlOverride w:ilvl="6">
      <w:startOverride w:val="500"/>
    </w:lvlOverride>
    <w:lvlOverride w:ilvl="7">
      <w:startOverride w:val="500"/>
    </w:lvlOverride>
    <w:lvlOverride w:ilvl="8">
      <w:startOverride w:val="500"/>
    </w:lvlOverride>
  </w:num>
  <w:num w:numId="1172">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73">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74">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75">
    <w:abstractNumId w:val="9943226"/>
    <w:lvlOverride w:ilvl="0">
      <w:startOverride w:val="226"/>
    </w:lvlOverride>
    <w:lvlOverride w:ilvl="1">
      <w:startOverride w:val="226"/>
    </w:lvlOverride>
    <w:lvlOverride w:ilvl="2">
      <w:startOverride w:val="226"/>
    </w:lvlOverride>
    <w:lvlOverride w:ilvl="3">
      <w:startOverride w:val="226"/>
    </w:lvlOverride>
    <w:lvlOverride w:ilvl="4">
      <w:startOverride w:val="226"/>
    </w:lvlOverride>
    <w:lvlOverride w:ilvl="5">
      <w:startOverride w:val="226"/>
    </w:lvlOverride>
    <w:lvlOverride w:ilvl="6">
      <w:startOverride w:val="226"/>
    </w:lvlOverride>
    <w:lvlOverride w:ilvl="7">
      <w:startOverride w:val="226"/>
    </w:lvlOverride>
    <w:lvlOverride w:ilvl="8">
      <w:startOverride w:val="226"/>
    </w:lvlOverride>
  </w:num>
  <w:num w:numId="1176">
    <w:abstractNumId w:val="9943188"/>
    <w:lvlOverride w:ilvl="0">
      <w:startOverride w:val="188"/>
    </w:lvlOverride>
    <w:lvlOverride w:ilvl="1">
      <w:startOverride w:val="188"/>
    </w:lvlOverride>
    <w:lvlOverride w:ilvl="2">
      <w:startOverride w:val="188"/>
    </w:lvlOverride>
    <w:lvlOverride w:ilvl="3">
      <w:startOverride w:val="188"/>
    </w:lvlOverride>
    <w:lvlOverride w:ilvl="4">
      <w:startOverride w:val="188"/>
    </w:lvlOverride>
    <w:lvlOverride w:ilvl="5">
      <w:startOverride w:val="188"/>
    </w:lvlOverride>
    <w:lvlOverride w:ilvl="6">
      <w:startOverride w:val="188"/>
    </w:lvlOverride>
    <w:lvlOverride w:ilvl="7">
      <w:startOverride w:val="188"/>
    </w:lvlOverride>
    <w:lvlOverride w:ilvl="8">
      <w:startOverride w:val="188"/>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4">
    <w:abstractNumId w:val="9943118"/>
    <w:lvlOverride w:ilvl="0">
      <w:startOverride w:val="118"/>
    </w:lvlOverride>
    <w:lvlOverride w:ilvl="1">
      <w:startOverride w:val="118"/>
    </w:lvlOverride>
    <w:lvlOverride w:ilvl="2">
      <w:startOverride w:val="118"/>
    </w:lvlOverride>
    <w:lvlOverride w:ilvl="3">
      <w:startOverride w:val="118"/>
    </w:lvlOverride>
    <w:lvlOverride w:ilvl="4">
      <w:startOverride w:val="118"/>
    </w:lvlOverride>
    <w:lvlOverride w:ilvl="5">
      <w:startOverride w:val="118"/>
    </w:lvlOverride>
    <w:lvlOverride w:ilvl="6">
      <w:startOverride w:val="118"/>
    </w:lvlOverride>
    <w:lvlOverride w:ilvl="7">
      <w:startOverride w:val="118"/>
    </w:lvlOverride>
    <w:lvlOverride w:ilvl="8">
      <w:startOverride w:val="118"/>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8">
    <w:abstractNumId w:val="9943425"/>
    <w:lvlOverride w:ilvl="0">
      <w:startOverride w:val="425"/>
    </w:lvlOverride>
    <w:lvlOverride w:ilvl="1">
      <w:startOverride w:val="425"/>
    </w:lvlOverride>
    <w:lvlOverride w:ilvl="2">
      <w:startOverride w:val="425"/>
    </w:lvlOverride>
    <w:lvlOverride w:ilvl="3">
      <w:startOverride w:val="425"/>
    </w:lvlOverride>
    <w:lvlOverride w:ilvl="4">
      <w:startOverride w:val="425"/>
    </w:lvlOverride>
    <w:lvlOverride w:ilvl="5">
      <w:startOverride w:val="425"/>
    </w:lvlOverride>
    <w:lvlOverride w:ilvl="6">
      <w:startOverride w:val="425"/>
    </w:lvlOverride>
    <w:lvlOverride w:ilvl="7">
      <w:startOverride w:val="425"/>
    </w:lvlOverride>
    <w:lvlOverride w:ilvl="8">
      <w:startOverride w:val="425"/>
    </w:lvlOverride>
  </w:num>
  <w:num w:numId="1229">
    <w:abstractNumId w:val="9943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230">
    <w:abstractNumId w:val="9943207"/>
    <w:lvlOverride w:ilvl="0">
      <w:startOverride w:val="207"/>
    </w:lvlOverride>
    <w:lvlOverride w:ilvl="1">
      <w:startOverride w:val="207"/>
    </w:lvlOverride>
    <w:lvlOverride w:ilvl="2">
      <w:startOverride w:val="207"/>
    </w:lvlOverride>
    <w:lvlOverride w:ilvl="3">
      <w:startOverride w:val="207"/>
    </w:lvlOverride>
    <w:lvlOverride w:ilvl="4">
      <w:startOverride w:val="207"/>
    </w:lvlOverride>
    <w:lvlOverride w:ilvl="5">
      <w:startOverride w:val="207"/>
    </w:lvlOverride>
    <w:lvlOverride w:ilvl="6">
      <w:startOverride w:val="207"/>
    </w:lvlOverride>
    <w:lvlOverride w:ilvl="7">
      <w:startOverride w:val="207"/>
    </w:lvlOverride>
    <w:lvlOverride w:ilvl="8">
      <w:startOverride w:val="207"/>
    </w:lvlOverride>
  </w:num>
  <w:num w:numId="1231">
    <w:abstractNumId w:val="9943153"/>
    <w:lvlOverride w:ilvl="0">
      <w:startOverride w:val="153"/>
    </w:lvlOverride>
    <w:lvlOverride w:ilvl="1">
      <w:startOverride w:val="153"/>
    </w:lvlOverride>
    <w:lvlOverride w:ilvl="2">
      <w:startOverride w:val="153"/>
    </w:lvlOverride>
    <w:lvlOverride w:ilvl="3">
      <w:startOverride w:val="153"/>
    </w:lvlOverride>
    <w:lvlOverride w:ilvl="4">
      <w:startOverride w:val="153"/>
    </w:lvlOverride>
    <w:lvlOverride w:ilvl="5">
      <w:startOverride w:val="153"/>
    </w:lvlOverride>
    <w:lvlOverride w:ilvl="6">
      <w:startOverride w:val="153"/>
    </w:lvlOverride>
    <w:lvlOverride w:ilvl="7">
      <w:startOverride w:val="153"/>
    </w:lvlOverride>
    <w:lvlOverride w:ilvl="8">
      <w:startOverride w:val="153"/>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3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3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3170"/>
    <w:lvlOverride w:ilvl="0">
      <w:startOverride w:val="170"/>
    </w:lvlOverride>
    <w:lvlOverride w:ilvl="1">
      <w:startOverride w:val="170"/>
    </w:lvlOverride>
    <w:lvlOverride w:ilvl="2">
      <w:startOverride w:val="170"/>
    </w:lvlOverride>
    <w:lvlOverride w:ilvl="3">
      <w:startOverride w:val="170"/>
    </w:lvlOverride>
    <w:lvlOverride w:ilvl="4">
      <w:startOverride w:val="170"/>
    </w:lvlOverride>
    <w:lvlOverride w:ilvl="5">
      <w:startOverride w:val="170"/>
    </w:lvlOverride>
    <w:lvlOverride w:ilvl="6">
      <w:startOverride w:val="170"/>
    </w:lvlOverride>
    <w:lvlOverride w:ilvl="7">
      <w:startOverride w:val="170"/>
    </w:lvlOverride>
    <w:lvlOverride w:ilvl="8">
      <w:startOverride w:val="170"/>
    </w:lvlOverride>
  </w:num>
  <w:num w:numId="1239">
    <w:abstractNumId w:val="9943234"/>
    <w:lvlOverride w:ilvl="0">
      <w:startOverride w:val="234"/>
    </w:lvlOverride>
    <w:lvlOverride w:ilvl="1">
      <w:startOverride w:val="234"/>
    </w:lvlOverride>
    <w:lvlOverride w:ilvl="2">
      <w:startOverride w:val="234"/>
    </w:lvlOverride>
    <w:lvlOverride w:ilvl="3">
      <w:startOverride w:val="234"/>
    </w:lvlOverride>
    <w:lvlOverride w:ilvl="4">
      <w:startOverride w:val="234"/>
    </w:lvlOverride>
    <w:lvlOverride w:ilvl="5">
      <w:startOverride w:val="234"/>
    </w:lvlOverride>
    <w:lvlOverride w:ilvl="6">
      <w:startOverride w:val="234"/>
    </w:lvlOverride>
    <w:lvlOverride w:ilvl="7">
      <w:startOverride w:val="234"/>
    </w:lvlOverride>
    <w:lvlOverride w:ilvl="8">
      <w:startOverride w:val="234"/>
    </w:lvlOverride>
  </w:num>
  <w:num w:numId="12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1">
    <w:abstractNumId w:val="9943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242">
    <w:abstractNumId w:val="9943194"/>
    <w:lvlOverride w:ilvl="0">
      <w:startOverride w:val="194"/>
    </w:lvlOverride>
    <w:lvlOverride w:ilvl="1">
      <w:startOverride w:val="194"/>
    </w:lvlOverride>
    <w:lvlOverride w:ilvl="2">
      <w:startOverride w:val="194"/>
    </w:lvlOverride>
    <w:lvlOverride w:ilvl="3">
      <w:startOverride w:val="194"/>
    </w:lvlOverride>
    <w:lvlOverride w:ilvl="4">
      <w:startOverride w:val="194"/>
    </w:lvlOverride>
    <w:lvlOverride w:ilvl="5">
      <w:startOverride w:val="194"/>
    </w:lvlOverride>
    <w:lvlOverride w:ilvl="6">
      <w:startOverride w:val="194"/>
    </w:lvlOverride>
    <w:lvlOverride w:ilvl="7">
      <w:startOverride w:val="194"/>
    </w:lvlOverride>
    <w:lvlOverride w:ilvl="8">
      <w:startOverride w:val="194"/>
    </w:lvlOverride>
  </w:num>
  <w:num w:numId="1243">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44">
    <w:abstractNumId w:val="9943250"/>
    <w:lvlOverride w:ilvl="0">
      <w:startOverride w:val="250"/>
    </w:lvlOverride>
    <w:lvlOverride w:ilvl="1">
      <w:startOverride w:val="250"/>
    </w:lvlOverride>
    <w:lvlOverride w:ilvl="2">
      <w:startOverride w:val="250"/>
    </w:lvlOverride>
    <w:lvlOverride w:ilvl="3">
      <w:startOverride w:val="250"/>
    </w:lvlOverride>
    <w:lvlOverride w:ilvl="4">
      <w:startOverride w:val="250"/>
    </w:lvlOverride>
    <w:lvlOverride w:ilvl="5">
      <w:startOverride w:val="250"/>
    </w:lvlOverride>
    <w:lvlOverride w:ilvl="6">
      <w:startOverride w:val="250"/>
    </w:lvlOverride>
    <w:lvlOverride w:ilvl="7">
      <w:startOverride w:val="250"/>
    </w:lvlOverride>
    <w:lvlOverride w:ilvl="8">
      <w:startOverride w:val="250"/>
    </w:lvlOverride>
  </w:num>
  <w:num w:numId="1245">
    <w:abstractNumId w:val="9943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246">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47">
    <w:abstractNumId w:val="9943960"/>
    <w:lvlOverride w:ilvl="0">
      <w:startOverride w:val="960"/>
    </w:lvlOverride>
    <w:lvlOverride w:ilvl="1">
      <w:startOverride w:val="960"/>
    </w:lvlOverride>
    <w:lvlOverride w:ilvl="2">
      <w:startOverride w:val="960"/>
    </w:lvlOverride>
    <w:lvlOverride w:ilvl="3">
      <w:startOverride w:val="960"/>
    </w:lvlOverride>
    <w:lvlOverride w:ilvl="4">
      <w:startOverride w:val="960"/>
    </w:lvlOverride>
    <w:lvlOverride w:ilvl="5">
      <w:startOverride w:val="960"/>
    </w:lvlOverride>
    <w:lvlOverride w:ilvl="6">
      <w:startOverride w:val="960"/>
    </w:lvlOverride>
    <w:lvlOverride w:ilvl="7">
      <w:startOverride w:val="960"/>
    </w:lvlOverride>
    <w:lvlOverride w:ilvl="8">
      <w:startOverride w:val="960"/>
    </w:lvlOverride>
  </w:num>
  <w:num w:numId="124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49">
    <w:abstractNumId w:val="9943643"/>
    <w:lvlOverride w:ilvl="0">
      <w:startOverride w:val="643"/>
    </w:lvlOverride>
    <w:lvlOverride w:ilvl="1">
      <w:startOverride w:val="643"/>
    </w:lvlOverride>
    <w:lvlOverride w:ilvl="2">
      <w:startOverride w:val="643"/>
    </w:lvlOverride>
    <w:lvlOverride w:ilvl="3">
      <w:startOverride w:val="643"/>
    </w:lvlOverride>
    <w:lvlOverride w:ilvl="4">
      <w:startOverride w:val="643"/>
    </w:lvlOverride>
    <w:lvlOverride w:ilvl="5">
      <w:startOverride w:val="643"/>
    </w:lvlOverride>
    <w:lvlOverride w:ilvl="6">
      <w:startOverride w:val="643"/>
    </w:lvlOverride>
    <w:lvlOverride w:ilvl="7">
      <w:startOverride w:val="643"/>
    </w:lvlOverride>
    <w:lvlOverride w:ilvl="8">
      <w:startOverride w:val="643"/>
    </w:lvlOverride>
  </w:num>
  <w:num w:numId="12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52">
    <w:abstractNumId w:val="9943482"/>
    <w:lvlOverride w:ilvl="0">
      <w:startOverride w:val="482"/>
    </w:lvlOverride>
    <w:lvlOverride w:ilvl="1">
      <w:startOverride w:val="482"/>
    </w:lvlOverride>
    <w:lvlOverride w:ilvl="2">
      <w:startOverride w:val="482"/>
    </w:lvlOverride>
    <w:lvlOverride w:ilvl="3">
      <w:startOverride w:val="482"/>
    </w:lvlOverride>
    <w:lvlOverride w:ilvl="4">
      <w:startOverride w:val="482"/>
    </w:lvlOverride>
    <w:lvlOverride w:ilvl="5">
      <w:startOverride w:val="482"/>
    </w:lvlOverride>
    <w:lvlOverride w:ilvl="6">
      <w:startOverride w:val="482"/>
    </w:lvlOverride>
    <w:lvlOverride w:ilvl="7">
      <w:startOverride w:val="482"/>
    </w:lvlOverride>
    <w:lvlOverride w:ilvl="8">
      <w:startOverride w:val="482"/>
    </w:lvlOverride>
  </w:num>
  <w:num w:numId="1253">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5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5">
    <w:abstractNumId w:val="9943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256">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57">
    <w:abstractNumId w:val="9943186"/>
    <w:lvlOverride w:ilvl="0">
      <w:startOverride w:val="186"/>
    </w:lvlOverride>
    <w:lvlOverride w:ilvl="1">
      <w:startOverride w:val="186"/>
    </w:lvlOverride>
    <w:lvlOverride w:ilvl="2">
      <w:startOverride w:val="186"/>
    </w:lvlOverride>
    <w:lvlOverride w:ilvl="3">
      <w:startOverride w:val="186"/>
    </w:lvlOverride>
    <w:lvlOverride w:ilvl="4">
      <w:startOverride w:val="186"/>
    </w:lvlOverride>
    <w:lvlOverride w:ilvl="5">
      <w:startOverride w:val="186"/>
    </w:lvlOverride>
    <w:lvlOverride w:ilvl="6">
      <w:startOverride w:val="186"/>
    </w:lvlOverride>
    <w:lvlOverride w:ilvl="7">
      <w:startOverride w:val="186"/>
    </w:lvlOverride>
    <w:lvlOverride w:ilvl="8">
      <w:startOverride w:val="186"/>
    </w:lvlOverride>
  </w:num>
  <w:num w:numId="1258">
    <w:abstractNumId w:val="9943293"/>
    <w:lvlOverride w:ilvl="0">
      <w:startOverride w:val="293"/>
    </w:lvlOverride>
    <w:lvlOverride w:ilvl="1">
      <w:startOverride w:val="293"/>
    </w:lvlOverride>
    <w:lvlOverride w:ilvl="2">
      <w:startOverride w:val="293"/>
    </w:lvlOverride>
    <w:lvlOverride w:ilvl="3">
      <w:startOverride w:val="293"/>
    </w:lvlOverride>
    <w:lvlOverride w:ilvl="4">
      <w:startOverride w:val="293"/>
    </w:lvlOverride>
    <w:lvlOverride w:ilvl="5">
      <w:startOverride w:val="293"/>
    </w:lvlOverride>
    <w:lvlOverride w:ilvl="6">
      <w:startOverride w:val="293"/>
    </w:lvlOverride>
    <w:lvlOverride w:ilvl="7">
      <w:startOverride w:val="293"/>
    </w:lvlOverride>
    <w:lvlOverride w:ilvl="8">
      <w:startOverride w:val="293"/>
    </w:lvlOverride>
  </w:num>
  <w:num w:numId="1259">
    <w:abstractNumId w:val="9943175"/>
    <w:lvlOverride w:ilvl="0">
      <w:startOverride w:val="175"/>
    </w:lvlOverride>
    <w:lvlOverride w:ilvl="1">
      <w:startOverride w:val="175"/>
    </w:lvlOverride>
    <w:lvlOverride w:ilvl="2">
      <w:startOverride w:val="175"/>
    </w:lvlOverride>
    <w:lvlOverride w:ilvl="3">
      <w:startOverride w:val="175"/>
    </w:lvlOverride>
    <w:lvlOverride w:ilvl="4">
      <w:startOverride w:val="175"/>
    </w:lvlOverride>
    <w:lvlOverride w:ilvl="5">
      <w:startOverride w:val="175"/>
    </w:lvlOverride>
    <w:lvlOverride w:ilvl="6">
      <w:startOverride w:val="175"/>
    </w:lvlOverride>
    <w:lvlOverride w:ilvl="7">
      <w:startOverride w:val="175"/>
    </w:lvlOverride>
    <w:lvlOverride w:ilvl="8">
      <w:startOverride w:val="175"/>
    </w:lvlOverride>
  </w:num>
  <w:num w:numId="1260">
    <w:abstractNumId w:val="994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261">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62">
    <w:abstractNumId w:val="9943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26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66">
    <w:abstractNumId w:val="9943986"/>
    <w:lvlOverride w:ilvl="0">
      <w:startOverride w:val="986"/>
    </w:lvlOverride>
    <w:lvlOverride w:ilvl="1">
      <w:startOverride w:val="986"/>
    </w:lvlOverride>
    <w:lvlOverride w:ilvl="2">
      <w:startOverride w:val="986"/>
    </w:lvlOverride>
    <w:lvlOverride w:ilvl="3">
      <w:startOverride w:val="986"/>
    </w:lvlOverride>
    <w:lvlOverride w:ilvl="4">
      <w:startOverride w:val="986"/>
    </w:lvlOverride>
    <w:lvlOverride w:ilvl="5">
      <w:startOverride w:val="986"/>
    </w:lvlOverride>
    <w:lvlOverride w:ilvl="6">
      <w:startOverride w:val="986"/>
    </w:lvlOverride>
    <w:lvlOverride w:ilvl="7">
      <w:startOverride w:val="986"/>
    </w:lvlOverride>
    <w:lvlOverride w:ilvl="8">
      <w:startOverride w:val="986"/>
    </w:lvlOverride>
  </w:num>
  <w:num w:numId="1267">
    <w:abstractNumId w:val="9943295"/>
    <w:lvlOverride w:ilvl="0">
      <w:startOverride w:val="295"/>
    </w:lvlOverride>
    <w:lvlOverride w:ilvl="1">
      <w:startOverride w:val="295"/>
    </w:lvlOverride>
    <w:lvlOverride w:ilvl="2">
      <w:startOverride w:val="295"/>
    </w:lvlOverride>
    <w:lvlOverride w:ilvl="3">
      <w:startOverride w:val="295"/>
    </w:lvlOverride>
    <w:lvlOverride w:ilvl="4">
      <w:startOverride w:val="295"/>
    </w:lvlOverride>
    <w:lvlOverride w:ilvl="5">
      <w:startOverride w:val="295"/>
    </w:lvlOverride>
    <w:lvlOverride w:ilvl="6">
      <w:startOverride w:val="295"/>
    </w:lvlOverride>
    <w:lvlOverride w:ilvl="7">
      <w:startOverride w:val="295"/>
    </w:lvlOverride>
    <w:lvlOverride w:ilvl="8">
      <w:startOverride w:val="295"/>
    </w:lvlOverride>
  </w:num>
  <w:num w:numId="1268">
    <w:abstractNumId w:val="9943214"/>
    <w:lvlOverride w:ilvl="0">
      <w:startOverride w:val="214"/>
    </w:lvlOverride>
    <w:lvlOverride w:ilvl="1">
      <w:startOverride w:val="214"/>
    </w:lvlOverride>
    <w:lvlOverride w:ilvl="2">
      <w:startOverride w:val="214"/>
    </w:lvlOverride>
    <w:lvlOverride w:ilvl="3">
      <w:startOverride w:val="214"/>
    </w:lvlOverride>
    <w:lvlOverride w:ilvl="4">
      <w:startOverride w:val="214"/>
    </w:lvlOverride>
    <w:lvlOverride w:ilvl="5">
      <w:startOverride w:val="214"/>
    </w:lvlOverride>
    <w:lvlOverride w:ilvl="6">
      <w:startOverride w:val="214"/>
    </w:lvlOverride>
    <w:lvlOverride w:ilvl="7">
      <w:startOverride w:val="214"/>
    </w:lvlOverride>
    <w:lvlOverride w:ilvl="8">
      <w:startOverride w:val="214"/>
    </w:lvlOverride>
  </w:num>
  <w:num w:numId="12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7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2">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7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3292"/>
    <w:lvlOverride w:ilvl="0">
      <w:startOverride w:val="292"/>
    </w:lvlOverride>
    <w:lvlOverride w:ilvl="1">
      <w:startOverride w:val="292"/>
    </w:lvlOverride>
    <w:lvlOverride w:ilvl="2">
      <w:startOverride w:val="292"/>
    </w:lvlOverride>
    <w:lvlOverride w:ilvl="3">
      <w:startOverride w:val="292"/>
    </w:lvlOverride>
    <w:lvlOverride w:ilvl="4">
      <w:startOverride w:val="292"/>
    </w:lvlOverride>
    <w:lvlOverride w:ilvl="5">
      <w:startOverride w:val="292"/>
    </w:lvlOverride>
    <w:lvlOverride w:ilvl="6">
      <w:startOverride w:val="292"/>
    </w:lvlOverride>
    <w:lvlOverride w:ilvl="7">
      <w:startOverride w:val="292"/>
    </w:lvlOverride>
    <w:lvlOverride w:ilvl="8">
      <w:startOverride w:val="292"/>
    </w:lvlOverride>
  </w:num>
  <w:num w:numId="1276">
    <w:abstractNumId w:val="9943461"/>
    <w:lvlOverride w:ilvl="0">
      <w:startOverride w:val="461"/>
    </w:lvlOverride>
    <w:lvlOverride w:ilvl="1">
      <w:startOverride w:val="461"/>
    </w:lvlOverride>
    <w:lvlOverride w:ilvl="2">
      <w:startOverride w:val="461"/>
    </w:lvlOverride>
    <w:lvlOverride w:ilvl="3">
      <w:startOverride w:val="461"/>
    </w:lvlOverride>
    <w:lvlOverride w:ilvl="4">
      <w:startOverride w:val="461"/>
    </w:lvlOverride>
    <w:lvlOverride w:ilvl="5">
      <w:startOverride w:val="461"/>
    </w:lvlOverride>
    <w:lvlOverride w:ilvl="6">
      <w:startOverride w:val="461"/>
    </w:lvlOverride>
    <w:lvlOverride w:ilvl="7">
      <w:startOverride w:val="461"/>
    </w:lvlOverride>
    <w:lvlOverride w:ilvl="8">
      <w:startOverride w:val="461"/>
    </w:lvlOverride>
  </w:num>
  <w:num w:numId="1277">
    <w:abstractNumId w:val="9943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27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8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8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83">
    <w:abstractNumId w:val="9943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284">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85">
    <w:abstractNumId w:val="9943305"/>
    <w:lvlOverride w:ilvl="0">
      <w:startOverride w:val="305"/>
    </w:lvlOverride>
    <w:lvlOverride w:ilvl="1">
      <w:startOverride w:val="305"/>
    </w:lvlOverride>
    <w:lvlOverride w:ilvl="2">
      <w:startOverride w:val="305"/>
    </w:lvlOverride>
    <w:lvlOverride w:ilvl="3">
      <w:startOverride w:val="305"/>
    </w:lvlOverride>
    <w:lvlOverride w:ilvl="4">
      <w:startOverride w:val="305"/>
    </w:lvlOverride>
    <w:lvlOverride w:ilvl="5">
      <w:startOverride w:val="305"/>
    </w:lvlOverride>
    <w:lvlOverride w:ilvl="6">
      <w:startOverride w:val="305"/>
    </w:lvlOverride>
    <w:lvlOverride w:ilvl="7">
      <w:startOverride w:val="305"/>
    </w:lvlOverride>
    <w:lvlOverride w:ilvl="8">
      <w:startOverride w:val="305"/>
    </w:lvlOverride>
  </w:num>
  <w:num w:numId="1286">
    <w:abstractNumId w:val="994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90">
    <w:abstractNumId w:val="9943203"/>
    <w:lvlOverride w:ilvl="0">
      <w:startOverride w:val="203"/>
    </w:lvlOverride>
    <w:lvlOverride w:ilvl="1">
      <w:startOverride w:val="203"/>
    </w:lvlOverride>
    <w:lvlOverride w:ilvl="2">
      <w:startOverride w:val="203"/>
    </w:lvlOverride>
    <w:lvlOverride w:ilvl="3">
      <w:startOverride w:val="203"/>
    </w:lvlOverride>
    <w:lvlOverride w:ilvl="4">
      <w:startOverride w:val="203"/>
    </w:lvlOverride>
    <w:lvlOverride w:ilvl="5">
      <w:startOverride w:val="203"/>
    </w:lvlOverride>
    <w:lvlOverride w:ilvl="6">
      <w:startOverride w:val="203"/>
    </w:lvlOverride>
    <w:lvlOverride w:ilvl="7">
      <w:startOverride w:val="203"/>
    </w:lvlOverride>
    <w:lvlOverride w:ilvl="8">
      <w:startOverride w:val="203"/>
    </w:lvlOverride>
  </w:num>
  <w:num w:numId="1291">
    <w:abstractNumId w:val="9943760"/>
    <w:lvlOverride w:ilvl="0">
      <w:startOverride w:val="760"/>
    </w:lvlOverride>
    <w:lvlOverride w:ilvl="1">
      <w:startOverride w:val="760"/>
    </w:lvlOverride>
    <w:lvlOverride w:ilvl="2">
      <w:startOverride w:val="760"/>
    </w:lvlOverride>
    <w:lvlOverride w:ilvl="3">
      <w:startOverride w:val="760"/>
    </w:lvlOverride>
    <w:lvlOverride w:ilvl="4">
      <w:startOverride w:val="760"/>
    </w:lvlOverride>
    <w:lvlOverride w:ilvl="5">
      <w:startOverride w:val="760"/>
    </w:lvlOverride>
    <w:lvlOverride w:ilvl="6">
      <w:startOverride w:val="760"/>
    </w:lvlOverride>
    <w:lvlOverride w:ilvl="7">
      <w:startOverride w:val="760"/>
    </w:lvlOverride>
    <w:lvlOverride w:ilvl="8">
      <w:startOverride w:val="760"/>
    </w:lvlOverride>
  </w:num>
  <w:num w:numId="1292">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3">
    <w:abstractNumId w:val="9943203"/>
    <w:lvlOverride w:ilvl="0">
      <w:startOverride w:val="203"/>
    </w:lvlOverride>
    <w:lvlOverride w:ilvl="1">
      <w:startOverride w:val="203"/>
    </w:lvlOverride>
    <w:lvlOverride w:ilvl="2">
      <w:startOverride w:val="203"/>
    </w:lvlOverride>
    <w:lvlOverride w:ilvl="3">
      <w:startOverride w:val="203"/>
    </w:lvlOverride>
    <w:lvlOverride w:ilvl="4">
      <w:startOverride w:val="203"/>
    </w:lvlOverride>
    <w:lvlOverride w:ilvl="5">
      <w:startOverride w:val="203"/>
    </w:lvlOverride>
    <w:lvlOverride w:ilvl="6">
      <w:startOverride w:val="203"/>
    </w:lvlOverride>
    <w:lvlOverride w:ilvl="7">
      <w:startOverride w:val="203"/>
    </w:lvlOverride>
    <w:lvlOverride w:ilvl="8">
      <w:startOverride w:val="203"/>
    </w:lvlOverride>
  </w:num>
  <w:num w:numId="1294">
    <w:abstractNumId w:val="9943760"/>
    <w:lvlOverride w:ilvl="0">
      <w:startOverride w:val="760"/>
    </w:lvlOverride>
    <w:lvlOverride w:ilvl="1">
      <w:startOverride w:val="760"/>
    </w:lvlOverride>
    <w:lvlOverride w:ilvl="2">
      <w:startOverride w:val="760"/>
    </w:lvlOverride>
    <w:lvlOverride w:ilvl="3">
      <w:startOverride w:val="760"/>
    </w:lvlOverride>
    <w:lvlOverride w:ilvl="4">
      <w:startOverride w:val="760"/>
    </w:lvlOverride>
    <w:lvlOverride w:ilvl="5">
      <w:startOverride w:val="760"/>
    </w:lvlOverride>
    <w:lvlOverride w:ilvl="6">
      <w:startOverride w:val="760"/>
    </w:lvlOverride>
    <w:lvlOverride w:ilvl="7">
      <w:startOverride w:val="760"/>
    </w:lvlOverride>
    <w:lvlOverride w:ilvl="8">
      <w:startOverride w:val="760"/>
    </w:lvlOverride>
  </w:num>
  <w:num w:numId="1295">
    <w:abstractNumId w:val="9943141"/>
    <w:lvlOverride w:ilvl="0">
      <w:startOverride w:val="141"/>
    </w:lvlOverride>
    <w:lvlOverride w:ilvl="1">
      <w:startOverride w:val="141"/>
    </w:lvlOverride>
    <w:lvlOverride w:ilvl="2">
      <w:startOverride w:val="141"/>
    </w:lvlOverride>
    <w:lvlOverride w:ilvl="3">
      <w:startOverride w:val="141"/>
    </w:lvlOverride>
    <w:lvlOverride w:ilvl="4">
      <w:startOverride w:val="141"/>
    </w:lvlOverride>
    <w:lvlOverride w:ilvl="5">
      <w:startOverride w:val="141"/>
    </w:lvlOverride>
    <w:lvlOverride w:ilvl="6">
      <w:startOverride w:val="141"/>
    </w:lvlOverride>
    <w:lvlOverride w:ilvl="7">
      <w:startOverride w:val="141"/>
    </w:lvlOverride>
    <w:lvlOverride w:ilvl="8">
      <w:startOverride w:val="141"/>
    </w:lvlOverride>
  </w:num>
  <w:num w:numId="1296">
    <w:abstractNumId w:val="9943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297">
    <w:abstractNumId w:val="9943152"/>
    <w:lvlOverride w:ilvl="0">
      <w:startOverride w:val="152"/>
    </w:lvlOverride>
    <w:lvlOverride w:ilvl="1">
      <w:startOverride w:val="152"/>
    </w:lvlOverride>
    <w:lvlOverride w:ilvl="2">
      <w:startOverride w:val="152"/>
    </w:lvlOverride>
    <w:lvlOverride w:ilvl="3">
      <w:startOverride w:val="152"/>
    </w:lvlOverride>
    <w:lvlOverride w:ilvl="4">
      <w:startOverride w:val="152"/>
    </w:lvlOverride>
    <w:lvlOverride w:ilvl="5">
      <w:startOverride w:val="152"/>
    </w:lvlOverride>
    <w:lvlOverride w:ilvl="6">
      <w:startOverride w:val="152"/>
    </w:lvlOverride>
    <w:lvlOverride w:ilvl="7">
      <w:startOverride w:val="152"/>
    </w:lvlOverride>
    <w:lvlOverride w:ilvl="8">
      <w:startOverride w:val="152"/>
    </w:lvlOverride>
  </w:num>
  <w:num w:numId="1298">
    <w:abstractNumId w:val="9943432"/>
    <w:lvlOverride w:ilvl="0">
      <w:startOverride w:val="432"/>
    </w:lvlOverride>
    <w:lvlOverride w:ilvl="1">
      <w:startOverride w:val="432"/>
    </w:lvlOverride>
    <w:lvlOverride w:ilvl="2">
      <w:startOverride w:val="432"/>
    </w:lvlOverride>
    <w:lvlOverride w:ilvl="3">
      <w:startOverride w:val="432"/>
    </w:lvlOverride>
    <w:lvlOverride w:ilvl="4">
      <w:startOverride w:val="432"/>
    </w:lvlOverride>
    <w:lvlOverride w:ilvl="5">
      <w:startOverride w:val="432"/>
    </w:lvlOverride>
    <w:lvlOverride w:ilvl="6">
      <w:startOverride w:val="432"/>
    </w:lvlOverride>
    <w:lvlOverride w:ilvl="7">
      <w:startOverride w:val="432"/>
    </w:lvlOverride>
    <w:lvlOverride w:ilvl="8">
      <w:startOverride w:val="432"/>
    </w:lvlOverride>
  </w:num>
  <w:num w:numId="1299">
    <w:abstractNumId w:val="9943128"/>
    <w:lvlOverride w:ilvl="0">
      <w:startOverride w:val="128"/>
    </w:lvlOverride>
    <w:lvlOverride w:ilvl="1">
      <w:startOverride w:val="128"/>
    </w:lvlOverride>
    <w:lvlOverride w:ilvl="2">
      <w:startOverride w:val="128"/>
    </w:lvlOverride>
    <w:lvlOverride w:ilvl="3">
      <w:startOverride w:val="128"/>
    </w:lvlOverride>
    <w:lvlOverride w:ilvl="4">
      <w:startOverride w:val="128"/>
    </w:lvlOverride>
    <w:lvlOverride w:ilvl="5">
      <w:startOverride w:val="128"/>
    </w:lvlOverride>
    <w:lvlOverride w:ilvl="6">
      <w:startOverride w:val="128"/>
    </w:lvlOverride>
    <w:lvlOverride w:ilvl="7">
      <w:startOverride w:val="128"/>
    </w:lvlOverride>
    <w:lvlOverride w:ilvl="8">
      <w:startOverride w:val="128"/>
    </w:lvlOverride>
  </w:num>
  <w:num w:numId="1300">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2">
    <w:abstractNumId w:val="9943202"/>
    <w:lvlOverride w:ilvl="0">
      <w:startOverride w:val="202"/>
    </w:lvlOverride>
    <w:lvlOverride w:ilvl="1">
      <w:startOverride w:val="202"/>
    </w:lvlOverride>
    <w:lvlOverride w:ilvl="2">
      <w:startOverride w:val="202"/>
    </w:lvlOverride>
    <w:lvlOverride w:ilvl="3">
      <w:startOverride w:val="202"/>
    </w:lvlOverride>
    <w:lvlOverride w:ilvl="4">
      <w:startOverride w:val="202"/>
    </w:lvlOverride>
    <w:lvlOverride w:ilvl="5">
      <w:startOverride w:val="202"/>
    </w:lvlOverride>
    <w:lvlOverride w:ilvl="6">
      <w:startOverride w:val="202"/>
    </w:lvlOverride>
    <w:lvlOverride w:ilvl="7">
      <w:startOverride w:val="202"/>
    </w:lvlOverride>
    <w:lvlOverride w:ilvl="8">
      <w:startOverride w:val="202"/>
    </w:lvlOverride>
  </w:num>
  <w:num w:numId="1303">
    <w:abstractNumId w:val="9943929"/>
    <w:lvlOverride w:ilvl="0">
      <w:startOverride w:val="929"/>
    </w:lvlOverride>
    <w:lvlOverride w:ilvl="1">
      <w:startOverride w:val="929"/>
    </w:lvlOverride>
    <w:lvlOverride w:ilvl="2">
      <w:startOverride w:val="929"/>
    </w:lvlOverride>
    <w:lvlOverride w:ilvl="3">
      <w:startOverride w:val="929"/>
    </w:lvlOverride>
    <w:lvlOverride w:ilvl="4">
      <w:startOverride w:val="929"/>
    </w:lvlOverride>
    <w:lvlOverride w:ilvl="5">
      <w:startOverride w:val="929"/>
    </w:lvlOverride>
    <w:lvlOverride w:ilvl="6">
      <w:startOverride w:val="929"/>
    </w:lvlOverride>
    <w:lvlOverride w:ilvl="7">
      <w:startOverride w:val="929"/>
    </w:lvlOverride>
    <w:lvlOverride w:ilvl="8">
      <w:startOverride w:val="929"/>
    </w:lvlOverride>
  </w:num>
  <w:num w:numId="1304">
    <w:abstractNumId w:val="9943890"/>
    <w:lvlOverride w:ilvl="0">
      <w:startOverride w:val="890"/>
    </w:lvlOverride>
    <w:lvlOverride w:ilvl="1">
      <w:startOverride w:val="890"/>
    </w:lvlOverride>
    <w:lvlOverride w:ilvl="2">
      <w:startOverride w:val="890"/>
    </w:lvlOverride>
    <w:lvlOverride w:ilvl="3">
      <w:startOverride w:val="890"/>
    </w:lvlOverride>
    <w:lvlOverride w:ilvl="4">
      <w:startOverride w:val="890"/>
    </w:lvlOverride>
    <w:lvlOverride w:ilvl="5">
      <w:startOverride w:val="890"/>
    </w:lvlOverride>
    <w:lvlOverride w:ilvl="6">
      <w:startOverride w:val="890"/>
    </w:lvlOverride>
    <w:lvlOverride w:ilvl="7">
      <w:startOverride w:val="890"/>
    </w:lvlOverride>
    <w:lvlOverride w:ilvl="8">
      <w:startOverride w:val="890"/>
    </w:lvlOverride>
  </w:num>
  <w:num w:numId="1305">
    <w:abstractNumId w:val="9943181"/>
    <w:lvlOverride w:ilvl="0">
      <w:startOverride w:val="181"/>
    </w:lvlOverride>
    <w:lvlOverride w:ilvl="1">
      <w:startOverride w:val="181"/>
    </w:lvlOverride>
    <w:lvlOverride w:ilvl="2">
      <w:startOverride w:val="181"/>
    </w:lvlOverride>
    <w:lvlOverride w:ilvl="3">
      <w:startOverride w:val="181"/>
    </w:lvlOverride>
    <w:lvlOverride w:ilvl="4">
      <w:startOverride w:val="181"/>
    </w:lvlOverride>
    <w:lvlOverride w:ilvl="5">
      <w:startOverride w:val="181"/>
    </w:lvlOverride>
    <w:lvlOverride w:ilvl="6">
      <w:startOverride w:val="181"/>
    </w:lvlOverride>
    <w:lvlOverride w:ilvl="7">
      <w:startOverride w:val="181"/>
    </w:lvlOverride>
    <w:lvlOverride w:ilvl="8">
      <w:startOverride w:val="181"/>
    </w:lvlOverride>
  </w:num>
  <w:num w:numId="1306">
    <w:abstractNumId w:val="9943617"/>
    <w:lvlOverride w:ilvl="0">
      <w:startOverride w:val="617"/>
    </w:lvlOverride>
    <w:lvlOverride w:ilvl="1">
      <w:startOverride w:val="617"/>
    </w:lvlOverride>
    <w:lvlOverride w:ilvl="2">
      <w:startOverride w:val="617"/>
    </w:lvlOverride>
    <w:lvlOverride w:ilvl="3">
      <w:startOverride w:val="617"/>
    </w:lvlOverride>
    <w:lvlOverride w:ilvl="4">
      <w:startOverride w:val="617"/>
    </w:lvlOverride>
    <w:lvlOverride w:ilvl="5">
      <w:startOverride w:val="617"/>
    </w:lvlOverride>
    <w:lvlOverride w:ilvl="6">
      <w:startOverride w:val="617"/>
    </w:lvlOverride>
    <w:lvlOverride w:ilvl="7">
      <w:startOverride w:val="617"/>
    </w:lvlOverride>
    <w:lvlOverride w:ilvl="8">
      <w:startOverride w:val="617"/>
    </w:lvlOverride>
  </w:num>
  <w:num w:numId="1307">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08">
    <w:abstractNumId w:val="9943886"/>
    <w:lvlOverride w:ilvl="0">
      <w:startOverride w:val="886"/>
    </w:lvlOverride>
    <w:lvlOverride w:ilvl="1">
      <w:startOverride w:val="886"/>
    </w:lvlOverride>
    <w:lvlOverride w:ilvl="2">
      <w:startOverride w:val="886"/>
    </w:lvlOverride>
    <w:lvlOverride w:ilvl="3">
      <w:startOverride w:val="886"/>
    </w:lvlOverride>
    <w:lvlOverride w:ilvl="4">
      <w:startOverride w:val="886"/>
    </w:lvlOverride>
    <w:lvlOverride w:ilvl="5">
      <w:startOverride w:val="886"/>
    </w:lvlOverride>
    <w:lvlOverride w:ilvl="6">
      <w:startOverride w:val="886"/>
    </w:lvlOverride>
    <w:lvlOverride w:ilvl="7">
      <w:startOverride w:val="886"/>
    </w:lvlOverride>
    <w:lvlOverride w:ilvl="8">
      <w:startOverride w:val="886"/>
    </w:lvlOverride>
  </w:num>
  <w:num w:numId="1309">
    <w:abstractNumId w:val="9943181"/>
    <w:lvlOverride w:ilvl="0">
      <w:startOverride w:val="181"/>
    </w:lvlOverride>
    <w:lvlOverride w:ilvl="1">
      <w:startOverride w:val="181"/>
    </w:lvlOverride>
    <w:lvlOverride w:ilvl="2">
      <w:startOverride w:val="181"/>
    </w:lvlOverride>
    <w:lvlOverride w:ilvl="3">
      <w:startOverride w:val="181"/>
    </w:lvlOverride>
    <w:lvlOverride w:ilvl="4">
      <w:startOverride w:val="181"/>
    </w:lvlOverride>
    <w:lvlOverride w:ilvl="5">
      <w:startOverride w:val="181"/>
    </w:lvlOverride>
    <w:lvlOverride w:ilvl="6">
      <w:startOverride w:val="181"/>
    </w:lvlOverride>
    <w:lvlOverride w:ilvl="7">
      <w:startOverride w:val="181"/>
    </w:lvlOverride>
    <w:lvlOverride w:ilvl="8">
      <w:startOverride w:val="181"/>
    </w:lvlOverride>
  </w:num>
  <w:num w:numId="1310">
    <w:abstractNumId w:val="9943617"/>
    <w:lvlOverride w:ilvl="0">
      <w:startOverride w:val="617"/>
    </w:lvlOverride>
    <w:lvlOverride w:ilvl="1">
      <w:startOverride w:val="617"/>
    </w:lvlOverride>
    <w:lvlOverride w:ilvl="2">
      <w:startOverride w:val="617"/>
    </w:lvlOverride>
    <w:lvlOverride w:ilvl="3">
      <w:startOverride w:val="617"/>
    </w:lvlOverride>
    <w:lvlOverride w:ilvl="4">
      <w:startOverride w:val="617"/>
    </w:lvlOverride>
    <w:lvlOverride w:ilvl="5">
      <w:startOverride w:val="617"/>
    </w:lvlOverride>
    <w:lvlOverride w:ilvl="6">
      <w:startOverride w:val="617"/>
    </w:lvlOverride>
    <w:lvlOverride w:ilvl="7">
      <w:startOverride w:val="617"/>
    </w:lvlOverride>
    <w:lvlOverride w:ilvl="8">
      <w:startOverride w:val="617"/>
    </w:lvlOverride>
  </w:num>
  <w:num w:numId="131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3">
    <w:abstractNumId w:val="9943118"/>
    <w:lvlOverride w:ilvl="0">
      <w:startOverride w:val="118"/>
    </w:lvlOverride>
    <w:lvlOverride w:ilvl="1">
      <w:startOverride w:val="118"/>
    </w:lvlOverride>
    <w:lvlOverride w:ilvl="2">
      <w:startOverride w:val="118"/>
    </w:lvlOverride>
    <w:lvlOverride w:ilvl="3">
      <w:startOverride w:val="118"/>
    </w:lvlOverride>
    <w:lvlOverride w:ilvl="4">
      <w:startOverride w:val="118"/>
    </w:lvlOverride>
    <w:lvlOverride w:ilvl="5">
      <w:startOverride w:val="118"/>
    </w:lvlOverride>
    <w:lvlOverride w:ilvl="6">
      <w:startOverride w:val="118"/>
    </w:lvlOverride>
    <w:lvlOverride w:ilvl="7">
      <w:startOverride w:val="118"/>
    </w:lvlOverride>
    <w:lvlOverride w:ilvl="8">
      <w:startOverride w:val="118"/>
    </w:lvlOverride>
  </w:num>
  <w:num w:numId="1314">
    <w:abstractNumId w:val="9943135"/>
    <w:lvlOverride w:ilvl="0">
      <w:startOverride w:val="135"/>
    </w:lvlOverride>
    <w:lvlOverride w:ilvl="1">
      <w:startOverride w:val="135"/>
    </w:lvlOverride>
    <w:lvlOverride w:ilvl="2">
      <w:startOverride w:val="135"/>
    </w:lvlOverride>
    <w:lvlOverride w:ilvl="3">
      <w:startOverride w:val="135"/>
    </w:lvlOverride>
    <w:lvlOverride w:ilvl="4">
      <w:startOverride w:val="135"/>
    </w:lvlOverride>
    <w:lvlOverride w:ilvl="5">
      <w:startOverride w:val="135"/>
    </w:lvlOverride>
    <w:lvlOverride w:ilvl="6">
      <w:startOverride w:val="135"/>
    </w:lvlOverride>
    <w:lvlOverride w:ilvl="7">
      <w:startOverride w:val="135"/>
    </w:lvlOverride>
    <w:lvlOverride w:ilvl="8">
      <w:startOverride w:val="135"/>
    </w:lvlOverride>
  </w:num>
  <w:num w:numId="1315">
    <w:abstractNumId w:val="994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31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7">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18">
    <w:abstractNumId w:val="9943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319">
    <w:abstractNumId w:val="9943203"/>
    <w:lvlOverride w:ilvl="0">
      <w:startOverride w:val="203"/>
    </w:lvlOverride>
    <w:lvlOverride w:ilvl="1">
      <w:startOverride w:val="203"/>
    </w:lvlOverride>
    <w:lvlOverride w:ilvl="2">
      <w:startOverride w:val="203"/>
    </w:lvlOverride>
    <w:lvlOverride w:ilvl="3">
      <w:startOverride w:val="203"/>
    </w:lvlOverride>
    <w:lvlOverride w:ilvl="4">
      <w:startOverride w:val="203"/>
    </w:lvlOverride>
    <w:lvlOverride w:ilvl="5">
      <w:startOverride w:val="203"/>
    </w:lvlOverride>
    <w:lvlOverride w:ilvl="6">
      <w:startOverride w:val="203"/>
    </w:lvlOverride>
    <w:lvlOverride w:ilvl="7">
      <w:startOverride w:val="203"/>
    </w:lvlOverride>
    <w:lvlOverride w:ilvl="8">
      <w:startOverride w:val="203"/>
    </w:lvlOverride>
  </w:num>
  <w:num w:numId="1320">
    <w:abstractNumId w:val="9943760"/>
    <w:lvlOverride w:ilvl="0">
      <w:startOverride w:val="760"/>
    </w:lvlOverride>
    <w:lvlOverride w:ilvl="1">
      <w:startOverride w:val="760"/>
    </w:lvlOverride>
    <w:lvlOverride w:ilvl="2">
      <w:startOverride w:val="760"/>
    </w:lvlOverride>
    <w:lvlOverride w:ilvl="3">
      <w:startOverride w:val="760"/>
    </w:lvlOverride>
    <w:lvlOverride w:ilvl="4">
      <w:startOverride w:val="760"/>
    </w:lvlOverride>
    <w:lvlOverride w:ilvl="5">
      <w:startOverride w:val="760"/>
    </w:lvlOverride>
    <w:lvlOverride w:ilvl="6">
      <w:startOverride w:val="760"/>
    </w:lvlOverride>
    <w:lvlOverride w:ilvl="7">
      <w:startOverride w:val="760"/>
    </w:lvlOverride>
    <w:lvlOverride w:ilvl="8">
      <w:startOverride w:val="760"/>
    </w:lvlOverride>
  </w:num>
  <w:num w:numId="13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32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32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3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1">
    <w:abstractNumId w:val="994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332">
    <w:abstractNumId w:val="9943349"/>
    <w:lvlOverride w:ilvl="0">
      <w:startOverride w:val="349"/>
    </w:lvlOverride>
    <w:lvlOverride w:ilvl="1">
      <w:startOverride w:val="349"/>
    </w:lvlOverride>
    <w:lvlOverride w:ilvl="2">
      <w:startOverride w:val="349"/>
    </w:lvlOverride>
    <w:lvlOverride w:ilvl="3">
      <w:startOverride w:val="349"/>
    </w:lvlOverride>
    <w:lvlOverride w:ilvl="4">
      <w:startOverride w:val="349"/>
    </w:lvlOverride>
    <w:lvlOverride w:ilvl="5">
      <w:startOverride w:val="349"/>
    </w:lvlOverride>
    <w:lvlOverride w:ilvl="6">
      <w:startOverride w:val="349"/>
    </w:lvlOverride>
    <w:lvlOverride w:ilvl="7">
      <w:startOverride w:val="349"/>
    </w:lvlOverride>
    <w:lvlOverride w:ilvl="8">
      <w:startOverride w:val="349"/>
    </w:lvlOverride>
  </w:num>
  <w:num w:numId="133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4">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6">
    <w:abstractNumId w:val="9943139"/>
    <w:lvlOverride w:ilvl="0">
      <w:startOverride w:val="139"/>
    </w:lvlOverride>
    <w:lvlOverride w:ilvl="1">
      <w:startOverride w:val="139"/>
    </w:lvlOverride>
    <w:lvlOverride w:ilvl="2">
      <w:startOverride w:val="139"/>
    </w:lvlOverride>
    <w:lvlOverride w:ilvl="3">
      <w:startOverride w:val="139"/>
    </w:lvlOverride>
    <w:lvlOverride w:ilvl="4">
      <w:startOverride w:val="139"/>
    </w:lvlOverride>
    <w:lvlOverride w:ilvl="5">
      <w:startOverride w:val="139"/>
    </w:lvlOverride>
    <w:lvlOverride w:ilvl="6">
      <w:startOverride w:val="139"/>
    </w:lvlOverride>
    <w:lvlOverride w:ilvl="7">
      <w:startOverride w:val="139"/>
    </w:lvlOverride>
    <w:lvlOverride w:ilvl="8">
      <w:startOverride w:val="139"/>
    </w:lvlOverride>
  </w:num>
  <w:num w:numId="1337">
    <w:abstractNumId w:val="9943191"/>
    <w:lvlOverride w:ilvl="0">
      <w:startOverride w:val="191"/>
    </w:lvlOverride>
    <w:lvlOverride w:ilvl="1">
      <w:startOverride w:val="191"/>
    </w:lvlOverride>
    <w:lvlOverride w:ilvl="2">
      <w:startOverride w:val="191"/>
    </w:lvlOverride>
    <w:lvlOverride w:ilvl="3">
      <w:startOverride w:val="191"/>
    </w:lvlOverride>
    <w:lvlOverride w:ilvl="4">
      <w:startOverride w:val="191"/>
    </w:lvlOverride>
    <w:lvlOverride w:ilvl="5">
      <w:startOverride w:val="191"/>
    </w:lvlOverride>
    <w:lvlOverride w:ilvl="6">
      <w:startOverride w:val="191"/>
    </w:lvlOverride>
    <w:lvlOverride w:ilvl="7">
      <w:startOverride w:val="191"/>
    </w:lvlOverride>
    <w:lvlOverride w:ilvl="8">
      <w:startOverride w:val="191"/>
    </w:lvlOverride>
  </w:num>
  <w:num w:numId="133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0">
    <w:abstractNumId w:val="994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341">
    <w:abstractNumId w:val="9943492"/>
    <w:lvlOverride w:ilvl="0">
      <w:startOverride w:val="492"/>
    </w:lvlOverride>
    <w:lvlOverride w:ilvl="1">
      <w:startOverride w:val="492"/>
    </w:lvlOverride>
    <w:lvlOverride w:ilvl="2">
      <w:startOverride w:val="492"/>
    </w:lvlOverride>
    <w:lvlOverride w:ilvl="3">
      <w:startOverride w:val="492"/>
    </w:lvlOverride>
    <w:lvlOverride w:ilvl="4">
      <w:startOverride w:val="492"/>
    </w:lvlOverride>
    <w:lvlOverride w:ilvl="5">
      <w:startOverride w:val="492"/>
    </w:lvlOverride>
    <w:lvlOverride w:ilvl="6">
      <w:startOverride w:val="492"/>
    </w:lvlOverride>
    <w:lvlOverride w:ilvl="7">
      <w:startOverride w:val="492"/>
    </w:lvlOverride>
    <w:lvlOverride w:ilvl="8">
      <w:startOverride w:val="492"/>
    </w:lvlOverride>
  </w:num>
  <w:num w:numId="134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43">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34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34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346">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47">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49">
    <w:abstractNumId w:val="994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350">
    <w:abstractNumId w:val="9943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351">
    <w:abstractNumId w:val="9943184"/>
    <w:lvlOverride w:ilvl="0">
      <w:startOverride w:val="184"/>
    </w:lvlOverride>
    <w:lvlOverride w:ilvl="1">
      <w:startOverride w:val="184"/>
    </w:lvlOverride>
    <w:lvlOverride w:ilvl="2">
      <w:startOverride w:val="184"/>
    </w:lvlOverride>
    <w:lvlOverride w:ilvl="3">
      <w:startOverride w:val="184"/>
    </w:lvlOverride>
    <w:lvlOverride w:ilvl="4">
      <w:startOverride w:val="184"/>
    </w:lvlOverride>
    <w:lvlOverride w:ilvl="5">
      <w:startOverride w:val="184"/>
    </w:lvlOverride>
    <w:lvlOverride w:ilvl="6">
      <w:startOverride w:val="184"/>
    </w:lvlOverride>
    <w:lvlOverride w:ilvl="7">
      <w:startOverride w:val="184"/>
    </w:lvlOverride>
    <w:lvlOverride w:ilvl="8">
      <w:startOverride w:val="184"/>
    </w:lvlOverride>
  </w:num>
  <w:num w:numId="1352">
    <w:abstractNumId w:val="9943143"/>
    <w:lvlOverride w:ilvl="0">
      <w:startOverride w:val="143"/>
    </w:lvlOverride>
    <w:lvlOverride w:ilvl="1">
      <w:startOverride w:val="143"/>
    </w:lvlOverride>
    <w:lvlOverride w:ilvl="2">
      <w:startOverride w:val="143"/>
    </w:lvlOverride>
    <w:lvlOverride w:ilvl="3">
      <w:startOverride w:val="143"/>
    </w:lvlOverride>
    <w:lvlOverride w:ilvl="4">
      <w:startOverride w:val="143"/>
    </w:lvlOverride>
    <w:lvlOverride w:ilvl="5">
      <w:startOverride w:val="143"/>
    </w:lvlOverride>
    <w:lvlOverride w:ilvl="6">
      <w:startOverride w:val="143"/>
    </w:lvlOverride>
    <w:lvlOverride w:ilvl="7">
      <w:startOverride w:val="143"/>
    </w:lvlOverride>
    <w:lvlOverride w:ilvl="8">
      <w:startOverride w:val="143"/>
    </w:lvlOverride>
  </w:num>
  <w:num w:numId="1353">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5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5">
    <w:abstractNumId w:val="9943162"/>
    <w:lvlOverride w:ilvl="0">
      <w:startOverride w:val="162"/>
    </w:lvlOverride>
    <w:lvlOverride w:ilvl="1">
      <w:startOverride w:val="162"/>
    </w:lvlOverride>
    <w:lvlOverride w:ilvl="2">
      <w:startOverride w:val="162"/>
    </w:lvlOverride>
    <w:lvlOverride w:ilvl="3">
      <w:startOverride w:val="162"/>
    </w:lvlOverride>
    <w:lvlOverride w:ilvl="4">
      <w:startOverride w:val="162"/>
    </w:lvlOverride>
    <w:lvlOverride w:ilvl="5">
      <w:startOverride w:val="162"/>
    </w:lvlOverride>
    <w:lvlOverride w:ilvl="6">
      <w:startOverride w:val="162"/>
    </w:lvlOverride>
    <w:lvlOverride w:ilvl="7">
      <w:startOverride w:val="162"/>
    </w:lvlOverride>
    <w:lvlOverride w:ilvl="8">
      <w:startOverride w:val="162"/>
    </w:lvlOverride>
  </w:num>
  <w:num w:numId="135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8">
    <w:abstractNumId w:val="994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359">
    <w:abstractNumId w:val="9943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360">
    <w:abstractNumId w:val="9943308"/>
    <w:lvlOverride w:ilvl="0">
      <w:startOverride w:val="308"/>
    </w:lvlOverride>
    <w:lvlOverride w:ilvl="1">
      <w:startOverride w:val="308"/>
    </w:lvlOverride>
    <w:lvlOverride w:ilvl="2">
      <w:startOverride w:val="308"/>
    </w:lvlOverride>
    <w:lvlOverride w:ilvl="3">
      <w:startOverride w:val="308"/>
    </w:lvlOverride>
    <w:lvlOverride w:ilvl="4">
      <w:startOverride w:val="308"/>
    </w:lvlOverride>
    <w:lvlOverride w:ilvl="5">
      <w:startOverride w:val="308"/>
    </w:lvlOverride>
    <w:lvlOverride w:ilvl="6">
      <w:startOverride w:val="308"/>
    </w:lvlOverride>
    <w:lvlOverride w:ilvl="7">
      <w:startOverride w:val="308"/>
    </w:lvlOverride>
    <w:lvlOverride w:ilvl="8">
      <w:startOverride w:val="308"/>
    </w:lvlOverride>
  </w:num>
  <w:num w:numId="136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6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63">
    <w:abstractNumId w:val="9943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364">
    <w:abstractNumId w:val="9943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365">
    <w:abstractNumId w:val="9943470"/>
    <w:lvlOverride w:ilvl="0">
      <w:startOverride w:val="470"/>
    </w:lvlOverride>
    <w:lvlOverride w:ilvl="1">
      <w:startOverride w:val="470"/>
    </w:lvlOverride>
    <w:lvlOverride w:ilvl="2">
      <w:startOverride w:val="470"/>
    </w:lvlOverride>
    <w:lvlOverride w:ilvl="3">
      <w:startOverride w:val="470"/>
    </w:lvlOverride>
    <w:lvlOverride w:ilvl="4">
      <w:startOverride w:val="470"/>
    </w:lvlOverride>
    <w:lvlOverride w:ilvl="5">
      <w:startOverride w:val="470"/>
    </w:lvlOverride>
    <w:lvlOverride w:ilvl="6">
      <w:startOverride w:val="470"/>
    </w:lvlOverride>
    <w:lvlOverride w:ilvl="7">
      <w:startOverride w:val="470"/>
    </w:lvlOverride>
    <w:lvlOverride w:ilvl="8">
      <w:startOverride w:val="470"/>
    </w:lvlOverride>
  </w:num>
  <w:num w:numId="1366">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7">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6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6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370">
    <w:abstractNumId w:val="9943120"/>
    <w:lvlOverride w:ilvl="0">
      <w:startOverride w:val="120"/>
    </w:lvlOverride>
    <w:lvlOverride w:ilvl="1">
      <w:startOverride w:val="120"/>
    </w:lvlOverride>
    <w:lvlOverride w:ilvl="2">
      <w:startOverride w:val="120"/>
    </w:lvlOverride>
    <w:lvlOverride w:ilvl="3">
      <w:startOverride w:val="120"/>
    </w:lvlOverride>
    <w:lvlOverride w:ilvl="4">
      <w:startOverride w:val="120"/>
    </w:lvlOverride>
    <w:lvlOverride w:ilvl="5">
      <w:startOverride w:val="120"/>
    </w:lvlOverride>
    <w:lvlOverride w:ilvl="6">
      <w:startOverride w:val="120"/>
    </w:lvlOverride>
    <w:lvlOverride w:ilvl="7">
      <w:startOverride w:val="120"/>
    </w:lvlOverride>
    <w:lvlOverride w:ilvl="8">
      <w:startOverride w:val="120"/>
    </w:lvlOverride>
  </w:num>
  <w:num w:numId="13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3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375">
    <w:abstractNumId w:val="9943327"/>
    <w:lvlOverride w:ilvl="0">
      <w:startOverride w:val="327"/>
    </w:lvlOverride>
    <w:lvlOverride w:ilvl="1">
      <w:startOverride w:val="327"/>
    </w:lvlOverride>
    <w:lvlOverride w:ilvl="2">
      <w:startOverride w:val="327"/>
    </w:lvlOverride>
    <w:lvlOverride w:ilvl="3">
      <w:startOverride w:val="327"/>
    </w:lvlOverride>
    <w:lvlOverride w:ilvl="4">
      <w:startOverride w:val="327"/>
    </w:lvlOverride>
    <w:lvlOverride w:ilvl="5">
      <w:startOverride w:val="327"/>
    </w:lvlOverride>
    <w:lvlOverride w:ilvl="6">
      <w:startOverride w:val="327"/>
    </w:lvlOverride>
    <w:lvlOverride w:ilvl="7">
      <w:startOverride w:val="327"/>
    </w:lvlOverride>
    <w:lvlOverride w:ilvl="8">
      <w:startOverride w:val="327"/>
    </w:lvlOverride>
  </w:num>
  <w:num w:numId="1376">
    <w:abstractNumId w:val="9943321"/>
    <w:lvlOverride w:ilvl="0">
      <w:startOverride w:val="321"/>
    </w:lvlOverride>
    <w:lvlOverride w:ilvl="1">
      <w:startOverride w:val="321"/>
    </w:lvlOverride>
    <w:lvlOverride w:ilvl="2">
      <w:startOverride w:val="321"/>
    </w:lvlOverride>
    <w:lvlOverride w:ilvl="3">
      <w:startOverride w:val="321"/>
    </w:lvlOverride>
    <w:lvlOverride w:ilvl="4">
      <w:startOverride w:val="321"/>
    </w:lvlOverride>
    <w:lvlOverride w:ilvl="5">
      <w:startOverride w:val="321"/>
    </w:lvlOverride>
    <w:lvlOverride w:ilvl="6">
      <w:startOverride w:val="321"/>
    </w:lvlOverride>
    <w:lvlOverride w:ilvl="7">
      <w:startOverride w:val="321"/>
    </w:lvlOverride>
    <w:lvlOverride w:ilvl="8">
      <w:startOverride w:val="321"/>
    </w:lvlOverride>
  </w:num>
  <w:num w:numId="1377">
    <w:abstractNumId w:val="9943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378">
    <w:abstractNumId w:val="9943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37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8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97">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39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399">
    <w:abstractNumId w:val="9943100"/>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1400">
    <w:abstractNumId w:val="9943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401">
    <w:abstractNumId w:val="9943158"/>
    <w:lvlOverride w:ilvl="0">
      <w:startOverride w:val="158"/>
    </w:lvlOverride>
    <w:lvlOverride w:ilvl="1">
      <w:startOverride w:val="158"/>
    </w:lvlOverride>
    <w:lvlOverride w:ilvl="2">
      <w:startOverride w:val="158"/>
    </w:lvlOverride>
    <w:lvlOverride w:ilvl="3">
      <w:startOverride w:val="158"/>
    </w:lvlOverride>
    <w:lvlOverride w:ilvl="4">
      <w:startOverride w:val="158"/>
    </w:lvlOverride>
    <w:lvlOverride w:ilvl="5">
      <w:startOverride w:val="158"/>
    </w:lvlOverride>
    <w:lvlOverride w:ilvl="6">
      <w:startOverride w:val="158"/>
    </w:lvlOverride>
    <w:lvlOverride w:ilvl="7">
      <w:startOverride w:val="158"/>
    </w:lvlOverride>
    <w:lvlOverride w:ilvl="8">
      <w:startOverride w:val="158"/>
    </w:lvlOverride>
  </w:num>
  <w:num w:numId="1402">
    <w:abstractNumId w:val="9943175"/>
    <w:lvlOverride w:ilvl="0">
      <w:startOverride w:val="175"/>
    </w:lvlOverride>
    <w:lvlOverride w:ilvl="1">
      <w:startOverride w:val="175"/>
    </w:lvlOverride>
    <w:lvlOverride w:ilvl="2">
      <w:startOverride w:val="175"/>
    </w:lvlOverride>
    <w:lvlOverride w:ilvl="3">
      <w:startOverride w:val="175"/>
    </w:lvlOverride>
    <w:lvlOverride w:ilvl="4">
      <w:startOverride w:val="175"/>
    </w:lvlOverride>
    <w:lvlOverride w:ilvl="5">
      <w:startOverride w:val="175"/>
    </w:lvlOverride>
    <w:lvlOverride w:ilvl="6">
      <w:startOverride w:val="175"/>
    </w:lvlOverride>
    <w:lvlOverride w:ilvl="7">
      <w:startOverride w:val="175"/>
    </w:lvlOverride>
    <w:lvlOverride w:ilvl="8">
      <w:startOverride w:val="175"/>
    </w:lvlOverride>
  </w:num>
  <w:num w:numId="1403">
    <w:abstractNumId w:val="9943204"/>
    <w:lvlOverride w:ilvl="0">
      <w:startOverride w:val="204"/>
    </w:lvlOverride>
    <w:lvlOverride w:ilvl="1">
      <w:startOverride w:val="204"/>
    </w:lvlOverride>
    <w:lvlOverride w:ilvl="2">
      <w:startOverride w:val="204"/>
    </w:lvlOverride>
    <w:lvlOverride w:ilvl="3">
      <w:startOverride w:val="204"/>
    </w:lvlOverride>
    <w:lvlOverride w:ilvl="4">
      <w:startOverride w:val="204"/>
    </w:lvlOverride>
    <w:lvlOverride w:ilvl="5">
      <w:startOverride w:val="204"/>
    </w:lvlOverride>
    <w:lvlOverride w:ilvl="6">
      <w:startOverride w:val="204"/>
    </w:lvlOverride>
    <w:lvlOverride w:ilvl="7">
      <w:startOverride w:val="204"/>
    </w:lvlOverride>
    <w:lvlOverride w:ilvl="8">
      <w:startOverride w:val="204"/>
    </w:lvlOverride>
  </w:num>
  <w:num w:numId="1404">
    <w:abstractNumId w:val="9943228"/>
    <w:lvlOverride w:ilvl="0">
      <w:startOverride w:val="228"/>
    </w:lvlOverride>
    <w:lvlOverride w:ilvl="1">
      <w:startOverride w:val="228"/>
    </w:lvlOverride>
    <w:lvlOverride w:ilvl="2">
      <w:startOverride w:val="228"/>
    </w:lvlOverride>
    <w:lvlOverride w:ilvl="3">
      <w:startOverride w:val="228"/>
    </w:lvlOverride>
    <w:lvlOverride w:ilvl="4">
      <w:startOverride w:val="228"/>
    </w:lvlOverride>
    <w:lvlOverride w:ilvl="5">
      <w:startOverride w:val="228"/>
    </w:lvlOverride>
    <w:lvlOverride w:ilvl="6">
      <w:startOverride w:val="228"/>
    </w:lvlOverride>
    <w:lvlOverride w:ilvl="7">
      <w:startOverride w:val="228"/>
    </w:lvlOverride>
    <w:lvlOverride w:ilvl="8">
      <w:startOverride w:val="228"/>
    </w:lvlOverride>
  </w:num>
  <w:num w:numId="1405">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406">
    <w:abstractNumId w:val="9943412"/>
    <w:lvlOverride w:ilvl="0">
      <w:startOverride w:val="412"/>
    </w:lvlOverride>
    <w:lvlOverride w:ilvl="1">
      <w:startOverride w:val="412"/>
    </w:lvlOverride>
    <w:lvlOverride w:ilvl="2">
      <w:startOverride w:val="412"/>
    </w:lvlOverride>
    <w:lvlOverride w:ilvl="3">
      <w:startOverride w:val="412"/>
    </w:lvlOverride>
    <w:lvlOverride w:ilvl="4">
      <w:startOverride w:val="412"/>
    </w:lvlOverride>
    <w:lvlOverride w:ilvl="5">
      <w:startOverride w:val="412"/>
    </w:lvlOverride>
    <w:lvlOverride w:ilvl="6">
      <w:startOverride w:val="412"/>
    </w:lvlOverride>
    <w:lvlOverride w:ilvl="7">
      <w:startOverride w:val="412"/>
    </w:lvlOverride>
    <w:lvlOverride w:ilvl="8">
      <w:startOverride w:val="412"/>
    </w:lvlOverride>
  </w:num>
  <w:num w:numId="140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40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0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1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1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1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16">
    <w:abstractNumId w:val="994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4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3313"/>
    <w:lvlOverride w:ilvl="0">
      <w:startOverride w:val="313"/>
    </w:lvlOverride>
    <w:lvlOverride w:ilvl="1">
      <w:startOverride w:val="313"/>
    </w:lvlOverride>
    <w:lvlOverride w:ilvl="2">
      <w:startOverride w:val="313"/>
    </w:lvlOverride>
    <w:lvlOverride w:ilvl="3">
      <w:startOverride w:val="313"/>
    </w:lvlOverride>
    <w:lvlOverride w:ilvl="4">
      <w:startOverride w:val="313"/>
    </w:lvlOverride>
    <w:lvlOverride w:ilvl="5">
      <w:startOverride w:val="313"/>
    </w:lvlOverride>
    <w:lvlOverride w:ilvl="6">
      <w:startOverride w:val="313"/>
    </w:lvlOverride>
    <w:lvlOverride w:ilvl="7">
      <w:startOverride w:val="313"/>
    </w:lvlOverride>
    <w:lvlOverride w:ilvl="8">
      <w:startOverride w:val="313"/>
    </w:lvlOverride>
  </w:num>
  <w:num w:numId="1419">
    <w:abstractNumId w:val="9943258"/>
    <w:lvlOverride w:ilvl="0">
      <w:startOverride w:val="258"/>
    </w:lvlOverride>
    <w:lvlOverride w:ilvl="1">
      <w:startOverride w:val="258"/>
    </w:lvlOverride>
    <w:lvlOverride w:ilvl="2">
      <w:startOverride w:val="258"/>
    </w:lvlOverride>
    <w:lvlOverride w:ilvl="3">
      <w:startOverride w:val="258"/>
    </w:lvlOverride>
    <w:lvlOverride w:ilvl="4">
      <w:startOverride w:val="258"/>
    </w:lvlOverride>
    <w:lvlOverride w:ilvl="5">
      <w:startOverride w:val="258"/>
    </w:lvlOverride>
    <w:lvlOverride w:ilvl="6">
      <w:startOverride w:val="258"/>
    </w:lvlOverride>
    <w:lvlOverride w:ilvl="7">
      <w:startOverride w:val="258"/>
    </w:lvlOverride>
    <w:lvlOverride w:ilvl="8">
      <w:startOverride w:val="258"/>
    </w:lvlOverride>
  </w:num>
  <w:num w:numId="1420">
    <w:abstractNumId w:val="994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421">
    <w:abstractNumId w:val="9943635"/>
    <w:lvlOverride w:ilvl="0">
      <w:startOverride w:val="635"/>
    </w:lvlOverride>
    <w:lvlOverride w:ilvl="1">
      <w:startOverride w:val="635"/>
    </w:lvlOverride>
    <w:lvlOverride w:ilvl="2">
      <w:startOverride w:val="635"/>
    </w:lvlOverride>
    <w:lvlOverride w:ilvl="3">
      <w:startOverride w:val="635"/>
    </w:lvlOverride>
    <w:lvlOverride w:ilvl="4">
      <w:startOverride w:val="635"/>
    </w:lvlOverride>
    <w:lvlOverride w:ilvl="5">
      <w:startOverride w:val="635"/>
    </w:lvlOverride>
    <w:lvlOverride w:ilvl="6">
      <w:startOverride w:val="635"/>
    </w:lvlOverride>
    <w:lvlOverride w:ilvl="7">
      <w:startOverride w:val="635"/>
    </w:lvlOverride>
    <w:lvlOverride w:ilvl="8">
      <w:startOverride w:val="635"/>
    </w:lvlOverride>
  </w:num>
  <w:num w:numId="142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23">
    <w:abstractNumId w:val="9943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424">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425">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26">
    <w:abstractNumId w:val="9943120"/>
    <w:lvlOverride w:ilvl="0">
      <w:startOverride w:val="120"/>
    </w:lvlOverride>
    <w:lvlOverride w:ilvl="1">
      <w:startOverride w:val="120"/>
    </w:lvlOverride>
    <w:lvlOverride w:ilvl="2">
      <w:startOverride w:val="120"/>
    </w:lvlOverride>
    <w:lvlOverride w:ilvl="3">
      <w:startOverride w:val="120"/>
    </w:lvlOverride>
    <w:lvlOverride w:ilvl="4">
      <w:startOverride w:val="120"/>
    </w:lvlOverride>
    <w:lvlOverride w:ilvl="5">
      <w:startOverride w:val="120"/>
    </w:lvlOverride>
    <w:lvlOverride w:ilvl="6">
      <w:startOverride w:val="120"/>
    </w:lvlOverride>
    <w:lvlOverride w:ilvl="7">
      <w:startOverride w:val="120"/>
    </w:lvlOverride>
    <w:lvlOverride w:ilvl="8">
      <w:startOverride w:val="120"/>
    </w:lvlOverride>
  </w:num>
  <w:num w:numId="14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8">
    <w:abstractNumId w:val="994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429">
    <w:abstractNumId w:val="9943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430">
    <w:abstractNumId w:val="9943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431">
    <w:abstractNumId w:val="9943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432">
    <w:abstractNumId w:val="9943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4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4">
    <w:abstractNumId w:val="9943480"/>
    <w:lvlOverride w:ilvl="0">
      <w:startOverride w:val="480"/>
    </w:lvlOverride>
    <w:lvlOverride w:ilvl="1">
      <w:startOverride w:val="480"/>
    </w:lvlOverride>
    <w:lvlOverride w:ilvl="2">
      <w:startOverride w:val="480"/>
    </w:lvlOverride>
    <w:lvlOverride w:ilvl="3">
      <w:startOverride w:val="480"/>
    </w:lvlOverride>
    <w:lvlOverride w:ilvl="4">
      <w:startOverride w:val="480"/>
    </w:lvlOverride>
    <w:lvlOverride w:ilvl="5">
      <w:startOverride w:val="480"/>
    </w:lvlOverride>
    <w:lvlOverride w:ilvl="6">
      <w:startOverride w:val="480"/>
    </w:lvlOverride>
    <w:lvlOverride w:ilvl="7">
      <w:startOverride w:val="480"/>
    </w:lvlOverride>
    <w:lvlOverride w:ilvl="8">
      <w:startOverride w:val="480"/>
    </w:lvlOverride>
  </w:num>
  <w:num w:numId="143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3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3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4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44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4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443">
    <w:abstractNumId w:val="9943287"/>
    <w:lvlOverride w:ilvl="0">
      <w:startOverride w:val="287"/>
    </w:lvlOverride>
    <w:lvlOverride w:ilvl="1">
      <w:startOverride w:val="287"/>
    </w:lvlOverride>
    <w:lvlOverride w:ilvl="2">
      <w:startOverride w:val="287"/>
    </w:lvlOverride>
    <w:lvlOverride w:ilvl="3">
      <w:startOverride w:val="287"/>
    </w:lvlOverride>
    <w:lvlOverride w:ilvl="4">
      <w:startOverride w:val="287"/>
    </w:lvlOverride>
    <w:lvlOverride w:ilvl="5">
      <w:startOverride w:val="287"/>
    </w:lvlOverride>
    <w:lvlOverride w:ilvl="6">
      <w:startOverride w:val="287"/>
    </w:lvlOverride>
    <w:lvlOverride w:ilvl="7">
      <w:startOverride w:val="287"/>
    </w:lvlOverride>
    <w:lvlOverride w:ilvl="8">
      <w:startOverride w:val="287"/>
    </w:lvlOverride>
  </w:num>
  <w:num w:numId="1444">
    <w:abstractNumId w:val="994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445">
    <w:abstractNumId w:val="9943285"/>
    <w:lvlOverride w:ilvl="0">
      <w:startOverride w:val="285"/>
    </w:lvlOverride>
    <w:lvlOverride w:ilvl="1">
      <w:startOverride w:val="285"/>
    </w:lvlOverride>
    <w:lvlOverride w:ilvl="2">
      <w:startOverride w:val="285"/>
    </w:lvlOverride>
    <w:lvlOverride w:ilvl="3">
      <w:startOverride w:val="285"/>
    </w:lvlOverride>
    <w:lvlOverride w:ilvl="4">
      <w:startOverride w:val="285"/>
    </w:lvlOverride>
    <w:lvlOverride w:ilvl="5">
      <w:startOverride w:val="285"/>
    </w:lvlOverride>
    <w:lvlOverride w:ilvl="6">
      <w:startOverride w:val="285"/>
    </w:lvlOverride>
    <w:lvlOverride w:ilvl="7">
      <w:startOverride w:val="285"/>
    </w:lvlOverride>
    <w:lvlOverride w:ilvl="8">
      <w:startOverride w:val="285"/>
    </w:lvlOverride>
  </w:num>
  <w:num w:numId="1446">
    <w:abstractNumId w:val="9943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447">
    <w:abstractNumId w:val="9943298"/>
    <w:lvlOverride w:ilvl="0">
      <w:startOverride w:val="298"/>
    </w:lvlOverride>
    <w:lvlOverride w:ilvl="1">
      <w:startOverride w:val="298"/>
    </w:lvlOverride>
    <w:lvlOverride w:ilvl="2">
      <w:startOverride w:val="298"/>
    </w:lvlOverride>
    <w:lvlOverride w:ilvl="3">
      <w:startOverride w:val="298"/>
    </w:lvlOverride>
    <w:lvlOverride w:ilvl="4">
      <w:startOverride w:val="298"/>
    </w:lvlOverride>
    <w:lvlOverride w:ilvl="5">
      <w:startOverride w:val="298"/>
    </w:lvlOverride>
    <w:lvlOverride w:ilvl="6">
      <w:startOverride w:val="298"/>
    </w:lvlOverride>
    <w:lvlOverride w:ilvl="7">
      <w:startOverride w:val="298"/>
    </w:lvlOverride>
    <w:lvlOverride w:ilvl="8">
      <w:startOverride w:val="298"/>
    </w:lvlOverride>
  </w:num>
  <w:num w:numId="1448">
    <w:abstractNumId w:val="9943287"/>
    <w:lvlOverride w:ilvl="0">
      <w:startOverride w:val="287"/>
    </w:lvlOverride>
    <w:lvlOverride w:ilvl="1">
      <w:startOverride w:val="287"/>
    </w:lvlOverride>
    <w:lvlOverride w:ilvl="2">
      <w:startOverride w:val="287"/>
    </w:lvlOverride>
    <w:lvlOverride w:ilvl="3">
      <w:startOverride w:val="287"/>
    </w:lvlOverride>
    <w:lvlOverride w:ilvl="4">
      <w:startOverride w:val="287"/>
    </w:lvlOverride>
    <w:lvlOverride w:ilvl="5">
      <w:startOverride w:val="287"/>
    </w:lvlOverride>
    <w:lvlOverride w:ilvl="6">
      <w:startOverride w:val="287"/>
    </w:lvlOverride>
    <w:lvlOverride w:ilvl="7">
      <w:startOverride w:val="287"/>
    </w:lvlOverride>
    <w:lvlOverride w:ilvl="8">
      <w:startOverride w:val="287"/>
    </w:lvlOverride>
  </w:num>
  <w:num w:numId="144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45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4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45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45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455">
    <w:abstractNumId w:val="9943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456">
    <w:abstractNumId w:val="9943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457">
    <w:abstractNumId w:val="9943603"/>
    <w:lvlOverride w:ilvl="0">
      <w:startOverride w:val="603"/>
    </w:lvlOverride>
    <w:lvlOverride w:ilvl="1">
      <w:startOverride w:val="603"/>
    </w:lvlOverride>
    <w:lvlOverride w:ilvl="2">
      <w:startOverride w:val="603"/>
    </w:lvlOverride>
    <w:lvlOverride w:ilvl="3">
      <w:startOverride w:val="603"/>
    </w:lvlOverride>
    <w:lvlOverride w:ilvl="4">
      <w:startOverride w:val="603"/>
    </w:lvlOverride>
    <w:lvlOverride w:ilvl="5">
      <w:startOverride w:val="603"/>
    </w:lvlOverride>
    <w:lvlOverride w:ilvl="6">
      <w:startOverride w:val="603"/>
    </w:lvlOverride>
    <w:lvlOverride w:ilvl="7">
      <w:startOverride w:val="603"/>
    </w:lvlOverride>
    <w:lvlOverride w:ilvl="8">
      <w:startOverride w:val="603"/>
    </w:lvlOverride>
  </w:num>
  <w:num w:numId="14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460">
    <w:abstractNumId w:val="9943162"/>
    <w:lvlOverride w:ilvl="0">
      <w:startOverride w:val="162"/>
    </w:lvlOverride>
    <w:lvlOverride w:ilvl="1">
      <w:startOverride w:val="162"/>
    </w:lvlOverride>
    <w:lvlOverride w:ilvl="2">
      <w:startOverride w:val="162"/>
    </w:lvlOverride>
    <w:lvlOverride w:ilvl="3">
      <w:startOverride w:val="162"/>
    </w:lvlOverride>
    <w:lvlOverride w:ilvl="4">
      <w:startOverride w:val="162"/>
    </w:lvlOverride>
    <w:lvlOverride w:ilvl="5">
      <w:startOverride w:val="162"/>
    </w:lvlOverride>
    <w:lvlOverride w:ilvl="6">
      <w:startOverride w:val="162"/>
    </w:lvlOverride>
    <w:lvlOverride w:ilvl="7">
      <w:startOverride w:val="162"/>
    </w:lvlOverride>
    <w:lvlOverride w:ilvl="8">
      <w:startOverride w:val="162"/>
    </w:lvlOverride>
  </w:num>
  <w:num w:numId="1461">
    <w:abstractNumId w:val="9943143"/>
    <w:lvlOverride w:ilvl="0">
      <w:startOverride w:val="143"/>
    </w:lvlOverride>
    <w:lvlOverride w:ilvl="1">
      <w:startOverride w:val="143"/>
    </w:lvlOverride>
    <w:lvlOverride w:ilvl="2">
      <w:startOverride w:val="143"/>
    </w:lvlOverride>
    <w:lvlOverride w:ilvl="3">
      <w:startOverride w:val="143"/>
    </w:lvlOverride>
    <w:lvlOverride w:ilvl="4">
      <w:startOverride w:val="143"/>
    </w:lvlOverride>
    <w:lvlOverride w:ilvl="5">
      <w:startOverride w:val="143"/>
    </w:lvlOverride>
    <w:lvlOverride w:ilvl="6">
      <w:startOverride w:val="143"/>
    </w:lvlOverride>
    <w:lvlOverride w:ilvl="7">
      <w:startOverride w:val="143"/>
    </w:lvlOverride>
    <w:lvlOverride w:ilvl="8">
      <w:startOverride w:val="143"/>
    </w:lvlOverride>
  </w:num>
  <w:num w:numId="146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4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465">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466">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467">
    <w:abstractNumId w:val="9943500"/>
    <w:lvlOverride w:ilvl="0">
      <w:startOverride w:val="500"/>
    </w:lvlOverride>
    <w:lvlOverride w:ilvl="1">
      <w:startOverride w:val="500"/>
    </w:lvlOverride>
    <w:lvlOverride w:ilvl="2">
      <w:startOverride w:val="500"/>
    </w:lvlOverride>
    <w:lvlOverride w:ilvl="3">
      <w:startOverride w:val="500"/>
    </w:lvlOverride>
    <w:lvlOverride w:ilvl="4">
      <w:startOverride w:val="500"/>
    </w:lvlOverride>
    <w:lvlOverride w:ilvl="5">
      <w:startOverride w:val="500"/>
    </w:lvlOverride>
    <w:lvlOverride w:ilvl="6">
      <w:startOverride w:val="500"/>
    </w:lvlOverride>
    <w:lvlOverride w:ilvl="7">
      <w:startOverride w:val="500"/>
    </w:lvlOverride>
    <w:lvlOverride w:ilvl="8">
      <w:startOverride w:val="500"/>
    </w:lvlOverride>
  </w:num>
  <w:num w:numId="146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9">
    <w:abstractNumId w:val="9943581"/>
    <w:lvlOverride w:ilvl="0">
      <w:startOverride w:val="581"/>
    </w:lvlOverride>
    <w:lvlOverride w:ilvl="1">
      <w:startOverride w:val="581"/>
    </w:lvlOverride>
    <w:lvlOverride w:ilvl="2">
      <w:startOverride w:val="581"/>
    </w:lvlOverride>
    <w:lvlOverride w:ilvl="3">
      <w:startOverride w:val="581"/>
    </w:lvlOverride>
    <w:lvlOverride w:ilvl="4">
      <w:startOverride w:val="581"/>
    </w:lvlOverride>
    <w:lvlOverride w:ilvl="5">
      <w:startOverride w:val="581"/>
    </w:lvlOverride>
    <w:lvlOverride w:ilvl="6">
      <w:startOverride w:val="581"/>
    </w:lvlOverride>
    <w:lvlOverride w:ilvl="7">
      <w:startOverride w:val="581"/>
    </w:lvlOverride>
    <w:lvlOverride w:ilvl="8">
      <w:startOverride w:val="581"/>
    </w:lvlOverride>
  </w:num>
  <w:num w:numId="147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471">
    <w:abstractNumId w:val="9943696"/>
    <w:lvlOverride w:ilvl="0">
      <w:startOverride w:val="696"/>
    </w:lvlOverride>
    <w:lvlOverride w:ilvl="1">
      <w:startOverride w:val="696"/>
    </w:lvlOverride>
    <w:lvlOverride w:ilvl="2">
      <w:startOverride w:val="696"/>
    </w:lvlOverride>
    <w:lvlOverride w:ilvl="3">
      <w:startOverride w:val="696"/>
    </w:lvlOverride>
    <w:lvlOverride w:ilvl="4">
      <w:startOverride w:val="696"/>
    </w:lvlOverride>
    <w:lvlOverride w:ilvl="5">
      <w:startOverride w:val="696"/>
    </w:lvlOverride>
    <w:lvlOverride w:ilvl="6">
      <w:startOverride w:val="696"/>
    </w:lvlOverride>
    <w:lvlOverride w:ilvl="7">
      <w:startOverride w:val="696"/>
    </w:lvlOverride>
    <w:lvlOverride w:ilvl="8">
      <w:startOverride w:val="696"/>
    </w:lvlOverride>
  </w:num>
  <w:num w:numId="1472">
    <w:abstractNumId w:val="9943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473">
    <w:abstractNumId w:val="9943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474">
    <w:abstractNumId w:val="9943266"/>
    <w:lvlOverride w:ilvl="0">
      <w:startOverride w:val="266"/>
    </w:lvlOverride>
    <w:lvlOverride w:ilvl="1">
      <w:startOverride w:val="266"/>
    </w:lvlOverride>
    <w:lvlOverride w:ilvl="2">
      <w:startOverride w:val="266"/>
    </w:lvlOverride>
    <w:lvlOverride w:ilvl="3">
      <w:startOverride w:val="266"/>
    </w:lvlOverride>
    <w:lvlOverride w:ilvl="4">
      <w:startOverride w:val="266"/>
    </w:lvlOverride>
    <w:lvlOverride w:ilvl="5">
      <w:startOverride w:val="266"/>
    </w:lvlOverride>
    <w:lvlOverride w:ilvl="6">
      <w:startOverride w:val="266"/>
    </w:lvlOverride>
    <w:lvlOverride w:ilvl="7">
      <w:startOverride w:val="266"/>
    </w:lvlOverride>
    <w:lvlOverride w:ilvl="8">
      <w:startOverride w:val="266"/>
    </w:lvlOverride>
  </w:num>
  <w:num w:numId="1475">
    <w:abstractNumId w:val="9943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476">
    <w:abstractNumId w:val="9943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47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47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8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81">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48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83">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48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48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4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488">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489">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49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49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9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49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497">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49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499">
    <w:abstractNumId w:val="9943550"/>
    <w:lvlOverride w:ilvl="0">
      <w:startOverride w:val="550"/>
    </w:lvlOverride>
    <w:lvlOverride w:ilvl="1">
      <w:startOverride w:val="550"/>
    </w:lvlOverride>
    <w:lvlOverride w:ilvl="2">
      <w:startOverride w:val="550"/>
    </w:lvlOverride>
    <w:lvlOverride w:ilvl="3">
      <w:startOverride w:val="550"/>
    </w:lvlOverride>
    <w:lvlOverride w:ilvl="4">
      <w:startOverride w:val="550"/>
    </w:lvlOverride>
    <w:lvlOverride w:ilvl="5">
      <w:startOverride w:val="550"/>
    </w:lvlOverride>
    <w:lvlOverride w:ilvl="6">
      <w:startOverride w:val="550"/>
    </w:lvlOverride>
    <w:lvlOverride w:ilvl="7">
      <w:startOverride w:val="550"/>
    </w:lvlOverride>
    <w:lvlOverride w:ilvl="8">
      <w:startOverride w:val="550"/>
    </w:lvlOverride>
  </w:num>
  <w:num w:numId="1500">
    <w:abstractNumId w:val="9943550"/>
    <w:lvlOverride w:ilvl="0">
      <w:startOverride w:val="550"/>
    </w:lvlOverride>
    <w:lvlOverride w:ilvl="1">
      <w:startOverride w:val="550"/>
    </w:lvlOverride>
    <w:lvlOverride w:ilvl="2">
      <w:startOverride w:val="550"/>
    </w:lvlOverride>
    <w:lvlOverride w:ilvl="3">
      <w:startOverride w:val="550"/>
    </w:lvlOverride>
    <w:lvlOverride w:ilvl="4">
      <w:startOverride w:val="550"/>
    </w:lvlOverride>
    <w:lvlOverride w:ilvl="5">
      <w:startOverride w:val="550"/>
    </w:lvlOverride>
    <w:lvlOverride w:ilvl="6">
      <w:startOverride w:val="550"/>
    </w:lvlOverride>
    <w:lvlOverride w:ilvl="7">
      <w:startOverride w:val="550"/>
    </w:lvlOverride>
    <w:lvlOverride w:ilvl="8">
      <w:startOverride w:val="550"/>
    </w:lvlOverride>
  </w:num>
  <w:num w:numId="1501">
    <w:abstractNumId w:val="9943289"/>
    <w:lvlOverride w:ilvl="0">
      <w:startOverride w:val="289"/>
    </w:lvlOverride>
    <w:lvlOverride w:ilvl="1">
      <w:startOverride w:val="289"/>
    </w:lvlOverride>
    <w:lvlOverride w:ilvl="2">
      <w:startOverride w:val="289"/>
    </w:lvlOverride>
    <w:lvlOverride w:ilvl="3">
      <w:startOverride w:val="289"/>
    </w:lvlOverride>
    <w:lvlOverride w:ilvl="4">
      <w:startOverride w:val="289"/>
    </w:lvlOverride>
    <w:lvlOverride w:ilvl="5">
      <w:startOverride w:val="289"/>
    </w:lvlOverride>
    <w:lvlOverride w:ilvl="6">
      <w:startOverride w:val="289"/>
    </w:lvlOverride>
    <w:lvlOverride w:ilvl="7">
      <w:startOverride w:val="289"/>
    </w:lvlOverride>
    <w:lvlOverride w:ilvl="8">
      <w:startOverride w:val="289"/>
    </w:lvlOverride>
  </w:num>
  <w:num w:numId="1502">
    <w:abstractNumId w:val="9943289"/>
    <w:lvlOverride w:ilvl="0">
      <w:startOverride w:val="289"/>
    </w:lvlOverride>
    <w:lvlOverride w:ilvl="1">
      <w:startOverride w:val="289"/>
    </w:lvlOverride>
    <w:lvlOverride w:ilvl="2">
      <w:startOverride w:val="289"/>
    </w:lvlOverride>
    <w:lvlOverride w:ilvl="3">
      <w:startOverride w:val="289"/>
    </w:lvlOverride>
    <w:lvlOverride w:ilvl="4">
      <w:startOverride w:val="289"/>
    </w:lvlOverride>
    <w:lvlOverride w:ilvl="5">
      <w:startOverride w:val="289"/>
    </w:lvlOverride>
    <w:lvlOverride w:ilvl="6">
      <w:startOverride w:val="289"/>
    </w:lvlOverride>
    <w:lvlOverride w:ilvl="7">
      <w:startOverride w:val="289"/>
    </w:lvlOverride>
    <w:lvlOverride w:ilvl="8">
      <w:startOverride w:val="289"/>
    </w:lvlOverride>
  </w:num>
  <w:num w:numId="1503">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504">
    <w:abstractNumId w:val="9943405"/>
    <w:lvlOverride w:ilvl="0">
      <w:startOverride w:val="405"/>
    </w:lvlOverride>
    <w:lvlOverride w:ilvl="1">
      <w:startOverride w:val="405"/>
    </w:lvlOverride>
    <w:lvlOverride w:ilvl="2">
      <w:startOverride w:val="405"/>
    </w:lvlOverride>
    <w:lvlOverride w:ilvl="3">
      <w:startOverride w:val="405"/>
    </w:lvlOverride>
    <w:lvlOverride w:ilvl="4">
      <w:startOverride w:val="405"/>
    </w:lvlOverride>
    <w:lvlOverride w:ilvl="5">
      <w:startOverride w:val="405"/>
    </w:lvlOverride>
    <w:lvlOverride w:ilvl="6">
      <w:startOverride w:val="405"/>
    </w:lvlOverride>
    <w:lvlOverride w:ilvl="7">
      <w:startOverride w:val="405"/>
    </w:lvlOverride>
    <w:lvlOverride w:ilvl="8">
      <w:startOverride w:val="405"/>
    </w:lvlOverride>
  </w:num>
  <w:num w:numId="1505">
    <w:abstractNumId w:val="9943286"/>
    <w:lvlOverride w:ilvl="0">
      <w:startOverride w:val="286"/>
    </w:lvlOverride>
    <w:lvlOverride w:ilvl="1">
      <w:startOverride w:val="286"/>
    </w:lvlOverride>
    <w:lvlOverride w:ilvl="2">
      <w:startOverride w:val="286"/>
    </w:lvlOverride>
    <w:lvlOverride w:ilvl="3">
      <w:startOverride w:val="286"/>
    </w:lvlOverride>
    <w:lvlOverride w:ilvl="4">
      <w:startOverride w:val="286"/>
    </w:lvlOverride>
    <w:lvlOverride w:ilvl="5">
      <w:startOverride w:val="286"/>
    </w:lvlOverride>
    <w:lvlOverride w:ilvl="6">
      <w:startOverride w:val="286"/>
    </w:lvlOverride>
    <w:lvlOverride w:ilvl="7">
      <w:startOverride w:val="286"/>
    </w:lvlOverride>
    <w:lvlOverride w:ilvl="8">
      <w:startOverride w:val="286"/>
    </w:lvlOverride>
  </w:num>
  <w:num w:numId="1506">
    <w:abstractNumId w:val="9943286"/>
    <w:lvlOverride w:ilvl="0">
      <w:startOverride w:val="286"/>
    </w:lvlOverride>
    <w:lvlOverride w:ilvl="1">
      <w:startOverride w:val="286"/>
    </w:lvlOverride>
    <w:lvlOverride w:ilvl="2">
      <w:startOverride w:val="286"/>
    </w:lvlOverride>
    <w:lvlOverride w:ilvl="3">
      <w:startOverride w:val="286"/>
    </w:lvlOverride>
    <w:lvlOverride w:ilvl="4">
      <w:startOverride w:val="286"/>
    </w:lvlOverride>
    <w:lvlOverride w:ilvl="5">
      <w:startOverride w:val="286"/>
    </w:lvlOverride>
    <w:lvlOverride w:ilvl="6">
      <w:startOverride w:val="286"/>
    </w:lvlOverride>
    <w:lvlOverride w:ilvl="7">
      <w:startOverride w:val="286"/>
    </w:lvlOverride>
    <w:lvlOverride w:ilvl="8">
      <w:startOverride w:val="286"/>
    </w:lvlOverride>
  </w:num>
  <w:num w:numId="15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0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09">
    <w:abstractNumId w:val="9943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51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1">
    <w:abstractNumId w:val="9943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512">
    <w:abstractNumId w:val="9943123"/>
    <w:lvlOverride w:ilvl="0">
      <w:startOverride w:val="123"/>
    </w:lvlOverride>
    <w:lvlOverride w:ilvl="1">
      <w:startOverride w:val="123"/>
    </w:lvlOverride>
    <w:lvlOverride w:ilvl="2">
      <w:startOverride w:val="123"/>
    </w:lvlOverride>
    <w:lvlOverride w:ilvl="3">
      <w:startOverride w:val="123"/>
    </w:lvlOverride>
    <w:lvlOverride w:ilvl="4">
      <w:startOverride w:val="123"/>
    </w:lvlOverride>
    <w:lvlOverride w:ilvl="5">
      <w:startOverride w:val="123"/>
    </w:lvlOverride>
    <w:lvlOverride w:ilvl="6">
      <w:startOverride w:val="123"/>
    </w:lvlOverride>
    <w:lvlOverride w:ilvl="7">
      <w:startOverride w:val="123"/>
    </w:lvlOverride>
    <w:lvlOverride w:ilvl="8">
      <w:startOverride w:val="123"/>
    </w:lvlOverride>
  </w:num>
  <w:num w:numId="1513">
    <w:abstractNumId w:val="9943629"/>
    <w:lvlOverride w:ilvl="0">
      <w:startOverride w:val="629"/>
    </w:lvlOverride>
    <w:lvlOverride w:ilvl="1">
      <w:startOverride w:val="629"/>
    </w:lvlOverride>
    <w:lvlOverride w:ilvl="2">
      <w:startOverride w:val="629"/>
    </w:lvlOverride>
    <w:lvlOverride w:ilvl="3">
      <w:startOverride w:val="629"/>
    </w:lvlOverride>
    <w:lvlOverride w:ilvl="4">
      <w:startOverride w:val="629"/>
    </w:lvlOverride>
    <w:lvlOverride w:ilvl="5">
      <w:startOverride w:val="629"/>
    </w:lvlOverride>
    <w:lvlOverride w:ilvl="6">
      <w:startOverride w:val="629"/>
    </w:lvlOverride>
    <w:lvlOverride w:ilvl="7">
      <w:startOverride w:val="629"/>
    </w:lvlOverride>
    <w:lvlOverride w:ilvl="8">
      <w:startOverride w:val="629"/>
    </w:lvlOverride>
  </w:num>
  <w:num w:numId="1514">
    <w:abstractNumId w:val="9943180"/>
    <w:lvlOverride w:ilvl="0">
      <w:startOverride w:val="180"/>
    </w:lvlOverride>
    <w:lvlOverride w:ilvl="1">
      <w:startOverride w:val="180"/>
    </w:lvlOverride>
    <w:lvlOverride w:ilvl="2">
      <w:startOverride w:val="180"/>
    </w:lvlOverride>
    <w:lvlOverride w:ilvl="3">
      <w:startOverride w:val="180"/>
    </w:lvlOverride>
    <w:lvlOverride w:ilvl="4">
      <w:startOverride w:val="180"/>
    </w:lvlOverride>
    <w:lvlOverride w:ilvl="5">
      <w:startOverride w:val="180"/>
    </w:lvlOverride>
    <w:lvlOverride w:ilvl="6">
      <w:startOverride w:val="180"/>
    </w:lvlOverride>
    <w:lvlOverride w:ilvl="7">
      <w:startOverride w:val="180"/>
    </w:lvlOverride>
    <w:lvlOverride w:ilvl="8">
      <w:startOverride w:val="180"/>
    </w:lvlOverride>
  </w:num>
  <w:num w:numId="1515">
    <w:abstractNumId w:val="9943180"/>
    <w:lvlOverride w:ilvl="0">
      <w:startOverride w:val="180"/>
    </w:lvlOverride>
    <w:lvlOverride w:ilvl="1">
      <w:startOverride w:val="180"/>
    </w:lvlOverride>
    <w:lvlOverride w:ilvl="2">
      <w:startOverride w:val="180"/>
    </w:lvlOverride>
    <w:lvlOverride w:ilvl="3">
      <w:startOverride w:val="180"/>
    </w:lvlOverride>
    <w:lvlOverride w:ilvl="4">
      <w:startOverride w:val="180"/>
    </w:lvlOverride>
    <w:lvlOverride w:ilvl="5">
      <w:startOverride w:val="180"/>
    </w:lvlOverride>
    <w:lvlOverride w:ilvl="6">
      <w:startOverride w:val="180"/>
    </w:lvlOverride>
    <w:lvlOverride w:ilvl="7">
      <w:startOverride w:val="180"/>
    </w:lvlOverride>
    <w:lvlOverride w:ilvl="8">
      <w:startOverride w:val="180"/>
    </w:lvlOverride>
  </w:num>
  <w:num w:numId="1516">
    <w:abstractNumId w:val="9943195"/>
    <w:lvlOverride w:ilvl="0">
      <w:startOverride w:val="195"/>
    </w:lvlOverride>
    <w:lvlOverride w:ilvl="1">
      <w:startOverride w:val="195"/>
    </w:lvlOverride>
    <w:lvlOverride w:ilvl="2">
      <w:startOverride w:val="195"/>
    </w:lvlOverride>
    <w:lvlOverride w:ilvl="3">
      <w:startOverride w:val="195"/>
    </w:lvlOverride>
    <w:lvlOverride w:ilvl="4">
      <w:startOverride w:val="195"/>
    </w:lvlOverride>
    <w:lvlOverride w:ilvl="5">
      <w:startOverride w:val="195"/>
    </w:lvlOverride>
    <w:lvlOverride w:ilvl="6">
      <w:startOverride w:val="195"/>
    </w:lvlOverride>
    <w:lvlOverride w:ilvl="7">
      <w:startOverride w:val="195"/>
    </w:lvlOverride>
    <w:lvlOverride w:ilvl="8">
      <w:startOverride w:val="195"/>
    </w:lvlOverride>
  </w:num>
  <w:num w:numId="1517">
    <w:abstractNumId w:val="9943522"/>
    <w:lvlOverride w:ilvl="0">
      <w:startOverride w:val="522"/>
    </w:lvlOverride>
    <w:lvlOverride w:ilvl="1">
      <w:startOverride w:val="522"/>
    </w:lvlOverride>
    <w:lvlOverride w:ilvl="2">
      <w:startOverride w:val="522"/>
    </w:lvlOverride>
    <w:lvlOverride w:ilvl="3">
      <w:startOverride w:val="522"/>
    </w:lvlOverride>
    <w:lvlOverride w:ilvl="4">
      <w:startOverride w:val="522"/>
    </w:lvlOverride>
    <w:lvlOverride w:ilvl="5">
      <w:startOverride w:val="522"/>
    </w:lvlOverride>
    <w:lvlOverride w:ilvl="6">
      <w:startOverride w:val="522"/>
    </w:lvlOverride>
    <w:lvlOverride w:ilvl="7">
      <w:startOverride w:val="522"/>
    </w:lvlOverride>
    <w:lvlOverride w:ilvl="8">
      <w:startOverride w:val="522"/>
    </w:lvlOverride>
  </w:num>
  <w:num w:numId="1518">
    <w:abstractNumId w:val="9943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519">
    <w:abstractNumId w:val="9943119"/>
    <w:lvlOverride w:ilvl="0">
      <w:startOverride w:val="119"/>
    </w:lvlOverride>
    <w:lvlOverride w:ilvl="1">
      <w:startOverride w:val="119"/>
    </w:lvlOverride>
    <w:lvlOverride w:ilvl="2">
      <w:startOverride w:val="119"/>
    </w:lvlOverride>
    <w:lvlOverride w:ilvl="3">
      <w:startOverride w:val="119"/>
    </w:lvlOverride>
    <w:lvlOverride w:ilvl="4">
      <w:startOverride w:val="119"/>
    </w:lvlOverride>
    <w:lvlOverride w:ilvl="5">
      <w:startOverride w:val="119"/>
    </w:lvlOverride>
    <w:lvlOverride w:ilvl="6">
      <w:startOverride w:val="119"/>
    </w:lvlOverride>
    <w:lvlOverride w:ilvl="7">
      <w:startOverride w:val="119"/>
    </w:lvlOverride>
    <w:lvlOverride w:ilvl="8">
      <w:startOverride w:val="119"/>
    </w:lvlOverride>
  </w:num>
  <w:num w:numId="1520">
    <w:abstractNumId w:val="9943225"/>
    <w:lvlOverride w:ilvl="0">
      <w:startOverride w:val="225"/>
    </w:lvlOverride>
    <w:lvlOverride w:ilvl="1">
      <w:startOverride w:val="225"/>
    </w:lvlOverride>
    <w:lvlOverride w:ilvl="2">
      <w:startOverride w:val="225"/>
    </w:lvlOverride>
    <w:lvlOverride w:ilvl="3">
      <w:startOverride w:val="225"/>
    </w:lvlOverride>
    <w:lvlOverride w:ilvl="4">
      <w:startOverride w:val="225"/>
    </w:lvlOverride>
    <w:lvlOverride w:ilvl="5">
      <w:startOverride w:val="225"/>
    </w:lvlOverride>
    <w:lvlOverride w:ilvl="6">
      <w:startOverride w:val="225"/>
    </w:lvlOverride>
    <w:lvlOverride w:ilvl="7">
      <w:startOverride w:val="225"/>
    </w:lvlOverride>
    <w:lvlOverride w:ilvl="8">
      <w:startOverride w:val="225"/>
    </w:lvlOverride>
  </w:num>
  <w:num w:numId="152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5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5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527">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528">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529">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530">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531">
    <w:abstractNumId w:val="991"/>
  </w:num>
  <w:num w:numId="153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5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3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53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5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5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54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54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5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547">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548">
    <w:abstractNumId w:val="9943155"/>
    <w:lvlOverride w:ilvl="0">
      <w:startOverride w:val="155"/>
    </w:lvlOverride>
    <w:lvlOverride w:ilvl="1">
      <w:startOverride w:val="155"/>
    </w:lvlOverride>
    <w:lvlOverride w:ilvl="2">
      <w:startOverride w:val="155"/>
    </w:lvlOverride>
    <w:lvlOverride w:ilvl="3">
      <w:startOverride w:val="155"/>
    </w:lvlOverride>
    <w:lvlOverride w:ilvl="4">
      <w:startOverride w:val="155"/>
    </w:lvlOverride>
    <w:lvlOverride w:ilvl="5">
      <w:startOverride w:val="155"/>
    </w:lvlOverride>
    <w:lvlOverride w:ilvl="6">
      <w:startOverride w:val="155"/>
    </w:lvlOverride>
    <w:lvlOverride w:ilvl="7">
      <w:startOverride w:val="155"/>
    </w:lvlOverride>
    <w:lvlOverride w:ilvl="8">
      <w:startOverride w:val="155"/>
    </w:lvlOverride>
  </w:num>
  <w:num w:numId="1549">
    <w:abstractNumId w:val="9943220"/>
    <w:lvlOverride w:ilvl="0">
      <w:startOverride w:val="220"/>
    </w:lvlOverride>
    <w:lvlOverride w:ilvl="1">
      <w:startOverride w:val="220"/>
    </w:lvlOverride>
    <w:lvlOverride w:ilvl="2">
      <w:startOverride w:val="220"/>
    </w:lvlOverride>
    <w:lvlOverride w:ilvl="3">
      <w:startOverride w:val="220"/>
    </w:lvlOverride>
    <w:lvlOverride w:ilvl="4">
      <w:startOverride w:val="220"/>
    </w:lvlOverride>
    <w:lvlOverride w:ilvl="5">
      <w:startOverride w:val="220"/>
    </w:lvlOverride>
    <w:lvlOverride w:ilvl="6">
      <w:startOverride w:val="220"/>
    </w:lvlOverride>
    <w:lvlOverride w:ilvl="7">
      <w:startOverride w:val="220"/>
    </w:lvlOverride>
    <w:lvlOverride w:ilvl="8">
      <w:startOverride w:val="220"/>
    </w:lvlOverride>
  </w:num>
  <w:num w:numId="15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552">
    <w:abstractNumId w:val="9943220"/>
    <w:lvlOverride w:ilvl="0">
      <w:startOverride w:val="220"/>
    </w:lvlOverride>
    <w:lvlOverride w:ilvl="1">
      <w:startOverride w:val="220"/>
    </w:lvlOverride>
    <w:lvlOverride w:ilvl="2">
      <w:startOverride w:val="220"/>
    </w:lvlOverride>
    <w:lvlOverride w:ilvl="3">
      <w:startOverride w:val="220"/>
    </w:lvlOverride>
    <w:lvlOverride w:ilvl="4">
      <w:startOverride w:val="220"/>
    </w:lvlOverride>
    <w:lvlOverride w:ilvl="5">
      <w:startOverride w:val="220"/>
    </w:lvlOverride>
    <w:lvlOverride w:ilvl="6">
      <w:startOverride w:val="220"/>
    </w:lvlOverride>
    <w:lvlOverride w:ilvl="7">
      <w:startOverride w:val="220"/>
    </w:lvlOverride>
    <w:lvlOverride w:ilvl="8">
      <w:startOverride w:val="220"/>
    </w:lvlOverride>
  </w:num>
  <w:num w:numId="1553">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554">
    <w:abstractNumId w:val="9943155"/>
    <w:lvlOverride w:ilvl="0">
      <w:startOverride w:val="155"/>
    </w:lvlOverride>
    <w:lvlOverride w:ilvl="1">
      <w:startOverride w:val="155"/>
    </w:lvlOverride>
    <w:lvlOverride w:ilvl="2">
      <w:startOverride w:val="155"/>
    </w:lvlOverride>
    <w:lvlOverride w:ilvl="3">
      <w:startOverride w:val="155"/>
    </w:lvlOverride>
    <w:lvlOverride w:ilvl="4">
      <w:startOverride w:val="155"/>
    </w:lvlOverride>
    <w:lvlOverride w:ilvl="5">
      <w:startOverride w:val="155"/>
    </w:lvlOverride>
    <w:lvlOverride w:ilvl="6">
      <w:startOverride w:val="155"/>
    </w:lvlOverride>
    <w:lvlOverride w:ilvl="7">
      <w:startOverride w:val="155"/>
    </w:lvlOverride>
    <w:lvlOverride w:ilvl="8">
      <w:startOverride w:val="155"/>
    </w:lvlOverride>
  </w:num>
  <w:num w:numId="1555">
    <w:abstractNumId w:val="9943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556">
    <w:abstractNumId w:val="9943258"/>
    <w:lvlOverride w:ilvl="0">
      <w:startOverride w:val="258"/>
    </w:lvlOverride>
    <w:lvlOverride w:ilvl="1">
      <w:startOverride w:val="258"/>
    </w:lvlOverride>
    <w:lvlOverride w:ilvl="2">
      <w:startOverride w:val="258"/>
    </w:lvlOverride>
    <w:lvlOverride w:ilvl="3">
      <w:startOverride w:val="258"/>
    </w:lvlOverride>
    <w:lvlOverride w:ilvl="4">
      <w:startOverride w:val="258"/>
    </w:lvlOverride>
    <w:lvlOverride w:ilvl="5">
      <w:startOverride w:val="258"/>
    </w:lvlOverride>
    <w:lvlOverride w:ilvl="6">
      <w:startOverride w:val="258"/>
    </w:lvlOverride>
    <w:lvlOverride w:ilvl="7">
      <w:startOverride w:val="258"/>
    </w:lvlOverride>
    <w:lvlOverride w:ilvl="8">
      <w:startOverride w:val="258"/>
    </w:lvlOverride>
  </w:num>
  <w:num w:numId="1557">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558">
    <w:abstractNumId w:val="9943220"/>
    <w:lvlOverride w:ilvl="0">
      <w:startOverride w:val="220"/>
    </w:lvlOverride>
    <w:lvlOverride w:ilvl="1">
      <w:startOverride w:val="220"/>
    </w:lvlOverride>
    <w:lvlOverride w:ilvl="2">
      <w:startOverride w:val="220"/>
    </w:lvlOverride>
    <w:lvlOverride w:ilvl="3">
      <w:startOverride w:val="220"/>
    </w:lvlOverride>
    <w:lvlOverride w:ilvl="4">
      <w:startOverride w:val="220"/>
    </w:lvlOverride>
    <w:lvlOverride w:ilvl="5">
      <w:startOverride w:val="220"/>
    </w:lvlOverride>
    <w:lvlOverride w:ilvl="6">
      <w:startOverride w:val="220"/>
    </w:lvlOverride>
    <w:lvlOverride w:ilvl="7">
      <w:startOverride w:val="220"/>
    </w:lvlOverride>
    <w:lvlOverride w:ilvl="8">
      <w:startOverride w:val="220"/>
    </w:lvlOverride>
  </w:num>
  <w:num w:numId="1559">
    <w:abstractNumId w:val="9943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560">
    <w:abstractNumId w:val="9943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1561">
    <w:abstractNumId w:val="9943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1562">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563">
    <w:abstractNumId w:val="9943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564">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565">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56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5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569">
    <w:abstractNumId w:val="9943171"/>
    <w:lvlOverride w:ilvl="0">
      <w:startOverride w:val="171"/>
    </w:lvlOverride>
    <w:lvlOverride w:ilvl="1">
      <w:startOverride w:val="171"/>
    </w:lvlOverride>
    <w:lvlOverride w:ilvl="2">
      <w:startOverride w:val="171"/>
    </w:lvlOverride>
    <w:lvlOverride w:ilvl="3">
      <w:startOverride w:val="171"/>
    </w:lvlOverride>
    <w:lvlOverride w:ilvl="4">
      <w:startOverride w:val="171"/>
    </w:lvlOverride>
    <w:lvlOverride w:ilvl="5">
      <w:startOverride w:val="171"/>
    </w:lvlOverride>
    <w:lvlOverride w:ilvl="6">
      <w:startOverride w:val="171"/>
    </w:lvlOverride>
    <w:lvlOverride w:ilvl="7">
      <w:startOverride w:val="171"/>
    </w:lvlOverride>
    <w:lvlOverride w:ilvl="8">
      <w:startOverride w:val="171"/>
    </w:lvlOverride>
  </w:num>
  <w:num w:numId="15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2">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573">
    <w:abstractNumId w:val="9943171"/>
    <w:lvlOverride w:ilvl="0">
      <w:startOverride w:val="171"/>
    </w:lvlOverride>
    <w:lvlOverride w:ilvl="1">
      <w:startOverride w:val="171"/>
    </w:lvlOverride>
    <w:lvlOverride w:ilvl="2">
      <w:startOverride w:val="171"/>
    </w:lvlOverride>
    <w:lvlOverride w:ilvl="3">
      <w:startOverride w:val="171"/>
    </w:lvlOverride>
    <w:lvlOverride w:ilvl="4">
      <w:startOverride w:val="171"/>
    </w:lvlOverride>
    <w:lvlOverride w:ilvl="5">
      <w:startOverride w:val="171"/>
    </w:lvlOverride>
    <w:lvlOverride w:ilvl="6">
      <w:startOverride w:val="171"/>
    </w:lvlOverride>
    <w:lvlOverride w:ilvl="7">
      <w:startOverride w:val="171"/>
    </w:lvlOverride>
    <w:lvlOverride w:ilvl="8">
      <w:startOverride w:val="171"/>
    </w:lvlOverride>
  </w:num>
  <w:num w:numId="1574">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5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577">
    <w:abstractNumId w:val="9943179"/>
    <w:lvlOverride w:ilvl="0">
      <w:startOverride w:val="179"/>
    </w:lvlOverride>
    <w:lvlOverride w:ilvl="1">
      <w:startOverride w:val="179"/>
    </w:lvlOverride>
    <w:lvlOverride w:ilvl="2">
      <w:startOverride w:val="179"/>
    </w:lvlOverride>
    <w:lvlOverride w:ilvl="3">
      <w:startOverride w:val="179"/>
    </w:lvlOverride>
    <w:lvlOverride w:ilvl="4">
      <w:startOverride w:val="179"/>
    </w:lvlOverride>
    <w:lvlOverride w:ilvl="5">
      <w:startOverride w:val="179"/>
    </w:lvlOverride>
    <w:lvlOverride w:ilvl="6">
      <w:startOverride w:val="179"/>
    </w:lvlOverride>
    <w:lvlOverride w:ilvl="7">
      <w:startOverride w:val="179"/>
    </w:lvlOverride>
    <w:lvlOverride w:ilvl="8">
      <w:startOverride w:val="179"/>
    </w:lvlOverride>
  </w:num>
  <w:num w:numId="1578">
    <w:abstractNumId w:val="9943668"/>
    <w:lvlOverride w:ilvl="0">
      <w:startOverride w:val="668"/>
    </w:lvlOverride>
    <w:lvlOverride w:ilvl="1">
      <w:startOverride w:val="668"/>
    </w:lvlOverride>
    <w:lvlOverride w:ilvl="2">
      <w:startOverride w:val="668"/>
    </w:lvlOverride>
    <w:lvlOverride w:ilvl="3">
      <w:startOverride w:val="668"/>
    </w:lvlOverride>
    <w:lvlOverride w:ilvl="4">
      <w:startOverride w:val="668"/>
    </w:lvlOverride>
    <w:lvlOverride w:ilvl="5">
      <w:startOverride w:val="668"/>
    </w:lvlOverride>
    <w:lvlOverride w:ilvl="6">
      <w:startOverride w:val="668"/>
    </w:lvlOverride>
    <w:lvlOverride w:ilvl="7">
      <w:startOverride w:val="668"/>
    </w:lvlOverride>
    <w:lvlOverride w:ilvl="8">
      <w:startOverride w:val="668"/>
    </w:lvlOverride>
  </w:num>
  <w:num w:numId="1579">
    <w:abstractNumId w:val="9943668"/>
    <w:lvlOverride w:ilvl="0">
      <w:startOverride w:val="668"/>
    </w:lvlOverride>
    <w:lvlOverride w:ilvl="1">
      <w:startOverride w:val="668"/>
    </w:lvlOverride>
    <w:lvlOverride w:ilvl="2">
      <w:startOverride w:val="668"/>
    </w:lvlOverride>
    <w:lvlOverride w:ilvl="3">
      <w:startOverride w:val="668"/>
    </w:lvlOverride>
    <w:lvlOverride w:ilvl="4">
      <w:startOverride w:val="668"/>
    </w:lvlOverride>
    <w:lvlOverride w:ilvl="5">
      <w:startOverride w:val="668"/>
    </w:lvlOverride>
    <w:lvlOverride w:ilvl="6">
      <w:startOverride w:val="668"/>
    </w:lvlOverride>
    <w:lvlOverride w:ilvl="7">
      <w:startOverride w:val="668"/>
    </w:lvlOverride>
    <w:lvlOverride w:ilvl="8">
      <w:startOverride w:val="668"/>
    </w:lvlOverride>
  </w:num>
  <w:num w:numId="1580">
    <w:abstractNumId w:val="9943668"/>
    <w:lvlOverride w:ilvl="0">
      <w:startOverride w:val="668"/>
    </w:lvlOverride>
    <w:lvlOverride w:ilvl="1">
      <w:startOverride w:val="668"/>
    </w:lvlOverride>
    <w:lvlOverride w:ilvl="2">
      <w:startOverride w:val="668"/>
    </w:lvlOverride>
    <w:lvlOverride w:ilvl="3">
      <w:startOverride w:val="668"/>
    </w:lvlOverride>
    <w:lvlOverride w:ilvl="4">
      <w:startOverride w:val="668"/>
    </w:lvlOverride>
    <w:lvlOverride w:ilvl="5">
      <w:startOverride w:val="668"/>
    </w:lvlOverride>
    <w:lvlOverride w:ilvl="6">
      <w:startOverride w:val="668"/>
    </w:lvlOverride>
    <w:lvlOverride w:ilvl="7">
      <w:startOverride w:val="668"/>
    </w:lvlOverride>
    <w:lvlOverride w:ilvl="8">
      <w:startOverride w:val="668"/>
    </w:lvlOverride>
  </w:num>
  <w:num w:numId="15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583">
    <w:abstractNumId w:val="9943179"/>
    <w:lvlOverride w:ilvl="0">
      <w:startOverride w:val="179"/>
    </w:lvlOverride>
    <w:lvlOverride w:ilvl="1">
      <w:startOverride w:val="179"/>
    </w:lvlOverride>
    <w:lvlOverride w:ilvl="2">
      <w:startOverride w:val="179"/>
    </w:lvlOverride>
    <w:lvlOverride w:ilvl="3">
      <w:startOverride w:val="179"/>
    </w:lvlOverride>
    <w:lvlOverride w:ilvl="4">
      <w:startOverride w:val="179"/>
    </w:lvlOverride>
    <w:lvlOverride w:ilvl="5">
      <w:startOverride w:val="179"/>
    </w:lvlOverride>
    <w:lvlOverride w:ilvl="6">
      <w:startOverride w:val="179"/>
    </w:lvlOverride>
    <w:lvlOverride w:ilvl="7">
      <w:startOverride w:val="179"/>
    </w:lvlOverride>
    <w:lvlOverride w:ilvl="8">
      <w:startOverride w:val="179"/>
    </w:lvlOverride>
  </w:num>
  <w:num w:numId="1584">
    <w:abstractNumId w:val="9943669"/>
    <w:lvlOverride w:ilvl="0">
      <w:startOverride w:val="669"/>
    </w:lvlOverride>
    <w:lvlOverride w:ilvl="1">
      <w:startOverride w:val="669"/>
    </w:lvlOverride>
    <w:lvlOverride w:ilvl="2">
      <w:startOverride w:val="669"/>
    </w:lvlOverride>
    <w:lvlOverride w:ilvl="3">
      <w:startOverride w:val="669"/>
    </w:lvlOverride>
    <w:lvlOverride w:ilvl="4">
      <w:startOverride w:val="669"/>
    </w:lvlOverride>
    <w:lvlOverride w:ilvl="5">
      <w:startOverride w:val="669"/>
    </w:lvlOverride>
    <w:lvlOverride w:ilvl="6">
      <w:startOverride w:val="669"/>
    </w:lvlOverride>
    <w:lvlOverride w:ilvl="7">
      <w:startOverride w:val="669"/>
    </w:lvlOverride>
    <w:lvlOverride w:ilvl="8">
      <w:startOverride w:val="669"/>
    </w:lvlOverride>
  </w:num>
  <w:num w:numId="1585">
    <w:abstractNumId w:val="9943669"/>
    <w:lvlOverride w:ilvl="0">
      <w:startOverride w:val="669"/>
    </w:lvlOverride>
    <w:lvlOverride w:ilvl="1">
      <w:startOverride w:val="669"/>
    </w:lvlOverride>
    <w:lvlOverride w:ilvl="2">
      <w:startOverride w:val="669"/>
    </w:lvlOverride>
    <w:lvlOverride w:ilvl="3">
      <w:startOverride w:val="669"/>
    </w:lvlOverride>
    <w:lvlOverride w:ilvl="4">
      <w:startOverride w:val="669"/>
    </w:lvlOverride>
    <w:lvlOverride w:ilvl="5">
      <w:startOverride w:val="669"/>
    </w:lvlOverride>
    <w:lvlOverride w:ilvl="6">
      <w:startOverride w:val="669"/>
    </w:lvlOverride>
    <w:lvlOverride w:ilvl="7">
      <w:startOverride w:val="669"/>
    </w:lvlOverride>
    <w:lvlOverride w:ilvl="8">
      <w:startOverride w:val="669"/>
    </w:lvlOverride>
  </w:num>
  <w:num w:numId="158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5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8">
    <w:abstractNumId w:val="9943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589">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59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1">
    <w:abstractNumId w:val="9943155"/>
    <w:lvlOverride w:ilvl="0">
      <w:startOverride w:val="155"/>
    </w:lvlOverride>
    <w:lvlOverride w:ilvl="1">
      <w:startOverride w:val="155"/>
    </w:lvlOverride>
    <w:lvlOverride w:ilvl="2">
      <w:startOverride w:val="155"/>
    </w:lvlOverride>
    <w:lvlOverride w:ilvl="3">
      <w:startOverride w:val="155"/>
    </w:lvlOverride>
    <w:lvlOverride w:ilvl="4">
      <w:startOverride w:val="155"/>
    </w:lvlOverride>
    <w:lvlOverride w:ilvl="5">
      <w:startOverride w:val="155"/>
    </w:lvlOverride>
    <w:lvlOverride w:ilvl="6">
      <w:startOverride w:val="155"/>
    </w:lvlOverride>
    <w:lvlOverride w:ilvl="7">
      <w:startOverride w:val="155"/>
    </w:lvlOverride>
    <w:lvlOverride w:ilvl="8">
      <w:startOverride w:val="155"/>
    </w:lvlOverride>
  </w:num>
  <w:num w:numId="1592">
    <w:abstractNumId w:val="9943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593">
    <w:abstractNumId w:val="9943155"/>
    <w:lvlOverride w:ilvl="0">
      <w:startOverride w:val="155"/>
    </w:lvlOverride>
    <w:lvlOverride w:ilvl="1">
      <w:startOverride w:val="155"/>
    </w:lvlOverride>
    <w:lvlOverride w:ilvl="2">
      <w:startOverride w:val="155"/>
    </w:lvlOverride>
    <w:lvlOverride w:ilvl="3">
      <w:startOverride w:val="155"/>
    </w:lvlOverride>
    <w:lvlOverride w:ilvl="4">
      <w:startOverride w:val="155"/>
    </w:lvlOverride>
    <w:lvlOverride w:ilvl="5">
      <w:startOverride w:val="155"/>
    </w:lvlOverride>
    <w:lvlOverride w:ilvl="6">
      <w:startOverride w:val="155"/>
    </w:lvlOverride>
    <w:lvlOverride w:ilvl="7">
      <w:startOverride w:val="155"/>
    </w:lvlOverride>
    <w:lvlOverride w:ilvl="8">
      <w:startOverride w:val="155"/>
    </w:lvlOverride>
  </w:num>
  <w:num w:numId="1594">
    <w:abstractNumId w:val="9943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595">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59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7">
    <w:abstractNumId w:val="9943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598">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59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0">
    <w:abstractNumId w:val="9943220"/>
    <w:lvlOverride w:ilvl="0">
      <w:startOverride w:val="220"/>
    </w:lvlOverride>
    <w:lvlOverride w:ilvl="1">
      <w:startOverride w:val="220"/>
    </w:lvlOverride>
    <w:lvlOverride w:ilvl="2">
      <w:startOverride w:val="220"/>
    </w:lvlOverride>
    <w:lvlOverride w:ilvl="3">
      <w:startOverride w:val="220"/>
    </w:lvlOverride>
    <w:lvlOverride w:ilvl="4">
      <w:startOverride w:val="220"/>
    </w:lvlOverride>
    <w:lvlOverride w:ilvl="5">
      <w:startOverride w:val="220"/>
    </w:lvlOverride>
    <w:lvlOverride w:ilvl="6">
      <w:startOverride w:val="220"/>
    </w:lvlOverride>
    <w:lvlOverride w:ilvl="7">
      <w:startOverride w:val="220"/>
    </w:lvlOverride>
    <w:lvlOverride w:ilvl="8">
      <w:startOverride w:val="220"/>
    </w:lvlOverride>
  </w:num>
  <w:num w:numId="1601">
    <w:abstractNumId w:val="9943698"/>
    <w:lvlOverride w:ilvl="0">
      <w:startOverride w:val="698"/>
    </w:lvlOverride>
    <w:lvlOverride w:ilvl="1">
      <w:startOverride w:val="698"/>
    </w:lvlOverride>
    <w:lvlOverride w:ilvl="2">
      <w:startOverride w:val="698"/>
    </w:lvlOverride>
    <w:lvlOverride w:ilvl="3">
      <w:startOverride w:val="698"/>
    </w:lvlOverride>
    <w:lvlOverride w:ilvl="4">
      <w:startOverride w:val="698"/>
    </w:lvlOverride>
    <w:lvlOverride w:ilvl="5">
      <w:startOverride w:val="698"/>
    </w:lvlOverride>
    <w:lvlOverride w:ilvl="6">
      <w:startOverride w:val="698"/>
    </w:lvlOverride>
    <w:lvlOverride w:ilvl="7">
      <w:startOverride w:val="698"/>
    </w:lvlOverride>
    <w:lvlOverride w:ilvl="8">
      <w:startOverride w:val="698"/>
    </w:lvlOverride>
  </w:num>
  <w:num w:numId="1602">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03">
    <w:abstractNumId w:val="9943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604">
    <w:abstractNumId w:val="9943220"/>
    <w:lvlOverride w:ilvl="0">
      <w:startOverride w:val="220"/>
    </w:lvlOverride>
    <w:lvlOverride w:ilvl="1">
      <w:startOverride w:val="220"/>
    </w:lvlOverride>
    <w:lvlOverride w:ilvl="2">
      <w:startOverride w:val="220"/>
    </w:lvlOverride>
    <w:lvlOverride w:ilvl="3">
      <w:startOverride w:val="220"/>
    </w:lvlOverride>
    <w:lvlOverride w:ilvl="4">
      <w:startOverride w:val="220"/>
    </w:lvlOverride>
    <w:lvlOverride w:ilvl="5">
      <w:startOverride w:val="220"/>
    </w:lvlOverride>
    <w:lvlOverride w:ilvl="6">
      <w:startOverride w:val="220"/>
    </w:lvlOverride>
    <w:lvlOverride w:ilvl="7">
      <w:startOverride w:val="220"/>
    </w:lvlOverride>
    <w:lvlOverride w:ilvl="8">
      <w:startOverride w:val="220"/>
    </w:lvlOverride>
  </w:num>
  <w:num w:numId="1605">
    <w:abstractNumId w:val="9943698"/>
    <w:lvlOverride w:ilvl="0">
      <w:startOverride w:val="698"/>
    </w:lvlOverride>
    <w:lvlOverride w:ilvl="1">
      <w:startOverride w:val="698"/>
    </w:lvlOverride>
    <w:lvlOverride w:ilvl="2">
      <w:startOverride w:val="698"/>
    </w:lvlOverride>
    <w:lvlOverride w:ilvl="3">
      <w:startOverride w:val="698"/>
    </w:lvlOverride>
    <w:lvlOverride w:ilvl="4">
      <w:startOverride w:val="698"/>
    </w:lvlOverride>
    <w:lvlOverride w:ilvl="5">
      <w:startOverride w:val="698"/>
    </w:lvlOverride>
    <w:lvlOverride w:ilvl="6">
      <w:startOverride w:val="698"/>
    </w:lvlOverride>
    <w:lvlOverride w:ilvl="7">
      <w:startOverride w:val="698"/>
    </w:lvlOverride>
    <w:lvlOverride w:ilvl="8">
      <w:startOverride w:val="698"/>
    </w:lvlOverride>
  </w:num>
  <w:num w:numId="1606">
    <w:abstractNumId w:val="9943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607">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6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9">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6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11">
    <w:abstractNumId w:val="9943258"/>
    <w:lvlOverride w:ilvl="0">
      <w:startOverride w:val="258"/>
    </w:lvlOverride>
    <w:lvlOverride w:ilvl="1">
      <w:startOverride w:val="258"/>
    </w:lvlOverride>
    <w:lvlOverride w:ilvl="2">
      <w:startOverride w:val="258"/>
    </w:lvlOverride>
    <w:lvlOverride w:ilvl="3">
      <w:startOverride w:val="258"/>
    </w:lvlOverride>
    <w:lvlOverride w:ilvl="4">
      <w:startOverride w:val="258"/>
    </w:lvlOverride>
    <w:lvlOverride w:ilvl="5">
      <w:startOverride w:val="258"/>
    </w:lvlOverride>
    <w:lvlOverride w:ilvl="6">
      <w:startOverride w:val="258"/>
    </w:lvlOverride>
    <w:lvlOverride w:ilvl="7">
      <w:startOverride w:val="258"/>
    </w:lvlOverride>
    <w:lvlOverride w:ilvl="8">
      <w:startOverride w:val="258"/>
    </w:lvlOverride>
  </w:num>
  <w:num w:numId="1612">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6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14">
    <w:abstractNumId w:val="9943258"/>
    <w:lvlOverride w:ilvl="0">
      <w:startOverride w:val="258"/>
    </w:lvlOverride>
    <w:lvlOverride w:ilvl="1">
      <w:startOverride w:val="258"/>
    </w:lvlOverride>
    <w:lvlOverride w:ilvl="2">
      <w:startOverride w:val="258"/>
    </w:lvlOverride>
    <w:lvlOverride w:ilvl="3">
      <w:startOverride w:val="258"/>
    </w:lvlOverride>
    <w:lvlOverride w:ilvl="4">
      <w:startOverride w:val="258"/>
    </w:lvlOverride>
    <w:lvlOverride w:ilvl="5">
      <w:startOverride w:val="258"/>
    </w:lvlOverride>
    <w:lvlOverride w:ilvl="6">
      <w:startOverride w:val="258"/>
    </w:lvlOverride>
    <w:lvlOverride w:ilvl="7">
      <w:startOverride w:val="258"/>
    </w:lvlOverride>
    <w:lvlOverride w:ilvl="8">
      <w:startOverride w:val="258"/>
    </w:lvlOverride>
  </w:num>
  <w:num w:numId="1615">
    <w:abstractNumId w:val="994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61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6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18">
    <w:abstractNumId w:val="9943957"/>
    <w:lvlOverride w:ilvl="0">
      <w:startOverride w:val="957"/>
    </w:lvlOverride>
    <w:lvlOverride w:ilvl="1">
      <w:startOverride w:val="957"/>
    </w:lvlOverride>
    <w:lvlOverride w:ilvl="2">
      <w:startOverride w:val="957"/>
    </w:lvlOverride>
    <w:lvlOverride w:ilvl="3">
      <w:startOverride w:val="957"/>
    </w:lvlOverride>
    <w:lvlOverride w:ilvl="4">
      <w:startOverride w:val="957"/>
    </w:lvlOverride>
    <w:lvlOverride w:ilvl="5">
      <w:startOverride w:val="957"/>
    </w:lvlOverride>
    <w:lvlOverride w:ilvl="6">
      <w:startOverride w:val="957"/>
    </w:lvlOverride>
    <w:lvlOverride w:ilvl="7">
      <w:startOverride w:val="957"/>
    </w:lvlOverride>
    <w:lvlOverride w:ilvl="8">
      <w:startOverride w:val="957"/>
    </w:lvlOverride>
  </w:num>
  <w:num w:numId="16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20">
    <w:abstractNumId w:val="9943960"/>
    <w:lvlOverride w:ilvl="0">
      <w:startOverride w:val="960"/>
    </w:lvlOverride>
    <w:lvlOverride w:ilvl="1">
      <w:startOverride w:val="960"/>
    </w:lvlOverride>
    <w:lvlOverride w:ilvl="2">
      <w:startOverride w:val="960"/>
    </w:lvlOverride>
    <w:lvlOverride w:ilvl="3">
      <w:startOverride w:val="960"/>
    </w:lvlOverride>
    <w:lvlOverride w:ilvl="4">
      <w:startOverride w:val="960"/>
    </w:lvlOverride>
    <w:lvlOverride w:ilvl="5">
      <w:startOverride w:val="960"/>
    </w:lvlOverride>
    <w:lvlOverride w:ilvl="6">
      <w:startOverride w:val="960"/>
    </w:lvlOverride>
    <w:lvlOverride w:ilvl="7">
      <w:startOverride w:val="960"/>
    </w:lvlOverride>
    <w:lvlOverride w:ilvl="8">
      <w:startOverride w:val="960"/>
    </w:lvlOverride>
  </w:num>
  <w:num w:numId="1621">
    <w:abstractNumId w:val="9943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622">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6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24">
    <w:abstractNumId w:val="9943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625">
    <w:abstractNumId w:val="9943170"/>
    <w:lvlOverride w:ilvl="0">
      <w:startOverride w:val="170"/>
    </w:lvlOverride>
    <w:lvlOverride w:ilvl="1">
      <w:startOverride w:val="170"/>
    </w:lvlOverride>
    <w:lvlOverride w:ilvl="2">
      <w:startOverride w:val="170"/>
    </w:lvlOverride>
    <w:lvlOverride w:ilvl="3">
      <w:startOverride w:val="170"/>
    </w:lvlOverride>
    <w:lvlOverride w:ilvl="4">
      <w:startOverride w:val="170"/>
    </w:lvlOverride>
    <w:lvlOverride w:ilvl="5">
      <w:startOverride w:val="170"/>
    </w:lvlOverride>
    <w:lvlOverride w:ilvl="6">
      <w:startOverride w:val="170"/>
    </w:lvlOverride>
    <w:lvlOverride w:ilvl="7">
      <w:startOverride w:val="170"/>
    </w:lvlOverride>
    <w:lvlOverride w:ilvl="8">
      <w:startOverride w:val="170"/>
    </w:lvlOverride>
  </w:num>
  <w:num w:numId="1626">
    <w:abstractNumId w:val="9943632"/>
    <w:lvlOverride w:ilvl="0">
      <w:startOverride w:val="632"/>
    </w:lvlOverride>
    <w:lvlOverride w:ilvl="1">
      <w:startOverride w:val="632"/>
    </w:lvlOverride>
    <w:lvlOverride w:ilvl="2">
      <w:startOverride w:val="632"/>
    </w:lvlOverride>
    <w:lvlOverride w:ilvl="3">
      <w:startOverride w:val="632"/>
    </w:lvlOverride>
    <w:lvlOverride w:ilvl="4">
      <w:startOverride w:val="632"/>
    </w:lvlOverride>
    <w:lvlOverride w:ilvl="5">
      <w:startOverride w:val="632"/>
    </w:lvlOverride>
    <w:lvlOverride w:ilvl="6">
      <w:startOverride w:val="632"/>
    </w:lvlOverride>
    <w:lvlOverride w:ilvl="7">
      <w:startOverride w:val="632"/>
    </w:lvlOverride>
    <w:lvlOverride w:ilvl="8">
      <w:startOverride w:val="632"/>
    </w:lvlOverride>
  </w:num>
  <w:num w:numId="16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28">
    <w:abstractNumId w:val="9943669"/>
    <w:lvlOverride w:ilvl="0">
      <w:startOverride w:val="669"/>
    </w:lvlOverride>
    <w:lvlOverride w:ilvl="1">
      <w:startOverride w:val="669"/>
    </w:lvlOverride>
    <w:lvlOverride w:ilvl="2">
      <w:startOverride w:val="669"/>
    </w:lvlOverride>
    <w:lvlOverride w:ilvl="3">
      <w:startOverride w:val="669"/>
    </w:lvlOverride>
    <w:lvlOverride w:ilvl="4">
      <w:startOverride w:val="669"/>
    </w:lvlOverride>
    <w:lvlOverride w:ilvl="5">
      <w:startOverride w:val="669"/>
    </w:lvlOverride>
    <w:lvlOverride w:ilvl="6">
      <w:startOverride w:val="669"/>
    </w:lvlOverride>
    <w:lvlOverride w:ilvl="7">
      <w:startOverride w:val="669"/>
    </w:lvlOverride>
    <w:lvlOverride w:ilvl="8">
      <w:startOverride w:val="669"/>
    </w:lvlOverride>
  </w:num>
  <w:num w:numId="1629">
    <w:abstractNumId w:val="9943153"/>
    <w:lvlOverride w:ilvl="0">
      <w:startOverride w:val="153"/>
    </w:lvlOverride>
    <w:lvlOverride w:ilvl="1">
      <w:startOverride w:val="153"/>
    </w:lvlOverride>
    <w:lvlOverride w:ilvl="2">
      <w:startOverride w:val="153"/>
    </w:lvlOverride>
    <w:lvlOverride w:ilvl="3">
      <w:startOverride w:val="153"/>
    </w:lvlOverride>
    <w:lvlOverride w:ilvl="4">
      <w:startOverride w:val="153"/>
    </w:lvlOverride>
    <w:lvlOverride w:ilvl="5">
      <w:startOverride w:val="153"/>
    </w:lvlOverride>
    <w:lvlOverride w:ilvl="6">
      <w:startOverride w:val="153"/>
    </w:lvlOverride>
    <w:lvlOverride w:ilvl="7">
      <w:startOverride w:val="153"/>
    </w:lvlOverride>
    <w:lvlOverride w:ilvl="8">
      <w:startOverride w:val="153"/>
    </w:lvlOverride>
  </w:num>
  <w:num w:numId="16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34">
    <w:abstractNumId w:val="9943347"/>
    <w:lvlOverride w:ilvl="0">
      <w:startOverride w:val="347"/>
    </w:lvlOverride>
    <w:lvlOverride w:ilvl="1">
      <w:startOverride w:val="347"/>
    </w:lvlOverride>
    <w:lvlOverride w:ilvl="2">
      <w:startOverride w:val="347"/>
    </w:lvlOverride>
    <w:lvlOverride w:ilvl="3">
      <w:startOverride w:val="347"/>
    </w:lvlOverride>
    <w:lvlOverride w:ilvl="4">
      <w:startOverride w:val="347"/>
    </w:lvlOverride>
    <w:lvlOverride w:ilvl="5">
      <w:startOverride w:val="347"/>
    </w:lvlOverride>
    <w:lvlOverride w:ilvl="6">
      <w:startOverride w:val="347"/>
    </w:lvlOverride>
    <w:lvlOverride w:ilvl="7">
      <w:startOverride w:val="347"/>
    </w:lvlOverride>
    <w:lvlOverride w:ilvl="8">
      <w:startOverride w:val="347"/>
    </w:lvlOverride>
  </w:num>
  <w:num w:numId="1635">
    <w:abstractNumId w:val="991"/>
  </w:num>
  <w:num w:numId="1636">
    <w:abstractNumId w:val="9943173"/>
    <w:lvlOverride w:ilvl="0">
      <w:startOverride w:val="173"/>
    </w:lvlOverride>
    <w:lvlOverride w:ilvl="1">
      <w:startOverride w:val="173"/>
    </w:lvlOverride>
    <w:lvlOverride w:ilvl="2">
      <w:startOverride w:val="173"/>
    </w:lvlOverride>
    <w:lvlOverride w:ilvl="3">
      <w:startOverride w:val="173"/>
    </w:lvlOverride>
    <w:lvlOverride w:ilvl="4">
      <w:startOverride w:val="173"/>
    </w:lvlOverride>
    <w:lvlOverride w:ilvl="5">
      <w:startOverride w:val="173"/>
    </w:lvlOverride>
    <w:lvlOverride w:ilvl="6">
      <w:startOverride w:val="173"/>
    </w:lvlOverride>
    <w:lvlOverride w:ilvl="7">
      <w:startOverride w:val="173"/>
    </w:lvlOverride>
    <w:lvlOverride w:ilvl="8">
      <w:startOverride w:val="173"/>
    </w:lvlOverride>
  </w:num>
  <w:num w:numId="1637">
    <w:abstractNumId w:val="991"/>
  </w:num>
  <w:num w:numId="1638">
    <w:abstractNumId w:val="991"/>
  </w:num>
  <w:num w:numId="1639">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640">
    <w:abstractNumId w:val="991"/>
  </w:num>
  <w:num w:numId="1641">
    <w:abstractNumId w:val="9943161"/>
    <w:lvlOverride w:ilvl="0">
      <w:startOverride w:val="161"/>
    </w:lvlOverride>
    <w:lvlOverride w:ilvl="1">
      <w:startOverride w:val="161"/>
    </w:lvlOverride>
    <w:lvlOverride w:ilvl="2">
      <w:startOverride w:val="161"/>
    </w:lvlOverride>
    <w:lvlOverride w:ilvl="3">
      <w:startOverride w:val="161"/>
    </w:lvlOverride>
    <w:lvlOverride w:ilvl="4">
      <w:startOverride w:val="161"/>
    </w:lvlOverride>
    <w:lvlOverride w:ilvl="5">
      <w:startOverride w:val="161"/>
    </w:lvlOverride>
    <w:lvlOverride w:ilvl="6">
      <w:startOverride w:val="161"/>
    </w:lvlOverride>
    <w:lvlOverride w:ilvl="7">
      <w:startOverride w:val="161"/>
    </w:lvlOverride>
    <w:lvlOverride w:ilvl="8">
      <w:startOverride w:val="161"/>
    </w:lvlOverride>
  </w:num>
  <w:num w:numId="1642">
    <w:abstractNumId w:val="9943508"/>
    <w:lvlOverride w:ilvl="0">
      <w:startOverride w:val="508"/>
    </w:lvlOverride>
    <w:lvlOverride w:ilvl="1">
      <w:startOverride w:val="508"/>
    </w:lvlOverride>
    <w:lvlOverride w:ilvl="2">
      <w:startOverride w:val="508"/>
    </w:lvlOverride>
    <w:lvlOverride w:ilvl="3">
      <w:startOverride w:val="508"/>
    </w:lvlOverride>
    <w:lvlOverride w:ilvl="4">
      <w:startOverride w:val="508"/>
    </w:lvlOverride>
    <w:lvlOverride w:ilvl="5">
      <w:startOverride w:val="508"/>
    </w:lvlOverride>
    <w:lvlOverride w:ilvl="6">
      <w:startOverride w:val="508"/>
    </w:lvlOverride>
    <w:lvlOverride w:ilvl="7">
      <w:startOverride w:val="508"/>
    </w:lvlOverride>
    <w:lvlOverride w:ilvl="8">
      <w:startOverride w:val="508"/>
    </w:lvlOverride>
  </w:num>
  <w:num w:numId="1643">
    <w:abstractNumId w:val="9943358"/>
    <w:lvlOverride w:ilvl="0">
      <w:startOverride w:val="358"/>
    </w:lvlOverride>
    <w:lvlOverride w:ilvl="1">
      <w:startOverride w:val="358"/>
    </w:lvlOverride>
    <w:lvlOverride w:ilvl="2">
      <w:startOverride w:val="358"/>
    </w:lvlOverride>
    <w:lvlOverride w:ilvl="3">
      <w:startOverride w:val="358"/>
    </w:lvlOverride>
    <w:lvlOverride w:ilvl="4">
      <w:startOverride w:val="358"/>
    </w:lvlOverride>
    <w:lvlOverride w:ilvl="5">
      <w:startOverride w:val="358"/>
    </w:lvlOverride>
    <w:lvlOverride w:ilvl="6">
      <w:startOverride w:val="358"/>
    </w:lvlOverride>
    <w:lvlOverride w:ilvl="7">
      <w:startOverride w:val="358"/>
    </w:lvlOverride>
    <w:lvlOverride w:ilvl="8">
      <w:startOverride w:val="358"/>
    </w:lvlOverride>
  </w:num>
  <w:num w:numId="1644">
    <w:abstractNumId w:val="9943164"/>
    <w:lvlOverride w:ilvl="0">
      <w:startOverride w:val="164"/>
    </w:lvlOverride>
    <w:lvlOverride w:ilvl="1">
      <w:startOverride w:val="164"/>
    </w:lvlOverride>
    <w:lvlOverride w:ilvl="2">
      <w:startOverride w:val="164"/>
    </w:lvlOverride>
    <w:lvlOverride w:ilvl="3">
      <w:startOverride w:val="164"/>
    </w:lvlOverride>
    <w:lvlOverride w:ilvl="4">
      <w:startOverride w:val="164"/>
    </w:lvlOverride>
    <w:lvlOverride w:ilvl="5">
      <w:startOverride w:val="164"/>
    </w:lvlOverride>
    <w:lvlOverride w:ilvl="6">
      <w:startOverride w:val="164"/>
    </w:lvlOverride>
    <w:lvlOverride w:ilvl="7">
      <w:startOverride w:val="164"/>
    </w:lvlOverride>
    <w:lvlOverride w:ilvl="8">
      <w:startOverride w:val="164"/>
    </w:lvlOverride>
  </w:num>
  <w:num w:numId="1645">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646">
    <w:abstractNumId w:val="9943156"/>
    <w:lvlOverride w:ilvl="0">
      <w:startOverride w:val="156"/>
    </w:lvlOverride>
    <w:lvlOverride w:ilvl="1">
      <w:startOverride w:val="156"/>
    </w:lvlOverride>
    <w:lvlOverride w:ilvl="2">
      <w:startOverride w:val="156"/>
    </w:lvlOverride>
    <w:lvlOverride w:ilvl="3">
      <w:startOverride w:val="156"/>
    </w:lvlOverride>
    <w:lvlOverride w:ilvl="4">
      <w:startOverride w:val="156"/>
    </w:lvlOverride>
    <w:lvlOverride w:ilvl="5">
      <w:startOverride w:val="156"/>
    </w:lvlOverride>
    <w:lvlOverride w:ilvl="6">
      <w:startOverride w:val="156"/>
    </w:lvlOverride>
    <w:lvlOverride w:ilvl="7">
      <w:startOverride w:val="156"/>
    </w:lvlOverride>
    <w:lvlOverride w:ilvl="8">
      <w:startOverride w:val="156"/>
    </w:lvlOverride>
  </w:num>
  <w:num w:numId="1647">
    <w:abstractNumId w:val="9943514"/>
    <w:lvlOverride w:ilvl="0">
      <w:startOverride w:val="514"/>
    </w:lvlOverride>
    <w:lvlOverride w:ilvl="1">
      <w:startOverride w:val="514"/>
    </w:lvlOverride>
    <w:lvlOverride w:ilvl="2">
      <w:startOverride w:val="514"/>
    </w:lvlOverride>
    <w:lvlOverride w:ilvl="3">
      <w:startOverride w:val="514"/>
    </w:lvlOverride>
    <w:lvlOverride w:ilvl="4">
      <w:startOverride w:val="514"/>
    </w:lvlOverride>
    <w:lvlOverride w:ilvl="5">
      <w:startOverride w:val="514"/>
    </w:lvlOverride>
    <w:lvlOverride w:ilvl="6">
      <w:startOverride w:val="514"/>
    </w:lvlOverride>
    <w:lvlOverride w:ilvl="7">
      <w:startOverride w:val="514"/>
    </w:lvlOverride>
    <w:lvlOverride w:ilvl="8">
      <w:startOverride w:val="514"/>
    </w:lvlOverride>
  </w:num>
  <w:num w:numId="16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50">
    <w:abstractNumId w:val="9943937"/>
    <w:lvlOverride w:ilvl="0">
      <w:startOverride w:val="937"/>
    </w:lvlOverride>
    <w:lvlOverride w:ilvl="1">
      <w:startOverride w:val="937"/>
    </w:lvlOverride>
    <w:lvlOverride w:ilvl="2">
      <w:startOverride w:val="937"/>
    </w:lvlOverride>
    <w:lvlOverride w:ilvl="3">
      <w:startOverride w:val="937"/>
    </w:lvlOverride>
    <w:lvlOverride w:ilvl="4">
      <w:startOverride w:val="937"/>
    </w:lvlOverride>
    <w:lvlOverride w:ilvl="5">
      <w:startOverride w:val="937"/>
    </w:lvlOverride>
    <w:lvlOverride w:ilvl="6">
      <w:startOverride w:val="937"/>
    </w:lvlOverride>
    <w:lvlOverride w:ilvl="7">
      <w:startOverride w:val="937"/>
    </w:lvlOverride>
    <w:lvlOverride w:ilvl="8">
      <w:startOverride w:val="937"/>
    </w:lvlOverride>
  </w:num>
  <w:num w:numId="165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54">
    <w:abstractNumId w:val="9943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655">
    <w:abstractNumId w:val="9943161"/>
    <w:lvlOverride w:ilvl="0">
      <w:startOverride w:val="161"/>
    </w:lvlOverride>
    <w:lvlOverride w:ilvl="1">
      <w:startOverride w:val="161"/>
    </w:lvlOverride>
    <w:lvlOverride w:ilvl="2">
      <w:startOverride w:val="161"/>
    </w:lvlOverride>
    <w:lvlOverride w:ilvl="3">
      <w:startOverride w:val="161"/>
    </w:lvlOverride>
    <w:lvlOverride w:ilvl="4">
      <w:startOverride w:val="161"/>
    </w:lvlOverride>
    <w:lvlOverride w:ilvl="5">
      <w:startOverride w:val="161"/>
    </w:lvlOverride>
    <w:lvlOverride w:ilvl="6">
      <w:startOverride w:val="161"/>
    </w:lvlOverride>
    <w:lvlOverride w:ilvl="7">
      <w:startOverride w:val="161"/>
    </w:lvlOverride>
    <w:lvlOverride w:ilvl="8">
      <w:startOverride w:val="161"/>
    </w:lvlOverride>
  </w:num>
  <w:num w:numId="1656">
    <w:abstractNumId w:val="9943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6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43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659">
    <w:abstractNumId w:val="9943161"/>
    <w:lvlOverride w:ilvl="0">
      <w:startOverride w:val="161"/>
    </w:lvlOverride>
    <w:lvlOverride w:ilvl="1">
      <w:startOverride w:val="161"/>
    </w:lvlOverride>
    <w:lvlOverride w:ilvl="2">
      <w:startOverride w:val="161"/>
    </w:lvlOverride>
    <w:lvlOverride w:ilvl="3">
      <w:startOverride w:val="161"/>
    </w:lvlOverride>
    <w:lvlOverride w:ilvl="4">
      <w:startOverride w:val="161"/>
    </w:lvlOverride>
    <w:lvlOverride w:ilvl="5">
      <w:startOverride w:val="161"/>
    </w:lvlOverride>
    <w:lvlOverride w:ilvl="6">
      <w:startOverride w:val="161"/>
    </w:lvlOverride>
    <w:lvlOverride w:ilvl="7">
      <w:startOverride w:val="161"/>
    </w:lvlOverride>
    <w:lvlOverride w:ilvl="8">
      <w:startOverride w:val="161"/>
    </w:lvlOverride>
  </w:num>
  <w:num w:numId="1660">
    <w:abstractNumId w:val="994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661">
    <w:abstractNumId w:val="9943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662">
    <w:abstractNumId w:val="9943154"/>
    <w:lvlOverride w:ilvl="0">
      <w:startOverride w:val="154"/>
    </w:lvlOverride>
    <w:lvlOverride w:ilvl="1">
      <w:startOverride w:val="154"/>
    </w:lvlOverride>
    <w:lvlOverride w:ilvl="2">
      <w:startOverride w:val="154"/>
    </w:lvlOverride>
    <w:lvlOverride w:ilvl="3">
      <w:startOverride w:val="154"/>
    </w:lvlOverride>
    <w:lvlOverride w:ilvl="4">
      <w:startOverride w:val="154"/>
    </w:lvlOverride>
    <w:lvlOverride w:ilvl="5">
      <w:startOverride w:val="154"/>
    </w:lvlOverride>
    <w:lvlOverride w:ilvl="6">
      <w:startOverride w:val="154"/>
    </w:lvlOverride>
    <w:lvlOverride w:ilvl="7">
      <w:startOverride w:val="154"/>
    </w:lvlOverride>
    <w:lvlOverride w:ilvl="8">
      <w:startOverride w:val="154"/>
    </w:lvlOverride>
  </w:num>
  <w:num w:numId="1663">
    <w:abstractNumId w:val="9943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6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43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666">
    <w:abstractNumId w:val="9943154"/>
    <w:lvlOverride w:ilvl="0">
      <w:startOverride w:val="154"/>
    </w:lvlOverride>
    <w:lvlOverride w:ilvl="1">
      <w:startOverride w:val="154"/>
    </w:lvlOverride>
    <w:lvlOverride w:ilvl="2">
      <w:startOverride w:val="154"/>
    </w:lvlOverride>
    <w:lvlOverride w:ilvl="3">
      <w:startOverride w:val="154"/>
    </w:lvlOverride>
    <w:lvlOverride w:ilvl="4">
      <w:startOverride w:val="154"/>
    </w:lvlOverride>
    <w:lvlOverride w:ilvl="5">
      <w:startOverride w:val="154"/>
    </w:lvlOverride>
    <w:lvlOverride w:ilvl="6">
      <w:startOverride w:val="154"/>
    </w:lvlOverride>
    <w:lvlOverride w:ilvl="7">
      <w:startOverride w:val="154"/>
    </w:lvlOverride>
    <w:lvlOverride w:ilvl="8">
      <w:startOverride w:val="154"/>
    </w:lvlOverride>
  </w:num>
  <w:num w:numId="1667">
    <w:abstractNumId w:val="9943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6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1">
    <w:abstractNumId w:val="9943102"/>
    <w:lvlOverride w:ilvl="0">
      <w:startOverride w:val="102"/>
    </w:lvlOverride>
    <w:lvlOverride w:ilvl="1">
      <w:startOverride w:val="102"/>
    </w:lvlOverride>
    <w:lvlOverride w:ilvl="2">
      <w:startOverride w:val="102"/>
    </w:lvlOverride>
    <w:lvlOverride w:ilvl="3">
      <w:startOverride w:val="102"/>
    </w:lvlOverride>
    <w:lvlOverride w:ilvl="4">
      <w:startOverride w:val="102"/>
    </w:lvlOverride>
    <w:lvlOverride w:ilvl="5">
      <w:startOverride w:val="102"/>
    </w:lvlOverride>
    <w:lvlOverride w:ilvl="6">
      <w:startOverride w:val="102"/>
    </w:lvlOverride>
    <w:lvlOverride w:ilvl="7">
      <w:startOverride w:val="102"/>
    </w:lvlOverride>
    <w:lvlOverride w:ilvl="8">
      <w:startOverride w:val="102"/>
    </w:lvlOverride>
  </w:num>
  <w:num w:numId="1672">
    <w:abstractNumId w:val="9943161"/>
    <w:lvlOverride w:ilvl="0">
      <w:startOverride w:val="161"/>
    </w:lvlOverride>
    <w:lvlOverride w:ilvl="1">
      <w:startOverride w:val="161"/>
    </w:lvlOverride>
    <w:lvlOverride w:ilvl="2">
      <w:startOverride w:val="161"/>
    </w:lvlOverride>
    <w:lvlOverride w:ilvl="3">
      <w:startOverride w:val="161"/>
    </w:lvlOverride>
    <w:lvlOverride w:ilvl="4">
      <w:startOverride w:val="161"/>
    </w:lvlOverride>
    <w:lvlOverride w:ilvl="5">
      <w:startOverride w:val="161"/>
    </w:lvlOverride>
    <w:lvlOverride w:ilvl="6">
      <w:startOverride w:val="161"/>
    </w:lvlOverride>
    <w:lvlOverride w:ilvl="7">
      <w:startOverride w:val="161"/>
    </w:lvlOverride>
    <w:lvlOverride w:ilvl="8">
      <w:startOverride w:val="161"/>
    </w:lvlOverride>
  </w:num>
  <w:num w:numId="1673">
    <w:abstractNumId w:val="9943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674">
    <w:abstractNumId w:val="9943154"/>
    <w:lvlOverride w:ilvl="0">
      <w:startOverride w:val="154"/>
    </w:lvlOverride>
    <w:lvlOverride w:ilvl="1">
      <w:startOverride w:val="154"/>
    </w:lvlOverride>
    <w:lvlOverride w:ilvl="2">
      <w:startOverride w:val="154"/>
    </w:lvlOverride>
    <w:lvlOverride w:ilvl="3">
      <w:startOverride w:val="154"/>
    </w:lvlOverride>
    <w:lvlOverride w:ilvl="4">
      <w:startOverride w:val="154"/>
    </w:lvlOverride>
    <w:lvlOverride w:ilvl="5">
      <w:startOverride w:val="154"/>
    </w:lvlOverride>
    <w:lvlOverride w:ilvl="6">
      <w:startOverride w:val="154"/>
    </w:lvlOverride>
    <w:lvlOverride w:ilvl="7">
      <w:startOverride w:val="154"/>
    </w:lvlOverride>
    <w:lvlOverride w:ilvl="8">
      <w:startOverride w:val="154"/>
    </w:lvlOverride>
  </w:num>
  <w:num w:numId="16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678">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679">
    <w:abstractNumId w:val="9943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68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81">
    <w:abstractNumId w:val="9943490"/>
    <w:lvlOverride w:ilvl="0">
      <w:startOverride w:val="490"/>
    </w:lvlOverride>
    <w:lvlOverride w:ilvl="1">
      <w:startOverride w:val="490"/>
    </w:lvlOverride>
    <w:lvlOverride w:ilvl="2">
      <w:startOverride w:val="490"/>
    </w:lvlOverride>
    <w:lvlOverride w:ilvl="3">
      <w:startOverride w:val="490"/>
    </w:lvlOverride>
    <w:lvlOverride w:ilvl="4">
      <w:startOverride w:val="490"/>
    </w:lvlOverride>
    <w:lvlOverride w:ilvl="5">
      <w:startOverride w:val="490"/>
    </w:lvlOverride>
    <w:lvlOverride w:ilvl="6">
      <w:startOverride w:val="490"/>
    </w:lvlOverride>
    <w:lvlOverride w:ilvl="7">
      <w:startOverride w:val="490"/>
    </w:lvlOverride>
    <w:lvlOverride w:ilvl="8">
      <w:startOverride w:val="490"/>
    </w:lvlOverride>
  </w:num>
  <w:num w:numId="1682">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683">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684">
    <w:abstractNumId w:val="9943247"/>
    <w:lvlOverride w:ilvl="0">
      <w:startOverride w:val="247"/>
    </w:lvlOverride>
    <w:lvlOverride w:ilvl="1">
      <w:startOverride w:val="247"/>
    </w:lvlOverride>
    <w:lvlOverride w:ilvl="2">
      <w:startOverride w:val="247"/>
    </w:lvlOverride>
    <w:lvlOverride w:ilvl="3">
      <w:startOverride w:val="247"/>
    </w:lvlOverride>
    <w:lvlOverride w:ilvl="4">
      <w:startOverride w:val="247"/>
    </w:lvlOverride>
    <w:lvlOverride w:ilvl="5">
      <w:startOverride w:val="247"/>
    </w:lvlOverride>
    <w:lvlOverride w:ilvl="6">
      <w:startOverride w:val="247"/>
    </w:lvlOverride>
    <w:lvlOverride w:ilvl="7">
      <w:startOverride w:val="247"/>
    </w:lvlOverride>
    <w:lvlOverride w:ilvl="8">
      <w:startOverride w:val="247"/>
    </w:lvlOverride>
  </w:num>
  <w:num w:numId="1685">
    <w:abstractNumId w:val="9943330"/>
    <w:lvlOverride w:ilvl="0">
      <w:startOverride w:val="330"/>
    </w:lvlOverride>
    <w:lvlOverride w:ilvl="1">
      <w:startOverride w:val="330"/>
    </w:lvlOverride>
    <w:lvlOverride w:ilvl="2">
      <w:startOverride w:val="330"/>
    </w:lvlOverride>
    <w:lvlOverride w:ilvl="3">
      <w:startOverride w:val="330"/>
    </w:lvlOverride>
    <w:lvlOverride w:ilvl="4">
      <w:startOverride w:val="330"/>
    </w:lvlOverride>
    <w:lvlOverride w:ilvl="5">
      <w:startOverride w:val="330"/>
    </w:lvlOverride>
    <w:lvlOverride w:ilvl="6">
      <w:startOverride w:val="330"/>
    </w:lvlOverride>
    <w:lvlOverride w:ilvl="7">
      <w:startOverride w:val="330"/>
    </w:lvlOverride>
    <w:lvlOverride w:ilvl="8">
      <w:startOverride w:val="330"/>
    </w:lvlOverride>
  </w:num>
  <w:num w:numId="1686">
    <w:abstractNumId w:val="9943664"/>
    <w:lvlOverride w:ilvl="0">
      <w:startOverride w:val="664"/>
    </w:lvlOverride>
    <w:lvlOverride w:ilvl="1">
      <w:startOverride w:val="664"/>
    </w:lvlOverride>
    <w:lvlOverride w:ilvl="2">
      <w:startOverride w:val="664"/>
    </w:lvlOverride>
    <w:lvlOverride w:ilvl="3">
      <w:startOverride w:val="664"/>
    </w:lvlOverride>
    <w:lvlOverride w:ilvl="4">
      <w:startOverride w:val="664"/>
    </w:lvlOverride>
    <w:lvlOverride w:ilvl="5">
      <w:startOverride w:val="664"/>
    </w:lvlOverride>
    <w:lvlOverride w:ilvl="6">
      <w:startOverride w:val="664"/>
    </w:lvlOverride>
    <w:lvlOverride w:ilvl="7">
      <w:startOverride w:val="664"/>
    </w:lvlOverride>
    <w:lvlOverride w:ilvl="8">
      <w:startOverride w:val="664"/>
    </w:lvlOverride>
  </w:num>
  <w:num w:numId="1687">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688">
    <w:abstractNumId w:val="9943942"/>
    <w:lvlOverride w:ilvl="0">
      <w:startOverride w:val="942"/>
    </w:lvlOverride>
    <w:lvlOverride w:ilvl="1">
      <w:startOverride w:val="942"/>
    </w:lvlOverride>
    <w:lvlOverride w:ilvl="2">
      <w:startOverride w:val="942"/>
    </w:lvlOverride>
    <w:lvlOverride w:ilvl="3">
      <w:startOverride w:val="942"/>
    </w:lvlOverride>
    <w:lvlOverride w:ilvl="4">
      <w:startOverride w:val="942"/>
    </w:lvlOverride>
    <w:lvlOverride w:ilvl="5">
      <w:startOverride w:val="942"/>
    </w:lvlOverride>
    <w:lvlOverride w:ilvl="6">
      <w:startOverride w:val="942"/>
    </w:lvlOverride>
    <w:lvlOverride w:ilvl="7">
      <w:startOverride w:val="942"/>
    </w:lvlOverride>
    <w:lvlOverride w:ilvl="8">
      <w:startOverride w:val="942"/>
    </w:lvlOverride>
  </w:num>
  <w:num w:numId="1689">
    <w:abstractNumId w:val="9943967"/>
    <w:lvlOverride w:ilvl="0">
      <w:startOverride w:val="967"/>
    </w:lvlOverride>
    <w:lvlOverride w:ilvl="1">
      <w:startOverride w:val="967"/>
    </w:lvlOverride>
    <w:lvlOverride w:ilvl="2">
      <w:startOverride w:val="967"/>
    </w:lvlOverride>
    <w:lvlOverride w:ilvl="3">
      <w:startOverride w:val="967"/>
    </w:lvlOverride>
    <w:lvlOverride w:ilvl="4">
      <w:startOverride w:val="967"/>
    </w:lvlOverride>
    <w:lvlOverride w:ilvl="5">
      <w:startOverride w:val="967"/>
    </w:lvlOverride>
    <w:lvlOverride w:ilvl="6">
      <w:startOverride w:val="967"/>
    </w:lvlOverride>
    <w:lvlOverride w:ilvl="7">
      <w:startOverride w:val="967"/>
    </w:lvlOverride>
    <w:lvlOverride w:ilvl="8">
      <w:startOverride w:val="967"/>
    </w:lvlOverride>
  </w:num>
  <w:num w:numId="1690">
    <w:abstractNumId w:val="9943319"/>
    <w:lvlOverride w:ilvl="0">
      <w:startOverride w:val="319"/>
    </w:lvlOverride>
    <w:lvlOverride w:ilvl="1">
      <w:startOverride w:val="319"/>
    </w:lvlOverride>
    <w:lvlOverride w:ilvl="2">
      <w:startOverride w:val="319"/>
    </w:lvlOverride>
    <w:lvlOverride w:ilvl="3">
      <w:startOverride w:val="319"/>
    </w:lvlOverride>
    <w:lvlOverride w:ilvl="4">
      <w:startOverride w:val="319"/>
    </w:lvlOverride>
    <w:lvlOverride w:ilvl="5">
      <w:startOverride w:val="319"/>
    </w:lvlOverride>
    <w:lvlOverride w:ilvl="6">
      <w:startOverride w:val="319"/>
    </w:lvlOverride>
    <w:lvlOverride w:ilvl="7">
      <w:startOverride w:val="319"/>
    </w:lvlOverride>
    <w:lvlOverride w:ilvl="8">
      <w:startOverride w:val="319"/>
    </w:lvlOverride>
  </w:num>
  <w:num w:numId="1691">
    <w:abstractNumId w:val="9943247"/>
    <w:lvlOverride w:ilvl="0">
      <w:startOverride w:val="247"/>
    </w:lvlOverride>
    <w:lvlOverride w:ilvl="1">
      <w:startOverride w:val="247"/>
    </w:lvlOverride>
    <w:lvlOverride w:ilvl="2">
      <w:startOverride w:val="247"/>
    </w:lvlOverride>
    <w:lvlOverride w:ilvl="3">
      <w:startOverride w:val="247"/>
    </w:lvlOverride>
    <w:lvlOverride w:ilvl="4">
      <w:startOverride w:val="247"/>
    </w:lvlOverride>
    <w:lvlOverride w:ilvl="5">
      <w:startOverride w:val="247"/>
    </w:lvlOverride>
    <w:lvlOverride w:ilvl="6">
      <w:startOverride w:val="247"/>
    </w:lvlOverride>
    <w:lvlOverride w:ilvl="7">
      <w:startOverride w:val="247"/>
    </w:lvlOverride>
    <w:lvlOverride w:ilvl="8">
      <w:startOverride w:val="247"/>
    </w:lvlOverride>
  </w:num>
  <w:num w:numId="1692">
    <w:abstractNumId w:val="9943208"/>
    <w:lvlOverride w:ilvl="0">
      <w:startOverride w:val="208"/>
    </w:lvlOverride>
    <w:lvlOverride w:ilvl="1">
      <w:startOverride w:val="208"/>
    </w:lvlOverride>
    <w:lvlOverride w:ilvl="2">
      <w:startOverride w:val="208"/>
    </w:lvlOverride>
    <w:lvlOverride w:ilvl="3">
      <w:startOverride w:val="208"/>
    </w:lvlOverride>
    <w:lvlOverride w:ilvl="4">
      <w:startOverride w:val="208"/>
    </w:lvlOverride>
    <w:lvlOverride w:ilvl="5">
      <w:startOverride w:val="208"/>
    </w:lvlOverride>
    <w:lvlOverride w:ilvl="6">
      <w:startOverride w:val="208"/>
    </w:lvlOverride>
    <w:lvlOverride w:ilvl="7">
      <w:startOverride w:val="208"/>
    </w:lvlOverride>
    <w:lvlOverride w:ilvl="8">
      <w:startOverride w:val="208"/>
    </w:lvlOverride>
  </w:num>
  <w:num w:numId="1693">
    <w:abstractNumId w:val="9943254"/>
    <w:lvlOverride w:ilvl="0">
      <w:startOverride w:val="254"/>
    </w:lvlOverride>
    <w:lvlOverride w:ilvl="1">
      <w:startOverride w:val="254"/>
    </w:lvlOverride>
    <w:lvlOverride w:ilvl="2">
      <w:startOverride w:val="254"/>
    </w:lvlOverride>
    <w:lvlOverride w:ilvl="3">
      <w:startOverride w:val="254"/>
    </w:lvlOverride>
    <w:lvlOverride w:ilvl="4">
      <w:startOverride w:val="254"/>
    </w:lvlOverride>
    <w:lvlOverride w:ilvl="5">
      <w:startOverride w:val="254"/>
    </w:lvlOverride>
    <w:lvlOverride w:ilvl="6">
      <w:startOverride w:val="254"/>
    </w:lvlOverride>
    <w:lvlOverride w:ilvl="7">
      <w:startOverride w:val="254"/>
    </w:lvlOverride>
    <w:lvlOverride w:ilvl="8">
      <w:startOverride w:val="254"/>
    </w:lvlOverride>
  </w:num>
  <w:num w:numId="1694">
    <w:abstractNumId w:val="9943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6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01">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702">
    <w:abstractNumId w:val="9943173"/>
    <w:lvlOverride w:ilvl="0">
      <w:startOverride w:val="173"/>
    </w:lvlOverride>
    <w:lvlOverride w:ilvl="1">
      <w:startOverride w:val="173"/>
    </w:lvlOverride>
    <w:lvlOverride w:ilvl="2">
      <w:startOverride w:val="173"/>
    </w:lvlOverride>
    <w:lvlOverride w:ilvl="3">
      <w:startOverride w:val="173"/>
    </w:lvlOverride>
    <w:lvlOverride w:ilvl="4">
      <w:startOverride w:val="173"/>
    </w:lvlOverride>
    <w:lvlOverride w:ilvl="5">
      <w:startOverride w:val="173"/>
    </w:lvlOverride>
    <w:lvlOverride w:ilvl="6">
      <w:startOverride w:val="173"/>
    </w:lvlOverride>
    <w:lvlOverride w:ilvl="7">
      <w:startOverride w:val="173"/>
    </w:lvlOverride>
    <w:lvlOverride w:ilvl="8">
      <w:startOverride w:val="173"/>
    </w:lvlOverride>
  </w:num>
  <w:num w:numId="1703">
    <w:abstractNumId w:val="9943166"/>
    <w:lvlOverride w:ilvl="0">
      <w:startOverride w:val="166"/>
    </w:lvlOverride>
    <w:lvlOverride w:ilvl="1">
      <w:startOverride w:val="166"/>
    </w:lvlOverride>
    <w:lvlOverride w:ilvl="2">
      <w:startOverride w:val="166"/>
    </w:lvlOverride>
    <w:lvlOverride w:ilvl="3">
      <w:startOverride w:val="166"/>
    </w:lvlOverride>
    <w:lvlOverride w:ilvl="4">
      <w:startOverride w:val="166"/>
    </w:lvlOverride>
    <w:lvlOverride w:ilvl="5">
      <w:startOverride w:val="166"/>
    </w:lvlOverride>
    <w:lvlOverride w:ilvl="6">
      <w:startOverride w:val="166"/>
    </w:lvlOverride>
    <w:lvlOverride w:ilvl="7">
      <w:startOverride w:val="166"/>
    </w:lvlOverride>
    <w:lvlOverride w:ilvl="8">
      <w:startOverride w:val="166"/>
    </w:lvlOverride>
  </w:num>
  <w:num w:numId="1704">
    <w:abstractNumId w:val="9943588"/>
    <w:lvlOverride w:ilvl="0">
      <w:startOverride w:val="588"/>
    </w:lvlOverride>
    <w:lvlOverride w:ilvl="1">
      <w:startOverride w:val="588"/>
    </w:lvlOverride>
    <w:lvlOverride w:ilvl="2">
      <w:startOverride w:val="588"/>
    </w:lvlOverride>
    <w:lvlOverride w:ilvl="3">
      <w:startOverride w:val="588"/>
    </w:lvlOverride>
    <w:lvlOverride w:ilvl="4">
      <w:startOverride w:val="588"/>
    </w:lvlOverride>
    <w:lvlOverride w:ilvl="5">
      <w:startOverride w:val="588"/>
    </w:lvlOverride>
    <w:lvlOverride w:ilvl="6">
      <w:startOverride w:val="588"/>
    </w:lvlOverride>
    <w:lvlOverride w:ilvl="7">
      <w:startOverride w:val="588"/>
    </w:lvlOverride>
    <w:lvlOverride w:ilvl="8">
      <w:startOverride w:val="588"/>
    </w:lvlOverride>
  </w:num>
  <w:num w:numId="1705">
    <w:abstractNumId w:val="9943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7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09">
    <w:abstractNumId w:val="9943891"/>
    <w:lvlOverride w:ilvl="0">
      <w:startOverride w:val="891"/>
    </w:lvlOverride>
    <w:lvlOverride w:ilvl="1">
      <w:startOverride w:val="891"/>
    </w:lvlOverride>
    <w:lvlOverride w:ilvl="2">
      <w:startOverride w:val="891"/>
    </w:lvlOverride>
    <w:lvlOverride w:ilvl="3">
      <w:startOverride w:val="891"/>
    </w:lvlOverride>
    <w:lvlOverride w:ilvl="4">
      <w:startOverride w:val="891"/>
    </w:lvlOverride>
    <w:lvlOverride w:ilvl="5">
      <w:startOverride w:val="891"/>
    </w:lvlOverride>
    <w:lvlOverride w:ilvl="6">
      <w:startOverride w:val="891"/>
    </w:lvlOverride>
    <w:lvlOverride w:ilvl="7">
      <w:startOverride w:val="891"/>
    </w:lvlOverride>
    <w:lvlOverride w:ilvl="8">
      <w:startOverride w:val="891"/>
    </w:lvlOverride>
  </w:num>
  <w:num w:numId="1710">
    <w:abstractNumId w:val="9943967"/>
    <w:lvlOverride w:ilvl="0">
      <w:startOverride w:val="967"/>
    </w:lvlOverride>
    <w:lvlOverride w:ilvl="1">
      <w:startOverride w:val="967"/>
    </w:lvlOverride>
    <w:lvlOverride w:ilvl="2">
      <w:startOverride w:val="967"/>
    </w:lvlOverride>
    <w:lvlOverride w:ilvl="3">
      <w:startOverride w:val="967"/>
    </w:lvlOverride>
    <w:lvlOverride w:ilvl="4">
      <w:startOverride w:val="967"/>
    </w:lvlOverride>
    <w:lvlOverride w:ilvl="5">
      <w:startOverride w:val="967"/>
    </w:lvlOverride>
    <w:lvlOverride w:ilvl="6">
      <w:startOverride w:val="967"/>
    </w:lvlOverride>
    <w:lvlOverride w:ilvl="7">
      <w:startOverride w:val="967"/>
    </w:lvlOverride>
    <w:lvlOverride w:ilvl="8">
      <w:startOverride w:val="967"/>
    </w:lvlOverride>
  </w:num>
  <w:num w:numId="1711">
    <w:abstractNumId w:val="9943797"/>
    <w:lvlOverride w:ilvl="0">
      <w:startOverride w:val="797"/>
    </w:lvlOverride>
    <w:lvlOverride w:ilvl="1">
      <w:startOverride w:val="797"/>
    </w:lvlOverride>
    <w:lvlOverride w:ilvl="2">
      <w:startOverride w:val="797"/>
    </w:lvlOverride>
    <w:lvlOverride w:ilvl="3">
      <w:startOverride w:val="797"/>
    </w:lvlOverride>
    <w:lvlOverride w:ilvl="4">
      <w:startOverride w:val="797"/>
    </w:lvlOverride>
    <w:lvlOverride w:ilvl="5">
      <w:startOverride w:val="797"/>
    </w:lvlOverride>
    <w:lvlOverride w:ilvl="6">
      <w:startOverride w:val="797"/>
    </w:lvlOverride>
    <w:lvlOverride w:ilvl="7">
      <w:startOverride w:val="797"/>
    </w:lvlOverride>
    <w:lvlOverride w:ilvl="8">
      <w:startOverride w:val="797"/>
    </w:lvlOverride>
  </w:num>
  <w:num w:numId="1712">
    <w:abstractNumId w:val="9943999"/>
    <w:lvlOverride w:ilvl="0">
      <w:startOverride w:val="999"/>
    </w:lvlOverride>
    <w:lvlOverride w:ilvl="1">
      <w:startOverride w:val="999"/>
    </w:lvlOverride>
    <w:lvlOverride w:ilvl="2">
      <w:startOverride w:val="999"/>
    </w:lvlOverride>
    <w:lvlOverride w:ilvl="3">
      <w:startOverride w:val="999"/>
    </w:lvlOverride>
    <w:lvlOverride w:ilvl="4">
      <w:startOverride w:val="999"/>
    </w:lvlOverride>
    <w:lvlOverride w:ilvl="5">
      <w:startOverride w:val="999"/>
    </w:lvlOverride>
    <w:lvlOverride w:ilvl="6">
      <w:startOverride w:val="999"/>
    </w:lvlOverride>
    <w:lvlOverride w:ilvl="7">
      <w:startOverride w:val="999"/>
    </w:lvlOverride>
    <w:lvlOverride w:ilvl="8">
      <w:startOverride w:val="999"/>
    </w:lvlOverride>
  </w:num>
  <w:num w:numId="1713">
    <w:abstractNumId w:val="9943655"/>
    <w:lvlOverride w:ilvl="0">
      <w:startOverride w:val="655"/>
    </w:lvlOverride>
    <w:lvlOverride w:ilvl="1">
      <w:startOverride w:val="655"/>
    </w:lvlOverride>
    <w:lvlOverride w:ilvl="2">
      <w:startOverride w:val="655"/>
    </w:lvlOverride>
    <w:lvlOverride w:ilvl="3">
      <w:startOverride w:val="655"/>
    </w:lvlOverride>
    <w:lvlOverride w:ilvl="4">
      <w:startOverride w:val="655"/>
    </w:lvlOverride>
    <w:lvlOverride w:ilvl="5">
      <w:startOverride w:val="655"/>
    </w:lvlOverride>
    <w:lvlOverride w:ilvl="6">
      <w:startOverride w:val="655"/>
    </w:lvlOverride>
    <w:lvlOverride w:ilvl="7">
      <w:startOverride w:val="655"/>
    </w:lvlOverride>
    <w:lvlOverride w:ilvl="8">
      <w:startOverride w:val="655"/>
    </w:lvlOverride>
  </w:num>
  <w:num w:numId="1714">
    <w:abstractNumId w:val="9943298"/>
    <w:lvlOverride w:ilvl="0">
      <w:startOverride w:val="298"/>
    </w:lvlOverride>
    <w:lvlOverride w:ilvl="1">
      <w:startOverride w:val="298"/>
    </w:lvlOverride>
    <w:lvlOverride w:ilvl="2">
      <w:startOverride w:val="298"/>
    </w:lvlOverride>
    <w:lvlOverride w:ilvl="3">
      <w:startOverride w:val="298"/>
    </w:lvlOverride>
    <w:lvlOverride w:ilvl="4">
      <w:startOverride w:val="298"/>
    </w:lvlOverride>
    <w:lvlOverride w:ilvl="5">
      <w:startOverride w:val="298"/>
    </w:lvlOverride>
    <w:lvlOverride w:ilvl="6">
      <w:startOverride w:val="298"/>
    </w:lvlOverride>
    <w:lvlOverride w:ilvl="7">
      <w:startOverride w:val="298"/>
    </w:lvlOverride>
    <w:lvlOverride w:ilvl="8">
      <w:startOverride w:val="298"/>
    </w:lvlOverride>
  </w:num>
  <w:num w:numId="1715">
    <w:abstractNumId w:val="9943176"/>
    <w:lvlOverride w:ilvl="0">
      <w:startOverride w:val="176"/>
    </w:lvlOverride>
    <w:lvlOverride w:ilvl="1">
      <w:startOverride w:val="176"/>
    </w:lvlOverride>
    <w:lvlOverride w:ilvl="2">
      <w:startOverride w:val="176"/>
    </w:lvlOverride>
    <w:lvlOverride w:ilvl="3">
      <w:startOverride w:val="176"/>
    </w:lvlOverride>
    <w:lvlOverride w:ilvl="4">
      <w:startOverride w:val="176"/>
    </w:lvlOverride>
    <w:lvlOverride w:ilvl="5">
      <w:startOverride w:val="176"/>
    </w:lvlOverride>
    <w:lvlOverride w:ilvl="6">
      <w:startOverride w:val="176"/>
    </w:lvlOverride>
    <w:lvlOverride w:ilvl="7">
      <w:startOverride w:val="176"/>
    </w:lvlOverride>
    <w:lvlOverride w:ilvl="8">
      <w:startOverride w:val="176"/>
    </w:lvlOverride>
  </w:num>
  <w:num w:numId="1716">
    <w:abstractNumId w:val="9943357"/>
    <w:lvlOverride w:ilvl="0">
      <w:startOverride w:val="357"/>
    </w:lvlOverride>
    <w:lvlOverride w:ilvl="1">
      <w:startOverride w:val="357"/>
    </w:lvlOverride>
    <w:lvlOverride w:ilvl="2">
      <w:startOverride w:val="357"/>
    </w:lvlOverride>
    <w:lvlOverride w:ilvl="3">
      <w:startOverride w:val="357"/>
    </w:lvlOverride>
    <w:lvlOverride w:ilvl="4">
      <w:startOverride w:val="357"/>
    </w:lvlOverride>
    <w:lvlOverride w:ilvl="5">
      <w:startOverride w:val="357"/>
    </w:lvlOverride>
    <w:lvlOverride w:ilvl="6">
      <w:startOverride w:val="357"/>
    </w:lvlOverride>
    <w:lvlOverride w:ilvl="7">
      <w:startOverride w:val="357"/>
    </w:lvlOverride>
    <w:lvlOverride w:ilvl="8">
      <w:startOverride w:val="357"/>
    </w:lvlOverride>
  </w:num>
  <w:num w:numId="1717">
    <w:abstractNumId w:val="9943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 w:numId="1718">
    <w:abstractNumId w:val="9943207"/>
    <w:lvlOverride w:ilvl="0">
      <w:startOverride w:val="207"/>
    </w:lvlOverride>
    <w:lvlOverride w:ilvl="1">
      <w:startOverride w:val="207"/>
    </w:lvlOverride>
    <w:lvlOverride w:ilvl="2">
      <w:startOverride w:val="207"/>
    </w:lvlOverride>
    <w:lvlOverride w:ilvl="3">
      <w:startOverride w:val="207"/>
    </w:lvlOverride>
    <w:lvlOverride w:ilvl="4">
      <w:startOverride w:val="207"/>
    </w:lvlOverride>
    <w:lvlOverride w:ilvl="5">
      <w:startOverride w:val="207"/>
    </w:lvlOverride>
    <w:lvlOverride w:ilvl="6">
      <w:startOverride w:val="207"/>
    </w:lvlOverride>
    <w:lvlOverride w:ilvl="7">
      <w:startOverride w:val="207"/>
    </w:lvlOverride>
    <w:lvlOverride w:ilvl="8">
      <w:startOverride w:val="207"/>
    </w:lvlOverride>
  </w:num>
  <w:num w:numId="1719">
    <w:abstractNumId w:val="9943209"/>
    <w:lvlOverride w:ilvl="0">
      <w:startOverride w:val="209"/>
    </w:lvlOverride>
    <w:lvlOverride w:ilvl="1">
      <w:startOverride w:val="209"/>
    </w:lvlOverride>
    <w:lvlOverride w:ilvl="2">
      <w:startOverride w:val="209"/>
    </w:lvlOverride>
    <w:lvlOverride w:ilvl="3">
      <w:startOverride w:val="209"/>
    </w:lvlOverride>
    <w:lvlOverride w:ilvl="4">
      <w:startOverride w:val="209"/>
    </w:lvlOverride>
    <w:lvlOverride w:ilvl="5">
      <w:startOverride w:val="209"/>
    </w:lvlOverride>
    <w:lvlOverride w:ilvl="6">
      <w:startOverride w:val="209"/>
    </w:lvlOverride>
    <w:lvlOverride w:ilvl="7">
      <w:startOverride w:val="209"/>
    </w:lvlOverride>
    <w:lvlOverride w:ilvl="8">
      <w:startOverride w:val="209"/>
    </w:lvlOverride>
  </w:num>
  <w:num w:numId="1720">
    <w:abstractNumId w:val="9943362"/>
    <w:lvlOverride w:ilvl="0">
      <w:startOverride w:val="362"/>
    </w:lvlOverride>
    <w:lvlOverride w:ilvl="1">
      <w:startOverride w:val="362"/>
    </w:lvlOverride>
    <w:lvlOverride w:ilvl="2">
      <w:startOverride w:val="362"/>
    </w:lvlOverride>
    <w:lvlOverride w:ilvl="3">
      <w:startOverride w:val="362"/>
    </w:lvlOverride>
    <w:lvlOverride w:ilvl="4">
      <w:startOverride w:val="362"/>
    </w:lvlOverride>
    <w:lvlOverride w:ilvl="5">
      <w:startOverride w:val="362"/>
    </w:lvlOverride>
    <w:lvlOverride w:ilvl="6">
      <w:startOverride w:val="362"/>
    </w:lvlOverride>
    <w:lvlOverride w:ilvl="7">
      <w:startOverride w:val="362"/>
    </w:lvlOverride>
    <w:lvlOverride w:ilvl="8">
      <w:startOverride w:val="362"/>
    </w:lvlOverride>
  </w:num>
  <w:num w:numId="17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4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7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2026-04-13T07:49:24Z</dcterms:created>
  <dcterms:modified xsi:type="dcterms:W3CDTF">2026-04-13T07:49:24Z</dcterms:modified>
</cp:coreProperties>
</file>

<file path=docProps/custom.xml><?xml version="1.0" encoding="utf-8"?>
<Properties xmlns="http://schemas.openxmlformats.org/officeDocument/2006/custom-properties" xmlns:vt="http://schemas.openxmlformats.org/officeDocument/2006/docPropsVTypes"/>
</file>