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上海东海职业技术学院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375" w:lineRule="atLeast"/>
        <w:ind w:left="0" w:right="0" w:firstLine="555"/>
        <w:jc w:val="center"/>
        <w:rPr>
          <w:rFonts w:ascii="Times New Roman" w:eastAsia="Times New Roman" w:hAnsi="Times New Roman" w:cs="Times New Roman"/>
          <w:color w:val="666666"/>
          <w:sz w:val="21"/>
          <w:szCs w:val="21"/>
        </w:rPr>
      </w:pPr>
      <w:r>
        <w:rPr>
          <w:rFonts w:ascii="楷体_GB2312" w:eastAsia="楷体_GB2312" w:hAnsi="楷体_GB2312" w:cs="楷体_GB2312"/>
          <w:color w:val="666666"/>
          <w:sz w:val="29"/>
          <w:szCs w:val="29"/>
        </w:rPr>
        <w:t>2019</w:t>
      </w:r>
      <w:r>
        <w:rPr>
          <w:rFonts w:ascii="楷体_GB2312" w:eastAsia="楷体_GB2312" w:hAnsi="楷体_GB2312" w:cs="楷体_GB2312"/>
          <w:color w:val="666666"/>
          <w:sz w:val="29"/>
          <w:szCs w:val="29"/>
        </w:rPr>
        <w:t>年上海市普通高等学校招生章程</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Times New Roman" w:eastAsia="Times New Roman" w:hAnsi="Times New Roman" w:cs="Times New Roman"/>
          <w:color w:val="666666"/>
          <w:sz w:val="21"/>
          <w:szCs w:val="21"/>
        </w:rPr>
      </w:pPr>
      <w:r>
        <w:rPr>
          <w:rFonts w:ascii="楷体_GB2312" w:eastAsia="楷体_GB2312" w:hAnsi="楷体_GB2312" w:cs="楷体_GB2312"/>
          <w:color w:val="666666"/>
          <w:sz w:val="29"/>
          <w:szCs w:val="29"/>
        </w:rPr>
        <w:t>（</w:t>
      </w:r>
      <w:r>
        <w:rPr>
          <w:rFonts w:ascii="楷体_GB2312" w:eastAsia="楷体_GB2312" w:hAnsi="楷体_GB2312" w:cs="楷体_GB2312"/>
          <w:color w:val="666666"/>
          <w:sz w:val="29"/>
          <w:szCs w:val="29"/>
        </w:rPr>
        <w:t>全国统考</w:t>
      </w:r>
      <w:r>
        <w:rPr>
          <w:rFonts w:ascii="楷体_GB2312" w:eastAsia="楷体_GB2312" w:hAnsi="楷体_GB2312" w:cs="楷体_GB2312"/>
          <w:color w:val="666666"/>
          <w:sz w:val="29"/>
          <w:szCs w:val="29"/>
        </w:rPr>
        <w:t>）</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b/>
          <w:bCs/>
          <w:color w:val="666666"/>
          <w:sz w:val="29"/>
          <w:szCs w:val="29"/>
        </w:rPr>
        <w:t>一、院校全称</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Times New Roman" w:eastAsia="Times New Roman" w:hAnsi="Times New Roman" w:cs="Times New Roman"/>
          <w:color w:val="666666"/>
          <w:sz w:val="21"/>
          <w:szCs w:val="21"/>
        </w:rPr>
      </w:pPr>
      <w:r>
        <w:rPr>
          <w:rFonts w:ascii="FangSong" w:eastAsia="FangSong" w:hAnsi="FangSong" w:cs="FangSong"/>
          <w:color w:val="666666"/>
          <w:sz w:val="29"/>
          <w:szCs w:val="29"/>
        </w:rPr>
        <w:t>上海东海职业技术学院</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b/>
          <w:bCs/>
          <w:color w:val="666666"/>
          <w:sz w:val="29"/>
          <w:szCs w:val="29"/>
        </w:rPr>
        <w:t>二、就读校址</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Times New Roman" w:eastAsia="Times New Roman" w:hAnsi="Times New Roman" w:cs="Times New Roman"/>
          <w:color w:val="666666"/>
          <w:sz w:val="21"/>
          <w:szCs w:val="21"/>
        </w:rPr>
      </w:pPr>
      <w:r>
        <w:rPr>
          <w:rFonts w:ascii="FangSong" w:eastAsia="FangSong" w:hAnsi="FangSong" w:cs="FangSong"/>
          <w:color w:val="666666"/>
          <w:sz w:val="29"/>
          <w:szCs w:val="29"/>
        </w:rPr>
        <w:t>上海市闵行区虹梅南路6001号</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b/>
          <w:bCs/>
          <w:color w:val="666666"/>
          <w:sz w:val="29"/>
          <w:szCs w:val="29"/>
        </w:rPr>
        <w:t>三、招生层次</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color w:val="666666"/>
          <w:sz w:val="29"/>
          <w:szCs w:val="29"/>
        </w:rPr>
        <w:t>□ 本科</w:t>
      </w:r>
      <w:r>
        <w:rPr>
          <w:rFonts w:ascii="Calibri" w:eastAsia="Calibri" w:hAnsi="Calibri" w:cs="Calibri"/>
          <w:color w:val="666666"/>
          <w:sz w:val="29"/>
          <w:szCs w:val="29"/>
        </w:rPr>
        <w:t> </w:t>
      </w:r>
      <w:r>
        <w:rPr>
          <w:rFonts w:ascii="FangSong" w:eastAsia="FangSong" w:hAnsi="FangSong" w:cs="FangSong"/>
          <w:color w:val="666666"/>
          <w:sz w:val="29"/>
          <w:szCs w:val="29"/>
        </w:rPr>
        <w:t xml:space="preserve"> ■ 高职</w:t>
      </w:r>
      <w:r>
        <w:rPr>
          <w:rFonts w:ascii="Calibri" w:eastAsia="Calibri" w:hAnsi="Calibri" w:cs="Calibri"/>
          <w:color w:val="666666"/>
          <w:sz w:val="29"/>
          <w:szCs w:val="29"/>
        </w:rPr>
        <w:t> </w:t>
      </w:r>
      <w:r>
        <w:rPr>
          <w:rFonts w:ascii="FangSong" w:eastAsia="FangSong" w:hAnsi="FangSong" w:cs="FangSong"/>
          <w:color w:val="666666"/>
          <w:sz w:val="29"/>
          <w:szCs w:val="29"/>
        </w:rPr>
        <w:t xml:space="preserve"> □ 专科</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b/>
          <w:bCs/>
          <w:color w:val="666666"/>
          <w:sz w:val="29"/>
          <w:szCs w:val="29"/>
        </w:rPr>
        <w:t>四、办学类型</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color w:val="666666"/>
          <w:sz w:val="29"/>
          <w:szCs w:val="29"/>
        </w:rPr>
        <w:t xml:space="preserve">■ 普通高等学校 </w:t>
      </w:r>
      <w:r>
        <w:rPr>
          <w:rFonts w:ascii="Calibri" w:eastAsia="Calibri" w:hAnsi="Calibri" w:cs="Calibri"/>
          <w:color w:val="666666"/>
          <w:sz w:val="29"/>
          <w:szCs w:val="29"/>
        </w:rPr>
        <w:t> </w:t>
      </w:r>
      <w:r>
        <w:rPr>
          <w:rFonts w:ascii="FangSong" w:eastAsia="FangSong" w:hAnsi="FangSong" w:cs="FangSong"/>
          <w:color w:val="666666"/>
          <w:sz w:val="29"/>
          <w:szCs w:val="29"/>
        </w:rPr>
        <w:t>□ 成人高等学校</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color w:val="666666"/>
          <w:sz w:val="29"/>
          <w:szCs w:val="29"/>
        </w:rPr>
        <w:t xml:space="preserve">□ 公办高等学校 </w:t>
      </w:r>
      <w:r>
        <w:rPr>
          <w:rFonts w:ascii="Calibri" w:eastAsia="Calibri" w:hAnsi="Calibri" w:cs="Calibri"/>
          <w:color w:val="666666"/>
          <w:sz w:val="29"/>
          <w:szCs w:val="29"/>
        </w:rPr>
        <w:t> </w:t>
      </w:r>
      <w:r>
        <w:rPr>
          <w:rFonts w:ascii="FangSong" w:eastAsia="FangSong" w:hAnsi="FangSong" w:cs="FangSong"/>
          <w:color w:val="666666"/>
          <w:sz w:val="29"/>
          <w:szCs w:val="29"/>
        </w:rPr>
        <w:t>■ 民办高等学校 □ 独立学院</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color w:val="666666"/>
          <w:sz w:val="29"/>
          <w:szCs w:val="29"/>
        </w:rPr>
        <w:t xml:space="preserve">□ 高等专科学校 </w:t>
      </w:r>
      <w:r>
        <w:rPr>
          <w:rFonts w:ascii="Calibri" w:eastAsia="Calibri" w:hAnsi="Calibri" w:cs="Calibri"/>
          <w:color w:val="666666"/>
          <w:sz w:val="29"/>
          <w:szCs w:val="29"/>
        </w:rPr>
        <w:t> </w:t>
      </w:r>
      <w:r>
        <w:rPr>
          <w:rFonts w:ascii="FangSong" w:eastAsia="FangSong" w:hAnsi="FangSong" w:cs="FangSong"/>
          <w:color w:val="666666"/>
          <w:sz w:val="29"/>
          <w:szCs w:val="29"/>
        </w:rPr>
        <w:t>■ 高等职业技术学校</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b/>
          <w:bCs/>
          <w:color w:val="666666"/>
          <w:sz w:val="29"/>
          <w:szCs w:val="29"/>
        </w:rPr>
        <w:t>五、颁发学历证书的院校名称及证书种类</w:t>
      </w:r>
    </w:p>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Times New Roman" w:eastAsia="Times New Roman" w:hAnsi="Times New Roman" w:cs="Times New Roman"/>
          <w:color w:val="666666"/>
          <w:sz w:val="21"/>
          <w:szCs w:val="21"/>
        </w:rPr>
      </w:pPr>
      <w:r>
        <w:rPr>
          <w:rFonts w:ascii="FangSong" w:eastAsia="FangSong" w:hAnsi="FangSong" w:cs="FangSong"/>
          <w:b/>
          <w:bCs/>
          <w:color w:val="666666"/>
          <w:sz w:val="29"/>
          <w:szCs w:val="29"/>
        </w:rPr>
        <w:t>院校名称</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Times New Roman" w:eastAsia="Times New Roman" w:hAnsi="Times New Roman" w:cs="Times New Roman"/>
          <w:color w:val="666666"/>
          <w:sz w:val="21"/>
          <w:szCs w:val="21"/>
        </w:rPr>
      </w:pPr>
      <w:r>
        <w:rPr>
          <w:rFonts w:ascii="FangSong" w:eastAsia="FangSong" w:hAnsi="FangSong" w:cs="FangSong"/>
          <w:color w:val="666666"/>
          <w:sz w:val="29"/>
          <w:szCs w:val="29"/>
        </w:rPr>
        <w:t>上海东海职业技术学院</w:t>
      </w:r>
    </w:p>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Times New Roman" w:eastAsia="Times New Roman" w:hAnsi="Times New Roman" w:cs="Times New Roman"/>
          <w:color w:val="666666"/>
          <w:sz w:val="21"/>
          <w:szCs w:val="21"/>
        </w:rPr>
      </w:pPr>
      <w:r>
        <w:rPr>
          <w:rFonts w:ascii="FangSong" w:eastAsia="FangSong" w:hAnsi="FangSong" w:cs="FangSong"/>
          <w:b/>
          <w:bCs/>
          <w:color w:val="666666"/>
          <w:sz w:val="29"/>
          <w:szCs w:val="29"/>
        </w:rPr>
        <w:t>证书种类</w:t>
      </w:r>
    </w:p>
    <w:p>
      <w:pPr>
        <w:pBdr>
          <w:top w:val="none" w:sz="0" w:space="0" w:color="auto"/>
          <w:left w:val="none" w:sz="0" w:space="0" w:color="auto"/>
          <w:bottom w:val="none" w:sz="0" w:space="0" w:color="auto"/>
          <w:right w:val="none" w:sz="0" w:space="0" w:color="auto"/>
        </w:pBdr>
        <w:spacing w:before="0" w:after="0" w:line="360" w:lineRule="atLeast"/>
        <w:ind w:left="0" w:right="0"/>
        <w:rPr>
          <w:rFonts w:ascii="Times New Roman" w:eastAsia="Times New Roman" w:hAnsi="Times New Roman" w:cs="Times New Roman"/>
          <w:color w:val="666666"/>
          <w:sz w:val="21"/>
          <w:szCs w:val="21"/>
        </w:rPr>
      </w:pPr>
      <w:r>
        <w:rPr>
          <w:rFonts w:ascii="Calibri" w:eastAsia="Calibri" w:hAnsi="Calibri" w:cs="Calibri"/>
          <w:color w:val="666666"/>
          <w:sz w:val="29"/>
          <w:szCs w:val="29"/>
        </w:rPr>
        <w:t> </w:t>
      </w:r>
      <w:r>
        <w:rPr>
          <w:rFonts w:ascii="FangSong" w:eastAsia="FangSong" w:hAnsi="FangSong" w:cs="FangSong"/>
          <w:color w:val="666666"/>
          <w:sz w:val="29"/>
          <w:szCs w:val="29"/>
        </w:rPr>
        <w:t>修学期满，符合毕业要求，颁发</w:t>
      </w:r>
      <w:r>
        <w:rPr>
          <w:rFonts w:ascii="FangSong" w:eastAsia="FangSong" w:hAnsi="FangSong" w:cs="FangSong"/>
          <w:b/>
          <w:bCs/>
          <w:color w:val="666666"/>
          <w:sz w:val="29"/>
          <w:szCs w:val="29"/>
        </w:rPr>
        <w:t>上海东海职业技术学院</w:t>
      </w:r>
      <w:r>
        <w:rPr>
          <w:rFonts w:ascii="FangSong" w:eastAsia="FangSong" w:hAnsi="FangSong" w:cs="FangSong"/>
          <w:color w:val="666666"/>
          <w:sz w:val="29"/>
          <w:szCs w:val="29"/>
        </w:rPr>
        <w:t>的专科毕业证书</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b/>
          <w:bCs/>
          <w:color w:val="666666"/>
          <w:sz w:val="29"/>
          <w:szCs w:val="29"/>
        </w:rPr>
        <w:t>六、院校招生管理机构</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Calibri" w:eastAsia="Calibri" w:hAnsi="Calibri" w:cs="Calibri"/>
          <w:b/>
          <w:bCs/>
          <w:color w:val="666666"/>
          <w:sz w:val="29"/>
          <w:szCs w:val="29"/>
        </w:rPr>
        <w:t> </w:t>
      </w:r>
      <w:r>
        <w:rPr>
          <w:rFonts w:ascii="FangSong" w:eastAsia="FangSong" w:hAnsi="FangSong" w:cs="FangSong"/>
          <w:b/>
          <w:bCs/>
          <w:color w:val="666666"/>
          <w:sz w:val="29"/>
          <w:szCs w:val="29"/>
        </w:rPr>
        <w:t>招生工作领导小组</w:t>
      </w:r>
      <w:r>
        <w:rPr>
          <w:rFonts w:ascii="FangSong" w:eastAsia="FangSong" w:hAnsi="FangSong" w:cs="FangSong"/>
          <w:color w:val="666666"/>
          <w:sz w:val="29"/>
          <w:szCs w:val="29"/>
        </w:rPr>
        <w:t>是我校招生工作的最高决策机构，统一领导学校招生工作；</w:t>
      </w:r>
      <w:r>
        <w:rPr>
          <w:rFonts w:ascii="FangSong" w:eastAsia="FangSong" w:hAnsi="FangSong" w:cs="FangSong"/>
          <w:b/>
          <w:bCs/>
          <w:color w:val="666666"/>
          <w:sz w:val="29"/>
          <w:szCs w:val="29"/>
        </w:rPr>
        <w:t>招生就业处招生办公室</w:t>
      </w:r>
      <w:r>
        <w:rPr>
          <w:rFonts w:ascii="FangSong" w:eastAsia="FangSong" w:hAnsi="FangSong" w:cs="FangSong"/>
          <w:color w:val="666666"/>
          <w:sz w:val="29"/>
          <w:szCs w:val="29"/>
        </w:rPr>
        <w:t>是我校组织和实施招生工作的常设机构，负责学校招生日常工作；</w:t>
      </w:r>
      <w:r>
        <w:rPr>
          <w:rFonts w:ascii="FangSong" w:eastAsia="FangSong" w:hAnsi="FangSong" w:cs="FangSong"/>
          <w:b/>
          <w:bCs/>
          <w:color w:val="666666"/>
          <w:sz w:val="29"/>
          <w:szCs w:val="29"/>
        </w:rPr>
        <w:t>招生工作监察小组</w:t>
      </w:r>
      <w:r>
        <w:rPr>
          <w:rFonts w:ascii="FangSong" w:eastAsia="FangSong" w:hAnsi="FangSong" w:cs="FangSong"/>
          <w:color w:val="666666"/>
          <w:sz w:val="29"/>
          <w:szCs w:val="29"/>
        </w:rPr>
        <w:t>是我校招生工作纪检监察机构。</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b/>
          <w:bCs/>
          <w:color w:val="666666"/>
          <w:sz w:val="29"/>
          <w:szCs w:val="29"/>
        </w:rPr>
        <w:t>七、招生计划分配</w:t>
      </w:r>
    </w:p>
    <w:p>
      <w:pPr>
        <w:pBdr>
          <w:top w:val="none" w:sz="0" w:space="0" w:color="auto"/>
          <w:left w:val="none" w:sz="0" w:space="0" w:color="auto"/>
          <w:bottom w:val="none" w:sz="0" w:space="0" w:color="auto"/>
          <w:right w:val="none" w:sz="0" w:space="0" w:color="auto"/>
        </w:pBdr>
        <w:spacing w:before="0" w:after="0" w:line="420" w:lineRule="atLeast"/>
        <w:ind w:left="0" w:right="0" w:firstLine="510"/>
        <w:rPr>
          <w:rFonts w:ascii="Times New Roman" w:eastAsia="Times New Roman" w:hAnsi="Times New Roman" w:cs="Times New Roman"/>
          <w:color w:val="666666"/>
          <w:sz w:val="21"/>
          <w:szCs w:val="21"/>
        </w:rPr>
      </w:pPr>
      <w:r>
        <w:rPr>
          <w:rFonts w:ascii="FangSong" w:eastAsia="FangSong" w:hAnsi="FangSong" w:cs="FangSong"/>
          <w:b/>
          <w:bCs/>
          <w:color w:val="666666"/>
          <w:sz w:val="29"/>
          <w:szCs w:val="29"/>
        </w:rPr>
        <w:t>的原则和办法</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color w:val="666666"/>
          <w:sz w:val="29"/>
          <w:szCs w:val="29"/>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color w:val="666666"/>
          <w:sz w:val="29"/>
          <w:szCs w:val="29"/>
        </w:rPr>
        <w:t>二、各招生专业无男女比例限制。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color w:val="666666"/>
          <w:sz w:val="29"/>
          <w:szCs w:val="29"/>
        </w:rPr>
        <w:t>三、护理专业报考要求无色盲、色弱、无听力障碍；学前教育专业不招口吃考生。</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color w:val="666666"/>
          <w:sz w:val="29"/>
          <w:szCs w:val="29"/>
        </w:rPr>
        <w:t>四、本年度我校分省分专业招生计划、高考改革省市选考科目要求等详见各省级招生主管部门（以下简称省级招办）编印的2019年普通高等学校招生专业和计划相关文件。</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b/>
          <w:bCs/>
          <w:color w:val="666666"/>
          <w:sz w:val="29"/>
          <w:szCs w:val="29"/>
        </w:rPr>
        <w:t>八、专业培养对入学外</w:t>
      </w:r>
    </w:p>
    <w:p>
      <w:pPr>
        <w:pBdr>
          <w:top w:val="none" w:sz="0" w:space="0" w:color="auto"/>
          <w:left w:val="none" w:sz="0" w:space="0" w:color="auto"/>
          <w:bottom w:val="none" w:sz="0" w:space="0" w:color="auto"/>
          <w:right w:val="none" w:sz="0" w:space="0" w:color="auto"/>
        </w:pBdr>
        <w:spacing w:before="0" w:after="0" w:line="420" w:lineRule="atLeast"/>
        <w:ind w:left="0" w:right="0" w:firstLine="510"/>
        <w:rPr>
          <w:rFonts w:ascii="Times New Roman" w:eastAsia="Times New Roman" w:hAnsi="Times New Roman" w:cs="Times New Roman"/>
          <w:color w:val="666666"/>
          <w:sz w:val="21"/>
          <w:szCs w:val="21"/>
        </w:rPr>
      </w:pPr>
      <w:r>
        <w:rPr>
          <w:rFonts w:ascii="FangSong" w:eastAsia="FangSong" w:hAnsi="FangSong" w:cs="FangSong"/>
          <w:b/>
          <w:bCs/>
          <w:color w:val="666666"/>
          <w:sz w:val="29"/>
          <w:szCs w:val="29"/>
        </w:rPr>
        <w:t>语考试语种的要求</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color w:val="666666"/>
          <w:sz w:val="29"/>
          <w:szCs w:val="29"/>
        </w:rPr>
        <w:t>入学外语考试语种不限。</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b/>
          <w:bCs/>
          <w:color w:val="666666"/>
          <w:sz w:val="29"/>
          <w:szCs w:val="29"/>
        </w:rPr>
        <w:t>九、身体健康状况要求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color w:val="666666"/>
          <w:sz w:val="29"/>
          <w:szCs w:val="29"/>
        </w:rPr>
        <w:t>空中乘务专业招生条件参照中国民航空勤人员体检标准执行；其他专业以教育部、卫生部和中国残疾人联合会印发的《普通高等学校招生体检工作指导意见》（教学〔2003〕3号）及有关补充规定为依据。考生须据实上报健康状况，若隐瞒病情病史，学校将按照本校学籍管理规定中有关退学与休学的规定执行。</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b/>
          <w:bCs/>
          <w:color w:val="666666"/>
          <w:sz w:val="29"/>
          <w:szCs w:val="29"/>
        </w:rPr>
        <w:t>十、加分政策</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color w:val="666666"/>
          <w:sz w:val="29"/>
          <w:szCs w:val="29"/>
        </w:rPr>
        <w:t>我校认可教育部和各省级招办根据教育部相关规定给予考生的加分政策，我校原则上认可考生具备的所有加分项中最高分一项，不累计加分,最高不超过20分。</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b/>
          <w:bCs/>
          <w:color w:val="666666"/>
          <w:sz w:val="29"/>
          <w:szCs w:val="29"/>
        </w:rPr>
        <w:t>十一、录取规则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555"/>
        <w:rPr>
          <w:rFonts w:ascii="Times New Roman" w:eastAsia="Times New Roman" w:hAnsi="Times New Roman" w:cs="Times New Roman"/>
          <w:color w:val="666666"/>
          <w:sz w:val="21"/>
          <w:szCs w:val="21"/>
        </w:rPr>
      </w:pPr>
      <w:r>
        <w:rPr>
          <w:rFonts w:ascii="FangSong" w:eastAsia="FangSong" w:hAnsi="FangSong" w:cs="FangSong"/>
          <w:color w:val="666666"/>
          <w:sz w:val="29"/>
          <w:szCs w:val="29"/>
        </w:rPr>
        <w:t>一、依据普通高等学校招生全国统一考试（秋季统一考试）成绩录取的规则：</w:t>
      </w:r>
    </w:p>
    <w:p>
      <w:pPr>
        <w:pBdr>
          <w:top w:val="none" w:sz="0" w:space="0" w:color="auto"/>
          <w:left w:val="none" w:sz="0" w:space="0" w:color="auto"/>
          <w:bottom w:val="none" w:sz="0" w:space="0" w:color="auto"/>
          <w:right w:val="none" w:sz="0" w:space="0" w:color="auto"/>
        </w:pBdr>
        <w:spacing w:before="0" w:after="0" w:line="420" w:lineRule="atLeast"/>
        <w:ind w:left="0" w:right="0" w:firstLine="555"/>
        <w:rPr>
          <w:rFonts w:ascii="Times New Roman" w:eastAsia="Times New Roman" w:hAnsi="Times New Roman" w:cs="Times New Roman"/>
          <w:color w:val="666666"/>
          <w:sz w:val="21"/>
          <w:szCs w:val="21"/>
        </w:rPr>
      </w:pPr>
      <w:r>
        <w:rPr>
          <w:rFonts w:ascii="FangSong" w:eastAsia="FangSong" w:hAnsi="FangSong" w:cs="FangSong"/>
          <w:color w:val="666666"/>
          <w:sz w:val="29"/>
          <w:szCs w:val="29"/>
        </w:rPr>
        <w:t>1.</w:t>
      </w:r>
      <w:r>
        <w:rPr>
          <w:rFonts w:ascii="FangSong" w:eastAsia="FangSong" w:hAnsi="FangSong" w:cs="FangSong"/>
          <w:color w:val="666666"/>
          <w:sz w:val="29"/>
          <w:szCs w:val="29"/>
        </w:rPr>
        <w:t>省级招办按我校在当地的招生计划数和投档比例将第一志愿报考我校的生源从高分到低分（含加分）进行投档。顺序志愿批次按不超过120%投档,平行志愿批次按不超过105%投档。</w:t>
      </w:r>
    </w:p>
    <w:p>
      <w:pPr>
        <w:pBdr>
          <w:top w:val="none" w:sz="0" w:space="0" w:color="auto"/>
          <w:left w:val="none" w:sz="0" w:space="0" w:color="auto"/>
          <w:bottom w:val="none" w:sz="0" w:space="0" w:color="auto"/>
          <w:right w:val="none" w:sz="0" w:space="0" w:color="auto"/>
        </w:pBdr>
        <w:spacing w:before="0" w:after="0" w:line="420" w:lineRule="atLeast"/>
        <w:ind w:left="0" w:right="0" w:firstLine="555"/>
        <w:rPr>
          <w:rFonts w:ascii="Times New Roman" w:eastAsia="Times New Roman" w:hAnsi="Times New Roman" w:cs="Times New Roman"/>
          <w:color w:val="666666"/>
          <w:sz w:val="21"/>
          <w:szCs w:val="21"/>
        </w:rPr>
      </w:pPr>
      <w:r>
        <w:rPr>
          <w:rFonts w:ascii="FangSong" w:eastAsia="FangSong" w:hAnsi="FangSong" w:cs="FangSong"/>
          <w:color w:val="666666"/>
          <w:sz w:val="29"/>
          <w:szCs w:val="29"/>
        </w:rPr>
        <w:t>2.</w:t>
      </w:r>
      <w:r>
        <w:rPr>
          <w:rFonts w:ascii="FangSong" w:eastAsia="FangSong" w:hAnsi="FangSong" w:cs="FangSong"/>
          <w:color w:val="666666"/>
          <w:sz w:val="29"/>
          <w:szCs w:val="29"/>
        </w:rPr>
        <w:t>进档考生按志愿优先原则，从高分到低分择优录取，录取专业为考生填报第一专业。各专业之间无分数级差，如有同分，以外语、语文、数学依次排序择优录取，若省市有特殊要求的，按各省市同分排序规则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555"/>
        <w:rPr>
          <w:rFonts w:ascii="Times New Roman" w:eastAsia="Times New Roman" w:hAnsi="Times New Roman" w:cs="Times New Roman"/>
          <w:color w:val="666666"/>
          <w:sz w:val="21"/>
          <w:szCs w:val="21"/>
        </w:rPr>
      </w:pPr>
      <w:r>
        <w:rPr>
          <w:rFonts w:ascii="FangSong" w:eastAsia="FangSong" w:hAnsi="FangSong" w:cs="FangSong"/>
          <w:color w:val="666666"/>
          <w:sz w:val="29"/>
          <w:szCs w:val="29"/>
        </w:rPr>
        <w:t>3.</w:t>
      </w:r>
      <w:r>
        <w:rPr>
          <w:rFonts w:ascii="FangSong" w:eastAsia="FangSong" w:hAnsi="FangSong" w:cs="FangSong"/>
          <w:color w:val="666666"/>
          <w:sz w:val="29"/>
          <w:szCs w:val="29"/>
        </w:rPr>
        <w:t>政策性加分在专业录取时计入总分。</w:t>
      </w:r>
    </w:p>
    <w:p>
      <w:pPr>
        <w:pBdr>
          <w:top w:val="none" w:sz="0" w:space="0" w:color="auto"/>
          <w:left w:val="none" w:sz="0" w:space="0" w:color="auto"/>
          <w:bottom w:val="none" w:sz="0" w:space="0" w:color="auto"/>
          <w:right w:val="none" w:sz="0" w:space="0" w:color="auto"/>
        </w:pBdr>
        <w:spacing w:before="0" w:after="0" w:line="420" w:lineRule="atLeast"/>
        <w:ind w:left="0" w:right="0" w:firstLine="555"/>
        <w:rPr>
          <w:rFonts w:ascii="Times New Roman" w:eastAsia="Times New Roman" w:hAnsi="Times New Roman" w:cs="Times New Roman"/>
          <w:color w:val="666666"/>
          <w:sz w:val="21"/>
          <w:szCs w:val="21"/>
        </w:rPr>
      </w:pPr>
      <w:r>
        <w:rPr>
          <w:rFonts w:ascii="FangSong" w:eastAsia="FangSong" w:hAnsi="FangSong" w:cs="FangSong"/>
          <w:color w:val="666666"/>
          <w:sz w:val="29"/>
          <w:szCs w:val="29"/>
        </w:rPr>
        <w:t>4.</w:t>
      </w:r>
      <w:r>
        <w:rPr>
          <w:rFonts w:ascii="FangSong" w:eastAsia="FangSong" w:hAnsi="FangSong" w:cs="FangSong"/>
          <w:color w:val="666666"/>
          <w:sz w:val="29"/>
          <w:szCs w:val="29"/>
        </w:rPr>
        <w:t>艺术类专业要求文化成绩和专业成绩达到所在省市规定资格线，进档后按照高考文化成绩从高分到低分择优录取。艺术类专业成绩认可各省、市组织的省级专业统考成绩（如省市无编导类统考，广播影视节目制作专业认可省市级美术类统考成绩）。</w:t>
      </w:r>
    </w:p>
    <w:p>
      <w:pPr>
        <w:pBdr>
          <w:top w:val="none" w:sz="0" w:space="0" w:color="auto"/>
          <w:left w:val="none" w:sz="0" w:space="0" w:color="auto"/>
          <w:bottom w:val="none" w:sz="0" w:space="0" w:color="auto"/>
          <w:right w:val="none" w:sz="0" w:space="0" w:color="auto"/>
        </w:pBdr>
        <w:spacing w:before="0" w:after="0" w:line="420" w:lineRule="atLeast"/>
        <w:ind w:left="0" w:right="0" w:firstLine="555"/>
        <w:rPr>
          <w:rFonts w:ascii="Times New Roman" w:eastAsia="Times New Roman" w:hAnsi="Times New Roman" w:cs="Times New Roman"/>
          <w:color w:val="666666"/>
          <w:sz w:val="21"/>
          <w:szCs w:val="21"/>
        </w:rPr>
      </w:pPr>
      <w:r>
        <w:rPr>
          <w:rFonts w:ascii="FangSong" w:eastAsia="FangSong" w:hAnsi="FangSong" w:cs="FangSong"/>
          <w:color w:val="666666"/>
          <w:sz w:val="29"/>
          <w:szCs w:val="29"/>
        </w:rPr>
        <w:t>5.</w:t>
      </w:r>
      <w:r>
        <w:rPr>
          <w:rFonts w:ascii="FangSong" w:eastAsia="FangSong" w:hAnsi="FangSong" w:cs="FangSong"/>
          <w:color w:val="666666"/>
          <w:sz w:val="29"/>
          <w:szCs w:val="29"/>
        </w:rPr>
        <w:t>凡报考我校空中乘务专业的考生均须取得我校空中乘务专业面试合格证或参加省统一专业测试成绩合格者方可报考。进档后按照高考成绩，由高分到低分择优录取。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555"/>
        <w:rPr>
          <w:rFonts w:ascii="Times New Roman" w:eastAsia="Times New Roman" w:hAnsi="Times New Roman" w:cs="Times New Roman"/>
          <w:color w:val="666666"/>
          <w:sz w:val="21"/>
          <w:szCs w:val="21"/>
        </w:rPr>
      </w:pPr>
      <w:r>
        <w:rPr>
          <w:rFonts w:ascii="FangSong" w:eastAsia="FangSong" w:hAnsi="FangSong" w:cs="FangSong"/>
          <w:color w:val="666666"/>
          <w:sz w:val="29"/>
          <w:szCs w:val="29"/>
        </w:rPr>
        <w:t>二、若生源不足，我校可以按照省级招办要求参加降分录取或将剩余的招生计划调配至生源充足的省市安排录取。</w:t>
      </w:r>
    </w:p>
    <w:p>
      <w:pPr>
        <w:pBdr>
          <w:top w:val="none" w:sz="0" w:space="0" w:color="auto"/>
          <w:left w:val="none" w:sz="0" w:space="0" w:color="auto"/>
          <w:bottom w:val="none" w:sz="0" w:space="0" w:color="auto"/>
          <w:right w:val="none" w:sz="0" w:space="0" w:color="auto"/>
        </w:pBdr>
        <w:spacing w:before="0" w:after="0" w:line="420" w:lineRule="atLeast"/>
        <w:ind w:left="0" w:right="0" w:firstLine="555"/>
        <w:rPr>
          <w:rFonts w:ascii="Times New Roman" w:eastAsia="Times New Roman" w:hAnsi="Times New Roman" w:cs="Times New Roman"/>
          <w:color w:val="666666"/>
          <w:sz w:val="21"/>
          <w:szCs w:val="21"/>
        </w:rPr>
      </w:pPr>
      <w:r>
        <w:rPr>
          <w:rFonts w:ascii="FangSong" w:eastAsia="FangSong" w:hAnsi="FangSong" w:cs="FangSong"/>
          <w:color w:val="666666"/>
          <w:sz w:val="29"/>
          <w:szCs w:val="29"/>
        </w:rPr>
        <w:t>三、高考改革有关省市的录取规则和程序以省级招办规定为准。</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b/>
          <w:bCs/>
          <w:color w:val="666666"/>
          <w:sz w:val="29"/>
          <w:szCs w:val="29"/>
        </w:rPr>
        <w:t>十二、收费标准</w:t>
      </w:r>
    </w:p>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Times New Roman" w:eastAsia="Times New Roman" w:hAnsi="Times New Roman" w:cs="Times New Roman"/>
          <w:color w:val="666666"/>
          <w:sz w:val="21"/>
          <w:szCs w:val="21"/>
        </w:rPr>
      </w:pPr>
      <w:r>
        <w:rPr>
          <w:rFonts w:ascii="FangSong" w:eastAsia="FangSong" w:hAnsi="FangSong" w:cs="FangSong"/>
          <w:b/>
          <w:bCs/>
          <w:color w:val="666666"/>
          <w:sz w:val="29"/>
          <w:szCs w:val="29"/>
        </w:rPr>
        <w:t>学费标准</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color w:val="666666"/>
          <w:sz w:val="29"/>
          <w:szCs w:val="29"/>
        </w:rPr>
        <w:t>18000</w:t>
      </w:r>
      <w:r>
        <w:rPr>
          <w:rFonts w:ascii="FangSong" w:eastAsia="FangSong" w:hAnsi="FangSong" w:cs="FangSong"/>
          <w:color w:val="666666"/>
          <w:sz w:val="29"/>
          <w:szCs w:val="29"/>
        </w:rPr>
        <w:t>元/年（沪教委民[2015]4号）</w:t>
      </w:r>
    </w:p>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Times New Roman" w:eastAsia="Times New Roman" w:hAnsi="Times New Roman" w:cs="Times New Roman"/>
          <w:color w:val="666666"/>
          <w:sz w:val="21"/>
          <w:szCs w:val="21"/>
        </w:rPr>
      </w:pPr>
      <w:r>
        <w:rPr>
          <w:rFonts w:ascii="FangSong" w:eastAsia="FangSong" w:hAnsi="FangSong" w:cs="FangSong"/>
          <w:b/>
          <w:bCs/>
          <w:color w:val="666666"/>
          <w:sz w:val="29"/>
          <w:szCs w:val="29"/>
        </w:rPr>
        <w:t>住宿费标准</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color w:val="666666"/>
          <w:sz w:val="29"/>
          <w:szCs w:val="29"/>
        </w:rPr>
        <w:t>2500</w:t>
      </w:r>
      <w:r>
        <w:rPr>
          <w:rFonts w:ascii="FangSong" w:eastAsia="FangSong" w:hAnsi="FangSong" w:cs="FangSong"/>
          <w:color w:val="666666"/>
          <w:sz w:val="29"/>
          <w:szCs w:val="29"/>
        </w:rPr>
        <w:t>元/年（沪教委民[2015]4号）</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b/>
          <w:bCs/>
          <w:color w:val="666666"/>
          <w:sz w:val="29"/>
          <w:szCs w:val="29"/>
        </w:rPr>
        <w:t>十三、资助政策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555"/>
        <w:rPr>
          <w:rFonts w:ascii="Times New Roman" w:eastAsia="Times New Roman" w:hAnsi="Times New Roman" w:cs="Times New Roman"/>
          <w:color w:val="666666"/>
          <w:sz w:val="21"/>
          <w:szCs w:val="21"/>
        </w:rPr>
      </w:pPr>
      <w:r>
        <w:rPr>
          <w:rFonts w:ascii="FangSong" w:eastAsia="FangSong" w:hAnsi="FangSong" w:cs="FangSong"/>
          <w:color w:val="666666"/>
          <w:sz w:val="29"/>
          <w:szCs w:val="29"/>
        </w:rPr>
        <w:t>我校认真执行国家和本市相关学生资助规定，被本校录取的家庭经济困难学生可通过“绿色通道”申请入学，入学后可按规定申请国家奖学金、国家励志奖学金、上海市奖学金、国家助学金、国家助学贷款、勤工助学岗位、特殊困难补助和学费减免等。同时，学校还设立上海东海职业技术学院奖学金。学校承诺：确保被本校录取的学生不因家庭经济困难而辍学。</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b/>
          <w:bCs/>
          <w:color w:val="666666"/>
          <w:sz w:val="29"/>
          <w:szCs w:val="29"/>
        </w:rPr>
        <w:t>十四、监督机制及举报电话</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color w:val="666666"/>
          <w:sz w:val="29"/>
          <w:szCs w:val="29"/>
        </w:rPr>
        <w:t>按照招生“阳光工程”的统一要求，我校秋季统一考试招生全程接受本校招生工作监察小组监督。</w:t>
      </w:r>
      <w:r>
        <w:rPr>
          <w:rFonts w:ascii="Calibri" w:eastAsia="Calibri" w:hAnsi="Calibri" w:cs="Calibri"/>
          <w:color w:val="666666"/>
          <w:sz w:val="29"/>
          <w:szCs w:val="29"/>
        </w:rPr>
        <w:t> </w:t>
      </w:r>
      <w:r>
        <w:rPr>
          <w:rFonts w:ascii="FangSong" w:eastAsia="FangSong" w:hAnsi="FangSong" w:cs="FangSong"/>
          <w:color w:val="666666"/>
          <w:sz w:val="29"/>
          <w:szCs w:val="29"/>
        </w:rPr>
        <w:t xml:space="preserve"> </w:t>
      </w:r>
      <w:r>
        <w:rPr>
          <w:rFonts w:ascii="Calibri" w:eastAsia="Calibri" w:hAnsi="Calibri" w:cs="Calibri"/>
          <w:color w:val="666666"/>
          <w:sz w:val="29"/>
          <w:szCs w:val="29"/>
        </w:rPr>
        <w:t>  </w:t>
      </w:r>
      <w:r>
        <w:rPr>
          <w:rFonts w:ascii="FangSong" w:eastAsia="FangSong" w:hAnsi="FangSong" w:cs="FangSong"/>
          <w:color w:val="666666"/>
          <w:sz w:val="29"/>
          <w:szCs w:val="29"/>
        </w:rPr>
        <w:t>举报电话：021</w:t>
      </w:r>
      <w:r>
        <w:rPr>
          <w:rFonts w:ascii="FangSong" w:eastAsia="FangSong" w:hAnsi="FangSong" w:cs="FangSong"/>
          <w:color w:val="666666"/>
          <w:sz w:val="29"/>
          <w:szCs w:val="29"/>
        </w:rPr>
        <w:t>—</w:t>
      </w:r>
      <w:r>
        <w:rPr>
          <w:rFonts w:ascii="FangSong" w:eastAsia="FangSong" w:hAnsi="FangSong" w:cs="FangSong"/>
          <w:color w:val="666666"/>
          <w:sz w:val="29"/>
          <w:szCs w:val="29"/>
        </w:rPr>
        <w:t>64522376</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b/>
          <w:bCs/>
          <w:color w:val="666666"/>
          <w:sz w:val="29"/>
          <w:szCs w:val="29"/>
        </w:rPr>
        <w:t>十五、网址及联系电话</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color w:val="666666"/>
          <w:sz w:val="29"/>
          <w:szCs w:val="29"/>
        </w:rPr>
        <w:t>学校官网：http://www.esu.edu.cn</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color w:val="666666"/>
          <w:sz w:val="29"/>
          <w:szCs w:val="29"/>
        </w:rPr>
        <w:t>招生办公室官网：http://zs.esu.edu.cn/</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color w:val="666666"/>
          <w:sz w:val="29"/>
          <w:szCs w:val="29"/>
        </w:rPr>
        <w:t>咨询电话：021--64523424、021</w:t>
      </w:r>
      <w:r>
        <w:rPr>
          <w:rFonts w:ascii="FangSong" w:eastAsia="FangSong" w:hAnsi="FangSong" w:cs="FangSong"/>
          <w:color w:val="666666"/>
          <w:sz w:val="29"/>
          <w:szCs w:val="29"/>
        </w:rPr>
        <w:t>—</w:t>
      </w:r>
      <w:r>
        <w:rPr>
          <w:rFonts w:ascii="FangSong" w:eastAsia="FangSong" w:hAnsi="FangSong" w:cs="FangSong"/>
          <w:color w:val="666666"/>
          <w:sz w:val="29"/>
          <w:szCs w:val="29"/>
        </w:rPr>
        <w:t>64506938</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b/>
          <w:bCs/>
          <w:color w:val="666666"/>
          <w:sz w:val="29"/>
          <w:szCs w:val="29"/>
        </w:rPr>
        <w:t>十六、其他须知</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color w:val="666666"/>
          <w:sz w:val="21"/>
          <w:szCs w:val="21"/>
        </w:rPr>
      </w:pPr>
      <w:r>
        <w:rPr>
          <w:rFonts w:ascii="FangSong" w:eastAsia="FangSong" w:hAnsi="FangSong" w:cs="FangSong"/>
          <w:color w:val="666666"/>
          <w:sz w:val="29"/>
          <w:szCs w:val="29"/>
        </w:rPr>
        <w:t>报考我校空中乘务专业须面试。面试时间安排见学校阳光招生网。</w:t>
      </w:r>
    </w:p>
    <w:p>
      <w:pPr>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年上海戏剧学院招生章程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上海工程技术大学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年秋季统一高考（全国统考）招生章程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6.html" TargetMode="External" /><Relationship Id="rId11" Type="http://schemas.openxmlformats.org/officeDocument/2006/relationships/hyperlink" Target="http://www.gk114.com/a/gxzs/zszc/shanghai/2022/0406/22075.html" TargetMode="External" /><Relationship Id="rId12" Type="http://schemas.openxmlformats.org/officeDocument/2006/relationships/hyperlink" Target="http://www.gk114.com/a/gxzs/zszc/shanghai/2022/0220/21738.html" TargetMode="External" /><Relationship Id="rId13" Type="http://schemas.openxmlformats.org/officeDocument/2006/relationships/hyperlink" Target="http://www.gk114.com/a/gxzs/zszc/shanghai/2022/0220/21737.html" TargetMode="External" /><Relationship Id="rId14" Type="http://schemas.openxmlformats.org/officeDocument/2006/relationships/hyperlink" Target="http://www.gk114.com/a/gxzs/zszc/shanghai/2022/0220/21736.html" TargetMode="External" /><Relationship Id="rId15" Type="http://schemas.openxmlformats.org/officeDocument/2006/relationships/hyperlink" Target="http://www.gk114.com/a/gxzs/zszc/shanghai/2022/0220/21735.html" TargetMode="External" /><Relationship Id="rId16" Type="http://schemas.openxmlformats.org/officeDocument/2006/relationships/hyperlink" Target="http://www.gk114.com/a/gxzs/zszc/shanghai/2022/0220/21734.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19/0630/10359.html" TargetMode="External" /><Relationship Id="rId5" Type="http://schemas.openxmlformats.org/officeDocument/2006/relationships/hyperlink" Target="http://www.gk114.com/a/gxzs/zszc/shanghai/2019/0630/10361.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89.html" TargetMode="External" /><Relationship Id="rId9" Type="http://schemas.openxmlformats.org/officeDocument/2006/relationships/hyperlink" Target="http://www.gk114.com/a/gxzs/zszc/shanghai/2022/0417/22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