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上海中侨职业技术学院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年上海市普通高等学校全国统考招生章程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70" w:type="dxa"/>
        <w:tblInd w:w="30"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562"/>
        <w:gridCol w:w="24"/>
        <w:gridCol w:w="1427"/>
        <w:gridCol w:w="25667"/>
      </w:tblGrid>
      <w:tr>
        <w:tblPrEx>
          <w:tblW w:w="14370" w:type="dxa"/>
          <w:tblInd w:w="30"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90"/>
        </w:trPr>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r>
      <w:tr>
        <w:tblPrEx>
          <w:tblW w:w="14370" w:type="dxa"/>
          <w:tblInd w:w="30" w:type="dxa"/>
          <w:tblCellMar>
            <w:top w:w="15" w:type="dxa"/>
            <w:left w:w="15" w:type="dxa"/>
            <w:bottom w:w="15" w:type="dxa"/>
            <w:right w:w="15" w:type="dxa"/>
          </w:tblCellMar>
        </w:tblPrEx>
        <w:trPr>
          <w:trHeight w:val="135"/>
        </w:trPr>
        <w:tc>
          <w:tcPr>
            <w:tcW w:w="10665" w:type="dxa"/>
            <w:gridSpan w:val="4"/>
            <w:tcBorders>
              <w:top w:val="single" w:sz="12" w:space="0" w:color="000000"/>
              <w:bottom w:val="single" w:sz="24" w:space="0" w:color="000000"/>
            </w:tcBorders>
            <w:noWrap w:val="0"/>
            <w:tcMar>
              <w:top w:w="15"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201</w:t>
            </w:r>
            <w:r>
              <w:rPr>
                <w:rFonts w:ascii="楷体_GB2312" w:eastAsia="楷体_GB2312" w:hAnsi="楷体_GB2312" w:cs="楷体_GB2312"/>
                <w:b w:val="0"/>
                <w:bCs w:val="0"/>
                <w:i w:val="0"/>
                <w:iCs w:val="0"/>
                <w:smallCaps w:val="0"/>
                <w:color w:val="666666"/>
                <w:sz w:val="29"/>
                <w:szCs w:val="29"/>
              </w:rPr>
              <w:t>9</w:t>
            </w:r>
            <w:r>
              <w:rPr>
                <w:rFonts w:ascii="楷体_GB2312" w:eastAsia="楷体_GB2312" w:hAnsi="楷体_GB2312" w:cs="楷体_GB2312"/>
                <w:b w:val="0"/>
                <w:bCs w:val="0"/>
                <w:i w:val="0"/>
                <w:iCs w:val="0"/>
                <w:smallCaps w:val="0"/>
                <w:color w:val="666666"/>
                <w:sz w:val="29"/>
                <w:szCs w:val="29"/>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（秋季统一高考）</w:t>
            </w:r>
          </w:p>
        </w:tc>
      </w:tr>
      <w:tr>
        <w:tblPrEx>
          <w:tblW w:w="14370" w:type="dxa"/>
          <w:tblInd w:w="30" w:type="dxa"/>
          <w:tblCellMar>
            <w:top w:w="15" w:type="dxa"/>
            <w:left w:w="15" w:type="dxa"/>
            <w:bottom w:w="15" w:type="dxa"/>
            <w:right w:w="15" w:type="dxa"/>
          </w:tblCellMar>
        </w:tblPrEx>
        <w:trPr>
          <w:trHeight w:val="105"/>
        </w:trPr>
        <w:tc>
          <w:tcPr>
            <w:tcW w:w="3510" w:type="dxa"/>
            <w:gridSpan w:val="3"/>
            <w:tcBorders>
              <w:top w:val="single" w:sz="12" w:space="0" w:color="000000"/>
              <w:bottom w:val="single" w:sz="24" w:space="0" w:color="000000"/>
              <w:right w:val="single" w:sz="24" w:space="0" w:color="000000"/>
            </w:tcBorders>
            <w:noWrap w:val="0"/>
            <w:tcMar>
              <w:top w:w="15"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一、院校全称</w:t>
            </w:r>
          </w:p>
        </w:tc>
        <w:tc>
          <w:tcPr>
            <w:tcW w:w="7415" w:type="dxa"/>
            <w:tcBorders>
              <w:top w:val="single" w:sz="12" w:space="0" w:color="000000"/>
              <w:bottom w:val="single" w:sz="24" w:space="0" w:color="000000"/>
            </w:tcBorders>
            <w:noWrap w:val="0"/>
            <w:tcMar>
              <w:top w:w="1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上海中侨职业技术学院</w:t>
            </w:r>
          </w:p>
        </w:tc>
      </w:tr>
      <w:tr>
        <w:tblPrEx>
          <w:tblW w:w="14370" w:type="dxa"/>
          <w:tblInd w:w="30" w:type="dxa"/>
          <w:tblCellMar>
            <w:top w:w="15" w:type="dxa"/>
            <w:left w:w="15" w:type="dxa"/>
            <w:bottom w:w="15" w:type="dxa"/>
            <w:right w:w="15" w:type="dxa"/>
          </w:tblCellMar>
        </w:tblPrEx>
        <w:trPr>
          <w:trHeight w:val="165"/>
        </w:trPr>
        <w:tc>
          <w:tcPr>
            <w:tcW w:w="35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二、就读校址</w:t>
            </w:r>
          </w:p>
        </w:tc>
        <w:tc>
          <w:tcPr>
            <w:tcW w:w="741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上海市金山区漕廊公路3888号</w:t>
            </w:r>
          </w:p>
        </w:tc>
      </w:tr>
      <w:tr>
        <w:tblPrEx>
          <w:tblW w:w="14370" w:type="dxa"/>
          <w:tblInd w:w="30" w:type="dxa"/>
          <w:tblCellMar>
            <w:top w:w="15" w:type="dxa"/>
            <w:left w:w="15" w:type="dxa"/>
            <w:bottom w:w="15" w:type="dxa"/>
            <w:right w:w="15" w:type="dxa"/>
          </w:tblCellMar>
        </w:tblPrEx>
        <w:trPr>
          <w:trHeight w:val="90"/>
        </w:trPr>
        <w:tc>
          <w:tcPr>
            <w:tcW w:w="35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三、招生层次</w:t>
            </w:r>
          </w:p>
        </w:tc>
        <w:tc>
          <w:tcPr>
            <w:tcW w:w="741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Wingdings 2" w:eastAsia="Wingdings 2" w:hAnsi="Wingdings 2" w:cs="Wingdings 2"/>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本科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高职 </w:t>
            </w:r>
            <w:r>
              <w:rPr>
                <w:rFonts w:ascii="Calibri" w:eastAsia="Calibri" w:hAnsi="Calibri" w:cs="Calibri"/>
                <w:b w:val="0"/>
                <w:bCs w:val="0"/>
                <w:i w:val="0"/>
                <w:iCs w:val="0"/>
                <w:smallCaps w:val="0"/>
                <w:color w:val="666666"/>
                <w:sz w:val="29"/>
                <w:szCs w:val="29"/>
              </w:rPr>
              <w:t> </w:t>
            </w:r>
            <w:r>
              <w:rPr>
                <w:rFonts w:ascii="Wingdings 2" w:eastAsia="Wingdings 2" w:hAnsi="Wingdings 2" w:cs="Wingdings 2"/>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专科</w:t>
            </w:r>
          </w:p>
        </w:tc>
      </w:tr>
      <w:tr>
        <w:tblPrEx>
          <w:tblW w:w="14370" w:type="dxa"/>
          <w:tblInd w:w="30" w:type="dxa"/>
          <w:tblCellMar>
            <w:top w:w="15" w:type="dxa"/>
            <w:left w:w="15" w:type="dxa"/>
            <w:bottom w:w="15" w:type="dxa"/>
            <w:right w:w="15" w:type="dxa"/>
          </w:tblCellMar>
        </w:tblPrEx>
        <w:trPr>
          <w:trHeight w:val="855"/>
        </w:trPr>
        <w:tc>
          <w:tcPr>
            <w:tcW w:w="35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四、办学类型</w:t>
            </w:r>
          </w:p>
        </w:tc>
        <w:tc>
          <w:tcPr>
            <w:tcW w:w="741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普通高等学校</w:t>
            </w:r>
            <w:r>
              <w:rPr>
                <w:rFonts w:ascii="Calibri" w:eastAsia="Calibri" w:hAnsi="Calibri" w:cs="Calibri"/>
                <w:b w:val="0"/>
                <w:bCs w:val="0"/>
                <w:i w:val="0"/>
                <w:iCs w:val="0"/>
                <w:smallCaps w:val="0"/>
                <w:color w:val="666666"/>
                <w:sz w:val="29"/>
                <w:szCs w:val="29"/>
              </w:rPr>
              <w:t> </w:t>
            </w:r>
            <w:r>
              <w:rPr>
                <w:rFonts w:ascii="Wingdings 2" w:eastAsia="Wingdings 2" w:hAnsi="Wingdings 2" w:cs="Wingdings 2"/>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Wingdings 2" w:eastAsia="Wingdings 2" w:hAnsi="Wingdings 2" w:cs="Wingdings 2"/>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公办高等学校</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民办高等学校</w:t>
            </w:r>
            <w:r>
              <w:rPr>
                <w:rFonts w:ascii="Calibri" w:eastAsia="Calibri" w:hAnsi="Calibri" w:cs="Calibri"/>
                <w:b w:val="0"/>
                <w:bCs w:val="0"/>
                <w:i w:val="0"/>
                <w:iCs w:val="0"/>
                <w:smallCaps w:val="0"/>
                <w:color w:val="666666"/>
                <w:sz w:val="29"/>
                <w:szCs w:val="29"/>
              </w:rPr>
              <w:t> </w:t>
            </w:r>
            <w:r>
              <w:rPr>
                <w:rFonts w:ascii="Wingdings 2" w:eastAsia="Wingdings 2" w:hAnsi="Wingdings 2" w:cs="Wingdings 2"/>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Wingdings 2" w:eastAsia="Wingdings 2" w:hAnsi="Wingdings 2" w:cs="Wingdings 2"/>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高等专科学校</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高等职业技术学校</w:t>
            </w:r>
          </w:p>
        </w:tc>
      </w:tr>
      <w:tr>
        <w:tblPrEx>
          <w:tblW w:w="14370" w:type="dxa"/>
          <w:tblInd w:w="30" w:type="dxa"/>
          <w:tblCellMar>
            <w:top w:w="15" w:type="dxa"/>
            <w:left w:w="15" w:type="dxa"/>
            <w:bottom w:w="15" w:type="dxa"/>
            <w:right w:w="15" w:type="dxa"/>
          </w:tblCellMar>
        </w:tblPrEx>
        <w:trPr>
          <w:trHeight w:val="9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五、颁发学历证书的院校名称及证书种类</w:t>
            </w:r>
          </w:p>
        </w:tc>
        <w:tc>
          <w:tcPr>
            <w:tcW w:w="173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院校名称</w:t>
            </w:r>
          </w:p>
        </w:tc>
        <w:tc>
          <w:tcPr>
            <w:tcW w:w="7415" w:type="dxa"/>
            <w:tcBorders>
              <w:top w:val="single" w:sz="24" w:space="0" w:color="000000"/>
              <w:bottom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上海中侨职业技术学院</w:t>
            </w:r>
          </w:p>
        </w:tc>
      </w:tr>
      <w:tr>
        <w:tblPrEx>
          <w:tblW w:w="14370" w:type="dxa"/>
          <w:tblInd w:w="30" w:type="dxa"/>
          <w:tblCellMar>
            <w:top w:w="15" w:type="dxa"/>
            <w:left w:w="15" w:type="dxa"/>
            <w:bottom w:w="15" w:type="dxa"/>
            <w:right w:w="15" w:type="dxa"/>
          </w:tblCellMar>
        </w:tblPrEx>
        <w:trPr>
          <w:trHeight w:val="300"/>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173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证书种类</w:t>
            </w:r>
          </w:p>
        </w:tc>
        <w:tc>
          <w:tcPr>
            <w:tcW w:w="741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修学期满，符合毕业要求，颁发上海中侨职业技术学院的专科毕业证书。</w:t>
            </w:r>
          </w:p>
        </w:tc>
      </w:tr>
      <w:tr>
        <w:tblPrEx>
          <w:tblW w:w="14370" w:type="dxa"/>
          <w:tblInd w:w="30" w:type="dxa"/>
          <w:tblCellMar>
            <w:top w:w="15" w:type="dxa"/>
            <w:left w:w="15" w:type="dxa"/>
            <w:bottom w:w="15" w:type="dxa"/>
            <w:right w:w="15" w:type="dxa"/>
          </w:tblCellMar>
        </w:tblPrEx>
        <w:trPr>
          <w:trHeight w:val="1185"/>
        </w:trPr>
        <w:tc>
          <w:tcPr>
            <w:tcW w:w="35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六、院校招生管理机构</w:t>
            </w:r>
          </w:p>
        </w:tc>
        <w:tc>
          <w:tcPr>
            <w:tcW w:w="741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招生领导小组是我校招生工作的最高决策机构，统一领导学校招生工作；招生办公室是我校组织和实施招生工作的常设机构，负责学校秋季统一招生的日常工作；纪委监察处是我校招生工作纪检监察机构。</w:t>
            </w:r>
          </w:p>
        </w:tc>
      </w:tr>
      <w:tr>
        <w:tblPrEx>
          <w:tblW w:w="14370" w:type="dxa"/>
          <w:tblInd w:w="30" w:type="dxa"/>
          <w:tblCellMar>
            <w:top w:w="15" w:type="dxa"/>
            <w:left w:w="15" w:type="dxa"/>
            <w:bottom w:w="15" w:type="dxa"/>
            <w:right w:w="15" w:type="dxa"/>
          </w:tblCellMar>
        </w:tblPrEx>
        <w:trPr>
          <w:trHeight w:val="3165"/>
        </w:trPr>
        <w:tc>
          <w:tcPr>
            <w:tcW w:w="35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的原则和办法</w:t>
            </w:r>
          </w:p>
        </w:tc>
        <w:tc>
          <w:tcPr>
            <w:tcW w:w="741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三、本年度我校分省分专业招生计划、高考改革省市选考科目要求等详见各省级招生主管部门（以下简称省招办）编印的201</w:t>
            </w:r>
            <w:r>
              <w:rPr>
                <w:rFonts w:ascii="FangSong" w:eastAsia="FangSong" w:hAnsi="FangSong" w:cs="FangSong"/>
                <w:b w:val="0"/>
                <w:bCs w:val="0"/>
                <w:i w:val="0"/>
                <w:iCs w:val="0"/>
                <w:smallCaps w:val="0"/>
                <w:color w:val="666666"/>
                <w:sz w:val="29"/>
                <w:szCs w:val="29"/>
              </w:rPr>
              <w:t>9</w:t>
            </w:r>
            <w:r>
              <w:rPr>
                <w:rFonts w:ascii="FangSong" w:eastAsia="FangSong" w:hAnsi="FangSong" w:cs="FangSong"/>
                <w:b w:val="0"/>
                <w:bCs w:val="0"/>
                <w:i w:val="0"/>
                <w:iCs w:val="0"/>
                <w:smallCaps w:val="0"/>
                <w:color w:val="666666"/>
                <w:sz w:val="29"/>
                <w:szCs w:val="29"/>
              </w:rPr>
              <w:t>年普通高等学校招生专业和计划相关文件。</w:t>
            </w:r>
          </w:p>
        </w:tc>
      </w:tr>
      <w:tr>
        <w:tblPrEx>
          <w:tblW w:w="14370" w:type="dxa"/>
          <w:tblInd w:w="30" w:type="dxa"/>
          <w:tblCellMar>
            <w:top w:w="15" w:type="dxa"/>
            <w:left w:w="15" w:type="dxa"/>
            <w:bottom w:w="15" w:type="dxa"/>
            <w:right w:w="15" w:type="dxa"/>
          </w:tblCellMar>
        </w:tblPrEx>
        <w:trPr>
          <w:trHeight w:val="1020"/>
        </w:trPr>
        <w:tc>
          <w:tcPr>
            <w:tcW w:w="35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八、专业培养对入学外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语考试语种的要求</w:t>
            </w:r>
          </w:p>
        </w:tc>
        <w:tc>
          <w:tcPr>
            <w:tcW w:w="741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入学外语考试语种不限、入学后外语教学语种为英语;入学后日语专业外语教学语种为日语；入学后西班牙语专业外语教学语种为西班牙语。</w:t>
            </w:r>
          </w:p>
        </w:tc>
      </w:tr>
      <w:tr>
        <w:tblPrEx>
          <w:tblW w:w="14370" w:type="dxa"/>
          <w:tblInd w:w="30" w:type="dxa"/>
          <w:tblCellMar>
            <w:top w:w="15" w:type="dxa"/>
            <w:left w:w="15" w:type="dxa"/>
            <w:bottom w:w="15" w:type="dxa"/>
            <w:right w:w="15" w:type="dxa"/>
          </w:tblCellMar>
        </w:tblPrEx>
        <w:trPr>
          <w:trHeight w:val="2280"/>
        </w:trPr>
        <w:tc>
          <w:tcPr>
            <w:tcW w:w="35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九、身体健康状况要求</w:t>
            </w:r>
          </w:p>
        </w:tc>
        <w:tc>
          <w:tcPr>
            <w:tcW w:w="741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70" w:type="dxa"/>
          <w:tblInd w:w="30" w:type="dxa"/>
          <w:tblCellMar>
            <w:top w:w="15" w:type="dxa"/>
            <w:left w:w="15" w:type="dxa"/>
            <w:bottom w:w="15" w:type="dxa"/>
            <w:right w:w="15" w:type="dxa"/>
          </w:tblCellMar>
        </w:tblPrEx>
        <w:trPr>
          <w:trHeight w:val="900"/>
        </w:trPr>
        <w:tc>
          <w:tcPr>
            <w:tcW w:w="35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十、加分政策</w:t>
            </w:r>
          </w:p>
        </w:tc>
        <w:tc>
          <w:tcPr>
            <w:tcW w:w="741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我校认可教育部和各省级招办根据教育部相关规定给予考生的加分政策。我校原则上认可考生具备的所有加分项中最高分一项，且最高不超过20分(不累计加分)。</w:t>
            </w:r>
          </w:p>
        </w:tc>
      </w:tr>
      <w:tr>
        <w:tblPrEx>
          <w:tblW w:w="14370" w:type="dxa"/>
          <w:tblInd w:w="30" w:type="dxa"/>
          <w:tblCellMar>
            <w:top w:w="15" w:type="dxa"/>
            <w:left w:w="15" w:type="dxa"/>
            <w:bottom w:w="15" w:type="dxa"/>
            <w:right w:w="15" w:type="dxa"/>
          </w:tblCellMar>
        </w:tblPrEx>
        <w:trPr>
          <w:trHeight w:val="4335"/>
        </w:trPr>
        <w:tc>
          <w:tcPr>
            <w:tcW w:w="35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十一、录取规则</w:t>
            </w:r>
          </w:p>
        </w:tc>
        <w:tc>
          <w:tcPr>
            <w:tcW w:w="741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 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 无专业级差分，进档后按分数优先原则录取。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 艺术类专业的考生，专业成绩达到各省级招办划定的最低录取资格线，且文化成绩达到各省级招办划定的艺术类专业专科成绩控制分数线，按专业+文化分数合成总分从高分到低分择优录取。在同分情况下，依次比较考生语文、外语、数学成绩。</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 非艺术类专业的考生，以分数优先原则，根据总分排序投档。同分情况下，文科依次比较语文、外语、数学成绩；理科依次比较数学、外语、语文成绩；文理不分科依次比较语文、外语、数学成绩。</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 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 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第一志愿生源不足时，省级招办可在同批次录取控制分数线上，按非第一志愿考生（包括征集志愿）人数不超过招生计划剩余数的105%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四、在江苏省，报考我校高职高专批次考生的学业水平测试两门选测科目的成绩等第须达到C等级。</w:t>
            </w:r>
          </w:p>
        </w:tc>
      </w:tr>
      <w:tr>
        <w:tblPrEx>
          <w:tblW w:w="14370" w:type="dxa"/>
          <w:tblInd w:w="30" w:type="dxa"/>
          <w:tblCellMar>
            <w:top w:w="15" w:type="dxa"/>
            <w:left w:w="15" w:type="dxa"/>
            <w:bottom w:w="15" w:type="dxa"/>
            <w:right w:w="15" w:type="dxa"/>
          </w:tblCellMar>
        </w:tblPrEx>
        <w:trPr>
          <w:trHeight w:val="27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十二、收费标准</w:t>
            </w:r>
          </w:p>
        </w:tc>
        <w:tc>
          <w:tcPr>
            <w:tcW w:w="15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学费标准</w:t>
            </w:r>
          </w:p>
        </w:tc>
        <w:tc>
          <w:tcPr>
            <w:tcW w:w="7415" w:type="dxa"/>
            <w:tcBorders>
              <w:top w:val="single" w:sz="24" w:space="0" w:color="000000"/>
              <w:bottom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 xml:space="preserve">一般专业 </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13000元/每生每学年（沪教委民【2015】4号文件）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艺术类专业 16000元/每生每学年（沪教委民【2015】4号文件）</w:t>
            </w:r>
          </w:p>
        </w:tc>
      </w:tr>
      <w:tr>
        <w:tblPrEx>
          <w:tblW w:w="14370" w:type="dxa"/>
          <w:tblInd w:w="30" w:type="dxa"/>
          <w:tblCellMar>
            <w:top w:w="15" w:type="dxa"/>
            <w:left w:w="15" w:type="dxa"/>
            <w:bottom w:w="15" w:type="dxa"/>
            <w:right w:w="15" w:type="dxa"/>
          </w:tblCellMar>
        </w:tblPrEx>
        <w:trPr>
          <w:trHeight w:val="570"/>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15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住宿费标准</w:t>
            </w:r>
          </w:p>
        </w:tc>
        <w:tc>
          <w:tcPr>
            <w:tcW w:w="741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每生每学年2500元 （4人间学生公寓，有空调、独立卫生间及淋浴房）【沪发改价督（2015）1号】、【沪教委民（2015）4号】</w:t>
            </w:r>
          </w:p>
        </w:tc>
      </w:tr>
      <w:tr>
        <w:tblPrEx>
          <w:tblW w:w="14370" w:type="dxa"/>
          <w:tblInd w:w="30" w:type="dxa"/>
          <w:tblCellMar>
            <w:top w:w="15" w:type="dxa"/>
            <w:left w:w="15" w:type="dxa"/>
            <w:bottom w:w="15" w:type="dxa"/>
            <w:right w:w="15" w:type="dxa"/>
          </w:tblCellMar>
        </w:tblPrEx>
        <w:trPr>
          <w:trHeight w:val="690"/>
        </w:trPr>
        <w:tc>
          <w:tcPr>
            <w:tcW w:w="35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十三、资助政策</w:t>
            </w:r>
          </w:p>
        </w:tc>
        <w:tc>
          <w:tcPr>
            <w:tcW w:w="741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学校奖学金、助学金。我校承诺：确保被本校录取的学生不因家庭经济困难而辍学。</w:t>
            </w:r>
          </w:p>
        </w:tc>
      </w:tr>
      <w:tr>
        <w:tblPrEx>
          <w:tblW w:w="14370" w:type="dxa"/>
          <w:tblInd w:w="30" w:type="dxa"/>
          <w:tblCellMar>
            <w:top w:w="15" w:type="dxa"/>
            <w:left w:w="15" w:type="dxa"/>
            <w:bottom w:w="15" w:type="dxa"/>
            <w:right w:w="15" w:type="dxa"/>
          </w:tblCellMar>
        </w:tblPrEx>
        <w:trPr>
          <w:trHeight w:val="870"/>
        </w:trPr>
        <w:tc>
          <w:tcPr>
            <w:tcW w:w="35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十四、监督机制及举报电话</w:t>
            </w:r>
          </w:p>
        </w:tc>
        <w:tc>
          <w:tcPr>
            <w:tcW w:w="741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按照招生“阳光工程”的统一要求，我校秋季统一考试招生全程接受本校纪委监察处监督。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举报电话：</w:t>
            </w:r>
            <w:r>
              <w:rPr>
                <w:rFonts w:ascii="FangSong" w:eastAsia="FangSong" w:hAnsi="FangSong" w:cs="FangSong"/>
                <w:b w:val="0"/>
                <w:bCs w:val="0"/>
                <w:i w:val="0"/>
                <w:iCs w:val="0"/>
                <w:smallCaps w:val="0"/>
                <w:color w:val="666666"/>
                <w:sz w:val="29"/>
                <w:szCs w:val="29"/>
              </w:rPr>
              <w:t>021-31616012</w:t>
            </w:r>
          </w:p>
        </w:tc>
      </w:tr>
      <w:tr>
        <w:tblPrEx>
          <w:tblW w:w="14370" w:type="dxa"/>
          <w:tblInd w:w="30" w:type="dxa"/>
          <w:tblCellMar>
            <w:top w:w="15" w:type="dxa"/>
            <w:left w:w="15" w:type="dxa"/>
            <w:bottom w:w="15" w:type="dxa"/>
            <w:right w:w="15" w:type="dxa"/>
          </w:tblCellMar>
        </w:tblPrEx>
        <w:trPr>
          <w:trHeight w:val="405"/>
        </w:trPr>
        <w:tc>
          <w:tcPr>
            <w:tcW w:w="351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十五、网址及联系电话</w:t>
            </w:r>
          </w:p>
        </w:tc>
        <w:tc>
          <w:tcPr>
            <w:tcW w:w="741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学校官网：</w:t>
            </w:r>
            <w:hyperlink r:id="rId4" w:history="1">
              <w:r>
                <w:rPr>
                  <w:b w:val="0"/>
                  <w:bCs w:val="0"/>
                  <w:i w:val="0"/>
                  <w:iCs w:val="0"/>
                  <w:smallCaps w:val="0"/>
                  <w:color w:val="666666"/>
                  <w:sz w:val="21"/>
                  <w:szCs w:val="21"/>
                  <w:u w:val="single" w:color="666666"/>
                </w:rPr>
                <w:t>www.shzq.edu.cn</w:t>
              </w:r>
            </w:hyperlink>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招生处（办）官网：</w:t>
            </w:r>
            <w:hyperlink r:id="rId4" w:history="1">
              <w:r>
                <w:rPr>
                  <w:b w:val="0"/>
                  <w:bCs w:val="0"/>
                  <w:i w:val="0"/>
                  <w:iCs w:val="0"/>
                  <w:smallCaps w:val="0"/>
                  <w:color w:val="666666"/>
                  <w:sz w:val="21"/>
                  <w:szCs w:val="21"/>
                  <w:u w:val="single" w:color="666666"/>
                </w:rPr>
                <w:t>www.shzq.edu.cn</w:t>
              </w:r>
            </w:hyperlink>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咨询电话：</w:t>
            </w:r>
            <w:r>
              <w:rPr>
                <w:rFonts w:ascii="FangSong" w:eastAsia="FangSong" w:hAnsi="FangSong" w:cs="FangSong"/>
                <w:b w:val="0"/>
                <w:bCs w:val="0"/>
                <w:i w:val="0"/>
                <w:iCs w:val="0"/>
                <w:smallCaps w:val="0"/>
                <w:color w:val="666666"/>
                <w:sz w:val="29"/>
                <w:szCs w:val="29"/>
              </w:rPr>
              <w:t xml:space="preserve">021-31616077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31616088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31616099</w:t>
            </w:r>
          </w:p>
        </w:tc>
      </w:tr>
      <w:tr>
        <w:tblPrEx>
          <w:tblW w:w="14370" w:type="dxa"/>
          <w:tblInd w:w="30" w:type="dxa"/>
          <w:tblCellMar>
            <w:top w:w="15" w:type="dxa"/>
            <w:left w:w="15" w:type="dxa"/>
            <w:bottom w:w="15" w:type="dxa"/>
            <w:right w:w="15" w:type="dxa"/>
          </w:tblCellMar>
        </w:tblPrEx>
        <w:trPr>
          <w:trHeight w:val="90"/>
        </w:trPr>
        <w:tc>
          <w:tcPr>
            <w:tcW w:w="351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十六、其他须知</w:t>
            </w:r>
          </w:p>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  </w:t>
            </w:r>
          </w:p>
        </w:tc>
        <w:tc>
          <w:tcPr>
            <w:vAlign w:val="center"/>
            <w:hideMark/>
          </w:tcPr>
          <w:p>
            <w:pPr>
              <w:rPr>
                <w:rFonts w:ascii="Microsoft YaHei" w:eastAsia="Microsoft YaHei" w:hAnsi="Microsoft YaHei" w:cs="Microsoft YaHei"/>
                <w:b w:val="0"/>
                <w:bCs w:val="0"/>
                <w:i w:val="0"/>
                <w:iCs w:val="0"/>
                <w:smallCaps w:val="0"/>
                <w:color w:val="000000"/>
                <w:sz w:val="21"/>
                <w:szCs w:val="21"/>
              </w:rPr>
            </w:pP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年上海邦德职业技术学院全国统考招生章程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上海视觉艺术学院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8.html" TargetMode="External" /><Relationship Id="rId11" Type="http://schemas.openxmlformats.org/officeDocument/2006/relationships/hyperlink" Target="http://www.gk114.com/a/gxzs/zszc/shanghai/2022/0417/22186.html" TargetMode="External" /><Relationship Id="rId12" Type="http://schemas.openxmlformats.org/officeDocument/2006/relationships/hyperlink" Target="http://www.gk114.com/a/gxzs/zszc/shanghai/2022/0406/22075.html" TargetMode="External" /><Relationship Id="rId13" Type="http://schemas.openxmlformats.org/officeDocument/2006/relationships/hyperlink" Target="http://www.gk114.com/a/gxzs/zszc/shanghai/2022/0220/21738.html" TargetMode="External" /><Relationship Id="rId14" Type="http://schemas.openxmlformats.org/officeDocument/2006/relationships/hyperlink" Target="http://www.gk114.com/a/gxzs/zszc/shanghai/2022/0220/21737.html" TargetMode="External" /><Relationship Id="rId15" Type="http://schemas.openxmlformats.org/officeDocument/2006/relationships/hyperlink" Target="http://www.gk114.com/a/gxzs/zszc/shanghai/2022/0220/21736.html" TargetMode="External" /><Relationship Id="rId16" Type="http://schemas.openxmlformats.org/officeDocument/2006/relationships/hyperlink" Target="http://www.gk114.com/a/gxzs/zszc/shanghai/2022/0220/21735.html" TargetMode="External" /><Relationship Id="rId17" Type="http://schemas.openxmlformats.org/officeDocument/2006/relationships/hyperlink" Target="http://www.gk114.com/a/gxzs/zszc/shanghai/2022/0220/21734.html" TargetMode="External" /><Relationship Id="rId18" Type="http://schemas.openxmlformats.org/officeDocument/2006/relationships/hyperlink" Target="http://www.gk114.com/a/gxzs/zszc/shanghai/2021/0609/19802.html" TargetMode="External" /><Relationship Id="rId19" Type="http://schemas.openxmlformats.org/officeDocument/2006/relationships/hyperlink" Target="http://www.gk114.com/a/gxzs/zszc/shanghai/2021/0606/19768.html" TargetMode="External" /><Relationship Id="rId2" Type="http://schemas.openxmlformats.org/officeDocument/2006/relationships/webSettings" Target="webSettings.xml" /><Relationship Id="rId20" Type="http://schemas.openxmlformats.org/officeDocument/2006/relationships/hyperlink" Target="http://www.gk114.com/a/gxzs/zszc/shanghai/2021/0603/19707.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hzq.edu.cn/" TargetMode="External" /><Relationship Id="rId5" Type="http://schemas.openxmlformats.org/officeDocument/2006/relationships/hyperlink" Target="http://www.gk114.com/a/gxzs/zszc/shanghai/2019/0630/10373.html" TargetMode="External" /><Relationship Id="rId6" Type="http://schemas.openxmlformats.org/officeDocument/2006/relationships/hyperlink" Target="http://www.gk114.com/a/gxzs/zszc/shanghai/2019/0630/10375.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