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年秋季统一高考招生章程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763"/>
        <w:gridCol w:w="1226"/>
        <w:gridCol w:w="26691"/>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上海交通职业技术学院</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浦东校院地址为上海市浦东新区下盐路</w:t>
            </w:r>
            <w:r>
              <w:rPr>
                <w:rFonts w:ascii="Times New Roman" w:eastAsia="Times New Roman" w:hAnsi="Times New Roman" w:cs="Times New Roman"/>
                <w:b w:val="0"/>
                <w:bCs w:val="0"/>
                <w:i w:val="0"/>
                <w:iCs w:val="0"/>
                <w:smallCaps w:val="0"/>
                <w:color w:val="666666"/>
                <w:sz w:val="21"/>
                <w:szCs w:val="21"/>
              </w:rPr>
              <w:t>2888</w:t>
            </w:r>
            <w:r>
              <w:rPr>
                <w:rFonts w:ascii="SimSun" w:eastAsia="SimSun" w:hAnsi="SimSun" w:cs="SimSun"/>
                <w:b w:val="0"/>
                <w:bCs w:val="0"/>
                <w:i w:val="0"/>
                <w:iCs w:val="0"/>
                <w:smallCaps w:val="0"/>
                <w:color w:val="666666"/>
                <w:sz w:val="21"/>
                <w:szCs w:val="21"/>
              </w:rPr>
              <w:t>号；轨道学院地址为上海市闵行区漕宝路</w:t>
            </w:r>
            <w:r>
              <w:rPr>
                <w:rFonts w:ascii="Times New Roman" w:eastAsia="Times New Roman" w:hAnsi="Times New Roman" w:cs="Times New Roman"/>
                <w:b w:val="0"/>
                <w:bCs w:val="0"/>
                <w:i w:val="0"/>
                <w:iCs w:val="0"/>
                <w:smallCaps w:val="0"/>
                <w:color w:val="666666"/>
                <w:sz w:val="21"/>
                <w:szCs w:val="21"/>
              </w:rPr>
              <w:t>1685</w:t>
            </w:r>
            <w:r>
              <w:rPr>
                <w:rFonts w:ascii="SimSun" w:eastAsia="SimSun" w:hAnsi="SimSun" w:cs="SimSun"/>
                <w:b w:val="0"/>
                <w:bCs w:val="0"/>
                <w:i w:val="0"/>
                <w:iCs w:val="0"/>
                <w:smallCaps w:val="0"/>
                <w:color w:val="666666"/>
                <w:sz w:val="21"/>
                <w:szCs w:val="21"/>
              </w:rPr>
              <w:t>弄</w:t>
            </w:r>
            <w:r>
              <w:rPr>
                <w:rFonts w:ascii="Times New Roman" w:eastAsia="Times New Roman" w:hAnsi="Times New Roman" w:cs="Times New Roman"/>
                <w:b w:val="0"/>
                <w:bCs w:val="0"/>
                <w:i w:val="0"/>
                <w:iCs w:val="0"/>
                <w:smallCaps w:val="0"/>
                <w:color w:val="666666"/>
                <w:sz w:val="21"/>
                <w:szCs w:val="21"/>
              </w:rPr>
              <w:t>188</w:t>
            </w:r>
            <w:r>
              <w:rPr>
                <w:rFonts w:ascii="SimSun" w:eastAsia="SimSun" w:hAnsi="SimSun" w:cs="SimSun"/>
                <w:b w:val="0"/>
                <w:bCs w:val="0"/>
                <w:i w:val="0"/>
                <w:iCs w:val="0"/>
                <w:smallCaps w:val="0"/>
                <w:color w:val="666666"/>
                <w:sz w:val="21"/>
                <w:szCs w:val="21"/>
              </w:rPr>
              <w:t>号。城市轨道交通车辆技术、城市轨道交通工程技术、城市轨道交通供配电技术、城市轨道交通机电技术、城市轨道交通通信信号技术、城市燃气工程技术、道路运输与路政管理、给排水工程技术等</w:t>
            </w:r>
            <w:r>
              <w:rPr>
                <w:rFonts w:ascii="Times New Roman" w:eastAsia="Times New Roman" w:hAnsi="Times New Roman" w:cs="Times New Roman"/>
                <w:b w:val="0"/>
                <w:bCs w:val="0"/>
                <w:i w:val="0"/>
                <w:iCs w:val="0"/>
                <w:smallCaps w:val="0"/>
                <w:color w:val="666666"/>
                <w:sz w:val="21"/>
                <w:szCs w:val="21"/>
              </w:rPr>
              <w:t>8</w:t>
            </w:r>
            <w:r>
              <w:rPr>
                <w:rFonts w:ascii="SimSun" w:eastAsia="SimSun" w:hAnsi="SimSun" w:cs="SimSun"/>
                <w:b w:val="0"/>
                <w:bCs w:val="0"/>
                <w:i w:val="0"/>
                <w:iCs w:val="0"/>
                <w:smallCaps w:val="0"/>
                <w:color w:val="666666"/>
                <w:sz w:val="21"/>
                <w:szCs w:val="21"/>
              </w:rPr>
              <w:t>个专业录取新生就读校区为轨道学院，其他专业录取新生就读校区为浦东校院。</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8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上海交通职业技术学院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修学期满，符合毕业要求，颁发上海交通职业技术学院的专科毕业证书。</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交通职业技术学院招生工作领导小组是我校招生工作的最高决策机构，统一领导学校招生工作；上海交通职业技术学院教务处（招生办公室）是我校组织和实施招生工作的常设机构，负责学校秋季统一高考招生的日常工作；上海交通职业技术学院纪检监察室是我校招生工作纪检监察机构。</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（二）各专业招生均无男女生比例限制。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（三）艺术（美术）类专业色盲、色弱者不宜。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（四）本年度我校分省分专业招生计划、高考改革省市选考科目要求等详见各省级招生主管部门（以下简称省级招办）编印的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八、专业培养对入学外语考试语种的要求</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所有专业入学外语考试语种不限；入学后所有专业教学外语语种为英语。</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九、身体健康状况要求</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十、加分政策</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我校认可教育部和各省级招办根据教育部相关规定给予考生的加分政策。我校原则上认可考生具备的所有加分项中最高分一项（不累计），且最高不超过</w:t>
            </w:r>
            <w:r>
              <w:rPr>
                <w:rFonts w:ascii="Times New Roman" w:eastAsia="Times New Roman" w:hAnsi="Times New Roman" w:cs="Times New Roman"/>
                <w:b w:val="0"/>
                <w:bCs w:val="0"/>
                <w:i w:val="0"/>
                <w:iCs w:val="0"/>
                <w:smallCaps w:val="0"/>
                <w:color w:val="666666"/>
                <w:sz w:val="21"/>
                <w:szCs w:val="21"/>
              </w:rPr>
              <w:t>20</w:t>
            </w:r>
            <w:r>
              <w:rPr>
                <w:rFonts w:ascii="SimSun" w:eastAsia="SimSun" w:hAnsi="SimSun" w:cs="SimSun"/>
                <w:b w:val="0"/>
                <w:bCs w:val="0"/>
                <w:i w:val="0"/>
                <w:iCs w:val="0"/>
                <w:smallCaps w:val="0"/>
                <w:color w:val="666666"/>
                <w:sz w:val="21"/>
                <w:szCs w:val="21"/>
              </w:rPr>
              <w:t>分。</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（一）依据普通高等学校招生全国统一考试（秋季统一高考）成绩录取的规则：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或首轮平行志愿报考我校的生源按当地确定的投档原则从高分到低分（含加分）进行投档。具体的投档比例由我校根据各省市实际生源情况确定，不实行平行志愿投档的批次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，实行平行志愿投档的批次原则上投档比例不超过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对进档考生，按专业志愿优先原则和各专业招生计划数，从高分到低分进行专业录取；专业志愿间不设级差分。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5. </w:t>
            </w:r>
            <w:r>
              <w:rPr>
                <w:rFonts w:ascii="SimSun" w:eastAsia="SimSun" w:hAnsi="SimSun" w:cs="SimSun"/>
                <w:b w:val="0"/>
                <w:bCs w:val="0"/>
                <w:i w:val="0"/>
                <w:iCs w:val="0"/>
                <w:smallCaps w:val="0"/>
                <w:color w:val="666666"/>
                <w:sz w:val="21"/>
                <w:szCs w:val="21"/>
              </w:rPr>
              <w:t>录取过程中若出现考生同分，则按数学、外语、语文顺序依次比较，择优录取。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（二）依据秋季统一高考成绩与艺术专业省统考成绩录取的艺术（美术）类专业的录取规则：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或首轮平行志愿报考我校的生源按当地确定的投档原则从高分到低分进行投档（投档依据的成绩以当地相关规定为准）。具体的投档比例按当地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对进档考生，按专业志愿优先原则和各专业招生计划数，依据考生的秋季统一高考成绩（含加分）与艺术专业省统考成绩折算而成的综合分（综合分折算公式以当地省级招办确定的为准；没有综合分的省市按两者的相加总分）从高分到低分进行专业录取；专业志愿间不设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录取过程中若出现考生同分，则按语文、外语、数学顺序依次比较，择优录取。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（三）第一志愿或首轮平行志愿生源不足时，省级招办可在同批次录取控制分数线上，不实行平行志愿投档的批次按非第一志愿（包括征集志愿）考生人数不超过招生计划剩余数的</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进行投档，实行平行志愿投档的批次按征集平行志愿考生人数不超过招生计划剩余数的</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（四）高考改革有关省市的录取规则和程序以当地省级招办规定为准。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（五）在江苏省，报考我校高职（专科）批次考生的学业水平测试两门选测科目的成绩等第须达到</w:t>
            </w:r>
            <w:r>
              <w:rPr>
                <w:rFonts w:ascii="Times New Roman" w:eastAsia="Times New Roman" w:hAnsi="Times New Roman" w:cs="Times New Roman"/>
                <w:b w:val="0"/>
                <w:bCs w:val="0"/>
                <w:i w:val="0"/>
                <w:iCs w:val="0"/>
                <w:smallCaps w:val="0"/>
                <w:color w:val="666666"/>
                <w:sz w:val="21"/>
                <w:szCs w:val="21"/>
              </w:rPr>
              <w:t>DD</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（六）内蒙古专业录取实行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范围内按专业志愿排序录取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的录取规则。</w:t>
            </w:r>
          </w:p>
        </w:tc>
      </w:tr>
      <w:tr>
        <w:tblPrEx>
          <w:tblW w:w="14327" w:type="dxa"/>
          <w:tblInd w:w="135" w:type="dxa"/>
          <w:tblCellMar>
            <w:top w:w="15" w:type="dxa"/>
            <w:left w:w="15" w:type="dxa"/>
            <w:bottom w:w="15" w:type="dxa"/>
            <w:right w:w="15" w:type="dxa"/>
          </w:tblCellMar>
        </w:tblPrEx>
        <w:tc>
          <w:tcPr>
            <w:tcW w:w="18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艺术类专业每生每学年</w:t>
            </w:r>
            <w:r>
              <w:rPr>
                <w:rFonts w:ascii="Times New Roman" w:eastAsia="Times New Roman" w:hAnsi="Times New Roman" w:cs="Times New Roman"/>
                <w:b w:val="0"/>
                <w:bCs w:val="0"/>
                <w:i w:val="0"/>
                <w:iCs w:val="0"/>
                <w:smallCaps w:val="0"/>
                <w:color w:val="666666"/>
                <w:sz w:val="21"/>
                <w:szCs w:val="21"/>
              </w:rPr>
              <w:t>10000</w:t>
            </w:r>
            <w:r>
              <w:rPr>
                <w:rFonts w:ascii="SimSun" w:eastAsia="SimSun" w:hAnsi="SimSun" w:cs="SimSun"/>
                <w:b w:val="0"/>
                <w:bCs w:val="0"/>
                <w:i w:val="0"/>
                <w:iCs w:val="0"/>
                <w:smallCaps w:val="0"/>
                <w:color w:val="666666"/>
                <w:sz w:val="21"/>
                <w:szCs w:val="21"/>
              </w:rPr>
              <w:t>元，普通类专业每生每学年</w:t>
            </w:r>
            <w:r>
              <w:rPr>
                <w:rFonts w:ascii="Times New Roman" w:eastAsia="Times New Roman" w:hAnsi="Times New Roman" w:cs="Times New Roman"/>
                <w:b w:val="0"/>
                <w:bCs w:val="0"/>
                <w:i w:val="0"/>
                <w:iCs w:val="0"/>
                <w:smallCaps w:val="0"/>
                <w:color w:val="666666"/>
                <w:sz w:val="21"/>
                <w:szCs w:val="21"/>
              </w:rPr>
              <w:t>7500</w:t>
            </w:r>
            <w:r>
              <w:rPr>
                <w:rFonts w:ascii="SimSun" w:eastAsia="SimSun" w:hAnsi="SimSun" w:cs="SimSun"/>
                <w:b w:val="0"/>
                <w:bCs w:val="0"/>
                <w:i w:val="0"/>
                <w:iCs w:val="0"/>
                <w:smallCaps w:val="0"/>
                <w:color w:val="666666"/>
                <w:sz w:val="21"/>
                <w:szCs w:val="21"/>
              </w:rPr>
              <w:t>元。（沪价行</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2000</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800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元。（沪价费</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56</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对符合条件的学生给予一定比例的学费贷款贴息，帮助经济困难学生完成学业。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的统一要求，我校秋季统一高考招生全程接受本校纪检监察室监督。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021-56745225</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www.scp.edu.cn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学校官网招生专栏：</w:t>
            </w:r>
            <w:r>
              <w:rPr>
                <w:rFonts w:ascii="Times New Roman" w:eastAsia="Times New Roman" w:hAnsi="Times New Roman" w:cs="Times New Roman"/>
                <w:b w:val="0"/>
                <w:bCs w:val="0"/>
                <w:i w:val="0"/>
                <w:iCs w:val="0"/>
                <w:smallCaps w:val="0"/>
                <w:color w:val="666666"/>
                <w:sz w:val="21"/>
                <w:szCs w:val="21"/>
              </w:rPr>
              <w:t>www.scp.edu.cn/list.aspx?nid=24&amp;cid=125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021-68159612</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021-56996297</w:t>
            </w:r>
          </w:p>
        </w:tc>
      </w:tr>
      <w:tr>
        <w:tblPrEx>
          <w:tblW w:w="14327" w:type="dxa"/>
          <w:tblInd w:w="135" w:type="dxa"/>
          <w:tblCellMar>
            <w:top w:w="15" w:type="dxa"/>
            <w:left w:w="15" w:type="dxa"/>
            <w:bottom w:w="15" w:type="dxa"/>
            <w:right w:w="15" w:type="dxa"/>
          </w:tblCellMar>
        </w:tblPrEx>
        <w:tc>
          <w:tcPr>
            <w:tcW w:w="322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十六、其他须知</w:t>
            </w:r>
          </w:p>
        </w:tc>
        <w:tc>
          <w:tcPr>
            <w:tcW w:w="7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上海第二工业大学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3.html" TargetMode="External" /><Relationship Id="rId5" Type="http://schemas.openxmlformats.org/officeDocument/2006/relationships/hyperlink" Target="http://www.gk114.com/a/gxzs/zszc/shanghai/2020/0701/1724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