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上海农林职业技术学院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746"/>
        <w:gridCol w:w="2319"/>
        <w:gridCol w:w="1113"/>
        <w:gridCol w:w="2442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一、院校全称</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上海农林职业技术学院</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松江区中山二路</w:t>
            </w:r>
            <w:r>
              <w:rPr>
                <w:rFonts w:ascii="Times New Roman" w:eastAsia="Times New Roman" w:hAnsi="Times New Roman" w:cs="Times New Roman"/>
                <w:b w:val="0"/>
                <w:bCs w:val="0"/>
                <w:i w:val="0"/>
                <w:iCs w:val="0"/>
                <w:smallCaps w:val="0"/>
                <w:color w:val="666666"/>
                <w:sz w:val="21"/>
                <w:szCs w:val="21"/>
              </w:rPr>
              <w:t>658</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905"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上海农林职业技术学院</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修学期满，符合毕业要求，颁发上海农林职业技术学院的专科毕业证书。</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校长办公会是我校招生工作的最高决策机构，统一领导学校招生工作；招生办公室是我校组织和实施招生工作的常设机构，负责学校秋季统一招生的日常工作；监察室是我校招生工作纪检监察机构。</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的原则和办法</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作物生产技术、种子生产与经营、园艺技术、园林技术、风景园林设计、园林工程技术、动物医学、水产养殖技术、宠物养护与驯导、药品生物技术、环境工程技术、农产品加工与质量检测、生物产品检验检疫专业色盲色弱不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四、本年度我校分省分专业招生计划、高考改革省市选考科目要求等详见各省级招生主管部门（以下简称省级招办）编印的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入学外语考试语种不限，入学后教学语言类别为英语。</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九、身体健康状况要求</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十、录取规则</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1. </w:t>
            </w:r>
            <w:r>
              <w:rPr>
                <w:rFonts w:ascii="SimSun" w:eastAsia="SimSun" w:hAnsi="SimSun" w:cs="SimSun"/>
                <w:b w:val="0"/>
                <w:bCs w:val="0"/>
                <w:i w:val="0"/>
                <w:iCs w:val="0"/>
                <w:smallCaps w:val="0"/>
                <w:color w:val="666666"/>
                <w:sz w:val="21"/>
                <w:szCs w:val="21"/>
              </w:rPr>
              <w:t>省级招办按我校在当地的招生计划数和投档比例将第一志愿报考我校的生源从高分到低分（含加分）进行投档。具体的投档比例由我校根据各省市实际生源情况确定，原则上投档比例不超过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。按照平行志愿投档的批次，原则上投档比例不超过</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r>
              <w:rPr>
                <w:rFonts w:ascii="SimSun" w:eastAsia="SimSun" w:hAnsi="SimSun" w:cs="SimSun"/>
                <w:b w:val="0"/>
                <w:bCs w:val="0"/>
                <w:i w:val="0"/>
                <w:iCs w:val="0"/>
                <w:smallCaps w:val="0"/>
                <w:color w:val="666666"/>
                <w:sz w:val="21"/>
                <w:szCs w:val="21"/>
              </w:rPr>
              <w:t>进档后，按考生专业志愿顺序，从高分到低分择优录取。总分相同时：文科专业按语文、外语、数学顺序排名依次录取；理科专业按数学、外语、语文顺序排名依次录取；文理不分的省市在专业录取时</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考生按外语、语文、数学顺序排名依次录取。</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无专业级差分。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3. </w:t>
            </w:r>
            <w:r>
              <w:rPr>
                <w:rFonts w:ascii="SimSun" w:eastAsia="SimSun" w:hAnsi="SimSun" w:cs="SimSun"/>
                <w:b w:val="0"/>
                <w:bCs w:val="0"/>
                <w:i w:val="0"/>
                <w:iCs w:val="0"/>
                <w:smallCaps w:val="0"/>
                <w:color w:val="666666"/>
                <w:sz w:val="21"/>
                <w:szCs w:val="21"/>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4. </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二、第一志愿生源不足时，省级招办可在同批次录取控制分数线上，按非第一志愿考生（包括征集志愿）人数不超过招生计划剩余数的</w:t>
            </w:r>
            <w:r>
              <w:rPr>
                <w:rFonts w:ascii="Times New Roman" w:eastAsia="Times New Roman" w:hAnsi="Times New Roman" w:cs="Times New Roman"/>
                <w:b w:val="0"/>
                <w:bCs w:val="0"/>
                <w:i w:val="0"/>
                <w:iCs w:val="0"/>
                <w:smallCaps w:val="0"/>
                <w:color w:val="666666"/>
                <w:sz w:val="21"/>
                <w:szCs w:val="21"/>
              </w:rPr>
              <w:t>100%</w:t>
            </w:r>
            <w:r>
              <w:rPr>
                <w:rFonts w:ascii="SimSun" w:eastAsia="SimSun" w:hAnsi="SimSun" w:cs="SimSun"/>
                <w:b w:val="0"/>
                <w:bCs w:val="0"/>
                <w:i w:val="0"/>
                <w:iCs w:val="0"/>
                <w:smallCaps w:val="0"/>
                <w:color w:val="666666"/>
                <w:sz w:val="21"/>
                <w:szCs w:val="21"/>
              </w:rPr>
              <w:t>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四、在江苏省，报考我校高职高专批次考生的学业水平测试两门选测科目的成绩等第均须达到</w:t>
            </w:r>
            <w:r>
              <w:rPr>
                <w:rFonts w:ascii="Times New Roman" w:eastAsia="Times New Roman" w:hAnsi="Times New Roman" w:cs="Times New Roman"/>
                <w:b w:val="0"/>
                <w:bCs w:val="0"/>
                <w:i w:val="0"/>
                <w:iCs w:val="0"/>
                <w:smallCaps w:val="0"/>
                <w:color w:val="666666"/>
                <w:sz w:val="21"/>
                <w:szCs w:val="21"/>
              </w:rPr>
              <w:t>D</w:t>
            </w:r>
            <w:r>
              <w:rPr>
                <w:rFonts w:ascii="SimSun" w:eastAsia="SimSun" w:hAnsi="SimSun" w:cs="SimSun"/>
                <w:b w:val="0"/>
                <w:bCs w:val="0"/>
                <w:i w:val="0"/>
                <w:iCs w:val="0"/>
                <w:smallCaps w:val="0"/>
                <w:color w:val="666666"/>
                <w:sz w:val="21"/>
                <w:szCs w:val="21"/>
              </w:rPr>
              <w:t>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五、内蒙古专业录取实行</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招生计划</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范围内按专业志愿排队录取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的录取原则。</w:t>
            </w:r>
          </w:p>
        </w:tc>
      </w:tr>
      <w:tr>
        <w:tblPrEx>
          <w:tblW w:w="14327" w:type="dxa"/>
          <w:tblInd w:w="135" w:type="dxa"/>
          <w:tblCellMar>
            <w:top w:w="15" w:type="dxa"/>
            <w:left w:w="15" w:type="dxa"/>
            <w:bottom w:w="15" w:type="dxa"/>
            <w:right w:w="15" w:type="dxa"/>
          </w:tblCellMar>
        </w:tblPrEx>
        <w:tc>
          <w:tcPr>
            <w:tcW w:w="13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十一、收费标准</w:t>
            </w:r>
          </w:p>
        </w:tc>
        <w:tc>
          <w:tcPr>
            <w:tcW w:w="213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涉农专业：每生每学年</w:t>
            </w:r>
            <w:r>
              <w:rPr>
                <w:rFonts w:ascii="Times New Roman" w:eastAsia="Times New Roman" w:hAnsi="Times New Roman" w:cs="Times New Roman"/>
                <w:b w:val="0"/>
                <w:bCs w:val="0"/>
                <w:i w:val="0"/>
                <w:iCs w:val="0"/>
                <w:smallCaps w:val="0"/>
                <w:color w:val="666666"/>
                <w:sz w:val="21"/>
                <w:szCs w:val="21"/>
              </w:rPr>
              <w:t>2500</w:t>
            </w:r>
            <w:r>
              <w:rPr>
                <w:rFonts w:ascii="SimSun" w:eastAsia="SimSun" w:hAnsi="SimSun" w:cs="SimSun"/>
                <w:b w:val="0"/>
                <w:bCs w:val="0"/>
                <w:i w:val="0"/>
                <w:iCs w:val="0"/>
                <w:smallCaps w:val="0"/>
                <w:color w:val="666666"/>
                <w:sz w:val="21"/>
                <w:szCs w:val="21"/>
              </w:rPr>
              <w:t>元（沪教委财【</w:t>
            </w:r>
            <w:r>
              <w:rPr>
                <w:rFonts w:ascii="Times New Roman" w:eastAsia="Times New Roman" w:hAnsi="Times New Roman" w:cs="Times New Roman"/>
                <w:b w:val="0"/>
                <w:bCs w:val="0"/>
                <w:i w:val="0"/>
                <w:iCs w:val="0"/>
                <w:smallCaps w:val="0"/>
                <w:color w:val="666666"/>
                <w:sz w:val="21"/>
                <w:szCs w:val="21"/>
              </w:rPr>
              <w:t>2011</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其他专业：每生每学年</w:t>
            </w:r>
            <w:r>
              <w:rPr>
                <w:rFonts w:ascii="Times New Roman" w:eastAsia="Times New Roman" w:hAnsi="Times New Roman" w:cs="Times New Roman"/>
                <w:b w:val="0"/>
                <w:bCs w:val="0"/>
                <w:i w:val="0"/>
                <w:iCs w:val="0"/>
                <w:smallCaps w:val="0"/>
                <w:color w:val="666666"/>
                <w:sz w:val="21"/>
                <w:szCs w:val="21"/>
              </w:rPr>
              <w:t>7500</w:t>
            </w:r>
            <w:r>
              <w:rPr>
                <w:rFonts w:ascii="SimSun" w:eastAsia="SimSun" w:hAnsi="SimSun" w:cs="SimSun"/>
                <w:b w:val="0"/>
                <w:bCs w:val="0"/>
                <w:i w:val="0"/>
                <w:iCs w:val="0"/>
                <w:smallCaps w:val="0"/>
                <w:color w:val="666666"/>
                <w:sz w:val="21"/>
                <w:szCs w:val="21"/>
              </w:rPr>
              <w:t>元（沪价行【</w:t>
            </w:r>
            <w:r>
              <w:rPr>
                <w:rFonts w:ascii="Times New Roman" w:eastAsia="Times New Roman" w:hAnsi="Times New Roman" w:cs="Times New Roman"/>
                <w:b w:val="0"/>
                <w:bCs w:val="0"/>
                <w:i w:val="0"/>
                <w:iCs w:val="0"/>
                <w:smallCaps w:val="0"/>
                <w:color w:val="666666"/>
                <w:sz w:val="21"/>
                <w:szCs w:val="21"/>
              </w:rPr>
              <w:t>2000</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213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元。（沪价费【</w:t>
            </w:r>
            <w:r>
              <w:rPr>
                <w:rFonts w:ascii="Times New Roman" w:eastAsia="Times New Roman" w:hAnsi="Times New Roman" w:cs="Times New Roman"/>
                <w:b w:val="0"/>
                <w:bCs w:val="0"/>
                <w:i w:val="0"/>
                <w:iCs w:val="0"/>
                <w:smallCaps w:val="0"/>
                <w:color w:val="666666"/>
                <w:sz w:val="21"/>
                <w:szCs w:val="21"/>
              </w:rPr>
              <w:t>2003</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56</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十二、资助政策</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我校认真执行国家和本市相关学生资助规定，被本校录取的家庭经济困难学生可通过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设立人民奖学金、单项奖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十三、监督机制及举报电话</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的统一要求，我校秋季统一考试招生全程接受本校监察室的监督。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021-67722610</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十四、网址及联系电话</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http://www.shafc.edu.cn/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招生办官网：</w:t>
            </w:r>
            <w:r>
              <w:rPr>
                <w:rFonts w:ascii="Times New Roman" w:eastAsia="Times New Roman" w:hAnsi="Times New Roman" w:cs="Times New Roman"/>
                <w:b w:val="0"/>
                <w:bCs w:val="0"/>
                <w:i w:val="0"/>
                <w:iCs w:val="0"/>
                <w:smallCaps w:val="0"/>
                <w:color w:val="666666"/>
                <w:sz w:val="21"/>
                <w:szCs w:val="21"/>
              </w:rPr>
              <w:t>http://zsxx.shafc.edu.cn/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021-57811385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67722534</w:t>
            </w:r>
          </w:p>
        </w:tc>
      </w:tr>
      <w:tr>
        <w:tblPrEx>
          <w:tblW w:w="14327" w:type="dxa"/>
          <w:tblInd w:w="135" w:type="dxa"/>
          <w:tblCellMar>
            <w:top w:w="15" w:type="dxa"/>
            <w:left w:w="15" w:type="dxa"/>
            <w:bottom w:w="15" w:type="dxa"/>
            <w:right w:w="15" w:type="dxa"/>
          </w:tblCellMar>
        </w:tblPrEx>
        <w:tc>
          <w:tcPr>
            <w:tcW w:w="337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十五、其他须知</w:t>
            </w:r>
          </w:p>
        </w:tc>
        <w:tc>
          <w:tcPr>
            <w:tcW w:w="7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年上海济光职业技术学院全国统考招生章程（秋季统一高考）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上海视觉艺术学院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61.html" TargetMode="External" /><Relationship Id="rId5" Type="http://schemas.openxmlformats.org/officeDocument/2006/relationships/hyperlink" Target="http://www.gk114.com/a/gxzs/zszc/shanghai/2020/0701/1726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