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上海工程技术大学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年秋季统一高考（全国统考）招生章程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5" w:type="dxa"/>
        <w:tblInd w:w="17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846"/>
        <w:gridCol w:w="1158"/>
        <w:gridCol w:w="26676"/>
      </w:tblGrid>
      <w:tr>
        <w:tblPrEx>
          <w:tblW w:w="14325" w:type="dxa"/>
          <w:tblInd w:w="17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900"/>
        </w:trPr>
        <w:tc>
          <w:tcPr>
            <w:tcW w:w="8480" w:type="dxa"/>
            <w:gridSpan w:val="3"/>
            <w:tcBorders>
              <w:bottom w:val="single" w:sz="8" w:space="0" w:color="000000"/>
            </w:tcBorders>
            <w:noWrap w:val="0"/>
            <w:tcMar>
              <w:top w:w="30" w:type="dxa"/>
              <w:left w:w="14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firstLine="56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rPr>
              <w:t>2019年上海市普通高等学校招生章程</w:t>
            </w:r>
          </w:p>
          <w:p>
            <w:pPr>
              <w:pStyle w:val="a"/>
              <w:pBdr>
                <w:top w:val="none" w:sz="0" w:space="0" w:color="auto"/>
                <w:left w:val="none" w:sz="0" w:space="0" w:color="auto"/>
                <w:bottom w:val="none" w:sz="0" w:space="0" w:color="auto"/>
                <w:right w:val="none" w:sz="0" w:space="0" w:color="auto"/>
              </w:pBdr>
              <w:spacing w:before="100" w:after="10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rPr>
              <w:t>（ 全国统考  ）</w:t>
            </w:r>
          </w:p>
        </w:tc>
      </w:tr>
      <w:tr>
        <w:tblPrEx>
          <w:tblW w:w="14325" w:type="dxa"/>
          <w:tblInd w:w="170" w:type="dxa"/>
          <w:tblCellMar>
            <w:top w:w="15" w:type="dxa"/>
            <w:left w:w="15" w:type="dxa"/>
            <w:bottom w:w="15" w:type="dxa"/>
            <w:right w:w="15" w:type="dxa"/>
          </w:tblCellMar>
        </w:tblPrEx>
        <w:trPr>
          <w:trHeight w:val="54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一、院校全称</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上海工程技术大学</w:t>
            </w:r>
          </w:p>
        </w:tc>
      </w:tr>
      <w:tr>
        <w:tblPrEx>
          <w:tblW w:w="14325" w:type="dxa"/>
          <w:tblInd w:w="170" w:type="dxa"/>
          <w:tblCellMar>
            <w:top w:w="15" w:type="dxa"/>
            <w:left w:w="15" w:type="dxa"/>
            <w:bottom w:w="15" w:type="dxa"/>
            <w:right w:w="15" w:type="dxa"/>
          </w:tblCellMar>
        </w:tblPrEx>
        <w:trPr>
          <w:trHeight w:val="4635"/>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二、就读校址</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松江校区地址为上海市松江区龙腾路333号。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长宁校区地址为上海市长宁区仙霞路350号。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虹口校区地址为上海市虹口区逸仙路88号。</w:t>
            </w:r>
          </w:p>
          <w:p>
            <w:pPr>
              <w:pStyle w:val="a"/>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tbl>
            <w:tblPr>
              <w:tblW w:w="912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05"/>
              <w:gridCol w:w="6305"/>
              <w:gridCol w:w="1490"/>
            </w:tblGrid>
            <w:tr>
              <w:tblPrEx>
                <w:tblW w:w="912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95"/>
              </w:trPr>
              <w:tc>
                <w:tcPr>
                  <w:tcW w:w="1165" w:type="dxa"/>
                  <w:tcBorders>
                    <w:bottom w:val="single" w:sz="8" w:space="0" w:color="000000"/>
                    <w:right w:val="single" w:sz="8" w:space="0" w:color="000000"/>
                  </w:tcBorders>
                  <w:noWrap w:val="0"/>
                  <w:tcMar>
                    <w:top w:w="30" w:type="dxa"/>
                    <w:left w:w="3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层次</w:t>
                  </w:r>
                </w:p>
              </w:tc>
              <w:tc>
                <w:tcPr>
                  <w:tcW w:w="2495" w:type="dxa"/>
                  <w:tcBorders>
                    <w:left w:val="single" w:sz="8" w:space="0" w:color="000000"/>
                    <w:bottom w:val="single" w:sz="8" w:space="0" w:color="000000"/>
                    <w:right w:val="single" w:sz="8" w:space="0" w:color="000000"/>
                  </w:tcBorders>
                  <w:noWrap w:val="0"/>
                  <w:tcMar>
                    <w:top w:w="30" w:type="dxa"/>
                    <w:left w:w="1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专</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业</w:t>
                  </w:r>
                </w:p>
              </w:tc>
              <w:tc>
                <w:tcPr>
                  <w:tcW w:w="1450" w:type="dxa"/>
                  <w:tcBorders>
                    <w:left w:val="single" w:sz="8" w:space="0" w:color="000000"/>
                    <w:bottom w:val="single" w:sz="8" w:space="0" w:color="000000"/>
                  </w:tcBorders>
                  <w:noWrap w:val="0"/>
                  <w:tcMar>
                    <w:top w:w="30" w:type="dxa"/>
                    <w:left w:w="10" w:type="dxa"/>
                    <w:bottom w:w="1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就读校区</w:t>
                  </w:r>
                </w:p>
              </w:tc>
            </w:tr>
            <w:tr>
              <w:tblPrEx>
                <w:tblW w:w="9120" w:type="dxa"/>
                <w:tblCellMar>
                  <w:top w:w="15" w:type="dxa"/>
                  <w:left w:w="15" w:type="dxa"/>
                  <w:bottom w:w="15" w:type="dxa"/>
                  <w:right w:w="15" w:type="dxa"/>
                </w:tblCellMar>
              </w:tblPrEx>
              <w:trPr>
                <w:trHeight w:val="870"/>
              </w:trPr>
              <w:tc>
                <w:tcPr>
                  <w:tcW w:w="1165" w:type="dxa"/>
                  <w:vMerge w:val="restart"/>
                  <w:tcBorders>
                    <w:top w:val="single" w:sz="8" w:space="0" w:color="000000"/>
                    <w:bottom w:val="single" w:sz="8" w:space="0" w:color="000000"/>
                    <w:right w:val="single" w:sz="8" w:space="0" w:color="000000"/>
                  </w:tcBorders>
                  <w:noWrap w:val="0"/>
                  <w:tcMar>
                    <w:top w:w="10" w:type="dxa"/>
                    <w:left w:w="3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本科</w:t>
                  </w:r>
                </w:p>
              </w:tc>
              <w:tc>
                <w:tcPr>
                  <w:tcW w:w="2495" w:type="dxa"/>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30"/>
                    </w:rPr>
                    <w:t>服装与服饰设计专业（中法合作办学）</w:t>
                  </w:r>
                </w:p>
              </w:tc>
              <w:tc>
                <w:tcPr>
                  <w:tcW w:w="1450" w:type="dxa"/>
                  <w:tcBorders>
                    <w:top w:val="single" w:sz="8" w:space="0" w:color="000000"/>
                    <w:left w:val="single" w:sz="8" w:space="0" w:color="000000"/>
                    <w:bottom w:val="single" w:sz="8" w:space="0" w:color="000000"/>
                  </w:tcBorders>
                  <w:noWrap w:val="0"/>
                  <w:tcMar>
                    <w:top w:w="10" w:type="dxa"/>
                    <w:left w:w="10" w:type="dxa"/>
                    <w:bottom w:w="1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长宁校区</w:t>
                  </w:r>
                </w:p>
              </w:tc>
            </w:tr>
            <w:tr>
              <w:tblPrEx>
                <w:tblW w:w="9120" w:type="dxa"/>
                <w:tblCellMar>
                  <w:top w:w="15" w:type="dxa"/>
                  <w:left w:w="15" w:type="dxa"/>
                  <w:bottom w:w="15" w:type="dxa"/>
                  <w:right w:w="15" w:type="dxa"/>
                </w:tblCellMar>
              </w:tblPrEx>
              <w:trPr>
                <w:trHeight w:val="495"/>
              </w:trPr>
              <w:tc>
                <w:tcPr>
                  <w:vMerge/>
                  <w:tcBorders>
                    <w:top w:val="single" w:sz="8" w:space="0" w:color="000000"/>
                    <w:bottom w:val="single" w:sz="8" w:space="0" w:color="000000"/>
                    <w:right w:val="single" w:sz="8" w:space="0" w:color="000000"/>
                  </w:tcBorders>
                  <w:vAlign w:val="center"/>
                  <w:hideMark/>
                </w:tcPr>
                <w:p>
                  <w:pPr>
                    <w:rPr>
                      <w:rFonts w:ascii="FangSong" w:eastAsia="FangSong" w:hAnsi="FangSong" w:cs="FangSong"/>
                      <w:b w:val="0"/>
                      <w:bCs w:val="0"/>
                      <w:i w:val="0"/>
                      <w:iCs w:val="0"/>
                      <w:smallCaps w:val="0"/>
                      <w:color w:val="666666"/>
                    </w:rPr>
                  </w:pPr>
                </w:p>
              </w:tc>
              <w:tc>
                <w:tcPr>
                  <w:tcW w:w="2495" w:type="dxa"/>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其他专业</w:t>
                  </w:r>
                </w:p>
              </w:tc>
              <w:tc>
                <w:tcPr>
                  <w:tcW w:w="1450" w:type="dxa"/>
                  <w:tcBorders>
                    <w:top w:val="single" w:sz="8" w:space="0" w:color="000000"/>
                    <w:left w:val="single" w:sz="8" w:space="0" w:color="000000"/>
                    <w:bottom w:val="single" w:sz="8" w:space="0" w:color="000000"/>
                  </w:tcBorders>
                  <w:noWrap w:val="0"/>
                  <w:tcMar>
                    <w:top w:w="10" w:type="dxa"/>
                    <w:left w:w="10" w:type="dxa"/>
                    <w:bottom w:w="1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松江校区</w:t>
                  </w:r>
                </w:p>
              </w:tc>
            </w:tr>
            <w:tr>
              <w:tblPrEx>
                <w:tblW w:w="9120" w:type="dxa"/>
                <w:tblCellMar>
                  <w:top w:w="15" w:type="dxa"/>
                  <w:left w:w="15" w:type="dxa"/>
                  <w:bottom w:w="15" w:type="dxa"/>
                  <w:right w:w="15" w:type="dxa"/>
                </w:tblCellMar>
              </w:tblPrEx>
              <w:trPr>
                <w:trHeight w:val="495"/>
              </w:trPr>
              <w:tc>
                <w:tcPr>
                  <w:tcW w:w="1165" w:type="dxa"/>
                  <w:vMerge w:val="restart"/>
                  <w:tcBorders>
                    <w:top w:val="single" w:sz="8" w:space="0" w:color="000000"/>
                    <w:right w:val="single" w:sz="8" w:space="0" w:color="000000"/>
                  </w:tcBorders>
                  <w:noWrap w:val="0"/>
                  <w:tcMar>
                    <w:top w:w="10" w:type="dxa"/>
                    <w:left w:w="30" w:type="dxa"/>
                    <w:bottom w:w="3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高职</w:t>
                  </w:r>
                </w:p>
              </w:tc>
              <w:tc>
                <w:tcPr>
                  <w:tcW w:w="2495" w:type="dxa"/>
                  <w:tcBorders>
                    <w:top w:val="single" w:sz="8" w:space="0" w:color="000000"/>
                    <w:left w:val="single" w:sz="8" w:space="0" w:color="000000"/>
                    <w:bottom w:val="single" w:sz="8" w:space="0" w:color="000000"/>
                    <w:right w:val="single" w:sz="8" w:space="0" w:color="000000"/>
                  </w:tcBorders>
                  <w:noWrap w:val="0"/>
                  <w:tcMar>
                    <w:top w:w="10" w:type="dxa"/>
                    <w:left w:w="10" w:type="dxa"/>
                    <w:bottom w:w="1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30"/>
                    </w:rPr>
                    <w:t>空中乘务专业</w:t>
                  </w:r>
                </w:p>
              </w:tc>
              <w:tc>
                <w:tcPr>
                  <w:tcW w:w="1450" w:type="dxa"/>
                  <w:tcBorders>
                    <w:top w:val="single" w:sz="8" w:space="0" w:color="000000"/>
                    <w:left w:val="single" w:sz="8" w:space="0" w:color="000000"/>
                    <w:bottom w:val="single" w:sz="8" w:space="0" w:color="000000"/>
                  </w:tcBorders>
                  <w:noWrap w:val="0"/>
                  <w:tcMar>
                    <w:top w:w="10" w:type="dxa"/>
                    <w:left w:w="10" w:type="dxa"/>
                    <w:bottom w:w="1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松江校区</w:t>
                  </w:r>
                </w:p>
              </w:tc>
            </w:tr>
            <w:tr>
              <w:tblPrEx>
                <w:tblW w:w="9120" w:type="dxa"/>
                <w:tblCellMar>
                  <w:top w:w="15" w:type="dxa"/>
                  <w:left w:w="15" w:type="dxa"/>
                  <w:bottom w:w="15" w:type="dxa"/>
                  <w:right w:w="15" w:type="dxa"/>
                </w:tblCellMar>
              </w:tblPrEx>
              <w:trPr>
                <w:trHeight w:val="495"/>
              </w:trPr>
              <w:tc>
                <w:tcPr>
                  <w:vMerge/>
                  <w:tcBorders>
                    <w:top w:val="single" w:sz="8" w:space="0" w:color="000000"/>
                    <w:right w:val="single" w:sz="8" w:space="0" w:color="000000"/>
                  </w:tcBorders>
                  <w:vAlign w:val="center"/>
                  <w:hideMark/>
                </w:tcPr>
                <w:p>
                  <w:pPr>
                    <w:rPr>
                      <w:rFonts w:ascii="FangSong" w:eastAsia="FangSong" w:hAnsi="FangSong" w:cs="FangSong"/>
                      <w:b w:val="0"/>
                      <w:bCs w:val="0"/>
                      <w:i w:val="0"/>
                      <w:iCs w:val="0"/>
                      <w:smallCaps w:val="0"/>
                      <w:color w:val="666666"/>
                    </w:rPr>
                  </w:pPr>
                </w:p>
              </w:tc>
              <w:tc>
                <w:tcPr>
                  <w:tcW w:w="2495" w:type="dxa"/>
                  <w:tcBorders>
                    <w:top w:val="single" w:sz="8" w:space="0" w:color="000000"/>
                    <w:left w:val="single" w:sz="8" w:space="0" w:color="000000"/>
                    <w:right w:val="single" w:sz="8" w:space="0" w:color="000000"/>
                  </w:tcBorders>
                  <w:noWrap w:val="0"/>
                  <w:tcMar>
                    <w:top w:w="10" w:type="dxa"/>
                    <w:left w:w="10" w:type="dxa"/>
                    <w:bottom w:w="3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spacing w:val="-30"/>
                    </w:rPr>
                    <w:t>其他专业</w:t>
                  </w:r>
                </w:p>
              </w:tc>
              <w:tc>
                <w:tcPr>
                  <w:tcW w:w="1450" w:type="dxa"/>
                  <w:tcBorders>
                    <w:top w:val="single" w:sz="8" w:space="0" w:color="000000"/>
                    <w:left w:val="single" w:sz="8" w:space="0" w:color="000000"/>
                  </w:tcBorders>
                  <w:noWrap w:val="0"/>
                  <w:tcMar>
                    <w:top w:w="10" w:type="dxa"/>
                    <w:left w:w="10" w:type="dxa"/>
                    <w:bottom w:w="3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80" w:lineRule="atLeast"/>
                    <w:ind w:left="0" w:right="0"/>
                    <w:jc w:val="center"/>
                    <w:rPr>
                      <w:rFonts w:ascii="Microsoft YaHei" w:eastAsia="Microsoft YaHei" w:hAnsi="Microsoft YaHei" w:cs="Microsoft YaHei"/>
                      <w:b w:val="0"/>
                      <w:bCs w:val="0"/>
                      <w:i w:val="0"/>
                      <w:iCs w:val="0"/>
                      <w:smallCaps w:val="0"/>
                      <w:color w:val="666666"/>
                    </w:rPr>
                  </w:pPr>
                  <w:r>
                    <w:rPr>
                      <w:rFonts w:ascii="FangSong" w:eastAsia="FangSong" w:hAnsi="FangSong" w:cs="FangSong"/>
                      <w:b w:val="0"/>
                      <w:bCs w:val="0"/>
                      <w:i w:val="0"/>
                      <w:iCs w:val="0"/>
                      <w:smallCaps w:val="0"/>
                      <w:color w:val="666666"/>
                    </w:rPr>
                    <w:t>虹口校区</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rPr>
              <w:t> </w:t>
            </w:r>
          </w:p>
        </w:tc>
      </w:tr>
      <w:tr>
        <w:tblPrEx>
          <w:tblW w:w="14325" w:type="dxa"/>
          <w:tblInd w:w="170" w:type="dxa"/>
          <w:tblCellMar>
            <w:top w:w="15" w:type="dxa"/>
            <w:left w:w="15" w:type="dxa"/>
            <w:bottom w:w="15" w:type="dxa"/>
            <w:right w:w="15" w:type="dxa"/>
          </w:tblCellMar>
        </w:tblPrEx>
        <w:trPr>
          <w:trHeight w:val="675"/>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三、招生层次</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本科</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高职</w:t>
            </w:r>
          </w:p>
        </w:tc>
      </w:tr>
      <w:tr>
        <w:tblPrEx>
          <w:tblW w:w="14325" w:type="dxa"/>
          <w:tblInd w:w="170" w:type="dxa"/>
          <w:tblCellMar>
            <w:top w:w="15" w:type="dxa"/>
            <w:left w:w="15" w:type="dxa"/>
            <w:bottom w:w="15" w:type="dxa"/>
            <w:right w:w="15" w:type="dxa"/>
          </w:tblCellMar>
        </w:tblPrEx>
        <w:trPr>
          <w:trHeight w:val="69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四、办学类型</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普通高等学校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公办高等学校</w:t>
            </w:r>
          </w:p>
        </w:tc>
      </w:tr>
      <w:tr>
        <w:tblPrEx>
          <w:tblW w:w="14325" w:type="dxa"/>
          <w:tblInd w:w="170" w:type="dxa"/>
          <w:tblCellMar>
            <w:top w:w="15" w:type="dxa"/>
            <w:left w:w="15" w:type="dxa"/>
            <w:bottom w:w="15" w:type="dxa"/>
            <w:right w:w="15" w:type="dxa"/>
          </w:tblCellMar>
        </w:tblPrEx>
        <w:trPr>
          <w:trHeight w:val="660"/>
        </w:trPr>
        <w:tc>
          <w:tcPr>
            <w:tcW w:w="1590" w:type="dxa"/>
            <w:vMerge w:val="restart"/>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五、颁发学历证书的院校名称及证书种类</w:t>
            </w:r>
          </w:p>
        </w:tc>
        <w:tc>
          <w:tcPr>
            <w:tcW w:w="1510" w:type="dxa"/>
            <w:tcBorders>
              <w:top w:val="single" w:sz="8" w:space="0" w:color="000000"/>
              <w:left w:val="single" w:sz="8" w:space="0" w:color="000000"/>
              <w:bottom w:val="single" w:sz="8" w:space="0" w:color="000000"/>
              <w:right w:val="single" w:sz="8" w:space="0" w:color="000000"/>
            </w:tcBorders>
            <w:noWrap w:val="0"/>
            <w:tcMar>
              <w:top w:w="10" w:type="dxa"/>
              <w:left w:w="12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院校名称</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上海工程技术大学</w:t>
            </w:r>
          </w:p>
        </w:tc>
      </w:tr>
      <w:tr>
        <w:tblPrEx>
          <w:tblW w:w="14325" w:type="dxa"/>
          <w:tblInd w:w="170" w:type="dxa"/>
          <w:tblCellMar>
            <w:top w:w="15" w:type="dxa"/>
            <w:left w:w="15" w:type="dxa"/>
            <w:bottom w:w="15" w:type="dxa"/>
            <w:right w:w="15" w:type="dxa"/>
          </w:tblCellMar>
        </w:tblPrEx>
        <w:trPr>
          <w:trHeight w:val="1140"/>
        </w:trPr>
        <w:tc>
          <w:tcPr>
            <w:vMerge/>
            <w:tcBorders>
              <w:top w:val="single" w:sz="8" w:space="0" w:color="000000"/>
              <w:bottom w:val="single" w:sz="8" w:space="0" w:color="000000"/>
              <w:right w:val="single" w:sz="8" w:space="0" w:color="000000"/>
            </w:tcBorders>
            <w:vAlign w:val="center"/>
            <w:hideMark/>
          </w:tcPr>
          <w:p>
            <w:pPr>
              <w:rPr>
                <w:rFonts w:ascii="FangSong" w:eastAsia="FangSong" w:hAnsi="FangSong" w:cs="FangSong"/>
                <w:b w:val="0"/>
                <w:bCs w:val="0"/>
                <w:i w:val="0"/>
                <w:iCs w:val="0"/>
                <w:smallCaps w:val="0"/>
                <w:color w:val="666666"/>
              </w:rPr>
            </w:pPr>
          </w:p>
        </w:tc>
        <w:tc>
          <w:tcPr>
            <w:tcW w:w="1510" w:type="dxa"/>
            <w:tcBorders>
              <w:top w:val="single" w:sz="8" w:space="0" w:color="000000"/>
              <w:left w:val="single" w:sz="8" w:space="0" w:color="000000"/>
              <w:bottom w:val="single" w:sz="8" w:space="0" w:color="000000"/>
              <w:right w:val="single" w:sz="8" w:space="0" w:color="000000"/>
            </w:tcBorders>
            <w:noWrap w:val="0"/>
            <w:tcMar>
              <w:top w:w="10" w:type="dxa"/>
              <w:left w:w="12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证书种类</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修学期满，符合毕业要求，颁发上海工程技术大学的本（专）科毕业证书。</w:t>
            </w:r>
          </w:p>
        </w:tc>
      </w:tr>
      <w:tr>
        <w:tblPrEx>
          <w:tblW w:w="14325" w:type="dxa"/>
          <w:tblInd w:w="170" w:type="dxa"/>
          <w:tblCellMar>
            <w:top w:w="15" w:type="dxa"/>
            <w:left w:w="15" w:type="dxa"/>
            <w:bottom w:w="15" w:type="dxa"/>
            <w:right w:w="15" w:type="dxa"/>
          </w:tblCellMar>
        </w:tblPrEx>
        <w:trPr>
          <w:trHeight w:val="264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六、院校招生管理机构</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上海工程技术大学招生工作领导小组是我校招生工作的最高决策机构，统一领导学校招生工作；上海工程技术大学招生办公室是我校组织和实施招生工作的常设机构，负责学校秋季统一招生的日常工作；上海工程技术大学监察处是我校招生工作纪检监察机构。</w:t>
            </w:r>
          </w:p>
        </w:tc>
      </w:tr>
      <w:tr>
        <w:tblPrEx>
          <w:tblW w:w="14325" w:type="dxa"/>
          <w:tblInd w:w="170" w:type="dxa"/>
          <w:tblCellMar>
            <w:top w:w="15" w:type="dxa"/>
            <w:left w:w="15" w:type="dxa"/>
            <w:bottom w:w="15" w:type="dxa"/>
            <w:right w:w="15" w:type="dxa"/>
          </w:tblCellMar>
        </w:tblPrEx>
        <w:trPr>
          <w:trHeight w:val="2535"/>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七、招生计划分配</w:t>
            </w:r>
          </w:p>
          <w:p>
            <w:pPr>
              <w:pStyle w:val="a"/>
              <w:pBdr>
                <w:top w:val="none" w:sz="0" w:space="0" w:color="auto"/>
                <w:left w:val="none" w:sz="0" w:space="0" w:color="auto"/>
                <w:bottom w:val="none" w:sz="0" w:space="0" w:color="auto"/>
                <w:right w:val="none" w:sz="0" w:space="0" w:color="auto"/>
              </w:pBdr>
              <w:spacing w:before="100" w:after="10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的原则和办法</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一、我校依据上海市教育委员会核准的年度招生规模，结合学校发展定位与办学条件，统筹考虑近年分省分专业招生计划编制及使用情况，科学、合理地编制学校本年度分省分专业招生计划。</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二、各招生专业无男女比例限制（飞行器制造工程专业建议男生报考）。</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三、本年度我校分省分专业招生计划、高考改革省市选考科目要求等详见各省级招生主管部门（以下简称“省级招办”）编印的2019年普通高等学校招生专业和计划相关文件。</w:t>
            </w:r>
          </w:p>
        </w:tc>
      </w:tr>
      <w:tr>
        <w:tblPrEx>
          <w:tblW w:w="14325" w:type="dxa"/>
          <w:tblInd w:w="170" w:type="dxa"/>
          <w:tblCellMar>
            <w:top w:w="15" w:type="dxa"/>
            <w:left w:w="15" w:type="dxa"/>
            <w:bottom w:w="15" w:type="dxa"/>
            <w:right w:w="15" w:type="dxa"/>
          </w:tblCellMar>
        </w:tblPrEx>
        <w:trPr>
          <w:trHeight w:val="1125"/>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八、预留计划数及使用办法</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预留计划不超过本科招生总计划的1%，用于调节各地统考上线生源的不平衡。</w:t>
            </w:r>
          </w:p>
        </w:tc>
      </w:tr>
      <w:tr>
        <w:tblPrEx>
          <w:tblW w:w="14325" w:type="dxa"/>
          <w:tblInd w:w="170" w:type="dxa"/>
          <w:tblCellMar>
            <w:top w:w="15" w:type="dxa"/>
            <w:left w:w="15" w:type="dxa"/>
            <w:bottom w:w="15" w:type="dxa"/>
            <w:right w:w="15" w:type="dxa"/>
          </w:tblCellMar>
        </w:tblPrEx>
        <w:trPr>
          <w:trHeight w:val="138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九、专业培养对入学外</w:t>
            </w:r>
          </w:p>
          <w:p>
            <w:pPr>
              <w:pStyle w:val="a"/>
              <w:pBdr>
                <w:top w:val="none" w:sz="0" w:space="0" w:color="auto"/>
                <w:left w:val="none" w:sz="0" w:space="0" w:color="auto"/>
                <w:bottom w:val="none" w:sz="0" w:space="0" w:color="auto"/>
                <w:right w:val="none" w:sz="0" w:space="0" w:color="auto"/>
              </w:pBdr>
              <w:spacing w:before="100" w:after="10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语考试语种的要求</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翻译专业入学外语考试语种为英语，其它专业入学外语考试语种不限；所有专业入学后教学外语语种均为英语。</w:t>
            </w:r>
          </w:p>
        </w:tc>
      </w:tr>
      <w:tr>
        <w:tblPrEx>
          <w:tblW w:w="14325" w:type="dxa"/>
          <w:tblInd w:w="170" w:type="dxa"/>
          <w:tblCellMar>
            <w:top w:w="15" w:type="dxa"/>
            <w:left w:w="15" w:type="dxa"/>
            <w:bottom w:w="15" w:type="dxa"/>
            <w:right w:w="15" w:type="dxa"/>
          </w:tblCellMar>
        </w:tblPrEx>
        <w:trPr>
          <w:trHeight w:val="432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十、身体健康状况要求</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飞行技术、空中乘务专业须根据中国民用航空相关规定提前参加面试、体检等，合格者方能报考。</w:t>
            </w:r>
          </w:p>
        </w:tc>
      </w:tr>
      <w:tr>
        <w:tblPrEx>
          <w:tblW w:w="14325" w:type="dxa"/>
          <w:tblInd w:w="170" w:type="dxa"/>
          <w:tblCellMar>
            <w:top w:w="15" w:type="dxa"/>
            <w:left w:w="15" w:type="dxa"/>
            <w:bottom w:w="15" w:type="dxa"/>
            <w:right w:w="15" w:type="dxa"/>
          </w:tblCellMar>
        </w:tblPrEx>
        <w:trPr>
          <w:trHeight w:val="13455"/>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十一、录取规则</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一、普通类专业</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依据普通高等学校招生全国统一考试（秋季统一考试）成绩录取的规则：</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1．调档比例：依据学校招生计划，根据生源实际情况和省级招办规定确定。平行志愿调档比例原则上不超过105%。</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2．专业录取：对进档考生，根据招生计划，采用</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分数优先</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原则，按高考文化投档成绩从高分到低分择优录取，专业间无级差分。</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3．同分情况：学校认可省级招办的投档位序分(号)。无投档位序分(号)的省份，依次按数学、外语、语文成绩高低顺次决定排序。</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二、艺术类专业</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依据普通高等学校招生全国统一考试（秋季统一考试）成绩，美术与设计学类省统考成绩，表演专业校考成绩的录取规则：</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（一）文化及专业成绩要求：高考文化成绩须达到省级招办划定的艺术类本科最低录取控制线，艺术类专业省统考成绩须达到省级招办划定的合格线。报考表演专业的考生还须校考专业成绩合格。 </w:t>
            </w:r>
            <w:r>
              <w:rPr>
                <w:rFonts w:ascii="Calibri" w:eastAsia="Calibri" w:hAnsi="Calibri" w:cs="Calibri"/>
                <w:b w:val="0"/>
                <w:bCs w:val="0"/>
                <w:i w:val="0"/>
                <w:iCs w:val="0"/>
                <w:smallCaps w:val="0"/>
                <w:color w:val="666666"/>
              </w:rPr>
              <w:t>  </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（二）录取原则：</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1．美术与设计学类专业总分折算办法：折算总分＝高考文化投档成绩＋（高考文化满分</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美术与设计学类专业统考满分）</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美术与设计学类专业统考成绩。</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摄影、服装与服饰设计（中法合作办学）和数字媒体艺术（中韩合作办学）三个专业：依据折算总分，按“专业志愿优先”原则从高分到低分择优录取专业，即：不设最低录取资格线，优先满足第一志愿，其次考虑第二志愿，以此类推。</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3．其它美术与设计学类专业：依据折算总分从高分到低分划定最低录取资格线，资格线上考生根据</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专业志愿优先</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的原则，按折算总分从高分到低分择优录取专业。</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4．凡第一志愿报考我校的进档上海生源考生，美术与设计学类专业统考成绩达到全市前80名者（含同分），在满足</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文化及专业成绩要求</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的前提下，可不参加排序，直接录取第一专业。</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5．表演专业：在满足</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文化及专业成绩要求</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的前提下，按“专业志愿优先”原则，依据校考专业成绩从高分到低分择优录取。对于有专业省统考要求的省份，考生还必须按要求参加相应类别的专业省统考，且成绩合格。</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6．同分情况：折算总分相同时，按专业省统考成绩、语文、外语、数学成绩高低顺次决定排序。</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7．各省级招办投档时，如文理计划单列的，则按文理分别排序录取。如对合成总分有统一折算办法的，则按其折算成绩排序录取，不再另行计算</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折算总分</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三、飞行技术专业：</w:t>
            </w:r>
            <w:r>
              <w:rPr>
                <w:rFonts w:ascii="FangSong" w:eastAsia="FangSong" w:hAnsi="FangSong" w:cs="FangSong"/>
                <w:b w:val="0"/>
                <w:bCs w:val="0"/>
                <w:i w:val="0"/>
                <w:iCs w:val="0"/>
                <w:smallCaps w:val="0"/>
                <w:color w:val="666666"/>
              </w:rPr>
              <w:t>考生须提前参加面试、体检和背景调查，并在中国民用航空招飞信息系统报名且确认有效志愿，方可报考。由中国民用航空局确定招飞录取最低控制分数线。录取时，根据“专业志愿优先”原则，按高考文化投档成绩从高分到低分，择优录取。</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四、空中乘务专业：</w:t>
            </w:r>
            <w:r>
              <w:rPr>
                <w:rFonts w:ascii="FangSong" w:eastAsia="FangSong" w:hAnsi="FangSong" w:cs="FangSong"/>
                <w:b w:val="0"/>
                <w:bCs w:val="0"/>
                <w:i w:val="0"/>
                <w:iCs w:val="0"/>
                <w:smallCaps w:val="0"/>
                <w:color w:val="666666"/>
              </w:rPr>
              <w:t>考生须提前参加我校空中乘务专业面试、体检，合格者方可报考。录取按照高考文化投档成绩从高分到低分，择优录取。</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五、专业调剂：</w:t>
            </w:r>
            <w:r>
              <w:rPr>
                <w:rFonts w:ascii="FangSong" w:eastAsia="FangSong" w:hAnsi="FangSong" w:cs="FangSong"/>
                <w:b w:val="0"/>
                <w:bCs w:val="0"/>
                <w:i w:val="0"/>
                <w:iCs w:val="0"/>
                <w:smallCaps w:val="0"/>
                <w:color w:val="666666"/>
              </w:rPr>
              <w:t>对填报专业均不能满足，且服从专业调剂的考生，学校根据其高中综合素质评价信息等综合情况进行调剂录取；对填报专业均不能满足，且不服从专业调剂的考生，予以退档。</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六、其它相关规定</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1．我校认可教育部和各省招办根据教育部相关规定给予考生的计入高考文化投档成绩的全国性加分，即</w:t>
            </w:r>
            <w:r>
              <w:rPr>
                <w:rFonts w:ascii="FangSong" w:eastAsia="FangSong" w:hAnsi="FangSong" w:cs="FangSong"/>
                <w:b/>
                <w:bCs/>
                <w:i w:val="0"/>
                <w:iCs w:val="0"/>
                <w:smallCaps w:val="0"/>
                <w:color w:val="666666"/>
              </w:rPr>
              <w:t>政策性加分含在投档分中，专业录取时计入总分</w:t>
            </w:r>
            <w:r>
              <w:rPr>
                <w:rFonts w:ascii="FangSong" w:eastAsia="FangSong" w:hAnsi="FangSong" w:cs="FangSong"/>
                <w:b w:val="0"/>
                <w:bCs w:val="0"/>
                <w:i w:val="0"/>
                <w:iCs w:val="0"/>
                <w:smallCaps w:val="0"/>
                <w:color w:val="666666"/>
              </w:rPr>
              <w:t>。我校原则上认可考生具备的所有加分项中最高分一项，不可累计，最高不超过20分。</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2．学校生源不足时，省级招办可在同批次录取控制分数线上，进行征集志愿投档，投档人数原则上不超过公布的招生计划缺额数。</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3．高考改革有关省（市）的录取规则和程序，以省级招办规定为准。</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4．江苏本科选测科目等第要求以江苏省教育考试院向社会公布内容为准。</w:t>
            </w:r>
          </w:p>
        </w:tc>
      </w:tr>
      <w:tr>
        <w:tblPrEx>
          <w:tblW w:w="14325" w:type="dxa"/>
          <w:tblInd w:w="170" w:type="dxa"/>
          <w:tblCellMar>
            <w:top w:w="15" w:type="dxa"/>
            <w:left w:w="15" w:type="dxa"/>
            <w:bottom w:w="15" w:type="dxa"/>
            <w:right w:w="15" w:type="dxa"/>
          </w:tblCellMar>
        </w:tblPrEx>
        <w:trPr>
          <w:trHeight w:val="99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十二、特殊类型招生规则</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高水平运动队招生项目按照已公布的《2019年高水平运动队招生章程》执行。</w:t>
            </w:r>
          </w:p>
        </w:tc>
      </w:tr>
      <w:tr>
        <w:tblPrEx>
          <w:tblW w:w="14325" w:type="dxa"/>
          <w:tblInd w:w="170" w:type="dxa"/>
          <w:tblCellMar>
            <w:top w:w="15" w:type="dxa"/>
            <w:left w:w="15" w:type="dxa"/>
            <w:bottom w:w="15" w:type="dxa"/>
            <w:right w:w="15" w:type="dxa"/>
          </w:tblCellMar>
        </w:tblPrEx>
        <w:trPr>
          <w:trHeight w:val="6420"/>
        </w:trPr>
        <w:tc>
          <w:tcPr>
            <w:tcW w:w="1590" w:type="dxa"/>
            <w:vMerge w:val="restart"/>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十三、收费标准</w:t>
            </w:r>
          </w:p>
        </w:tc>
        <w:tc>
          <w:tcPr>
            <w:tcW w:w="1510" w:type="dxa"/>
            <w:tcBorders>
              <w:top w:val="single" w:sz="8" w:space="0" w:color="000000"/>
              <w:left w:val="single" w:sz="8" w:space="0" w:color="000000"/>
              <w:bottom w:val="single" w:sz="8" w:space="0" w:color="000000"/>
              <w:right w:val="single" w:sz="8" w:space="0" w:color="000000"/>
            </w:tcBorders>
            <w:noWrap w:val="0"/>
            <w:tcMar>
              <w:top w:w="10" w:type="dxa"/>
              <w:left w:w="12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1．一般专业每生每学年5000元（沪价行</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2000</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120号）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艺术类专业每生每学年10000元（沪价行</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2000</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120号）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普通高职教育每生每学年7500元（沪价行</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2000</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120号）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国际商务（旅游及商务管理）（中瑞合作办学）专业每生每学年22500元（沪价费</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2015</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7号）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服装与服饰设计（中法合作办学）艺术类专业每生每学年30000元（沪价费</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2004</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7号）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数字媒体艺术（中韩合作办学）艺术类专业每生每学年25000元（沪教委财</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2003</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34号）</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7．飞行技术专业每生每学年6500元（沪教委财</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2007</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14号]</w:t>
            </w:r>
          </w:p>
        </w:tc>
      </w:tr>
      <w:tr>
        <w:tblPrEx>
          <w:tblW w:w="14325" w:type="dxa"/>
          <w:tblInd w:w="170" w:type="dxa"/>
          <w:tblCellMar>
            <w:top w:w="15" w:type="dxa"/>
            <w:left w:w="15" w:type="dxa"/>
            <w:bottom w:w="15" w:type="dxa"/>
            <w:right w:w="15" w:type="dxa"/>
          </w:tblCellMar>
        </w:tblPrEx>
        <w:trPr>
          <w:trHeight w:val="960"/>
        </w:trPr>
        <w:tc>
          <w:tcPr>
            <w:vMerge/>
            <w:tcBorders>
              <w:top w:val="single" w:sz="8" w:space="0" w:color="000000"/>
              <w:bottom w:val="single" w:sz="8" w:space="0" w:color="000000"/>
              <w:right w:val="single" w:sz="8" w:space="0" w:color="000000"/>
            </w:tcBorders>
            <w:vAlign w:val="center"/>
            <w:hideMark/>
          </w:tcPr>
          <w:p>
            <w:pPr>
              <w:rPr>
                <w:rFonts w:ascii="FangSong" w:eastAsia="FangSong" w:hAnsi="FangSong" w:cs="FangSong"/>
                <w:b w:val="0"/>
                <w:bCs w:val="0"/>
                <w:i w:val="0"/>
                <w:iCs w:val="0"/>
                <w:smallCaps w:val="0"/>
                <w:color w:val="666666"/>
              </w:rPr>
            </w:pPr>
          </w:p>
        </w:tc>
        <w:tc>
          <w:tcPr>
            <w:tcW w:w="1510" w:type="dxa"/>
            <w:tcBorders>
              <w:top w:val="single" w:sz="8" w:space="0" w:color="000000"/>
              <w:left w:val="single" w:sz="8" w:space="0" w:color="000000"/>
              <w:bottom w:val="single" w:sz="8" w:space="0" w:color="000000"/>
              <w:right w:val="single" w:sz="8" w:space="0" w:color="000000"/>
            </w:tcBorders>
            <w:noWrap w:val="0"/>
            <w:tcMar>
              <w:top w:w="10" w:type="dxa"/>
              <w:left w:w="12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住宿费标准</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1200元/年（沪教委财</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2012</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118号、沪价费</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2003</w:t>
            </w:r>
            <w:r>
              <w:rPr>
                <w:rFonts w:ascii="FangSong" w:eastAsia="FangSong" w:hAnsi="FangSong" w:cs="FangSong"/>
                <w:b w:val="0"/>
                <w:bCs w:val="0"/>
                <w:i w:val="0"/>
                <w:iCs w:val="0"/>
                <w:smallCaps w:val="0"/>
                <w:color w:val="666666"/>
              </w:rPr>
              <w:t>〕</w:t>
            </w:r>
            <w:r>
              <w:rPr>
                <w:rFonts w:ascii="FangSong" w:eastAsia="FangSong" w:hAnsi="FangSong" w:cs="FangSong"/>
                <w:b w:val="0"/>
                <w:bCs w:val="0"/>
                <w:i w:val="0"/>
                <w:iCs w:val="0"/>
                <w:smallCaps w:val="0"/>
                <w:color w:val="666666"/>
              </w:rPr>
              <w:t>56号）</w:t>
            </w:r>
          </w:p>
        </w:tc>
      </w:tr>
      <w:tr>
        <w:tblPrEx>
          <w:tblW w:w="14325" w:type="dxa"/>
          <w:tblInd w:w="170" w:type="dxa"/>
          <w:tblCellMar>
            <w:top w:w="15" w:type="dxa"/>
            <w:left w:w="15" w:type="dxa"/>
            <w:bottom w:w="15" w:type="dxa"/>
            <w:right w:w="15" w:type="dxa"/>
          </w:tblCellMar>
        </w:tblPrEx>
        <w:trPr>
          <w:trHeight w:val="390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十四、资助政策</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我校认真执行国家和上海市相关学生资助政策，被本校录取的家庭经济困难学生可通过“绿色通道”申请入学，入学后可按规定申请国家奖学金、国家励志奖学金、上海市奖学金、国家助学金、国家助学贷款、勤工助学岗位、特殊困难补助和学费减免等。同时，学校还设立有优秀学生奖学金、自强奖学金和各类社会奖、助学金。我校承诺：确保被本校录取的学生不因家庭经济困难而辍学。</w:t>
            </w:r>
          </w:p>
        </w:tc>
      </w:tr>
      <w:tr>
        <w:tblPrEx>
          <w:tblW w:w="14325" w:type="dxa"/>
          <w:tblInd w:w="170" w:type="dxa"/>
          <w:tblCellMar>
            <w:top w:w="15" w:type="dxa"/>
            <w:left w:w="15" w:type="dxa"/>
            <w:bottom w:w="15" w:type="dxa"/>
            <w:right w:w="15" w:type="dxa"/>
          </w:tblCellMar>
        </w:tblPrEx>
        <w:trPr>
          <w:trHeight w:val="138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十五、监督机制及举报电话</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按照招生“阳光工程”的统一要求，我校秋季统一考试招生全程接受本校监察处监督。</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举报电话：021-67791256</w:t>
            </w:r>
          </w:p>
        </w:tc>
      </w:tr>
      <w:tr>
        <w:tblPrEx>
          <w:tblW w:w="14325" w:type="dxa"/>
          <w:tblInd w:w="170" w:type="dxa"/>
          <w:tblCellMar>
            <w:top w:w="15" w:type="dxa"/>
            <w:left w:w="15" w:type="dxa"/>
            <w:bottom w:w="15" w:type="dxa"/>
            <w:right w:w="15" w:type="dxa"/>
          </w:tblCellMar>
        </w:tblPrEx>
        <w:trPr>
          <w:trHeight w:val="1380"/>
        </w:trPr>
        <w:tc>
          <w:tcPr>
            <w:tcW w:w="2970" w:type="dxa"/>
            <w:gridSpan w:val="2"/>
            <w:tcBorders>
              <w:top w:val="single" w:sz="8" w:space="0" w:color="000000"/>
              <w:bottom w:val="single" w:sz="8" w:space="0" w:color="000000"/>
              <w:right w:val="single" w:sz="8" w:space="0" w:color="000000"/>
            </w:tcBorders>
            <w:noWrap w:val="0"/>
            <w:tcMar>
              <w:top w:w="10" w:type="dxa"/>
              <w:left w:w="140" w:type="dxa"/>
              <w:bottom w:w="12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十六、网址及联系电话</w:t>
            </w:r>
          </w:p>
        </w:tc>
        <w:tc>
          <w:tcPr>
            <w:tcW w:w="5640" w:type="dxa"/>
            <w:tcBorders>
              <w:top w:val="single" w:sz="8" w:space="0" w:color="000000"/>
              <w:left w:val="single" w:sz="8" w:space="0" w:color="000000"/>
              <w:bottom w:val="single" w:sz="8" w:space="0" w:color="000000"/>
            </w:tcBorders>
            <w:noWrap w:val="0"/>
            <w:tcMar>
              <w:top w:w="10" w:type="dxa"/>
              <w:left w:w="120" w:type="dxa"/>
              <w:bottom w:w="12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学校官网：www.sues.edu.cn</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招生处（办）官网：zsb.sues.edu.cn</w:t>
            </w:r>
          </w:p>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咨询电话：021-62750183</w:t>
            </w:r>
          </w:p>
        </w:tc>
      </w:tr>
      <w:tr>
        <w:tblPrEx>
          <w:tblW w:w="14325" w:type="dxa"/>
          <w:tblInd w:w="170" w:type="dxa"/>
          <w:tblCellMar>
            <w:top w:w="15" w:type="dxa"/>
            <w:left w:w="15" w:type="dxa"/>
            <w:bottom w:w="15" w:type="dxa"/>
            <w:right w:w="15" w:type="dxa"/>
          </w:tblCellMar>
        </w:tblPrEx>
        <w:trPr>
          <w:trHeight w:val="1380"/>
        </w:trPr>
        <w:tc>
          <w:tcPr>
            <w:tcW w:w="2970" w:type="dxa"/>
            <w:gridSpan w:val="2"/>
            <w:tcBorders>
              <w:top w:val="single" w:sz="8" w:space="0" w:color="000000"/>
              <w:right w:val="single" w:sz="8" w:space="0" w:color="000000"/>
            </w:tcBorders>
            <w:noWrap w:val="0"/>
            <w:tcMar>
              <w:top w:w="10" w:type="dxa"/>
              <w:left w:w="140" w:type="dxa"/>
              <w:bottom w:w="140" w:type="dxa"/>
              <w:right w:w="1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十七、其他须知</w:t>
            </w:r>
          </w:p>
        </w:tc>
        <w:tc>
          <w:tcPr>
            <w:tcW w:w="5640" w:type="dxa"/>
            <w:tcBorders>
              <w:top w:val="single" w:sz="8" w:space="0" w:color="000000"/>
              <w:left w:val="single" w:sz="8" w:space="0" w:color="000000"/>
            </w:tcBorders>
            <w:noWrap w:val="0"/>
            <w:tcMar>
              <w:top w:w="10" w:type="dxa"/>
              <w:left w:w="120" w:type="dxa"/>
              <w:bottom w:w="140" w:type="dxa"/>
              <w:right w:w="30" w:type="dxa"/>
            </w:tcMar>
            <w:vAlign w:val="center"/>
            <w:hideMark/>
          </w:tcPr>
          <w:p>
            <w:pPr>
              <w:pStyle w:val="a"/>
              <w:pBdr>
                <w:top w:val="none" w:sz="0" w:space="0" w:color="auto"/>
                <w:left w:val="none" w:sz="0" w:space="0" w:color="auto"/>
                <w:bottom w:val="none" w:sz="0" w:space="0" w:color="auto"/>
                <w:right w:val="none" w:sz="0" w:space="0" w:color="auto"/>
              </w:pBdr>
              <w:spacing w:before="100" w:after="10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校内转专业办法参照《上海工程技术大学校内插班生及平台内转专业实施细则》及学校相关文件执行。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上海东海职业技术学院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上海电机学院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正文"/>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0.html" TargetMode="External" /><Relationship Id="rId5" Type="http://schemas.openxmlformats.org/officeDocument/2006/relationships/hyperlink" Target="http://www.gk114.com/a/gxzs/zszc/shanghai/2019/0630/1036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