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上海师范大学天华学院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年秋季招生章程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009"/>
        <w:gridCol w:w="1621"/>
        <w:gridCol w:w="994"/>
        <w:gridCol w:w="27056"/>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一、学校全称</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上海师范大学天华学院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上海市嘉定区胜辛北路</w:t>
            </w:r>
            <w:r>
              <w:rPr>
                <w:rFonts w:ascii="Times New Roman" w:eastAsia="Times New Roman" w:hAnsi="Times New Roman" w:cs="Times New Roman"/>
                <w:b w:val="0"/>
                <w:bCs w:val="0"/>
                <w:i w:val="0"/>
                <w:iCs w:val="0"/>
                <w:smallCaps w:val="0"/>
                <w:color w:val="666666"/>
                <w:sz w:val="21"/>
                <w:szCs w:val="21"/>
              </w:rPr>
              <w:t>1661</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三、招生层次</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MS UI Gothic" w:eastAsia="MS UI Gothic" w:hAnsi="MS UI Gothic" w:cs="MS UI Gothic"/>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MS UI Gothic" w:eastAsia="MS UI Gothic" w:hAnsi="MS UI Gothic" w:cs="MS UI Gothic"/>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w:t>
            </w:r>
            <w:r>
              <w:rPr>
                <w:rFonts w:ascii="MS UI Gothic" w:eastAsia="MS UI Gothic" w:hAnsi="MS UI Gothic" w:cs="MS UI Gothic"/>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w:t>
            </w:r>
            <w:r>
              <w:rPr>
                <w:rFonts w:ascii="MS UI Gothic" w:eastAsia="MS UI Gothic" w:hAnsi="MS UI Gothic" w:cs="MS UI Gothic"/>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2385"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五、颁发学历证书的学校名称及证书种类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学校名称</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上海师范大学天华学院</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修学期满，符合毕业要求，颁发上海师范大学天华学院的本科毕业证书。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六、学校招生管理机构</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招生工作领导小组是我校招生工作的最高决策机构，统一领导学校本科招生工作；学校招生办公室是我校组织和实施招生工作的常设机构，负责学校本科招生的日常工作；学校纪委是我校招生工作的纪检监察机构，全过程监察本科招生的日常工作。</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的原则和办法</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一、我校依据上海市教育委员会核准的年度招生规模，结合学校发展定位与办学条件，统筹考虑今年分省分专业招生计划编制及使用情况，科学、合理地编制学校本年度分省分专业招生计划。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三、本年度我校分省分专业招生计划、高考改革省市选考科目要求等详见各省级招生主管部门（省级招办）编印的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八、预留计划数及使用办法</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本科招生计划的</w:t>
            </w: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用于生源质量调控及同分数考生的录取。</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入学外语考试语种不限，入学后外语教学语种为英语。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十、身体健康状况要求</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号）及有关补充规定为依据，考生须据实上报健康状况。经复查，身体健康状况不符合专业学习要求以及隐瞒病情病史的考生，学校将按照教育部《普通高等学校学生管理规定》和本校学籍管理相关规定处理。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十一、加分政策</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我校认可教育部和各省级招办根据教育部相关规定给予考生的全国性加分政策。我校原则上认可考生具备的所有加分项中最高分一项</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且最高不超过</w:t>
            </w:r>
            <w:r>
              <w:rPr>
                <w:rFonts w:ascii="Times New Roman" w:eastAsia="Times New Roman" w:hAnsi="Times New Roman" w:cs="Times New Roman"/>
                <w:b w:val="0"/>
                <w:bCs w:val="0"/>
                <w:i w:val="0"/>
                <w:iCs w:val="0"/>
                <w:smallCaps w:val="0"/>
                <w:color w:val="666666"/>
                <w:sz w:val="21"/>
                <w:szCs w:val="21"/>
              </w:rPr>
              <w:t>20</w:t>
            </w:r>
            <w:r>
              <w:rPr>
                <w:rFonts w:ascii="SimSun" w:eastAsia="SimSun" w:hAnsi="SimSun" w:cs="SimSun"/>
                <w:b w:val="0"/>
                <w:bCs w:val="0"/>
                <w:i w:val="0"/>
                <w:iCs w:val="0"/>
                <w:smallCaps w:val="0"/>
                <w:color w:val="666666"/>
                <w:sz w:val="21"/>
                <w:szCs w:val="21"/>
              </w:rPr>
              <w:t>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十二、录取规则</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1.   </w:t>
            </w:r>
            <w:r>
              <w:rPr>
                <w:rFonts w:ascii="SimSun" w:eastAsia="SimSun" w:hAnsi="SimSun" w:cs="SimSun"/>
                <w:b w:val="0"/>
                <w:bCs w:val="0"/>
                <w:i w:val="0"/>
                <w:iCs w:val="0"/>
                <w:smallCaps w:val="0"/>
                <w:color w:val="666666"/>
                <w:sz w:val="21"/>
                <w:szCs w:val="21"/>
              </w:rPr>
              <w:t>省级招办按我校在当地的招生计划数和投档比例将第一志愿报考我校的生源从高分到低分（含加分）进行投档。具体的投档比例由我校根据各省市实际生源情况确定，原则上投档比例不超过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。按照平行志愿投档的批次，原则上投档比例不超过</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2.   </w:t>
            </w:r>
            <w:r>
              <w:rPr>
                <w:rFonts w:ascii="SimSun" w:eastAsia="SimSun" w:hAnsi="SimSun" w:cs="SimSun"/>
                <w:b w:val="0"/>
                <w:bCs w:val="0"/>
                <w:i w:val="0"/>
                <w:iCs w:val="0"/>
                <w:smallCaps w:val="0"/>
                <w:color w:val="666666"/>
                <w:sz w:val="21"/>
                <w:szCs w:val="21"/>
              </w:rPr>
              <w:t>艺术类专业上海市生源：按上海市教育考试院公布的投档录取原则进行，在上海市教育考试院公布的艺术市统考成绩和文化课成绩的本科录取资格线上，对报考我校艺术类专业的进档考生，第一专业志愿，按志愿优先的原则，从高分到低分进行录取，第二专业志愿起，按分数优先原则进行录取。所有专业无级差，专业录取时</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同分考生按外语、数学、语文等单科成绩从高分到低分录取。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艺术类专业外省市生源：在省级招办公布的艺术统考成绩和文化课成绩的本科录取资格线上，以当地省级招办规定的录取原则进行，无加试要求，按投档成绩从高分到低分择优录取</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同分考生按外语、数学、语文等单科成绩从高分到低分录取。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3.   </w:t>
            </w:r>
            <w:r>
              <w:rPr>
                <w:rFonts w:ascii="SimSun" w:eastAsia="SimSun" w:hAnsi="SimSun" w:cs="SimSun"/>
                <w:b w:val="0"/>
                <w:bCs w:val="0"/>
                <w:i w:val="0"/>
                <w:iCs w:val="0"/>
                <w:smallCaps w:val="0"/>
                <w:color w:val="666666"/>
                <w:sz w:val="21"/>
                <w:szCs w:val="21"/>
              </w:rPr>
              <w:t>非艺术类专业：遵循各省级招办投档原则，在其提供的投档范围内，根据生源情况，按招生计划的一定比例，确定我校的投档分数线。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对投档线上的进档考生，第一专业志愿，按志愿优先的原则，从高分到低分进行录取，第二专业志愿起，按分数优先原则进行录取。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所有专业无级差，专业录取时</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同分考生按外语、数学、语文等单科成绩并参考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普通高中学生综合素质评价信息</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从高分到低分择优录取，同等条件下优先录取综合素质评价优秀的学生。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4.   </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对达到我校最低录取分数线但未进入专业志愿、且愿意服从所有专业调剂的考生作调剂录取，凡不愿意专业调剂的考生，作退档处理。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三、在江苏省，报考我校二批次考生的学业水平测试两门选测科目的成绩等第须达到</w:t>
            </w:r>
            <w:r>
              <w:rPr>
                <w:rFonts w:ascii="Times New Roman" w:eastAsia="Times New Roman" w:hAnsi="Times New Roman" w:cs="Times New Roman"/>
                <w:b w:val="0"/>
                <w:bCs w:val="0"/>
                <w:i w:val="0"/>
                <w:iCs w:val="0"/>
                <w:smallCaps w:val="0"/>
                <w:color w:val="666666"/>
                <w:sz w:val="21"/>
                <w:szCs w:val="21"/>
              </w:rPr>
              <w:t>CC</w:t>
            </w:r>
            <w:r>
              <w:rPr>
                <w:rFonts w:ascii="SimSun" w:eastAsia="SimSun" w:hAnsi="SimSun" w:cs="SimSun"/>
                <w:b w:val="0"/>
                <w:bCs w:val="0"/>
                <w:i w:val="0"/>
                <w:iCs w:val="0"/>
                <w:smallCaps w:val="0"/>
                <w:color w:val="666666"/>
                <w:sz w:val="21"/>
                <w:szCs w:val="21"/>
              </w:rPr>
              <w:t>。在内蒙古自治区，实行</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招生计划</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范围内按专业志愿排队录取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的录取规则。</w:t>
            </w:r>
          </w:p>
        </w:tc>
      </w:tr>
      <w:tr>
        <w:tblPrEx>
          <w:tblW w:w="14327" w:type="dxa"/>
          <w:tblInd w:w="135" w:type="dxa"/>
          <w:tblCellMar>
            <w:top w:w="15" w:type="dxa"/>
            <w:left w:w="15" w:type="dxa"/>
            <w:bottom w:w="15" w:type="dxa"/>
            <w:right w:w="15" w:type="dxa"/>
          </w:tblCellMar>
        </w:tblPrEx>
        <w:tc>
          <w:tcPr>
            <w:tcW w:w="21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十三、收费标准</w:t>
            </w:r>
          </w:p>
        </w:tc>
        <w:tc>
          <w:tcPr>
            <w:tcW w:w="18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普通类专业：每生每学年</w:t>
            </w:r>
            <w:r>
              <w:rPr>
                <w:rFonts w:ascii="Times New Roman" w:eastAsia="Times New Roman" w:hAnsi="Times New Roman" w:cs="Times New Roman"/>
                <w:b w:val="0"/>
                <w:bCs w:val="0"/>
                <w:i w:val="0"/>
                <w:iCs w:val="0"/>
                <w:smallCaps w:val="0"/>
                <w:color w:val="666666"/>
                <w:sz w:val="21"/>
                <w:szCs w:val="21"/>
              </w:rPr>
              <w:t>29500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环境设计专业：每生每学年</w:t>
            </w:r>
            <w:r>
              <w:rPr>
                <w:rFonts w:ascii="Times New Roman" w:eastAsia="Times New Roman" w:hAnsi="Times New Roman" w:cs="Times New Roman"/>
                <w:b w:val="0"/>
                <w:bCs w:val="0"/>
                <w:i w:val="0"/>
                <w:iCs w:val="0"/>
                <w:smallCaps w:val="0"/>
                <w:color w:val="666666"/>
                <w:sz w:val="21"/>
                <w:szCs w:val="21"/>
              </w:rPr>
              <w:t>36000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视觉传达设计专业：每生每学年</w:t>
            </w:r>
            <w:r>
              <w:rPr>
                <w:rFonts w:ascii="Times New Roman" w:eastAsia="Times New Roman" w:hAnsi="Times New Roman" w:cs="Times New Roman"/>
                <w:b w:val="0"/>
                <w:bCs w:val="0"/>
                <w:i w:val="0"/>
                <w:iCs w:val="0"/>
                <w:smallCaps w:val="0"/>
                <w:color w:val="666666"/>
                <w:sz w:val="21"/>
                <w:szCs w:val="21"/>
              </w:rPr>
              <w:t>36000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数字媒体艺术专业：每生每学年</w:t>
            </w:r>
            <w:r>
              <w:rPr>
                <w:rFonts w:ascii="Times New Roman" w:eastAsia="Times New Roman" w:hAnsi="Times New Roman" w:cs="Times New Roman"/>
                <w:b w:val="0"/>
                <w:bCs w:val="0"/>
                <w:i w:val="0"/>
                <w:iCs w:val="0"/>
                <w:smallCaps w:val="0"/>
                <w:color w:val="666666"/>
                <w:sz w:val="21"/>
                <w:szCs w:val="21"/>
              </w:rPr>
              <w:t>36000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影视摄影与制作专业：每生每学年</w:t>
            </w:r>
            <w:r>
              <w:rPr>
                <w:rFonts w:ascii="Times New Roman" w:eastAsia="Times New Roman" w:hAnsi="Times New Roman" w:cs="Times New Roman"/>
                <w:b w:val="0"/>
                <w:bCs w:val="0"/>
                <w:i w:val="0"/>
                <w:iCs w:val="0"/>
                <w:smallCaps w:val="0"/>
                <w:color w:val="666666"/>
                <w:sz w:val="21"/>
                <w:szCs w:val="21"/>
              </w:rPr>
              <w:t>36000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金融数学（双语教学）专业：每生每学年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国际商务（双语教学）专业：每生每学年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财务管理（双语教学，国际注册会计师培养）：每生每学年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财务管理（双语教学，特许金融分析师培养）：每生每学年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英语（英语教育）：每生每学年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汽车服务工程（德语教学双证）：每生每学年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网络工程（双语教学）：每生每学年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电子信息工程（双语教学）：每生每学年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通信工程（双语教学）：每生每学年</w:t>
            </w:r>
            <w:r>
              <w:rPr>
                <w:rFonts w:ascii="Times New Roman" w:eastAsia="Times New Roman" w:hAnsi="Times New Roman" w:cs="Times New Roman"/>
                <w:b w:val="0"/>
                <w:bCs w:val="0"/>
                <w:i w:val="0"/>
                <w:iCs w:val="0"/>
                <w:smallCaps w:val="0"/>
                <w:color w:val="666666"/>
                <w:sz w:val="21"/>
                <w:szCs w:val="21"/>
              </w:rPr>
              <w:t>45000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数字媒体艺术（电子竞技运营与推广方向）专业：每生每学年</w:t>
            </w:r>
            <w:r>
              <w:rPr>
                <w:rFonts w:ascii="Times New Roman" w:eastAsia="Times New Roman" w:hAnsi="Times New Roman" w:cs="Times New Roman"/>
                <w:b w:val="0"/>
                <w:bCs w:val="0"/>
                <w:i w:val="0"/>
                <w:iCs w:val="0"/>
                <w:smallCaps w:val="0"/>
                <w:color w:val="666666"/>
                <w:sz w:val="21"/>
                <w:szCs w:val="21"/>
              </w:rPr>
              <w:t>48000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人工智能：每生每学年</w:t>
            </w:r>
            <w:r>
              <w:rPr>
                <w:rFonts w:ascii="Times New Roman" w:eastAsia="Times New Roman" w:hAnsi="Times New Roman" w:cs="Times New Roman"/>
                <w:b w:val="0"/>
                <w:bCs w:val="0"/>
                <w:i w:val="0"/>
                <w:iCs w:val="0"/>
                <w:smallCaps w:val="0"/>
                <w:color w:val="666666"/>
                <w:sz w:val="21"/>
                <w:szCs w:val="21"/>
              </w:rPr>
              <w:t xml:space="preserve"> 48000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应用心理学（双语教学）：每生每学年</w:t>
            </w:r>
            <w:r>
              <w:rPr>
                <w:rFonts w:ascii="Times New Roman" w:eastAsia="Times New Roman" w:hAnsi="Times New Roman" w:cs="Times New Roman"/>
                <w:b w:val="0"/>
                <w:bCs w:val="0"/>
                <w:i w:val="0"/>
                <w:iCs w:val="0"/>
                <w:smallCaps w:val="0"/>
                <w:color w:val="666666"/>
                <w:sz w:val="21"/>
                <w:szCs w:val="21"/>
              </w:rPr>
              <w:t>60000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视觉传达设计（双语教学）：每生每学年</w:t>
            </w:r>
            <w:r>
              <w:rPr>
                <w:rFonts w:ascii="Times New Roman" w:eastAsia="Times New Roman" w:hAnsi="Times New Roman" w:cs="Times New Roman"/>
                <w:b w:val="0"/>
                <w:bCs w:val="0"/>
                <w:i w:val="0"/>
                <w:iCs w:val="0"/>
                <w:smallCaps w:val="0"/>
                <w:color w:val="666666"/>
                <w:sz w:val="21"/>
                <w:szCs w:val="21"/>
              </w:rPr>
              <w:t>60000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康复治疗学</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中外合作办学</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60000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学前教育（双语教学）：每生每学年</w:t>
            </w:r>
            <w:r>
              <w:rPr>
                <w:rFonts w:ascii="Times New Roman" w:eastAsia="Times New Roman" w:hAnsi="Times New Roman" w:cs="Times New Roman"/>
                <w:b w:val="0"/>
                <w:bCs w:val="0"/>
                <w:i w:val="0"/>
                <w:iCs w:val="0"/>
                <w:smallCaps w:val="0"/>
                <w:color w:val="666666"/>
                <w:sz w:val="21"/>
                <w:szCs w:val="21"/>
              </w:rPr>
              <w:t>60000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学前教育（中外合作办学）：每生每学年</w:t>
            </w:r>
            <w:r>
              <w:rPr>
                <w:rFonts w:ascii="Times New Roman" w:eastAsia="Times New Roman" w:hAnsi="Times New Roman" w:cs="Times New Roman"/>
                <w:b w:val="0"/>
                <w:bCs w:val="0"/>
                <w:i w:val="0"/>
                <w:iCs w:val="0"/>
                <w:smallCaps w:val="0"/>
                <w:color w:val="666666"/>
                <w:sz w:val="21"/>
                <w:szCs w:val="21"/>
              </w:rPr>
              <w:t>60000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小学教育（中外合作办学）：每生每学年</w:t>
            </w:r>
            <w:r>
              <w:rPr>
                <w:rFonts w:ascii="Times New Roman" w:eastAsia="Times New Roman" w:hAnsi="Times New Roman" w:cs="Times New Roman"/>
                <w:b w:val="0"/>
                <w:bCs w:val="0"/>
                <w:i w:val="0"/>
                <w:iCs w:val="0"/>
                <w:smallCaps w:val="0"/>
                <w:color w:val="666666"/>
                <w:sz w:val="21"/>
                <w:szCs w:val="21"/>
              </w:rPr>
              <w:t>60000</w:t>
            </w:r>
            <w:r>
              <w:rPr>
                <w:rFonts w:ascii="SimSun" w:eastAsia="SimSun" w:hAnsi="SimSun" w:cs="SimSun"/>
                <w:b w:val="0"/>
                <w:bCs w:val="0"/>
                <w:i w:val="0"/>
                <w:iCs w:val="0"/>
                <w:smallCaps w:val="0"/>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参考文件：【沪教委民（</w:t>
            </w:r>
            <w:r>
              <w:rPr>
                <w:rFonts w:ascii="Times New Roman" w:eastAsia="Times New Roman" w:hAnsi="Times New Roman" w:cs="Times New Roman"/>
                <w:b w:val="0"/>
                <w:bCs w:val="0"/>
                <w:i w:val="0"/>
                <w:iCs w:val="0"/>
                <w:smallCaps w:val="0"/>
                <w:color w:val="666666"/>
                <w:sz w:val="21"/>
                <w:szCs w:val="21"/>
              </w:rPr>
              <w:t>2015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84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4800</w:t>
            </w:r>
            <w:r>
              <w:rPr>
                <w:rFonts w:ascii="SimSun" w:eastAsia="SimSun" w:hAnsi="SimSun" w:cs="SimSun"/>
                <w:b w:val="0"/>
                <w:bCs w:val="0"/>
                <w:i w:val="0"/>
                <w:iCs w:val="0"/>
                <w:smallCaps w:val="0"/>
                <w:color w:val="666666"/>
                <w:sz w:val="21"/>
                <w:szCs w:val="21"/>
              </w:rPr>
              <w:t>元，参考文件：【沪教委民（</w:t>
            </w:r>
            <w:r>
              <w:rPr>
                <w:rFonts w:ascii="Times New Roman" w:eastAsia="Times New Roman" w:hAnsi="Times New Roman" w:cs="Times New Roman"/>
                <w:b w:val="0"/>
                <w:bCs w:val="0"/>
                <w:i w:val="0"/>
                <w:iCs w:val="0"/>
                <w:smallCaps w:val="0"/>
                <w:color w:val="666666"/>
                <w:sz w:val="21"/>
                <w:szCs w:val="21"/>
              </w:rPr>
              <w:t>2015</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4</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十四、资助政策</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申请入学，入学后可按规定申请国家奖学金、国家励志奖学金、上海市奖学金、国家助学金、国家助学贷款、勤工助学岗位等。同时，学校还设立了学生综合奖学金、单项奖学金和专项奖学金。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十五、监督机制及举报电话</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的统一要求，我校秋季统一考试招生全程接受本校纪检监督。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021-39966266</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十六、网址及联系电话</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http</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//www.sthu.cn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021-39966101</w:t>
            </w:r>
            <w:r>
              <w:rPr>
                <w:rFonts w:ascii="SimSun" w:eastAsia="SimSun" w:hAnsi="SimSun" w:cs="SimSun"/>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39966020</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十七、其他须知</w:t>
            </w:r>
          </w:p>
        </w:tc>
        <w:tc>
          <w:tcPr>
            <w:tcW w:w="6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年上海市普通高校招生章程核准备案表（正表）</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7/22087.html" TargetMode="External" /><Relationship Id="rId13" Type="http://schemas.openxmlformats.org/officeDocument/2006/relationships/hyperlink" Target="http://www.gk114.com/a/gxzs/zszc/shanghai/2022/0406/22075.html" TargetMode="External" /><Relationship Id="rId14" Type="http://schemas.openxmlformats.org/officeDocument/2006/relationships/hyperlink" Target="http://www.gk114.com/a/gxzs/zszc/shanghai/2022/0220/21738.html" TargetMode="External" /><Relationship Id="rId15" Type="http://schemas.openxmlformats.org/officeDocument/2006/relationships/hyperlink" Target="http://www.gk114.com/a/gxzs/zszc/shanghai/2022/0220/21737.html" TargetMode="External" /><Relationship Id="rId16" Type="http://schemas.openxmlformats.org/officeDocument/2006/relationships/hyperlink" Target="http://www.gk114.com/a/gxzs/zszc/shanghai/2022/0220/21736.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8.html" TargetMode="External" /><Relationship Id="rId5" Type="http://schemas.openxmlformats.org/officeDocument/2006/relationships/hyperlink" Target="http://www.gk114.com/a/gxzs/zszc/shanghai/2020/0701/1725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90.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