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上海戏剧学院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年上海市普通高校招生章程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065"/>
        <w:gridCol w:w="15"/>
        <w:gridCol w:w="1324"/>
        <w:gridCol w:w="19170"/>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4"/>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2020</w:t>
            </w:r>
            <w:r>
              <w:rPr>
                <w:rFonts w:ascii="SimSun" w:eastAsia="SimSun" w:hAnsi="SimSun" w:cs="SimSun"/>
                <w:b w:val="0"/>
                <w:bCs w:val="0"/>
                <w:i w:val="0"/>
                <w:iCs w:val="0"/>
                <w:smallCaps w:val="0"/>
                <w:color w:val="666666"/>
                <w:sz w:val="21"/>
                <w:szCs w:val="21"/>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w:t>
            </w:r>
            <w:r>
              <w:rPr>
                <w:rFonts w:ascii="SimSun" w:eastAsia="SimSun" w:hAnsi="SimSun" w:cs="SimSun"/>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一、</w:t>
            </w:r>
            <w:r>
              <w:rPr>
                <w:rFonts w:ascii="SimSun" w:eastAsia="SimSun" w:hAnsi="SimSun" w:cs="SimSun"/>
                <w:b/>
                <w:bCs/>
                <w:i w:val="0"/>
                <w:iCs w:val="0"/>
                <w:smallCaps w:val="0"/>
                <w:color w:val="666666"/>
                <w:sz w:val="21"/>
                <w:szCs w:val="21"/>
              </w:rPr>
              <w:t>院</w:t>
            </w:r>
            <w:r>
              <w:rPr>
                <w:rFonts w:ascii="SimSun" w:eastAsia="SimSun" w:hAnsi="SimSun" w:cs="SimSun"/>
                <w:b/>
                <w:bCs/>
                <w:i w:val="0"/>
                <w:iCs w:val="0"/>
                <w:smallCaps w:val="0"/>
                <w:color w:val="666666"/>
                <w:sz w:val="21"/>
                <w:szCs w:val="21"/>
              </w:rPr>
              <w:t>校全称</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上海戏剧学院</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二、就读校址</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昌林路校区</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地址为上海市闵行区昌林路</w:t>
            </w:r>
            <w:r>
              <w:rPr>
                <w:rFonts w:ascii="Times New Roman" w:eastAsia="Times New Roman" w:hAnsi="Times New Roman" w:cs="Times New Roman"/>
                <w:b w:val="0"/>
                <w:bCs w:val="0"/>
                <w:i w:val="0"/>
                <w:iCs w:val="0"/>
                <w:smallCaps w:val="0"/>
                <w:color w:val="666666"/>
                <w:sz w:val="21"/>
                <w:szCs w:val="21"/>
              </w:rPr>
              <w:t>800</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三、层次</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本科</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高职</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四、办学类型</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w:t>
            </w:r>
            <w:r>
              <w:rPr>
                <w:rFonts w:ascii="SimSun" w:eastAsia="SimSun" w:hAnsi="SimSun" w:cs="SimSun"/>
                <w:b w:val="0"/>
                <w:bCs w:val="0"/>
                <w:i w:val="0"/>
                <w:iCs w:val="0"/>
                <w:smallCaps w:val="0"/>
                <w:color w:val="666666"/>
                <w:sz w:val="21"/>
                <w:szCs w:val="21"/>
              </w:rPr>
              <w:t>普通高等学校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w:t>
            </w:r>
            <w:r>
              <w:rPr>
                <w:rFonts w:ascii="SimSun" w:eastAsia="SimSun" w:hAnsi="SimSun" w:cs="SimSun"/>
                <w:b w:val="0"/>
                <w:bCs w:val="0"/>
                <w:i w:val="0"/>
                <w:iCs w:val="0"/>
                <w:smallCaps w:val="0"/>
                <w:color w:val="666666"/>
                <w:sz w:val="21"/>
                <w:szCs w:val="21"/>
              </w:rPr>
              <w:t>公办高等学校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民办高等学校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w:t>
            </w:r>
            <w:r>
              <w:rPr>
                <w:rFonts w:ascii="SimSun" w:eastAsia="SimSun" w:hAnsi="SimSun" w:cs="SimSun"/>
                <w:b w:val="0"/>
                <w:bCs w:val="0"/>
                <w:i w:val="0"/>
                <w:iCs w:val="0"/>
                <w:smallCaps w:val="0"/>
                <w:color w:val="666666"/>
                <w:sz w:val="21"/>
                <w:szCs w:val="21"/>
              </w:rPr>
              <w:t>高等专科学校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院校名称</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上海戏剧学院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证书种类</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修学期满，符合毕业要求，颁发上海戏剧学院的本科毕业证书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六、院校招生管理机构</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上海戏剧学院招生工作委员会是我校招生工作的最高决策机构，统一领导学校招生工作；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上海戏剧学院招生办公室是我校组织和实施招生工作的常设机构，负责学校秋季统一招生的日常工作；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上海戏剧学院监察处是我校招生工作纪检监察机构。</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七、招生计划分配的原则和办法</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二、艺术管理专业无男女比例限制。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三、本年度我校分省分专业招生计划、高考改革省市选考科目要求等详见各省级招生主管部门（以下简称省级招办）编印的</w:t>
            </w: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年普通高等学校招生专业和计划相关文件。</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八、预留计划数及使用办法</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用于调节各地统考上线生源的不平衡。预留计划不得超过本校本科招生计划总数的</w:t>
            </w:r>
            <w:r>
              <w:rPr>
                <w:rFonts w:ascii="Times New Roman" w:eastAsia="Times New Roman" w:hAnsi="Times New Roman" w:cs="Times New Roman"/>
                <w:b w:val="0"/>
                <w:bCs w:val="0"/>
                <w:i w:val="0"/>
                <w:iCs w:val="0"/>
                <w:smallCaps w:val="0"/>
                <w:color w:val="666666"/>
                <w:sz w:val="21"/>
                <w:szCs w:val="21"/>
              </w:rPr>
              <w:t>1%</w:t>
            </w:r>
            <w:r>
              <w:rPr>
                <w:rFonts w:ascii="SimSun" w:eastAsia="SimSun" w:hAnsi="SimSun" w:cs="SimSun"/>
                <w:b w:val="0"/>
                <w:bCs w:val="0"/>
                <w:i w:val="0"/>
                <w:iCs w:val="0"/>
                <w:smallCaps w:val="0"/>
                <w:color w:val="666666"/>
                <w:sz w:val="21"/>
                <w:szCs w:val="21"/>
              </w:rPr>
              <w:t>。</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语考试语种的要求</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入学外语考试语种不限；入学后教学外语语种为英语</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十、身体健康状况要求</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以教育部、卫生部和中国残疾人联合会印发的《普通高等学校招生体检工作指导意见》（教学</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2003</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号）及有关补充规定为依据，考生须据实上报健康状况。若隐瞒病情病史，学校将按照本校学籍管理规定中有关退学与休学的规定执行。</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十一、录取规则</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w:t>
            </w:r>
            <w:r>
              <w:rPr>
                <w:rFonts w:ascii="SimSun" w:eastAsia="SimSun" w:hAnsi="SimSun" w:cs="SimSun"/>
                <w:b w:val="0"/>
                <w:bCs w:val="0"/>
                <w:i w:val="0"/>
                <w:iCs w:val="0"/>
                <w:smallCaps w:val="0"/>
                <w:color w:val="666666"/>
                <w:sz w:val="21"/>
                <w:szCs w:val="21"/>
              </w:rPr>
              <w:t>省级招办按我校在当地的招生计划数和投档比例将第一志愿报考我校的生源从高分到低分（含政策性加分）进行投档。具体的投档比例由我校根据各省市实际生源情况确定，原则上投档比例不超过</w:t>
            </w:r>
            <w:r>
              <w:rPr>
                <w:rFonts w:ascii="Times New Roman" w:eastAsia="Times New Roman" w:hAnsi="Times New Roman" w:cs="Times New Roman"/>
                <w:b w:val="0"/>
                <w:bCs w:val="0"/>
                <w:i w:val="0"/>
                <w:iCs w:val="0"/>
                <w:smallCaps w:val="0"/>
                <w:color w:val="666666"/>
                <w:sz w:val="21"/>
                <w:szCs w:val="21"/>
              </w:rPr>
              <w:t>120%</w:t>
            </w:r>
            <w:r>
              <w:rPr>
                <w:rFonts w:ascii="SimSun" w:eastAsia="SimSun" w:hAnsi="SimSun" w:cs="SimSun"/>
                <w:b w:val="0"/>
                <w:bCs w:val="0"/>
                <w:i w:val="0"/>
                <w:iCs w:val="0"/>
                <w:smallCaps w:val="0"/>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w:t>
            </w:r>
            <w:r>
              <w:rPr>
                <w:rFonts w:ascii="SimSun" w:eastAsia="SimSun" w:hAnsi="SimSun" w:cs="SimSun"/>
                <w:b w:val="0"/>
                <w:bCs w:val="0"/>
                <w:i w:val="0"/>
                <w:iCs w:val="0"/>
                <w:smallCaps w:val="0"/>
                <w:color w:val="666666"/>
                <w:sz w:val="21"/>
                <w:szCs w:val="21"/>
              </w:rPr>
              <w:t>以专业招生计划数，从高分到低分进行投档录取。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政策性加分在录取时计入总分。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w:t>
            </w:r>
            <w:r>
              <w:rPr>
                <w:rFonts w:ascii="SimSun" w:eastAsia="SimSun" w:hAnsi="SimSun" w:cs="SimSun"/>
                <w:b w:val="0"/>
                <w:bCs w:val="0"/>
                <w:i w:val="0"/>
                <w:iCs w:val="0"/>
                <w:smallCaps w:val="0"/>
                <w:color w:val="666666"/>
                <w:sz w:val="21"/>
                <w:szCs w:val="21"/>
              </w:rPr>
              <w:t>艺术管理专业录取规则为：按所在省份普通类本科第一批次文化成绩从高到低排序录取，投档比例为</w:t>
            </w:r>
            <w:r>
              <w:rPr>
                <w:rFonts w:ascii="Times New Roman" w:eastAsia="Times New Roman" w:hAnsi="Times New Roman" w:cs="Times New Roman"/>
                <w:b w:val="0"/>
                <w:bCs w:val="0"/>
                <w:i w:val="0"/>
                <w:iCs w:val="0"/>
                <w:smallCaps w:val="0"/>
                <w:color w:val="666666"/>
                <w:sz w:val="21"/>
                <w:szCs w:val="21"/>
              </w:rPr>
              <w:t>1</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1</w:t>
            </w:r>
            <w:r>
              <w:rPr>
                <w:rFonts w:ascii="SimSun" w:eastAsia="SimSun" w:hAnsi="SimSun" w:cs="SimSun"/>
                <w:b w:val="0"/>
                <w:bCs w:val="0"/>
                <w:i w:val="0"/>
                <w:iCs w:val="0"/>
                <w:smallCaps w:val="0"/>
                <w:color w:val="666666"/>
                <w:sz w:val="21"/>
                <w:szCs w:val="21"/>
              </w:rPr>
              <w:t>。同分处理原则为：如果总成绩同分，文科以语文、外语、数学科目成绩高低的顺序录取；理科以数学、外语、语文科目成绩高低的顺序录取；不分文理的按省级招办同分排序规则进行专业录取</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上海考生如按同分排序规则排序后再遇同分，参考综合素质评价信息进行录取</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w:t>
            </w:r>
            <w:r>
              <w:rPr>
                <w:rFonts w:ascii="SimSun" w:eastAsia="SimSun" w:hAnsi="SimSun" w:cs="SimSun"/>
                <w:b w:val="0"/>
                <w:bCs w:val="0"/>
                <w:i w:val="0"/>
                <w:iCs w:val="0"/>
                <w:smallCaps w:val="0"/>
                <w:color w:val="666666"/>
                <w:sz w:val="21"/>
                <w:szCs w:val="21"/>
              </w:rPr>
              <w:t>内蒙古自治区实行</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招生计划</w:t>
            </w:r>
            <w:r>
              <w:rPr>
                <w:rFonts w:ascii="Times New Roman" w:eastAsia="Times New Roman" w:hAnsi="Times New Roman" w:cs="Times New Roman"/>
                <w:b w:val="0"/>
                <w:bCs w:val="0"/>
                <w:i w:val="0"/>
                <w:iCs w:val="0"/>
                <w:smallCaps w:val="0"/>
                <w:color w:val="666666"/>
                <w:sz w:val="21"/>
                <w:szCs w:val="21"/>
              </w:rPr>
              <w:t>1:1</w:t>
            </w:r>
            <w:r>
              <w:rPr>
                <w:rFonts w:ascii="SimSun" w:eastAsia="SimSun" w:hAnsi="SimSun" w:cs="SimSun"/>
                <w:b w:val="0"/>
                <w:bCs w:val="0"/>
                <w:i w:val="0"/>
                <w:iCs w:val="0"/>
                <w:smallCaps w:val="0"/>
                <w:color w:val="666666"/>
                <w:sz w:val="21"/>
                <w:szCs w:val="21"/>
              </w:rPr>
              <w:t>范围内按专业志愿排队录取</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的录取规则。各志愿间无级差。如投档成绩相同时，我校录取时文科依次按语文、外语、数学成绩排序，理科依次按数学、外语、语文成绩排序，完成计划录取。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二、在非平行志愿批次</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第一志愿生源不足时，省级招办可在同批次录取控制分数线上，按非第一志愿考生（包括征集志愿）人数不超过招生计划剩余数的</w:t>
            </w:r>
            <w:r>
              <w:rPr>
                <w:rFonts w:ascii="Times New Roman" w:eastAsia="Times New Roman" w:hAnsi="Times New Roman" w:cs="Times New Roman"/>
                <w:b w:val="0"/>
                <w:bCs w:val="0"/>
                <w:i w:val="0"/>
                <w:iCs w:val="0"/>
                <w:smallCaps w:val="0"/>
                <w:color w:val="666666"/>
                <w:sz w:val="21"/>
                <w:szCs w:val="21"/>
              </w:rPr>
              <w:t>100%</w:t>
            </w:r>
            <w:r>
              <w:rPr>
                <w:rFonts w:ascii="SimSun" w:eastAsia="SimSun" w:hAnsi="SimSun" w:cs="SimSun"/>
                <w:b w:val="0"/>
                <w:bCs w:val="0"/>
                <w:i w:val="0"/>
                <w:iCs w:val="0"/>
                <w:smallCaps w:val="0"/>
                <w:color w:val="666666"/>
                <w:sz w:val="21"/>
                <w:szCs w:val="21"/>
              </w:rPr>
              <w:t>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三、高考改革有关省市的录取规则和程序以省招办规定为准。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四、艺术管理专业无需参加我校艺术类校考。</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学费标准</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每生每学年</w:t>
            </w:r>
            <w:r>
              <w:rPr>
                <w:rFonts w:ascii="Times New Roman" w:eastAsia="Times New Roman" w:hAnsi="Times New Roman" w:cs="Times New Roman"/>
                <w:b w:val="0"/>
                <w:bCs w:val="0"/>
                <w:i w:val="0"/>
                <w:iCs w:val="0"/>
                <w:smallCaps w:val="0"/>
                <w:color w:val="666666"/>
                <w:sz w:val="21"/>
                <w:szCs w:val="21"/>
              </w:rPr>
              <w:t>10000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沪价行（</w:t>
            </w:r>
            <w:r>
              <w:rPr>
                <w:rFonts w:ascii="Times New Roman" w:eastAsia="Times New Roman" w:hAnsi="Times New Roman" w:cs="Times New Roman"/>
                <w:b w:val="0"/>
                <w:bCs w:val="0"/>
                <w:i w:val="0"/>
                <w:iCs w:val="0"/>
                <w:smallCaps w:val="0"/>
                <w:color w:val="666666"/>
                <w:sz w:val="21"/>
                <w:szCs w:val="21"/>
              </w:rPr>
              <w:t>2000</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120</w:t>
            </w:r>
            <w:r>
              <w:rPr>
                <w:rFonts w:ascii="SimSun" w:eastAsia="SimSun" w:hAnsi="SimSun" w:cs="SimSun"/>
                <w:b w:val="0"/>
                <w:bCs w:val="0"/>
                <w:i w:val="0"/>
                <w:iCs w:val="0"/>
                <w:smallCaps w:val="0"/>
                <w:color w:val="666666"/>
                <w:sz w:val="21"/>
                <w:szCs w:val="21"/>
              </w:rPr>
              <w:t>号</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、（沪教财（</w:t>
            </w:r>
            <w:r>
              <w:rPr>
                <w:rFonts w:ascii="Times New Roman" w:eastAsia="Times New Roman" w:hAnsi="Times New Roman" w:cs="Times New Roman"/>
                <w:b w:val="0"/>
                <w:bCs w:val="0"/>
                <w:i w:val="0"/>
                <w:iCs w:val="0"/>
                <w:smallCaps w:val="0"/>
                <w:color w:val="666666"/>
                <w:sz w:val="21"/>
                <w:szCs w:val="21"/>
              </w:rPr>
              <w:t>2000</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27</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住宿费标准</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每生每学年</w:t>
            </w:r>
            <w:r>
              <w:rPr>
                <w:rFonts w:ascii="Times New Roman" w:eastAsia="Times New Roman" w:hAnsi="Times New Roman" w:cs="Times New Roman"/>
                <w:b w:val="0"/>
                <w:bCs w:val="0"/>
                <w:i w:val="0"/>
                <w:iCs w:val="0"/>
                <w:smallCaps w:val="0"/>
                <w:color w:val="666666"/>
                <w:sz w:val="21"/>
                <w:szCs w:val="21"/>
              </w:rPr>
              <w:t>1200</w:t>
            </w:r>
            <w:r>
              <w:rPr>
                <w:rFonts w:ascii="SimSun" w:eastAsia="SimSun" w:hAnsi="SimSun" w:cs="SimSun"/>
                <w:b w:val="0"/>
                <w:bCs w:val="0"/>
                <w:i w:val="0"/>
                <w:iCs w:val="0"/>
                <w:smallCaps w:val="0"/>
                <w:color w:val="666666"/>
                <w:sz w:val="21"/>
                <w:szCs w:val="21"/>
              </w:rPr>
              <w:t>元（沪价费（</w:t>
            </w:r>
            <w:r>
              <w:rPr>
                <w:rFonts w:ascii="Times New Roman" w:eastAsia="Times New Roman" w:hAnsi="Times New Roman" w:cs="Times New Roman"/>
                <w:b w:val="0"/>
                <w:bCs w:val="0"/>
                <w:i w:val="0"/>
                <w:iCs w:val="0"/>
                <w:smallCaps w:val="0"/>
                <w:color w:val="666666"/>
                <w:sz w:val="21"/>
                <w:szCs w:val="21"/>
              </w:rPr>
              <w:t>2003</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56</w:t>
            </w:r>
            <w:r>
              <w:rPr>
                <w:rFonts w:ascii="SimSun" w:eastAsia="SimSun" w:hAnsi="SimSun" w:cs="SimSun"/>
                <w:b w:val="0"/>
                <w:bCs w:val="0"/>
                <w:i w:val="0"/>
                <w:iCs w:val="0"/>
                <w:smallCaps w:val="0"/>
                <w:color w:val="666666"/>
                <w:sz w:val="21"/>
                <w:szCs w:val="21"/>
              </w:rPr>
              <w:t>号）、（沪教财（</w:t>
            </w:r>
            <w:r>
              <w:rPr>
                <w:rFonts w:ascii="Times New Roman" w:eastAsia="Times New Roman" w:hAnsi="Times New Roman" w:cs="Times New Roman"/>
                <w:b w:val="0"/>
                <w:bCs w:val="0"/>
                <w:i w:val="0"/>
                <w:iCs w:val="0"/>
                <w:smallCaps w:val="0"/>
                <w:color w:val="666666"/>
                <w:sz w:val="21"/>
                <w:szCs w:val="21"/>
              </w:rPr>
              <w:t>2003</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93</w:t>
            </w:r>
            <w:r>
              <w:rPr>
                <w:rFonts w:ascii="SimSun" w:eastAsia="SimSun" w:hAnsi="SimSun" w:cs="SimSun"/>
                <w:b w:val="0"/>
                <w:bCs w:val="0"/>
                <w:i w:val="0"/>
                <w:iCs w:val="0"/>
                <w:smallCaps w:val="0"/>
                <w:color w:val="666666"/>
                <w:sz w:val="21"/>
                <w:szCs w:val="21"/>
              </w:rPr>
              <w:t>号）、（沪教财（</w:t>
            </w:r>
            <w:r>
              <w:rPr>
                <w:rFonts w:ascii="Times New Roman" w:eastAsia="Times New Roman" w:hAnsi="Times New Roman" w:cs="Times New Roman"/>
                <w:b w:val="0"/>
                <w:bCs w:val="0"/>
                <w:i w:val="0"/>
                <w:iCs w:val="0"/>
                <w:smallCaps w:val="0"/>
                <w:color w:val="666666"/>
                <w:sz w:val="21"/>
                <w:szCs w:val="21"/>
              </w:rPr>
              <w:t>2012</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118</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十三、资助政策</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我校认真执行国家和上海市相关学生资助规定，被本校录取的家庭经济困难学生可通过</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绿色通道</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申请入学，入学后可按规定申请国家奖学金、国家励志奖学金、上海市奖学金、国家助学金、国家助学贷款、勤工助学岗位、特殊困难补助等。我校承诺：确保被本校录取的学生不因家庭经济困难而辍学。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十四、监督机制及举报电话</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按照招生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阳光工程</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的统一要求，我校秋季统一考试招生全程接受本校监察处监督。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举报电话：</w:t>
            </w:r>
            <w:r>
              <w:rPr>
                <w:rFonts w:ascii="Times New Roman" w:eastAsia="Times New Roman" w:hAnsi="Times New Roman" w:cs="Times New Roman"/>
                <w:b w:val="0"/>
                <w:bCs w:val="0"/>
                <w:i w:val="0"/>
                <w:iCs w:val="0"/>
                <w:smallCaps w:val="0"/>
                <w:color w:val="666666"/>
                <w:sz w:val="21"/>
                <w:szCs w:val="21"/>
              </w:rPr>
              <w:t>021-62495375</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十五、网址及联系电话</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学校官网：</w:t>
            </w:r>
            <w:r>
              <w:rPr>
                <w:rFonts w:ascii="Times New Roman" w:eastAsia="Times New Roman" w:hAnsi="Times New Roman" w:cs="Times New Roman"/>
                <w:b w:val="0"/>
                <w:bCs w:val="0"/>
                <w:i w:val="0"/>
                <w:iCs w:val="0"/>
                <w:smallCaps w:val="0"/>
                <w:color w:val="666666"/>
                <w:sz w:val="21"/>
                <w:szCs w:val="21"/>
              </w:rPr>
              <w:t>http://www.sta.edu.cn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招生处（办）官网：</w:t>
            </w:r>
            <w:r>
              <w:rPr>
                <w:rFonts w:ascii="Times New Roman" w:eastAsia="Times New Roman" w:hAnsi="Times New Roman" w:cs="Times New Roman"/>
                <w:b w:val="0"/>
                <w:bCs w:val="0"/>
                <w:i w:val="0"/>
                <w:iCs w:val="0"/>
                <w:smallCaps w:val="0"/>
                <w:color w:val="666666"/>
                <w:sz w:val="21"/>
                <w:szCs w:val="21"/>
              </w:rPr>
              <w:t xml:space="preserve"> http://zs.sta.edu.cn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咨询电话：</w:t>
            </w:r>
            <w:r>
              <w:rPr>
                <w:rFonts w:ascii="Times New Roman" w:eastAsia="Times New Roman" w:hAnsi="Times New Roman" w:cs="Times New Roman"/>
                <w:b w:val="0"/>
                <w:bCs w:val="0"/>
                <w:i w:val="0"/>
                <w:iCs w:val="0"/>
                <w:smallCaps w:val="0"/>
                <w:color w:val="666666"/>
                <w:sz w:val="21"/>
                <w:szCs w:val="21"/>
              </w:rPr>
              <w:t>021-62488077</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十六、其他须知</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年上海工程技术大学秋季招生章程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73.html" TargetMode="External" /><Relationship Id="rId5" Type="http://schemas.openxmlformats.org/officeDocument/2006/relationships/hyperlink" Target="http://www.gk114.com/a/gxzs/zszc/shanghai/2020/0701/17275.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