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73"/>
        <w:gridCol w:w="12"/>
        <w:gridCol w:w="1131"/>
        <w:gridCol w:w="1"/>
        <w:gridCol w:w="27063"/>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上海科技大学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上海市浦东新区华夏中路</w:t>
            </w:r>
            <w:r>
              <w:rPr>
                <w:rFonts w:ascii="Times New Roman" w:eastAsia="Times New Roman" w:hAnsi="Times New Roman" w:cs="Times New Roman"/>
                <w:b w:val="0"/>
                <w:bCs w:val="0"/>
                <w:i w:val="0"/>
                <w:iCs w:val="0"/>
                <w:smallCaps w:val="0"/>
                <w:color w:val="666666"/>
                <w:sz w:val="21"/>
                <w:szCs w:val="21"/>
              </w:rPr>
              <w:t>393</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上海科技大学</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修学期满，符合毕业要求，颁发上海科技大学的本科毕业证书。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科技大学招生委员会是我校招生工作的最高决策机构，统一领导学校招生工作；本科招生办公室是我校组织和实施招生工作的常设机构，负责学校秋季统一招生的日常工作；纪检监察室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本科招生计划的</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所有专业入学外语考试语种不限；所有专业教学外语语种为英语。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一、为探索</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综合评价、择优录取、多元选择</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的选拔招录模式，学校将坚持正确导向、公正公开、科学有效的原则，举办</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活动（详见《上海科技大学</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年本科招生简章》），考生可自愿选择参加我校</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二、学校根据考生在</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的整体表现及报名材料，形成</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综合成绩。（详见《上海科技大学</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年本科招生简章》）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所有报考我校考生须在所在省（市）提前批次本科填报我校。考生文化成绩（含教育部、所在省（市）相关政策规定加分）应达到生源所在省（市）本科第一批录取控制分数线；在实行高考综合改革的上海市应达到特殊类型招生控制分数线，浙江省、山东省应达到普通类一段线；对于合并本科批次的省份，按相关省份省级招办确定的特殊类型招生控制分数线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四、各省级招办按规定向我校投档（投档比例按各省（市）规定）。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五、我校根据考生的最终成绩（含高考总分和我校</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综合成绩）</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满足被录取考生第一专业志愿录取。最终成绩相同的考生，则以我校</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综合成绩顺序录取；若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校园开放日</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综合成绩再相同，则以高考数学单科成绩顺序录取；若高考数学单科成绩再相同，则参考考生的综合素质评价信息择优录取。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六、我校认可教育部和各省级招办根据教育部相关规定给予考生的全国性加分政策。我校原则上认可考生具备的所有加分项中最高分一项，且最高不超过</w:t>
            </w:r>
            <w:r>
              <w:rPr>
                <w:rFonts w:ascii="Times New Roman" w:eastAsia="Times New Roman" w:hAnsi="Times New Roman" w:cs="Times New Roman"/>
                <w:b w:val="0"/>
                <w:bCs w:val="0"/>
                <w:i w:val="0"/>
                <w:iCs w:val="0"/>
                <w:smallCaps w:val="0"/>
                <w:color w:val="666666"/>
                <w:sz w:val="21"/>
                <w:szCs w:val="21"/>
              </w:rPr>
              <w:t>20</w:t>
            </w:r>
            <w:r>
              <w:rPr>
                <w:rFonts w:ascii="SimSun" w:eastAsia="SimSun" w:hAnsi="SimSun" w:cs="SimSun"/>
                <w:b w:val="0"/>
                <w:bCs w:val="0"/>
                <w:i w:val="0"/>
                <w:iCs w:val="0"/>
                <w:smallCaps w:val="0"/>
                <w:color w:val="666666"/>
                <w:sz w:val="21"/>
                <w:szCs w:val="21"/>
              </w:rPr>
              <w:t>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七、各省（市）录取具体办法以各省级招办公布内容为准；高考改革有关省市的录取规则和程序以各省级招办规定为准。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八、在江苏省，报考我校所有考生的学业水平测试两门选测科目的成绩等第须达到</w:t>
            </w:r>
            <w:r>
              <w:rPr>
                <w:rFonts w:ascii="Times New Roman" w:eastAsia="Times New Roman" w:hAnsi="Times New Roman" w:cs="Times New Roman"/>
                <w:b w:val="0"/>
                <w:bCs w:val="0"/>
                <w:i w:val="0"/>
                <w:iCs w:val="0"/>
                <w:smallCaps w:val="0"/>
                <w:color w:val="666666"/>
                <w:sz w:val="21"/>
                <w:szCs w:val="21"/>
              </w:rPr>
              <w:t>1A1B+</w:t>
            </w:r>
            <w:r>
              <w:rPr>
                <w:rFonts w:ascii="SimSun" w:eastAsia="SimSun" w:hAnsi="SimSun" w:cs="SimSun"/>
                <w:b w:val="0"/>
                <w:bCs w:val="0"/>
                <w:i w:val="0"/>
                <w:iCs w:val="0"/>
                <w:smallCaps w:val="0"/>
                <w:color w:val="666666"/>
                <w:sz w:val="21"/>
                <w:szCs w:val="21"/>
              </w:rPr>
              <w:t>。</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所有专业每生每学年</w:t>
            </w:r>
            <w:r>
              <w:rPr>
                <w:rFonts w:ascii="Times New Roman" w:eastAsia="Times New Roman" w:hAnsi="Times New Roman" w:cs="Times New Roman"/>
                <w:b w:val="0"/>
                <w:bCs w:val="0"/>
                <w:i w:val="0"/>
                <w:iCs w:val="0"/>
                <w:smallCaps w:val="0"/>
                <w:color w:val="666666"/>
                <w:sz w:val="21"/>
                <w:szCs w:val="21"/>
              </w:rPr>
              <w:t>5000</w:t>
            </w:r>
            <w:r>
              <w:rPr>
                <w:rFonts w:ascii="SimSun" w:eastAsia="SimSun" w:hAnsi="SimSun" w:cs="SimSun"/>
                <w:b w:val="0"/>
                <w:bCs w:val="0"/>
                <w:i w:val="0"/>
                <w:iCs w:val="0"/>
                <w:smallCaps w:val="0"/>
                <w:color w:val="666666"/>
                <w:sz w:val="21"/>
                <w:szCs w:val="21"/>
              </w:rPr>
              <w:t>元，沪价费（</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元，沪价费</w:t>
            </w:r>
            <w:r>
              <w:rPr>
                <w:rFonts w:ascii="Times New Roman" w:eastAsia="Times New Roman" w:hAnsi="Times New Roman" w:cs="Times New Roman"/>
                <w:b w:val="0"/>
                <w:bCs w:val="0"/>
                <w:i w:val="0"/>
                <w:iCs w:val="0"/>
                <w:smallCaps w:val="0"/>
                <w:color w:val="666666"/>
                <w:sz w:val="21"/>
                <w:szCs w:val="21"/>
              </w:rPr>
              <w:t>[2003]56</w:t>
            </w:r>
            <w:r>
              <w:rPr>
                <w:rFonts w:ascii="SimSun" w:eastAsia="SimSun" w:hAnsi="SimSun" w:cs="SimSun"/>
                <w:b w:val="0"/>
                <w:bCs w:val="0"/>
                <w:i w:val="0"/>
                <w:iCs w:val="0"/>
                <w:smallCaps w:val="0"/>
                <w:color w:val="666666"/>
                <w:sz w:val="21"/>
                <w:szCs w:val="21"/>
              </w:rPr>
              <w:t>号、沪财预</w:t>
            </w:r>
            <w:r>
              <w:rPr>
                <w:rFonts w:ascii="Times New Roman" w:eastAsia="Times New Roman" w:hAnsi="Times New Roman" w:cs="Times New Roman"/>
                <w:b w:val="0"/>
                <w:bCs w:val="0"/>
                <w:i w:val="0"/>
                <w:iCs w:val="0"/>
                <w:smallCaps w:val="0"/>
                <w:color w:val="666666"/>
                <w:sz w:val="21"/>
                <w:szCs w:val="21"/>
              </w:rPr>
              <w:t>[2003]93</w:t>
            </w:r>
            <w:r>
              <w:rPr>
                <w:rFonts w:ascii="SimSun" w:eastAsia="SimSun" w:hAnsi="SimSun" w:cs="SimSun"/>
                <w:b w:val="0"/>
                <w:bCs w:val="0"/>
                <w:i w:val="0"/>
                <w:iCs w:val="0"/>
                <w:smallCaps w:val="0"/>
                <w:color w:val="666666"/>
                <w:sz w:val="21"/>
                <w:szCs w:val="21"/>
              </w:rPr>
              <w:t>号（沪教委财</w:t>
            </w:r>
            <w:r>
              <w:rPr>
                <w:rFonts w:ascii="Times New Roman" w:eastAsia="Times New Roman" w:hAnsi="Times New Roman" w:cs="Times New Roman"/>
                <w:b w:val="0"/>
                <w:bCs w:val="0"/>
                <w:i w:val="0"/>
                <w:iCs w:val="0"/>
                <w:smallCaps w:val="0"/>
                <w:color w:val="666666"/>
                <w:sz w:val="21"/>
                <w:szCs w:val="21"/>
              </w:rPr>
              <w:t xml:space="preserve"> [2012]118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的统一要求，我校秋季统一考试招生全程接受本校纪检监察室监督。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021-20685315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www.shanghaitech.edu.cn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本科招生办官网：</w:t>
            </w:r>
            <w:r>
              <w:rPr>
                <w:rFonts w:ascii="Times New Roman" w:eastAsia="Times New Roman" w:hAnsi="Times New Roman" w:cs="Times New Roman"/>
                <w:b w:val="0"/>
                <w:bCs w:val="0"/>
                <w:i w:val="0"/>
                <w:iCs w:val="0"/>
                <w:smallCaps w:val="0"/>
                <w:color w:val="666666"/>
                <w:sz w:val="21"/>
                <w:szCs w:val="21"/>
              </w:rPr>
              <w:t>admission.shanghaitech.edu.cn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4009209393</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无</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上海师范大学天华学院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年无军籍地方普通本科生招生章程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9.html" TargetMode="External" /><Relationship Id="rId5" Type="http://schemas.openxmlformats.org/officeDocument/2006/relationships/hyperlink" Target="http://www.gk114.com/a/gxzs/zszc/shanghai/2020/0701/1725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